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B1A1CF">
      <w:pPr>
        <w:spacing w:line="240" w:lineRule="auto"/>
        <w:ind w:firstLine="1037"/>
        <w:jc w:val="center"/>
        <w:rPr>
          <w:rFonts w:hint="eastAsia" w:ascii="Calibri" w:hAnsi="Calibri" w:eastAsia="仿宋" w:cs="Times New Roman"/>
          <w:b/>
          <w:bCs/>
          <w:color w:val="auto"/>
          <w:sz w:val="56"/>
          <w:szCs w:val="56"/>
        </w:rPr>
      </w:pPr>
      <w:bookmarkStart w:id="2" w:name="_GoBack"/>
      <w:bookmarkEnd w:id="2"/>
    </w:p>
    <w:p w14:paraId="3CD27ECB">
      <w:pPr>
        <w:spacing w:line="240" w:lineRule="auto"/>
        <w:ind w:firstLine="1037"/>
        <w:jc w:val="center"/>
        <w:rPr>
          <w:rFonts w:ascii="Calibri" w:hAnsi="Calibri" w:eastAsia="仿宋" w:cs="Times New Roman"/>
          <w:b/>
          <w:bCs/>
          <w:color w:val="auto"/>
          <w:sz w:val="56"/>
          <w:szCs w:val="56"/>
        </w:rPr>
      </w:pPr>
    </w:p>
    <w:p w14:paraId="575C94A2">
      <w:pPr>
        <w:adjustRightInd w:val="0"/>
        <w:snapToGrid w:val="0"/>
        <w:jc w:val="center"/>
        <w:outlineLvl w:val="0"/>
        <w:rPr>
          <w:rFonts w:hint="eastAsia" w:ascii="方正小标宋_GBK" w:hAnsi="Times New Roman" w:eastAsia="方正小标宋_GBK" w:cs="Times New Roman"/>
          <w:bCs/>
          <w:color w:val="auto"/>
          <w:sz w:val="60"/>
          <w:szCs w:val="60"/>
        </w:rPr>
      </w:pPr>
      <w:r>
        <w:rPr>
          <w:rFonts w:hint="eastAsia" w:ascii="方正小标宋_GBK" w:hAnsi="Times New Roman" w:eastAsia="方正小标宋_GBK" w:cs="Times New Roman"/>
          <w:bCs/>
          <w:color w:val="auto"/>
          <w:sz w:val="60"/>
          <w:szCs w:val="60"/>
        </w:rPr>
        <w:t>建设项目</w:t>
      </w:r>
      <w:r>
        <w:rPr>
          <w:rFonts w:hint="eastAsia" w:ascii="方正小标宋_GBK" w:hAnsi="Times New Roman" w:eastAsia="方正小标宋_GBK" w:cs="Times New Roman"/>
          <w:bCs/>
          <w:color w:val="auto"/>
          <w:sz w:val="60"/>
          <w:szCs w:val="60"/>
          <w:lang w:val="en-US" w:eastAsia="zh-CN"/>
        </w:rPr>
        <w:t>生态</w:t>
      </w:r>
      <w:r>
        <w:rPr>
          <w:rFonts w:hint="eastAsia" w:ascii="方正小标宋_GBK" w:hAnsi="Times New Roman" w:eastAsia="方正小标宋_GBK" w:cs="Times New Roman"/>
          <w:bCs/>
          <w:color w:val="auto"/>
          <w:sz w:val="60"/>
          <w:szCs w:val="60"/>
        </w:rPr>
        <w:t>环境影响报告表</w:t>
      </w:r>
    </w:p>
    <w:p w14:paraId="0FABCC68">
      <w:pPr>
        <w:adjustRightInd w:val="0"/>
        <w:snapToGrid w:val="0"/>
        <w:spacing w:before="192" w:beforeLines="80"/>
        <w:jc w:val="center"/>
        <w:rPr>
          <w:rFonts w:hint="eastAsia" w:ascii="楷体_GB2312" w:hAnsi="Times New Roman" w:eastAsia="楷体_GB2312" w:cs="Times New Roman"/>
          <w:bCs/>
          <w:color w:val="auto"/>
          <w:sz w:val="48"/>
          <w:szCs w:val="48"/>
        </w:rPr>
      </w:pPr>
      <w:r>
        <w:rPr>
          <w:rFonts w:hint="eastAsia" w:ascii="楷体_GB2312" w:hAnsi="Times New Roman" w:eastAsia="楷体_GB2312" w:cs="Times New Roman"/>
          <w:bCs/>
          <w:color w:val="auto"/>
          <w:sz w:val="48"/>
          <w:szCs w:val="48"/>
        </w:rPr>
        <w:t>（污染影响类）</w:t>
      </w:r>
    </w:p>
    <w:p w14:paraId="26FBD374">
      <w:pPr>
        <w:adjustRightInd w:val="0"/>
        <w:snapToGrid w:val="0"/>
        <w:spacing w:before="192" w:beforeLines="80"/>
        <w:jc w:val="center"/>
        <w:rPr>
          <w:rFonts w:hint="eastAsia" w:ascii="楷体_GB2312" w:hAnsi="Times New Roman" w:eastAsia="楷体_GB2312" w:cs="Times New Roman"/>
          <w:bCs/>
          <w:color w:val="auto"/>
          <w:sz w:val="48"/>
          <w:szCs w:val="48"/>
          <w:lang w:eastAsia="zh-CN"/>
        </w:rPr>
      </w:pPr>
      <w:r>
        <w:rPr>
          <w:rFonts w:hint="default" w:ascii="楷体_GB2312" w:hAnsi="Times New Roman" w:eastAsia="楷体_GB2312" w:cs="Times New Roman"/>
          <w:bCs/>
          <w:color w:val="auto"/>
          <w:sz w:val="48"/>
          <w:szCs w:val="48"/>
          <w:lang w:val="en-US" w:eastAsia="zh-CN"/>
        </w:rPr>
        <w:t>（送审稿）</w:t>
      </w:r>
    </w:p>
    <w:p w14:paraId="69D799FE">
      <w:pPr>
        <w:spacing w:line="240" w:lineRule="auto"/>
        <w:ind w:firstLine="1037"/>
        <w:jc w:val="center"/>
        <w:rPr>
          <w:rFonts w:hint="eastAsia" w:ascii="方正楷体_GB2312" w:hAnsi="方正楷体_GB2312" w:eastAsia="方正楷体_GB2312" w:cs="方正楷体_GB2312"/>
          <w:bCs/>
          <w:color w:val="auto"/>
          <w:sz w:val="48"/>
          <w:szCs w:val="48"/>
        </w:rPr>
      </w:pPr>
    </w:p>
    <w:p w14:paraId="177619AA">
      <w:pPr>
        <w:pStyle w:val="2"/>
        <w:rPr>
          <w:color w:val="auto"/>
        </w:rPr>
      </w:pPr>
    </w:p>
    <w:p w14:paraId="73DC6332">
      <w:pPr>
        <w:spacing w:line="240" w:lineRule="auto"/>
        <w:ind w:firstLine="1040"/>
        <w:rPr>
          <w:rFonts w:ascii="Times New Roman" w:hAnsi="Times New Roman" w:eastAsia="仿宋" w:cs="Times New Roman"/>
          <w:color w:val="auto"/>
          <w:sz w:val="44"/>
          <w:szCs w:val="44"/>
        </w:rPr>
      </w:pPr>
    </w:p>
    <w:p w14:paraId="4136BB94">
      <w:pPr>
        <w:widowControl w:val="0"/>
        <w:spacing w:line="240" w:lineRule="auto"/>
        <w:ind w:left="420" w:hanging="420" w:hangingChars="200"/>
        <w:jc w:val="both"/>
        <w:rPr>
          <w:rFonts w:ascii="Times New Roman" w:hAnsi="Times New Roman" w:eastAsia="宋体" w:cs="Times New Roman"/>
          <w:color w:val="auto"/>
          <w:kern w:val="2"/>
          <w:sz w:val="21"/>
          <w:szCs w:val="24"/>
          <w:lang w:val="en-US" w:eastAsia="zh-CN" w:bidi="ar-SA"/>
        </w:rPr>
      </w:pPr>
    </w:p>
    <w:p w14:paraId="52CEBCDD">
      <w:pPr>
        <w:spacing w:line="240" w:lineRule="auto"/>
        <w:ind w:firstLine="1040"/>
        <w:rPr>
          <w:rFonts w:ascii="Times New Roman" w:hAnsi="Times New Roman" w:eastAsia="仿宋" w:cs="Times New Roman"/>
          <w:color w:val="auto"/>
          <w:sz w:val="44"/>
          <w:szCs w:val="44"/>
        </w:rPr>
      </w:pPr>
    </w:p>
    <w:p w14:paraId="7AB1A30F">
      <w:pPr>
        <w:pStyle w:val="12"/>
        <w:rPr>
          <w:rFonts w:ascii="Times New Roman" w:hAnsi="Times New Roman" w:eastAsia="仿宋" w:cs="Times New Roman"/>
          <w:color w:val="auto"/>
          <w:sz w:val="44"/>
          <w:szCs w:val="44"/>
        </w:rPr>
      </w:pPr>
    </w:p>
    <w:p w14:paraId="72955F0A">
      <w:pPr>
        <w:rPr>
          <w:rFonts w:ascii="Times New Roman" w:hAnsi="Times New Roman" w:eastAsia="仿宋" w:cs="Times New Roman"/>
          <w:color w:val="auto"/>
          <w:sz w:val="44"/>
          <w:szCs w:val="44"/>
        </w:rPr>
      </w:pPr>
    </w:p>
    <w:p w14:paraId="3C0A040E">
      <w:pPr>
        <w:rPr>
          <w:color w:val="auto"/>
        </w:rPr>
      </w:pPr>
    </w:p>
    <w:p w14:paraId="3DB2A4D2">
      <w:pPr>
        <w:spacing w:line="240" w:lineRule="auto"/>
        <w:ind w:firstLine="1040"/>
        <w:rPr>
          <w:rFonts w:ascii="Times New Roman" w:hAnsi="Times New Roman" w:eastAsia="仿宋" w:cs="Times New Roman"/>
          <w:color w:val="auto"/>
          <w:sz w:val="44"/>
          <w:szCs w:val="44"/>
        </w:rPr>
      </w:pPr>
    </w:p>
    <w:p w14:paraId="74B1B79D">
      <w:pPr>
        <w:adjustRightInd w:val="0"/>
        <w:snapToGrid w:val="0"/>
        <w:spacing w:line="288" w:lineRule="auto"/>
        <w:ind w:left="2430" w:leftChars="300" w:hanging="1800" w:hangingChars="500"/>
        <w:rPr>
          <w:rFonts w:hint="eastAsia" w:ascii="方正仿宋_GB2312" w:hAnsi="方正仿宋_GB2312" w:eastAsia="方正仿宋_GB2312" w:cs="方正仿宋_GB2312"/>
          <w:color w:val="auto"/>
          <w:sz w:val="36"/>
          <w:szCs w:val="36"/>
          <w:u w:val="single"/>
        </w:rPr>
      </w:pPr>
      <w:r>
        <w:rPr>
          <w:rFonts w:hint="eastAsia" w:ascii="方正仿宋_GB2312" w:hAnsi="方正仿宋_GB2312" w:eastAsia="方正仿宋_GB2312" w:cs="方正仿宋_GB2312"/>
          <w:color w:val="auto"/>
          <w:sz w:val="36"/>
          <w:szCs w:val="36"/>
        </w:rPr>
        <w:t>项目名称：</w:t>
      </w:r>
      <w:r>
        <w:rPr>
          <w:rFonts w:hint="eastAsia" w:ascii="方正仿宋_GB2312" w:hAnsi="方正仿宋_GB2312" w:eastAsia="方正仿宋_GB2312" w:cs="方正仿宋_GB2312"/>
          <w:color w:val="auto"/>
          <w:spacing w:val="-6"/>
          <w:sz w:val="36"/>
          <w:szCs w:val="36"/>
          <w:u w:val="single"/>
        </w:rPr>
        <w:t>昌吉职业技术学院危废贮存库建设项目</w:t>
      </w:r>
    </w:p>
    <w:p w14:paraId="59480B83">
      <w:pPr>
        <w:adjustRightInd w:val="0"/>
        <w:snapToGrid w:val="0"/>
        <w:spacing w:line="288" w:lineRule="auto"/>
        <w:ind w:left="2430" w:leftChars="300" w:hanging="1800" w:hangingChars="500"/>
        <w:rPr>
          <w:rFonts w:hint="default" w:ascii="方正仿宋_GB2312" w:hAnsi="方正仿宋_GB2312" w:eastAsia="方正仿宋_GB2312" w:cs="方正仿宋_GB2312"/>
          <w:color w:val="auto"/>
          <w:sz w:val="36"/>
          <w:szCs w:val="36"/>
          <w:lang w:val="en-US"/>
        </w:rPr>
      </w:pPr>
      <w:r>
        <w:rPr>
          <w:rFonts w:hint="eastAsia" w:ascii="方正仿宋_GB2312" w:hAnsi="方正仿宋_GB2312" w:eastAsia="方正仿宋_GB2312" w:cs="方正仿宋_GB2312"/>
          <w:color w:val="auto"/>
          <w:sz w:val="36"/>
          <w:szCs w:val="36"/>
        </w:rPr>
        <w:t>建设单位（盖章）：</w:t>
      </w:r>
      <w:r>
        <w:rPr>
          <w:rFonts w:hint="eastAsia" w:ascii="方正仿宋_GB2312" w:hAnsi="方正仿宋_GB2312" w:eastAsia="方正仿宋_GB2312" w:cs="方正仿宋_GB2312"/>
          <w:color w:val="auto"/>
          <w:sz w:val="36"/>
          <w:szCs w:val="36"/>
          <w:u w:val="single"/>
          <w:lang w:val="en-US" w:eastAsia="zh-CN"/>
        </w:rPr>
        <w:t xml:space="preserve">  昌吉职业技术学院        </w:t>
      </w:r>
    </w:p>
    <w:p w14:paraId="2B60430A">
      <w:pPr>
        <w:adjustRightInd w:val="0"/>
        <w:snapToGrid w:val="0"/>
        <w:spacing w:line="288" w:lineRule="auto"/>
        <w:ind w:left="2430" w:leftChars="300" w:hanging="1800" w:hangingChars="500"/>
        <w:rPr>
          <w:rFonts w:hint="eastAsia" w:ascii="仿宋_GB2312" w:eastAsia="仿宋_GB2312"/>
          <w:color w:val="auto"/>
          <w:sz w:val="36"/>
          <w:szCs w:val="36"/>
          <w:u w:val="single"/>
        </w:rPr>
      </w:pPr>
      <w:r>
        <w:rPr>
          <w:rFonts w:hint="eastAsia" w:ascii="方正仿宋_GB2312" w:hAnsi="方正仿宋_GB2312" w:eastAsia="方正仿宋_GB2312" w:cs="方正仿宋_GB2312"/>
          <w:color w:val="auto"/>
          <w:sz w:val="36"/>
          <w:szCs w:val="36"/>
        </w:rPr>
        <w:t>编制日期：</w:t>
      </w:r>
      <w:r>
        <w:rPr>
          <w:rFonts w:hint="eastAsia" w:ascii="方正仿宋_GB2312" w:hAnsi="方正仿宋_GB2312" w:eastAsia="方正仿宋_GB2312" w:cs="方正仿宋_GB2312"/>
          <w:color w:val="auto"/>
          <w:sz w:val="36"/>
          <w:szCs w:val="36"/>
          <w:u w:val="single"/>
        </w:rPr>
        <w:t xml:space="preserve"> </w:t>
      </w:r>
      <w:r>
        <w:rPr>
          <w:rFonts w:hint="eastAsia" w:ascii="方正仿宋_GB2312" w:hAnsi="方正仿宋_GB2312" w:eastAsia="方正仿宋_GB2312" w:cs="方正仿宋_GB2312"/>
          <w:color w:val="auto"/>
          <w:sz w:val="36"/>
          <w:szCs w:val="36"/>
          <w:u w:val="single"/>
          <w:lang w:val="en-US" w:eastAsia="zh-CN"/>
        </w:rPr>
        <w:t xml:space="preserve">        </w:t>
      </w:r>
      <w:r>
        <w:rPr>
          <w:rFonts w:hint="eastAsia" w:ascii="方正仿宋_GB2312" w:hAnsi="方正仿宋_GB2312" w:eastAsia="方正仿宋_GB2312" w:cs="方正仿宋_GB2312"/>
          <w:color w:val="auto"/>
          <w:spacing w:val="-11"/>
          <w:sz w:val="36"/>
          <w:szCs w:val="36"/>
          <w:u w:val="single"/>
          <w:lang w:val="en-US" w:eastAsia="zh-CN"/>
        </w:rPr>
        <w:t xml:space="preserve">二〇二六年十月 </w:t>
      </w:r>
      <w:r>
        <w:rPr>
          <w:rFonts w:hint="eastAsia" w:ascii="方正仿宋_GB2312" w:hAnsi="方正仿宋_GB2312" w:eastAsia="方正仿宋_GB2312" w:cs="方正仿宋_GB2312"/>
          <w:color w:val="auto"/>
          <w:sz w:val="36"/>
          <w:szCs w:val="36"/>
          <w:u w:val="single"/>
          <w:lang w:val="en-US" w:eastAsia="zh-CN"/>
        </w:rPr>
        <w:t xml:space="preserve">             </w:t>
      </w:r>
      <w:r>
        <w:rPr>
          <w:rFonts w:hint="eastAsia" w:ascii="方正仿宋_GB2312" w:hAnsi="方正仿宋_GB2312" w:eastAsia="方正仿宋_GB2312" w:cs="方正仿宋_GB2312"/>
          <w:color w:val="auto"/>
          <w:sz w:val="36"/>
          <w:szCs w:val="36"/>
          <w:u w:val="single"/>
        </w:rPr>
        <w:t xml:space="preserve"> </w:t>
      </w:r>
    </w:p>
    <w:p w14:paraId="50B411C8">
      <w:pPr>
        <w:spacing w:line="240" w:lineRule="auto"/>
        <w:ind w:firstLine="1040"/>
        <w:rPr>
          <w:rFonts w:ascii="Times New Roman" w:hAnsi="Times New Roman" w:eastAsia="仿宋" w:cs="Times New Roman"/>
          <w:color w:val="auto"/>
          <w:sz w:val="44"/>
          <w:szCs w:val="44"/>
        </w:rPr>
      </w:pPr>
    </w:p>
    <w:p w14:paraId="7BA956C3">
      <w:pPr>
        <w:adjustRightInd w:val="0"/>
        <w:snapToGrid w:val="0"/>
        <w:spacing w:line="240" w:lineRule="auto"/>
        <w:ind w:firstLine="1040"/>
        <w:rPr>
          <w:rFonts w:ascii="Times New Roman" w:hAnsi="Times New Roman" w:eastAsia="仿宋_GB2312" w:cs="Times New Roman"/>
          <w:color w:val="auto"/>
          <w:sz w:val="36"/>
          <w:szCs w:val="36"/>
        </w:rPr>
      </w:pPr>
    </w:p>
    <w:p w14:paraId="7DA67FF0">
      <w:pPr>
        <w:pStyle w:val="4"/>
        <w:rPr>
          <w:color w:val="auto"/>
        </w:rPr>
      </w:pPr>
    </w:p>
    <w:p w14:paraId="73FED6D0">
      <w:pPr>
        <w:adjustRightInd w:val="0"/>
        <w:snapToGrid w:val="0"/>
        <w:spacing w:line="240" w:lineRule="auto"/>
        <w:ind w:firstLine="1040"/>
        <w:rPr>
          <w:rFonts w:ascii="Times New Roman" w:hAnsi="Times New Roman" w:eastAsia="仿宋_GB2312" w:cs="Times New Roman"/>
          <w:color w:val="auto"/>
          <w:sz w:val="36"/>
          <w:szCs w:val="36"/>
        </w:rPr>
      </w:pPr>
    </w:p>
    <w:p w14:paraId="4955C07E">
      <w:pPr>
        <w:pageBreakBefore w:val="0"/>
        <w:kinsoku/>
        <w:bidi w:val="0"/>
        <w:spacing w:beforeAutospacing="0" w:afterAutospacing="0" w:line="360" w:lineRule="auto"/>
        <w:ind w:right="0" w:rightChars="0"/>
        <w:jc w:val="center"/>
        <w:rPr>
          <w:rFonts w:hint="default" w:ascii="Times New Roman" w:hAnsi="Times New Roman" w:cs="Times New Roman" w:eastAsiaTheme="minorEastAsia"/>
          <w:b/>
          <w:bCs/>
          <w:color w:val="auto"/>
          <w:sz w:val="56"/>
          <w:szCs w:val="56"/>
        </w:rPr>
      </w:pPr>
      <w:r>
        <w:rPr>
          <w:rFonts w:hint="eastAsia" w:ascii="方正楷体_GB2312" w:hAnsi="方正楷体_GB2312" w:eastAsia="方正楷体_GB2312" w:cs="方正楷体_GB2312"/>
          <w:b w:val="0"/>
          <w:bCs w:val="0"/>
          <w:color w:val="auto"/>
          <w:sz w:val="36"/>
          <w:szCs w:val="36"/>
        </w:rPr>
        <w:t>中华人民共和国生态环境部制</w:t>
      </w:r>
    </w:p>
    <w:p w14:paraId="7469F2B4">
      <w:pPr>
        <w:pStyle w:val="2"/>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rPr>
      </w:pPr>
    </w:p>
    <w:p w14:paraId="33439E35">
      <w:pPr>
        <w:rPr>
          <w:rFonts w:hint="default" w:ascii="Times New Roman" w:hAnsi="Times New Roman" w:cs="Times New Roman" w:eastAsiaTheme="minorEastAsia"/>
          <w:color w:val="auto"/>
        </w:rPr>
      </w:pPr>
    </w:p>
    <w:p w14:paraId="0947DDD6">
      <w:pPr>
        <w:rPr>
          <w:rFonts w:hint="default" w:ascii="Times New Roman" w:hAnsi="Times New Roman" w:cs="Times New Roman" w:eastAsiaTheme="minorEastAsia"/>
          <w:color w:val="auto"/>
        </w:rPr>
        <w:sectPr>
          <w:footerReference r:id="rId3" w:type="default"/>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p>
    <w:p w14:paraId="5C72C80A">
      <w:pPr>
        <w:pStyle w:val="25"/>
        <w:rPr>
          <w:rFonts w:hint="default"/>
          <w:color w:val="auto"/>
        </w:rPr>
        <w:sectPr>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r>
        <w:rPr>
          <w:color w:val="auto"/>
        </w:rPr>
        <w:drawing>
          <wp:anchor distT="0" distB="0" distL="114300" distR="114300" simplePos="0" relativeHeight="251659264" behindDoc="0" locked="0" layoutInCell="1" allowOverlap="1">
            <wp:simplePos x="0" y="0"/>
            <wp:positionH relativeFrom="column">
              <wp:posOffset>-931545</wp:posOffset>
            </wp:positionH>
            <wp:positionV relativeFrom="paragraph">
              <wp:posOffset>-1032510</wp:posOffset>
            </wp:positionV>
            <wp:extent cx="7501255" cy="10613390"/>
            <wp:effectExtent l="0" t="0" r="4445" b="1651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lum bright="-6000" contrast="12000"/>
                    </a:blip>
                    <a:stretch>
                      <a:fillRect/>
                    </a:stretch>
                  </pic:blipFill>
                  <pic:spPr>
                    <a:xfrm>
                      <a:off x="0" y="0"/>
                      <a:ext cx="7501255" cy="10613390"/>
                    </a:xfrm>
                    <a:prstGeom prst="rect">
                      <a:avLst/>
                    </a:prstGeom>
                    <a:noFill/>
                    <a:ln>
                      <a:noFill/>
                    </a:ln>
                  </pic:spPr>
                </pic:pic>
              </a:graphicData>
            </a:graphic>
          </wp:anchor>
        </w:drawing>
      </w:r>
    </w:p>
    <w:p w14:paraId="056375F0">
      <w:pPr>
        <w:rPr>
          <w:rFonts w:hint="default" w:ascii="Times New Roman" w:hAnsi="Times New Roman" w:cs="Times New Roman" w:eastAsiaTheme="minorEastAsia"/>
          <w:color w:val="auto"/>
        </w:rPr>
        <w:sectPr>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r>
        <w:rPr>
          <w:color w:val="auto"/>
        </w:rPr>
        <w:drawing>
          <wp:anchor distT="0" distB="0" distL="114300" distR="114300" simplePos="0" relativeHeight="251661312" behindDoc="0" locked="0" layoutInCell="1" allowOverlap="1">
            <wp:simplePos x="0" y="0"/>
            <wp:positionH relativeFrom="column">
              <wp:posOffset>-951230</wp:posOffset>
            </wp:positionH>
            <wp:positionV relativeFrom="paragraph">
              <wp:posOffset>-1075055</wp:posOffset>
            </wp:positionV>
            <wp:extent cx="7512685" cy="10629265"/>
            <wp:effectExtent l="0" t="0" r="12065" b="635"/>
            <wp:wrapNone/>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9">
                      <a:lum bright="-6000" contrast="18000"/>
                    </a:blip>
                    <a:stretch>
                      <a:fillRect/>
                    </a:stretch>
                  </pic:blipFill>
                  <pic:spPr>
                    <a:xfrm>
                      <a:off x="0" y="0"/>
                      <a:ext cx="7512685" cy="10629265"/>
                    </a:xfrm>
                    <a:prstGeom prst="rect">
                      <a:avLst/>
                    </a:prstGeom>
                    <a:noFill/>
                    <a:ln>
                      <a:noFill/>
                    </a:ln>
                  </pic:spPr>
                </pic:pic>
              </a:graphicData>
            </a:graphic>
          </wp:anchor>
        </w:drawing>
      </w:r>
    </w:p>
    <w:p w14:paraId="0109748A">
      <w:pPr>
        <w:pStyle w:val="27"/>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jc w:val="center"/>
        <w:textAlignment w:val="auto"/>
        <w:outlineLvl w:val="0"/>
        <w:rPr>
          <w:rFonts w:hint="default" w:ascii="Times New Roman" w:hAnsi="Times New Roman" w:cs="Times New Roman" w:eastAsiaTheme="minorEastAsia"/>
          <w:b/>
          <w:bCs/>
          <w:snapToGrid w:val="0"/>
          <w:color w:val="auto"/>
          <w:sz w:val="30"/>
          <w:szCs w:val="30"/>
        </w:rPr>
      </w:pPr>
      <w:r>
        <w:rPr>
          <w:rFonts w:hint="default" w:ascii="Times New Roman" w:hAnsi="Times New Roman" w:cs="Times New Roman" w:eastAsiaTheme="minorEastAsia"/>
          <w:b/>
          <w:bCs/>
          <w:snapToGrid w:val="0"/>
          <w:color w:val="auto"/>
          <w:sz w:val="30"/>
          <w:szCs w:val="30"/>
        </w:rPr>
        <w:t>一、建设项目基本情况</w: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849"/>
        <w:gridCol w:w="2040"/>
        <w:gridCol w:w="2050"/>
        <w:gridCol w:w="2931"/>
      </w:tblGrid>
      <w:tr w14:paraId="714BC2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49" w:type="dxa"/>
            <w:noWrap w:val="0"/>
            <w:tcMar>
              <w:top w:w="16" w:type="dxa"/>
              <w:left w:w="16" w:type="dxa"/>
              <w:right w:w="16" w:type="dxa"/>
            </w:tcMar>
            <w:vAlign w:val="center"/>
          </w:tcPr>
          <w:p w14:paraId="079F5387">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建设项目名称</w:t>
            </w:r>
          </w:p>
        </w:tc>
        <w:tc>
          <w:tcPr>
            <w:tcW w:w="7021" w:type="dxa"/>
            <w:gridSpan w:val="3"/>
            <w:noWrap w:val="0"/>
            <w:vAlign w:val="center"/>
          </w:tcPr>
          <w:p w14:paraId="07D23EDB">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昌吉职业技术学院危废贮存库建设项目</w:t>
            </w:r>
          </w:p>
        </w:tc>
      </w:tr>
      <w:tr w14:paraId="08074D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49" w:type="dxa"/>
            <w:noWrap w:val="0"/>
            <w:tcMar>
              <w:top w:w="16" w:type="dxa"/>
              <w:left w:w="16" w:type="dxa"/>
              <w:right w:w="16" w:type="dxa"/>
            </w:tcMar>
            <w:vAlign w:val="center"/>
          </w:tcPr>
          <w:p w14:paraId="01EF1BD3">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项目代码</w:t>
            </w:r>
          </w:p>
        </w:tc>
        <w:tc>
          <w:tcPr>
            <w:tcW w:w="7021" w:type="dxa"/>
            <w:gridSpan w:val="3"/>
            <w:noWrap w:val="0"/>
            <w:vAlign w:val="center"/>
          </w:tcPr>
          <w:p w14:paraId="3FC5DEF9">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w:t>
            </w:r>
          </w:p>
        </w:tc>
      </w:tr>
      <w:tr w14:paraId="5203FA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49" w:type="dxa"/>
            <w:noWrap w:val="0"/>
            <w:tcMar>
              <w:top w:w="16" w:type="dxa"/>
              <w:left w:w="16" w:type="dxa"/>
              <w:right w:w="16" w:type="dxa"/>
            </w:tcMar>
            <w:vAlign w:val="center"/>
          </w:tcPr>
          <w:p w14:paraId="702405EA">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建设单位联系人</w:t>
            </w:r>
          </w:p>
        </w:tc>
        <w:tc>
          <w:tcPr>
            <w:tcW w:w="2040" w:type="dxa"/>
            <w:noWrap w:val="0"/>
            <w:vAlign w:val="center"/>
          </w:tcPr>
          <w:p w14:paraId="62A9641B">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苏晓丹</w:t>
            </w:r>
          </w:p>
        </w:tc>
        <w:tc>
          <w:tcPr>
            <w:tcW w:w="2050" w:type="dxa"/>
            <w:noWrap w:val="0"/>
            <w:vAlign w:val="center"/>
          </w:tcPr>
          <w:p w14:paraId="2B697A96">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联系方式</w:t>
            </w:r>
          </w:p>
        </w:tc>
        <w:tc>
          <w:tcPr>
            <w:tcW w:w="2931" w:type="dxa"/>
            <w:noWrap w:val="0"/>
            <w:vAlign w:val="center"/>
          </w:tcPr>
          <w:p w14:paraId="4C238FCC">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lang w:val="en-US"/>
              </w:rPr>
            </w:pPr>
            <w:r>
              <w:rPr>
                <w:rFonts w:hint="default" w:ascii="Times New Roman" w:hAnsi="Times New Roman" w:cs="Times New Roman" w:eastAsiaTheme="minorEastAsia"/>
                <w:color w:val="auto"/>
                <w:sz w:val="24"/>
                <w:szCs w:val="24"/>
                <w:lang w:val="en-US"/>
              </w:rPr>
              <w:t>17799250707</w:t>
            </w:r>
          </w:p>
        </w:tc>
      </w:tr>
      <w:tr w14:paraId="575034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49" w:type="dxa"/>
            <w:noWrap w:val="0"/>
            <w:tcMar>
              <w:top w:w="16" w:type="dxa"/>
              <w:left w:w="16" w:type="dxa"/>
              <w:right w:w="16" w:type="dxa"/>
            </w:tcMar>
            <w:vAlign w:val="center"/>
          </w:tcPr>
          <w:p w14:paraId="5FB9C242">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建设地点</w:t>
            </w:r>
          </w:p>
        </w:tc>
        <w:tc>
          <w:tcPr>
            <w:tcW w:w="7021" w:type="dxa"/>
            <w:gridSpan w:val="3"/>
            <w:noWrap w:val="0"/>
            <w:vAlign w:val="center"/>
          </w:tcPr>
          <w:p w14:paraId="61AA32FB">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新疆维吾尔自治区昌吉回族自治州昌吉高新技术产业开发区兴业大道8号昌吉职业技术学院</w:t>
            </w:r>
            <w:r>
              <w:rPr>
                <w:rFonts w:hint="eastAsia" w:cs="Times New Roman" w:eastAsiaTheme="minorEastAsia"/>
                <w:color w:val="auto"/>
                <w:sz w:val="24"/>
                <w:szCs w:val="24"/>
                <w:lang w:val="en-US" w:eastAsia="zh-CN"/>
              </w:rPr>
              <w:t>一号教学楼B段</w:t>
            </w:r>
            <w:r>
              <w:rPr>
                <w:rFonts w:hint="default" w:ascii="Times New Roman" w:hAnsi="Times New Roman" w:cs="Times New Roman" w:eastAsiaTheme="minorEastAsia"/>
                <w:snapToGrid w:val="0"/>
                <w:color w:val="auto"/>
                <w:kern w:val="0"/>
                <w:sz w:val="24"/>
                <w:lang w:val="en-US" w:eastAsia="zh-CN"/>
              </w:rPr>
              <w:t>西侧</w:t>
            </w:r>
          </w:p>
        </w:tc>
      </w:tr>
      <w:tr w14:paraId="6D890E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49" w:type="dxa"/>
            <w:noWrap w:val="0"/>
            <w:tcMar>
              <w:top w:w="16" w:type="dxa"/>
              <w:left w:w="16" w:type="dxa"/>
              <w:right w:w="16" w:type="dxa"/>
            </w:tcMar>
            <w:vAlign w:val="center"/>
          </w:tcPr>
          <w:p w14:paraId="6D4D253E">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地理坐标</w:t>
            </w:r>
          </w:p>
        </w:tc>
        <w:tc>
          <w:tcPr>
            <w:tcW w:w="7021" w:type="dxa"/>
            <w:gridSpan w:val="3"/>
            <w:noWrap w:val="0"/>
            <w:vAlign w:val="center"/>
          </w:tcPr>
          <w:p w14:paraId="1BA08442">
            <w:pPr>
              <w:keepNext w:val="0"/>
              <w:keepLines w:val="0"/>
              <w:pageBreakBefore w:val="0"/>
              <w:kinsoku/>
              <w:wordWrap/>
              <w:overflowPunct/>
              <w:topLinePunct w:val="0"/>
              <w:bidi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w:t>
            </w:r>
            <w:r>
              <w:rPr>
                <w:rFonts w:hint="default" w:ascii="Times New Roman" w:hAnsi="Times New Roman" w:cs="Times New Roman" w:eastAsiaTheme="minorEastAsia"/>
                <w:color w:val="auto"/>
                <w:kern w:val="0"/>
                <w:sz w:val="24"/>
                <w:highlight w:val="none"/>
              </w:rPr>
              <w:t>东经</w:t>
            </w:r>
            <w:r>
              <w:rPr>
                <w:rFonts w:hint="default" w:ascii="Times New Roman" w:hAnsi="Times New Roman" w:cs="Times New Roman" w:eastAsiaTheme="minorEastAsia"/>
                <w:color w:val="auto"/>
                <w:sz w:val="24"/>
                <w:u w:val="single"/>
              </w:rPr>
              <w:t>87</w:t>
            </w:r>
            <w:r>
              <w:rPr>
                <w:rFonts w:hint="default" w:ascii="Times New Roman" w:hAnsi="Times New Roman" w:cs="Times New Roman" w:eastAsiaTheme="minorEastAsia"/>
                <w:color w:val="auto"/>
                <w:kern w:val="0"/>
                <w:sz w:val="24"/>
                <w:highlight w:val="none"/>
              </w:rPr>
              <w:t>度</w:t>
            </w:r>
            <w:r>
              <w:rPr>
                <w:rFonts w:hint="default" w:ascii="Times New Roman" w:hAnsi="Times New Roman" w:cs="Times New Roman" w:eastAsiaTheme="minorEastAsia"/>
                <w:color w:val="auto"/>
                <w:sz w:val="24"/>
                <w:u w:val="single"/>
                <w:lang w:val="en-US" w:eastAsia="zh-CN"/>
              </w:rPr>
              <w:t>03</w:t>
            </w:r>
            <w:r>
              <w:rPr>
                <w:rFonts w:hint="default" w:ascii="Times New Roman" w:hAnsi="Times New Roman" w:cs="Times New Roman" w:eastAsiaTheme="minorEastAsia"/>
                <w:color w:val="auto"/>
                <w:kern w:val="0"/>
                <w:sz w:val="24"/>
                <w:highlight w:val="none"/>
              </w:rPr>
              <w:t>分</w:t>
            </w:r>
            <w:r>
              <w:rPr>
                <w:rFonts w:hint="default" w:ascii="Times New Roman" w:hAnsi="Times New Roman" w:cs="Times New Roman" w:eastAsiaTheme="minorEastAsia"/>
                <w:color w:val="auto"/>
                <w:kern w:val="0"/>
                <w:sz w:val="24"/>
                <w:highlight w:val="none"/>
                <w:u w:val="single"/>
                <w:lang w:val="en-US" w:eastAsia="zh-CN"/>
              </w:rPr>
              <w:t>20.576</w:t>
            </w:r>
            <w:r>
              <w:rPr>
                <w:rFonts w:hint="default" w:ascii="Times New Roman" w:hAnsi="Times New Roman" w:cs="Times New Roman" w:eastAsiaTheme="minorEastAsia"/>
                <w:color w:val="auto"/>
                <w:kern w:val="0"/>
                <w:sz w:val="24"/>
                <w:highlight w:val="none"/>
              </w:rPr>
              <w:t>秒，北纬</w:t>
            </w:r>
            <w:r>
              <w:rPr>
                <w:rFonts w:hint="default" w:ascii="Times New Roman" w:hAnsi="Times New Roman" w:cs="Times New Roman" w:eastAsiaTheme="minorEastAsia"/>
                <w:color w:val="auto"/>
                <w:kern w:val="0"/>
                <w:sz w:val="24"/>
                <w:highlight w:val="none"/>
                <w:u w:val="single"/>
              </w:rPr>
              <w:t>4</w:t>
            </w:r>
            <w:r>
              <w:rPr>
                <w:rFonts w:hint="default" w:ascii="Times New Roman" w:hAnsi="Times New Roman" w:cs="Times New Roman" w:eastAsiaTheme="minorEastAsia"/>
                <w:color w:val="auto"/>
                <w:kern w:val="0"/>
                <w:sz w:val="24"/>
                <w:highlight w:val="none"/>
                <w:u w:val="single"/>
                <w:lang w:val="en-US" w:eastAsia="zh-CN"/>
              </w:rPr>
              <w:t>4</w:t>
            </w:r>
            <w:r>
              <w:rPr>
                <w:rFonts w:hint="default" w:ascii="Times New Roman" w:hAnsi="Times New Roman" w:cs="Times New Roman" w:eastAsiaTheme="minorEastAsia"/>
                <w:color w:val="auto"/>
                <w:kern w:val="0"/>
                <w:sz w:val="24"/>
                <w:highlight w:val="none"/>
              </w:rPr>
              <w:t>度</w:t>
            </w:r>
            <w:r>
              <w:rPr>
                <w:rFonts w:hint="default" w:ascii="Times New Roman" w:hAnsi="Times New Roman" w:cs="Times New Roman" w:eastAsiaTheme="minorEastAsia"/>
                <w:color w:val="auto"/>
                <w:kern w:val="0"/>
                <w:sz w:val="24"/>
                <w:highlight w:val="none"/>
                <w:u w:val="single"/>
                <w:lang w:val="en-US" w:eastAsia="zh-CN"/>
              </w:rPr>
              <w:t>05</w:t>
            </w:r>
            <w:r>
              <w:rPr>
                <w:rFonts w:hint="default" w:ascii="Times New Roman" w:hAnsi="Times New Roman" w:cs="Times New Roman" w:eastAsiaTheme="minorEastAsia"/>
                <w:color w:val="auto"/>
                <w:kern w:val="0"/>
                <w:sz w:val="24"/>
                <w:highlight w:val="none"/>
              </w:rPr>
              <w:t>分</w:t>
            </w:r>
            <w:r>
              <w:rPr>
                <w:rFonts w:hint="default" w:ascii="Times New Roman" w:hAnsi="Times New Roman" w:cs="Times New Roman" w:eastAsiaTheme="minorEastAsia"/>
                <w:color w:val="auto"/>
                <w:kern w:val="0"/>
                <w:sz w:val="24"/>
                <w:highlight w:val="none"/>
                <w:u w:val="single"/>
                <w:lang w:val="en-US" w:eastAsia="zh-CN"/>
              </w:rPr>
              <w:t>21.057</w:t>
            </w:r>
            <w:r>
              <w:rPr>
                <w:rFonts w:hint="default" w:ascii="Times New Roman" w:hAnsi="Times New Roman" w:cs="Times New Roman" w:eastAsiaTheme="minorEastAsia"/>
                <w:color w:val="auto"/>
                <w:kern w:val="0"/>
                <w:sz w:val="24"/>
                <w:highlight w:val="none"/>
              </w:rPr>
              <w:t>秒）</w:t>
            </w:r>
          </w:p>
        </w:tc>
      </w:tr>
      <w:tr w14:paraId="30C20D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849" w:type="dxa"/>
            <w:noWrap w:val="0"/>
            <w:tcMar>
              <w:top w:w="16" w:type="dxa"/>
              <w:left w:w="16" w:type="dxa"/>
              <w:right w:w="16" w:type="dxa"/>
            </w:tcMar>
            <w:vAlign w:val="center"/>
          </w:tcPr>
          <w:p w14:paraId="4A297207">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国民经济</w:t>
            </w:r>
          </w:p>
          <w:p w14:paraId="271E22F6">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行业类别</w:t>
            </w:r>
          </w:p>
        </w:tc>
        <w:tc>
          <w:tcPr>
            <w:tcW w:w="2040" w:type="dxa"/>
            <w:noWrap w:val="0"/>
            <w:vAlign w:val="center"/>
          </w:tcPr>
          <w:p w14:paraId="27427E3C">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N7724 危险废物治理</w:t>
            </w:r>
          </w:p>
        </w:tc>
        <w:tc>
          <w:tcPr>
            <w:tcW w:w="2050" w:type="dxa"/>
            <w:noWrap w:val="0"/>
            <w:vAlign w:val="center"/>
          </w:tcPr>
          <w:p w14:paraId="2CE6917A">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bookmarkStart w:id="0" w:name="_Hlk49843745"/>
            <w:r>
              <w:rPr>
                <w:rFonts w:hint="default" w:ascii="Times New Roman" w:hAnsi="Times New Roman" w:cs="Times New Roman" w:eastAsiaTheme="minorEastAsia"/>
                <w:color w:val="auto"/>
                <w:sz w:val="24"/>
                <w:szCs w:val="24"/>
              </w:rPr>
              <w:t>建设项目</w:t>
            </w:r>
          </w:p>
          <w:p w14:paraId="11AF6688">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行业类别</w:t>
            </w:r>
            <w:bookmarkEnd w:id="0"/>
          </w:p>
        </w:tc>
        <w:tc>
          <w:tcPr>
            <w:tcW w:w="2931" w:type="dxa"/>
            <w:noWrap w:val="0"/>
            <w:vAlign w:val="center"/>
          </w:tcPr>
          <w:p w14:paraId="36539FD0">
            <w:pPr>
              <w:keepNext w:val="0"/>
              <w:keepLines w:val="0"/>
              <w:pageBreakBefore w:val="0"/>
              <w:widowControl/>
              <w:suppressLineNumbers w:val="0"/>
              <w:kinsoku/>
              <w:wordWrap/>
              <w:overflowPunct/>
              <w:topLinePunct w:val="0"/>
              <w:bidi w:val="0"/>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pacing w:val="0"/>
                <w:kern w:val="21"/>
                <w:sz w:val="24"/>
                <w:szCs w:val="24"/>
                <w:lang w:val="en-US" w:eastAsia="zh-CN"/>
              </w:rPr>
            </w:pPr>
            <w:r>
              <w:rPr>
                <w:rFonts w:hint="default" w:ascii="Times New Roman" w:hAnsi="Times New Roman" w:cs="Times New Roman" w:eastAsiaTheme="minorEastAsia"/>
                <w:color w:val="auto"/>
                <w:spacing w:val="0"/>
                <w:kern w:val="21"/>
                <w:sz w:val="24"/>
                <w:szCs w:val="24"/>
                <w:lang w:val="en-US" w:eastAsia="zh-CN"/>
              </w:rPr>
              <w:t>四十七、生态保护和环境治理业-101危险废物（不含医疗废物）利用及处置中的其他</w:t>
            </w:r>
          </w:p>
        </w:tc>
      </w:tr>
      <w:tr w14:paraId="205944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849" w:type="dxa"/>
            <w:noWrap w:val="0"/>
            <w:tcMar>
              <w:top w:w="16" w:type="dxa"/>
              <w:left w:w="16" w:type="dxa"/>
              <w:right w:w="16" w:type="dxa"/>
            </w:tcMar>
            <w:vAlign w:val="center"/>
          </w:tcPr>
          <w:p w14:paraId="3BD0110C">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建设性质</w:t>
            </w:r>
          </w:p>
        </w:tc>
        <w:tc>
          <w:tcPr>
            <w:tcW w:w="2040" w:type="dxa"/>
            <w:noWrap w:val="0"/>
            <w:vAlign w:val="center"/>
          </w:tcPr>
          <w:p w14:paraId="1D051341">
            <w:pPr>
              <w:keepNext w:val="0"/>
              <w:keepLines w:val="0"/>
              <w:pageBreakBefore w:val="0"/>
              <w:kinsoku/>
              <w:wordWrap/>
              <w:overflowPunct/>
              <w:topLinePunct w:val="0"/>
              <w:bidi w:val="0"/>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新建（迁建）</w:t>
            </w:r>
          </w:p>
          <w:p w14:paraId="20952393">
            <w:pPr>
              <w:keepNext w:val="0"/>
              <w:keepLines w:val="0"/>
              <w:pageBreakBefore w:val="0"/>
              <w:kinsoku/>
              <w:wordWrap/>
              <w:overflowPunct/>
              <w:topLinePunct w:val="0"/>
              <w:bidi w:val="0"/>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sym w:font="Wingdings 2" w:char="00A3"/>
            </w:r>
            <w:r>
              <w:rPr>
                <w:rFonts w:hint="default" w:ascii="Times New Roman" w:hAnsi="Times New Roman" w:cs="Times New Roman" w:eastAsiaTheme="minorEastAsia"/>
                <w:color w:val="auto"/>
                <w:sz w:val="24"/>
                <w:szCs w:val="24"/>
              </w:rPr>
              <w:t>改建</w:t>
            </w:r>
          </w:p>
          <w:p w14:paraId="3DFFC6D1">
            <w:pPr>
              <w:keepNext w:val="0"/>
              <w:keepLines w:val="0"/>
              <w:pageBreakBefore w:val="0"/>
              <w:kinsoku/>
              <w:wordWrap/>
              <w:overflowPunct/>
              <w:topLinePunct w:val="0"/>
              <w:bidi w:val="0"/>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sym w:font="Wingdings 2" w:char="00A3"/>
            </w:r>
            <w:r>
              <w:rPr>
                <w:rFonts w:hint="default" w:ascii="Times New Roman" w:hAnsi="Times New Roman" w:cs="Times New Roman" w:eastAsiaTheme="minorEastAsia"/>
                <w:color w:val="auto"/>
                <w:sz w:val="24"/>
                <w:szCs w:val="24"/>
              </w:rPr>
              <w:t>扩建</w:t>
            </w:r>
          </w:p>
          <w:p w14:paraId="7ACC37F9">
            <w:pPr>
              <w:keepNext w:val="0"/>
              <w:keepLines w:val="0"/>
              <w:pageBreakBefore w:val="0"/>
              <w:kinsoku/>
              <w:wordWrap/>
              <w:overflowPunct/>
              <w:topLinePunct w:val="0"/>
              <w:bidi w:val="0"/>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sym w:font="Wingdings 2" w:char="00A3"/>
            </w:r>
            <w:r>
              <w:rPr>
                <w:rFonts w:hint="default" w:ascii="Times New Roman" w:hAnsi="Times New Roman" w:cs="Times New Roman" w:eastAsiaTheme="minorEastAsia"/>
                <w:color w:val="auto"/>
                <w:sz w:val="24"/>
                <w:szCs w:val="24"/>
              </w:rPr>
              <w:t>技术改造</w:t>
            </w:r>
          </w:p>
        </w:tc>
        <w:tc>
          <w:tcPr>
            <w:tcW w:w="2050" w:type="dxa"/>
            <w:noWrap w:val="0"/>
            <w:vAlign w:val="center"/>
          </w:tcPr>
          <w:p w14:paraId="5D56DDFF">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建设项目</w:t>
            </w:r>
          </w:p>
          <w:p w14:paraId="780E5570">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申报情形</w:t>
            </w:r>
          </w:p>
        </w:tc>
        <w:tc>
          <w:tcPr>
            <w:tcW w:w="2931" w:type="dxa"/>
            <w:noWrap w:val="0"/>
            <w:vAlign w:val="center"/>
          </w:tcPr>
          <w:p w14:paraId="1FCF7243">
            <w:pPr>
              <w:keepNext w:val="0"/>
              <w:keepLines w:val="0"/>
              <w:pageBreakBefore w:val="0"/>
              <w:kinsoku/>
              <w:wordWrap/>
              <w:overflowPunct/>
              <w:topLinePunct w:val="0"/>
              <w:bidi w:val="0"/>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 xml:space="preserve">首次申报项目             </w:t>
            </w:r>
          </w:p>
          <w:p w14:paraId="24D71B83">
            <w:pPr>
              <w:keepNext w:val="0"/>
              <w:keepLines w:val="0"/>
              <w:pageBreakBefore w:val="0"/>
              <w:kinsoku/>
              <w:wordWrap/>
              <w:overflowPunct/>
              <w:topLinePunct w:val="0"/>
              <w:bidi w:val="0"/>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sym w:font="Wingdings 2" w:char="00A3"/>
            </w:r>
            <w:r>
              <w:rPr>
                <w:rFonts w:hint="default" w:ascii="Times New Roman" w:hAnsi="Times New Roman" w:cs="Times New Roman" w:eastAsiaTheme="minorEastAsia"/>
                <w:color w:val="auto"/>
                <w:sz w:val="24"/>
                <w:szCs w:val="24"/>
              </w:rPr>
              <w:t>不予批准后再次申报项目</w:t>
            </w:r>
          </w:p>
          <w:p w14:paraId="03900979">
            <w:pPr>
              <w:keepNext w:val="0"/>
              <w:keepLines w:val="0"/>
              <w:pageBreakBefore w:val="0"/>
              <w:kinsoku/>
              <w:wordWrap/>
              <w:overflowPunct/>
              <w:topLinePunct w:val="0"/>
              <w:bidi w:val="0"/>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sym w:font="Wingdings 2" w:char="00A3"/>
            </w:r>
            <w:r>
              <w:rPr>
                <w:rFonts w:hint="default" w:ascii="Times New Roman" w:hAnsi="Times New Roman" w:cs="Times New Roman" w:eastAsiaTheme="minorEastAsia"/>
                <w:color w:val="auto"/>
                <w:sz w:val="24"/>
                <w:szCs w:val="24"/>
              </w:rPr>
              <w:t xml:space="preserve">超五年重新审核项目     </w:t>
            </w:r>
          </w:p>
          <w:p w14:paraId="4D118597">
            <w:pPr>
              <w:keepNext w:val="0"/>
              <w:keepLines w:val="0"/>
              <w:pageBreakBefore w:val="0"/>
              <w:kinsoku/>
              <w:wordWrap/>
              <w:overflowPunct/>
              <w:topLinePunct w:val="0"/>
              <w:bidi w:val="0"/>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sym w:font="Wingdings 2" w:char="00A3"/>
            </w:r>
            <w:r>
              <w:rPr>
                <w:rFonts w:hint="default" w:ascii="Times New Roman" w:hAnsi="Times New Roman" w:cs="Times New Roman" w:eastAsiaTheme="minorEastAsia"/>
                <w:color w:val="auto"/>
                <w:sz w:val="24"/>
                <w:szCs w:val="24"/>
              </w:rPr>
              <w:t>重大变动重新报批项目</w:t>
            </w:r>
          </w:p>
        </w:tc>
      </w:tr>
      <w:tr w14:paraId="009379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849" w:type="dxa"/>
            <w:noWrap w:val="0"/>
            <w:tcMar>
              <w:top w:w="16" w:type="dxa"/>
              <w:left w:w="16" w:type="dxa"/>
              <w:right w:w="16" w:type="dxa"/>
            </w:tcMar>
            <w:vAlign w:val="center"/>
          </w:tcPr>
          <w:p w14:paraId="09DE49A8">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项目审批（核准/</w:t>
            </w:r>
          </w:p>
          <w:p w14:paraId="3631ACA3">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备案）部门（选填）</w:t>
            </w:r>
          </w:p>
        </w:tc>
        <w:tc>
          <w:tcPr>
            <w:tcW w:w="2040" w:type="dxa"/>
            <w:noWrap w:val="0"/>
            <w:vAlign w:val="center"/>
          </w:tcPr>
          <w:p w14:paraId="0F6E2EFB">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lang w:val="en-US" w:eastAsia="zh-CN"/>
              </w:rPr>
              <w:t>/</w:t>
            </w:r>
          </w:p>
        </w:tc>
        <w:tc>
          <w:tcPr>
            <w:tcW w:w="2050" w:type="dxa"/>
            <w:noWrap w:val="0"/>
            <w:vAlign w:val="center"/>
          </w:tcPr>
          <w:p w14:paraId="7245A63A">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项目审批（核准/</w:t>
            </w:r>
          </w:p>
          <w:p w14:paraId="4D24ECB8">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备案）文号（选填）</w:t>
            </w:r>
          </w:p>
        </w:tc>
        <w:tc>
          <w:tcPr>
            <w:tcW w:w="2931" w:type="dxa"/>
            <w:noWrap w:val="0"/>
            <w:vAlign w:val="center"/>
          </w:tcPr>
          <w:p w14:paraId="44D811D0">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w:t>
            </w:r>
          </w:p>
        </w:tc>
      </w:tr>
      <w:tr w14:paraId="4C20F9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78" w:hRule="atLeast"/>
          <w:jc w:val="center"/>
        </w:trPr>
        <w:tc>
          <w:tcPr>
            <w:tcW w:w="1849" w:type="dxa"/>
            <w:noWrap w:val="0"/>
            <w:tcMar>
              <w:top w:w="16" w:type="dxa"/>
              <w:left w:w="16" w:type="dxa"/>
              <w:right w:w="16" w:type="dxa"/>
            </w:tcMar>
            <w:vAlign w:val="center"/>
          </w:tcPr>
          <w:p w14:paraId="54C39559">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总投资（万元）</w:t>
            </w:r>
          </w:p>
        </w:tc>
        <w:tc>
          <w:tcPr>
            <w:tcW w:w="2040" w:type="dxa"/>
            <w:noWrap w:val="0"/>
            <w:vAlign w:val="center"/>
          </w:tcPr>
          <w:p w14:paraId="51F4D3FD">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3</w:t>
            </w:r>
            <w:r>
              <w:rPr>
                <w:rFonts w:hint="eastAsia" w:cs="Times New Roman" w:eastAsiaTheme="minorEastAsia"/>
                <w:color w:val="auto"/>
                <w:sz w:val="24"/>
                <w:szCs w:val="24"/>
                <w:lang w:val="en-US" w:eastAsia="zh-CN"/>
              </w:rPr>
              <w:t>.1</w:t>
            </w:r>
          </w:p>
        </w:tc>
        <w:tc>
          <w:tcPr>
            <w:tcW w:w="2050" w:type="dxa"/>
            <w:noWrap w:val="0"/>
            <w:tcMar>
              <w:top w:w="16" w:type="dxa"/>
              <w:left w:w="16" w:type="dxa"/>
              <w:right w:w="16" w:type="dxa"/>
            </w:tcMar>
            <w:vAlign w:val="center"/>
          </w:tcPr>
          <w:p w14:paraId="65614A88">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环保投资（万元）</w:t>
            </w:r>
          </w:p>
        </w:tc>
        <w:tc>
          <w:tcPr>
            <w:tcW w:w="2931" w:type="dxa"/>
            <w:noWrap w:val="0"/>
            <w:vAlign w:val="center"/>
          </w:tcPr>
          <w:p w14:paraId="3F7F5926">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3</w:t>
            </w:r>
            <w:r>
              <w:rPr>
                <w:rFonts w:hint="eastAsia" w:cs="Times New Roman" w:eastAsiaTheme="minorEastAsia"/>
                <w:color w:val="auto"/>
                <w:sz w:val="24"/>
                <w:szCs w:val="24"/>
                <w:lang w:val="en-US" w:eastAsia="zh-CN"/>
              </w:rPr>
              <w:t>.1</w:t>
            </w:r>
          </w:p>
        </w:tc>
      </w:tr>
      <w:tr w14:paraId="109D1D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49" w:type="dxa"/>
            <w:noWrap w:val="0"/>
            <w:tcMar>
              <w:top w:w="16" w:type="dxa"/>
              <w:left w:w="16" w:type="dxa"/>
              <w:right w:w="16" w:type="dxa"/>
            </w:tcMar>
            <w:vAlign w:val="center"/>
          </w:tcPr>
          <w:p w14:paraId="60E42F90">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环保投资占比（%）</w:t>
            </w:r>
          </w:p>
        </w:tc>
        <w:tc>
          <w:tcPr>
            <w:tcW w:w="2040" w:type="dxa"/>
            <w:noWrap w:val="0"/>
            <w:vAlign w:val="center"/>
          </w:tcPr>
          <w:p w14:paraId="1CA0E6AF">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100</w:t>
            </w:r>
          </w:p>
        </w:tc>
        <w:tc>
          <w:tcPr>
            <w:tcW w:w="2050" w:type="dxa"/>
            <w:noWrap w:val="0"/>
            <w:tcMar>
              <w:top w:w="16" w:type="dxa"/>
              <w:left w:w="16" w:type="dxa"/>
              <w:right w:w="16" w:type="dxa"/>
            </w:tcMar>
            <w:vAlign w:val="center"/>
          </w:tcPr>
          <w:p w14:paraId="705839A8">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施工工期</w:t>
            </w:r>
          </w:p>
        </w:tc>
        <w:tc>
          <w:tcPr>
            <w:tcW w:w="2931" w:type="dxa"/>
            <w:noWrap w:val="0"/>
            <w:vAlign w:val="center"/>
          </w:tcPr>
          <w:p w14:paraId="7D730B66">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1个月</w:t>
            </w:r>
          </w:p>
        </w:tc>
      </w:tr>
      <w:tr w14:paraId="6E4EBE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49" w:type="dxa"/>
            <w:noWrap w:val="0"/>
            <w:tcMar>
              <w:top w:w="16" w:type="dxa"/>
              <w:left w:w="16" w:type="dxa"/>
              <w:right w:w="16" w:type="dxa"/>
            </w:tcMar>
            <w:vAlign w:val="center"/>
          </w:tcPr>
          <w:p w14:paraId="4D8E2D46">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是否开工建设</w:t>
            </w:r>
          </w:p>
        </w:tc>
        <w:tc>
          <w:tcPr>
            <w:tcW w:w="2040" w:type="dxa"/>
            <w:noWrap w:val="0"/>
            <w:vAlign w:val="center"/>
          </w:tcPr>
          <w:p w14:paraId="371D905F">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否</w:t>
            </w:r>
          </w:p>
          <w:p w14:paraId="3B0D0A3B">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textAlignment w:val="auto"/>
              <w:rPr>
                <w:rFonts w:hint="default" w:ascii="Times New Roman" w:hAnsi="Times New Roman" w:cs="Times New Roman" w:eastAsiaTheme="minorEastAsia"/>
                <w:color w:val="auto"/>
                <w:sz w:val="24"/>
                <w:szCs w:val="24"/>
                <w:lang w:val="en-US"/>
              </w:rPr>
            </w:pP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是：</w:t>
            </w:r>
            <w:r>
              <w:rPr>
                <w:rFonts w:hint="default" w:ascii="Times New Roman" w:hAnsi="Times New Roman" w:cs="Times New Roman" w:eastAsiaTheme="minorEastAsia"/>
                <w:color w:val="auto"/>
                <w:sz w:val="24"/>
                <w:szCs w:val="24"/>
                <w:u w:val="single"/>
                <w:lang w:val="en-US" w:eastAsia="zh-CN"/>
              </w:rPr>
              <w:t xml:space="preserve">         </w:t>
            </w:r>
          </w:p>
        </w:tc>
        <w:tc>
          <w:tcPr>
            <w:tcW w:w="2050" w:type="dxa"/>
            <w:noWrap w:val="0"/>
            <w:tcMar>
              <w:top w:w="16" w:type="dxa"/>
              <w:left w:w="16" w:type="dxa"/>
              <w:right w:w="16" w:type="dxa"/>
            </w:tcMar>
            <w:vAlign w:val="center"/>
          </w:tcPr>
          <w:p w14:paraId="5B59CBE0">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pacing w:val="-6"/>
                <w:sz w:val="24"/>
                <w:szCs w:val="24"/>
              </w:rPr>
            </w:pPr>
            <w:r>
              <w:rPr>
                <w:rFonts w:hint="default" w:ascii="Times New Roman" w:hAnsi="Times New Roman" w:cs="Times New Roman" w:eastAsiaTheme="minorEastAsia"/>
                <w:color w:val="auto"/>
                <w:spacing w:val="-6"/>
                <w:sz w:val="24"/>
                <w:szCs w:val="24"/>
              </w:rPr>
              <w:t>用地（用海）</w:t>
            </w:r>
          </w:p>
          <w:p w14:paraId="404AEAEF">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pacing w:val="-6"/>
                <w:sz w:val="24"/>
                <w:szCs w:val="24"/>
              </w:rPr>
              <w:t>面积（m</w:t>
            </w:r>
            <w:r>
              <w:rPr>
                <w:rFonts w:hint="default" w:ascii="Times New Roman" w:hAnsi="Times New Roman" w:cs="Times New Roman" w:eastAsiaTheme="minorEastAsia"/>
                <w:color w:val="auto"/>
                <w:spacing w:val="-6"/>
                <w:sz w:val="24"/>
                <w:szCs w:val="24"/>
                <w:vertAlign w:val="superscript"/>
              </w:rPr>
              <w:t>2</w:t>
            </w:r>
            <w:r>
              <w:rPr>
                <w:rFonts w:hint="default" w:ascii="Times New Roman" w:hAnsi="Times New Roman" w:cs="Times New Roman" w:eastAsiaTheme="minorEastAsia"/>
                <w:color w:val="auto"/>
                <w:spacing w:val="-6"/>
                <w:sz w:val="24"/>
                <w:szCs w:val="24"/>
              </w:rPr>
              <w:t>）</w:t>
            </w:r>
          </w:p>
        </w:tc>
        <w:tc>
          <w:tcPr>
            <w:tcW w:w="2931" w:type="dxa"/>
            <w:noWrap w:val="0"/>
            <w:vAlign w:val="center"/>
          </w:tcPr>
          <w:p w14:paraId="2260558C">
            <w:pPr>
              <w:keepNext w:val="0"/>
              <w:keepLines w:val="0"/>
              <w:pageBreakBefore w:val="0"/>
              <w:kinsoku/>
              <w:wordWrap/>
              <w:overflowPunct/>
              <w:topLinePunct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4"/>
                <w:szCs w:val="24"/>
                <w:lang w:val="en-US"/>
              </w:rPr>
            </w:pPr>
            <w:r>
              <w:rPr>
                <w:rFonts w:hint="eastAsia" w:cs="Times New Roman" w:eastAsiaTheme="minorEastAsia"/>
                <w:color w:val="auto"/>
                <w:sz w:val="24"/>
                <w:lang w:val="en-US" w:eastAsia="zh-CN"/>
              </w:rPr>
              <w:t>8</w:t>
            </w:r>
          </w:p>
        </w:tc>
      </w:tr>
      <w:tr w14:paraId="6346CB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49" w:type="dxa"/>
            <w:noWrap w:val="0"/>
            <w:vAlign w:val="center"/>
          </w:tcPr>
          <w:p w14:paraId="53F23C20">
            <w:pPr>
              <w:keepNext w:val="0"/>
              <w:keepLines w:val="0"/>
              <w:pageBreakBefore w:val="0"/>
              <w:kinsoku/>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0"/>
                <w:szCs w:val="21"/>
              </w:rPr>
            </w:pPr>
            <w:r>
              <w:rPr>
                <w:rFonts w:hint="default" w:ascii="Times New Roman" w:hAnsi="Times New Roman" w:cs="Times New Roman" w:eastAsiaTheme="minorEastAsia"/>
                <w:color w:val="auto"/>
                <w:sz w:val="24"/>
                <w:szCs w:val="24"/>
              </w:rPr>
              <w:t>专项评价设置情况</w:t>
            </w:r>
          </w:p>
        </w:tc>
        <w:tc>
          <w:tcPr>
            <w:tcW w:w="7021" w:type="dxa"/>
            <w:gridSpan w:val="3"/>
            <w:noWrap w:val="0"/>
            <w:vAlign w:val="center"/>
          </w:tcPr>
          <w:p w14:paraId="31523D1F">
            <w:pPr>
              <w:keepNext w:val="0"/>
              <w:keepLines w:val="0"/>
              <w:pageBreakBefore w:val="0"/>
              <w:kinsoku/>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0"/>
                <w:szCs w:val="21"/>
              </w:rPr>
            </w:pPr>
            <w:r>
              <w:rPr>
                <w:rFonts w:hint="default" w:ascii="Times New Roman" w:hAnsi="Times New Roman" w:cs="Times New Roman" w:eastAsiaTheme="minorEastAsia"/>
                <w:color w:val="auto"/>
                <w:spacing w:val="0"/>
                <w:kern w:val="21"/>
                <w:sz w:val="24"/>
                <w:szCs w:val="24"/>
                <w:lang w:val="en-US" w:eastAsia="zh-CN"/>
              </w:rPr>
              <w:t>无</w:t>
            </w:r>
          </w:p>
        </w:tc>
      </w:tr>
      <w:tr w14:paraId="2BE8DC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1849" w:type="dxa"/>
            <w:noWrap w:val="0"/>
            <w:vAlign w:val="center"/>
          </w:tcPr>
          <w:p w14:paraId="34A3697B">
            <w:pPr>
              <w:pageBreakBefore w:val="0"/>
              <w:kinsoku/>
              <w:autoSpaceDE w:val="0"/>
              <w:autoSpaceDN w:val="0"/>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规划情况</w:t>
            </w:r>
          </w:p>
        </w:tc>
        <w:tc>
          <w:tcPr>
            <w:tcW w:w="7021" w:type="dxa"/>
            <w:gridSpan w:val="3"/>
            <w:noWrap w:val="0"/>
            <w:vAlign w:val="center"/>
          </w:tcPr>
          <w:p w14:paraId="4D91B1B7">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b/>
                <w:bCs/>
                <w:color w:val="auto"/>
                <w:kern w:val="0"/>
                <w:sz w:val="24"/>
                <w:szCs w:val="24"/>
                <w:lang w:val="en-US" w:eastAsia="zh-CN"/>
              </w:rPr>
              <w:t>规划名称：</w:t>
            </w:r>
            <w:r>
              <w:rPr>
                <w:rFonts w:hint="default" w:ascii="Times New Roman" w:hAnsi="Times New Roman" w:eastAsia="宋体" w:cs="Times New Roman"/>
                <w:color w:val="auto"/>
                <w:kern w:val="0"/>
                <w:sz w:val="24"/>
                <w:szCs w:val="24"/>
                <w:lang w:val="en-US" w:eastAsia="zh-CN"/>
              </w:rPr>
              <w:t>《昌吉高新技术产业开发区国土空间专项规划</w:t>
            </w:r>
            <w:r>
              <w:rPr>
                <w:rFonts w:hint="eastAsia"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2021-2035年</w:t>
            </w:r>
            <w:r>
              <w:rPr>
                <w:rFonts w:hint="eastAsia"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w:t>
            </w:r>
          </w:p>
          <w:p w14:paraId="2AA7CC37">
            <w:pPr>
              <w:pageBreakBefore w:val="0"/>
              <w:kinsoku/>
              <w:autoSpaceDE w:val="0"/>
              <w:autoSpaceDN w:val="0"/>
              <w:bidi w:val="0"/>
              <w:adjustRightInd w:val="0"/>
              <w:snapToGrid w:val="0"/>
              <w:spacing w:beforeAutospacing="0" w:afterAutospacing="0" w:line="360" w:lineRule="auto"/>
              <w:ind w:right="0" w:rightChars="0"/>
              <w:jc w:val="both"/>
              <w:rPr>
                <w:rFonts w:hint="default" w:ascii="Times New Roman" w:hAnsi="Times New Roman" w:cs="Times New Roman" w:eastAsiaTheme="minorEastAsia"/>
                <w:color w:val="auto"/>
                <w:sz w:val="24"/>
                <w:szCs w:val="24"/>
                <w:lang w:val="en-US" w:eastAsia="zh-CN"/>
              </w:rPr>
            </w:pPr>
            <w:r>
              <w:rPr>
                <w:rFonts w:hint="eastAsia" w:ascii="Times New Roman" w:hAnsi="Times New Roman" w:eastAsia="宋体" w:cs="Times New Roman"/>
                <w:b/>
                <w:bCs/>
                <w:color w:val="auto"/>
                <w:kern w:val="0"/>
                <w:sz w:val="24"/>
                <w:szCs w:val="24"/>
                <w:lang w:val="en-US" w:eastAsia="zh-CN"/>
              </w:rPr>
              <w:t>审查机关、审批文件名称及文号：</w:t>
            </w:r>
            <w:r>
              <w:rPr>
                <w:rFonts w:hint="eastAsia" w:ascii="Times New Roman" w:hAnsi="Times New Roman" w:eastAsia="宋体" w:cs="Times New Roman"/>
                <w:color w:val="auto"/>
                <w:kern w:val="0"/>
                <w:sz w:val="24"/>
                <w:szCs w:val="24"/>
                <w:lang w:val="en-US" w:eastAsia="zh-CN"/>
              </w:rPr>
              <w:t>新疆维吾尔自治区人民政府</w:t>
            </w:r>
            <w:r>
              <w:rPr>
                <w:rFonts w:hint="eastAsia" w:cs="Times New Roman"/>
                <w:color w:val="auto"/>
                <w:kern w:val="0"/>
                <w:sz w:val="24"/>
                <w:szCs w:val="24"/>
                <w:lang w:val="en-US" w:eastAsia="zh-CN"/>
              </w:rPr>
              <w:t>，</w:t>
            </w:r>
            <w:r>
              <w:rPr>
                <w:rFonts w:hint="eastAsia" w:ascii="Times New Roman" w:hAnsi="Times New Roman" w:eastAsia="宋体" w:cs="Times New Roman"/>
                <w:color w:val="auto"/>
                <w:kern w:val="0"/>
                <w:sz w:val="24"/>
                <w:szCs w:val="24"/>
                <w:lang w:val="en-US" w:eastAsia="zh-CN"/>
              </w:rPr>
              <w:t>审查文件名称及文号:《关于昌吉市国土空间总体规划(2021-2035年)的批复》</w:t>
            </w:r>
            <w:r>
              <w:rPr>
                <w:rFonts w:hint="eastAsia" w:cs="Times New Roman"/>
                <w:color w:val="auto"/>
                <w:kern w:val="0"/>
                <w:sz w:val="24"/>
                <w:szCs w:val="24"/>
                <w:lang w:val="en-US" w:eastAsia="zh-CN"/>
              </w:rPr>
              <w:t>（</w:t>
            </w:r>
            <w:r>
              <w:rPr>
                <w:rFonts w:hint="eastAsia" w:ascii="Times New Roman" w:hAnsi="Times New Roman" w:eastAsia="宋体" w:cs="Times New Roman"/>
                <w:color w:val="auto"/>
                <w:kern w:val="0"/>
                <w:sz w:val="24"/>
                <w:szCs w:val="24"/>
                <w:lang w:val="en-US" w:eastAsia="zh-CN"/>
              </w:rPr>
              <w:t>新政函</w:t>
            </w:r>
            <w:r>
              <w:rPr>
                <w:rFonts w:hint="eastAsia" w:ascii="仿宋" w:hAnsi="仿宋" w:eastAsia="仿宋" w:cs="仿宋"/>
                <w:color w:val="auto"/>
                <w:kern w:val="0"/>
                <w:sz w:val="24"/>
                <w:szCs w:val="24"/>
                <w:lang w:val="en-US" w:eastAsia="zh-CN"/>
              </w:rPr>
              <w:t>〔</w:t>
            </w:r>
            <w:r>
              <w:rPr>
                <w:rFonts w:hint="eastAsia" w:ascii="Times New Roman" w:hAnsi="Times New Roman" w:eastAsia="宋体" w:cs="Times New Roman"/>
                <w:color w:val="auto"/>
                <w:kern w:val="0"/>
                <w:sz w:val="24"/>
                <w:szCs w:val="24"/>
                <w:lang w:val="en-US" w:eastAsia="zh-CN"/>
              </w:rPr>
              <w:t>2024</w:t>
            </w:r>
            <w:r>
              <w:rPr>
                <w:rFonts w:hint="eastAsia" w:ascii="仿宋" w:hAnsi="仿宋" w:eastAsia="仿宋" w:cs="仿宋"/>
                <w:color w:val="auto"/>
                <w:kern w:val="0"/>
                <w:sz w:val="24"/>
                <w:szCs w:val="24"/>
                <w:lang w:val="en-US" w:eastAsia="zh-CN"/>
              </w:rPr>
              <w:t>〕</w:t>
            </w:r>
            <w:r>
              <w:rPr>
                <w:rFonts w:hint="eastAsia" w:ascii="Times New Roman" w:hAnsi="Times New Roman" w:eastAsia="宋体" w:cs="Times New Roman"/>
                <w:color w:val="auto"/>
                <w:kern w:val="0"/>
                <w:sz w:val="24"/>
                <w:szCs w:val="24"/>
                <w:lang w:val="en-US" w:eastAsia="zh-CN"/>
              </w:rPr>
              <w:t>137号</w:t>
            </w:r>
            <w:r>
              <w:rPr>
                <w:rFonts w:hint="eastAsia" w:cs="Times New Roman"/>
                <w:color w:val="auto"/>
                <w:kern w:val="0"/>
                <w:sz w:val="24"/>
                <w:szCs w:val="24"/>
                <w:lang w:val="en-US" w:eastAsia="zh-CN"/>
              </w:rPr>
              <w:t>）</w:t>
            </w:r>
          </w:p>
        </w:tc>
      </w:tr>
      <w:tr w14:paraId="5693D2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49" w:type="dxa"/>
            <w:noWrap w:val="0"/>
            <w:vAlign w:val="center"/>
          </w:tcPr>
          <w:p w14:paraId="43C5A16C">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规划环境影响</w:t>
            </w:r>
          </w:p>
          <w:p w14:paraId="686FF550">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sz w:val="24"/>
                <w:szCs w:val="24"/>
              </w:rPr>
              <w:t>评价情况</w:t>
            </w:r>
          </w:p>
        </w:tc>
        <w:tc>
          <w:tcPr>
            <w:tcW w:w="7021" w:type="dxa"/>
            <w:gridSpan w:val="3"/>
            <w:noWrap w:val="0"/>
            <w:vAlign w:val="center"/>
          </w:tcPr>
          <w:p w14:paraId="4E730B26">
            <w:pPr>
              <w:pageBreakBefore w:val="0"/>
              <w:kinsoku/>
              <w:autoSpaceDE w:val="0"/>
              <w:autoSpaceDN w:val="0"/>
              <w:bidi w:val="0"/>
              <w:adjustRightInd w:val="0"/>
              <w:snapToGrid w:val="0"/>
              <w:spacing w:beforeAutospacing="0" w:afterAutospacing="0" w:line="360" w:lineRule="auto"/>
              <w:ind w:left="0" w:leftChars="0" w:right="0" w:rightChars="0"/>
              <w:jc w:val="left"/>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b/>
                <w:bCs/>
                <w:color w:val="auto"/>
                <w:sz w:val="24"/>
                <w:lang w:val="en-US" w:eastAsia="zh-CN"/>
              </w:rPr>
              <w:t>规划环境影响评价文件：</w:t>
            </w:r>
            <w:r>
              <w:rPr>
                <w:rFonts w:hint="default" w:ascii="Times New Roman" w:hAnsi="Times New Roman" w:cs="Times New Roman" w:eastAsiaTheme="minorEastAsia"/>
                <w:b w:val="0"/>
                <w:bCs w:val="0"/>
                <w:color w:val="auto"/>
                <w:sz w:val="24"/>
                <w:lang w:val="en-US" w:eastAsia="zh-CN"/>
              </w:rPr>
              <w:t>《昌吉高新技术产业开发区总体规划</w:t>
            </w:r>
            <w:r>
              <w:rPr>
                <w:rFonts w:hint="eastAsia" w:cs="Times New Roman" w:eastAsiaTheme="minorEastAsia"/>
                <w:b w:val="0"/>
                <w:bCs w:val="0"/>
                <w:color w:val="auto"/>
                <w:sz w:val="24"/>
                <w:lang w:val="en-US" w:eastAsia="zh-CN"/>
              </w:rPr>
              <w:t>(</w:t>
            </w:r>
            <w:r>
              <w:rPr>
                <w:rFonts w:hint="default" w:ascii="Times New Roman" w:hAnsi="Times New Roman" w:cs="Times New Roman" w:eastAsiaTheme="minorEastAsia"/>
                <w:b w:val="0"/>
                <w:bCs w:val="0"/>
                <w:color w:val="auto"/>
                <w:sz w:val="24"/>
                <w:lang w:val="en-US" w:eastAsia="zh-CN"/>
              </w:rPr>
              <w:t>2014-2030年）环境影响报告书》</w:t>
            </w:r>
          </w:p>
          <w:p w14:paraId="46AD0E08">
            <w:pPr>
              <w:pageBreakBefore w:val="0"/>
              <w:kinsoku/>
              <w:autoSpaceDE w:val="0"/>
              <w:autoSpaceDN w:val="0"/>
              <w:bidi w:val="0"/>
              <w:adjustRightInd w:val="0"/>
              <w:snapToGrid w:val="0"/>
              <w:spacing w:beforeAutospacing="0" w:afterAutospacing="0" w:line="360" w:lineRule="auto"/>
              <w:ind w:left="0" w:leftChars="0" w:right="0" w:rightChars="0"/>
              <w:jc w:val="left"/>
              <w:rPr>
                <w:rFonts w:hint="default" w:ascii="Times New Roman" w:hAnsi="Times New Roman" w:cs="Times New Roman" w:eastAsiaTheme="minorEastAsia"/>
                <w:b w:val="0"/>
                <w:bCs w:val="0"/>
                <w:color w:val="auto"/>
                <w:sz w:val="24"/>
                <w:lang w:val="en-US" w:eastAsia="zh-CN"/>
              </w:rPr>
            </w:pPr>
            <w:r>
              <w:rPr>
                <w:rFonts w:hint="default" w:ascii="Times New Roman" w:hAnsi="Times New Roman" w:cs="Times New Roman" w:eastAsiaTheme="minorEastAsia"/>
                <w:b/>
                <w:bCs/>
                <w:color w:val="auto"/>
                <w:sz w:val="24"/>
                <w:lang w:val="en-US" w:eastAsia="zh-CN"/>
              </w:rPr>
              <w:t>召集审查机关：</w:t>
            </w:r>
            <w:r>
              <w:rPr>
                <w:rFonts w:hint="default" w:ascii="Times New Roman" w:hAnsi="Times New Roman" w:cs="Times New Roman" w:eastAsiaTheme="minorEastAsia"/>
                <w:b w:val="0"/>
                <w:bCs w:val="0"/>
                <w:color w:val="auto"/>
                <w:sz w:val="24"/>
                <w:lang w:val="en-US" w:eastAsia="zh-CN"/>
              </w:rPr>
              <w:t>原新疆维吾尔自治区环境保护厅</w:t>
            </w:r>
          </w:p>
          <w:p w14:paraId="68AF6F56">
            <w:pPr>
              <w:pageBreakBefore w:val="0"/>
              <w:kinsoku/>
              <w:autoSpaceDE w:val="0"/>
              <w:autoSpaceDN w:val="0"/>
              <w:bidi w:val="0"/>
              <w:adjustRightInd w:val="0"/>
              <w:snapToGrid w:val="0"/>
              <w:spacing w:beforeAutospacing="0" w:afterAutospacing="0" w:line="360" w:lineRule="auto"/>
              <w:ind w:left="0" w:leftChars="0" w:right="0" w:rightChars="0"/>
              <w:jc w:val="left"/>
              <w:rPr>
                <w:rFonts w:hint="default" w:ascii="Times New Roman" w:hAnsi="Times New Roman" w:cs="Times New Roman" w:eastAsiaTheme="minorEastAsia"/>
                <w:color w:val="auto"/>
                <w:spacing w:val="0"/>
                <w:kern w:val="21"/>
                <w:sz w:val="24"/>
                <w:szCs w:val="24"/>
                <w:lang w:val="en-US" w:eastAsia="zh-CN"/>
              </w:rPr>
            </w:pPr>
            <w:r>
              <w:rPr>
                <w:rFonts w:hint="default" w:ascii="Times New Roman" w:hAnsi="Times New Roman" w:cs="Times New Roman" w:eastAsiaTheme="minorEastAsia"/>
                <w:b/>
                <w:bCs/>
                <w:color w:val="auto"/>
                <w:sz w:val="24"/>
                <w:lang w:val="en-US" w:eastAsia="zh-CN"/>
              </w:rPr>
              <w:t>审查文件名称及文号：</w:t>
            </w:r>
            <w:r>
              <w:rPr>
                <w:rFonts w:hint="default" w:ascii="Times New Roman" w:hAnsi="Times New Roman" w:cs="Times New Roman" w:eastAsiaTheme="minorEastAsia"/>
                <w:b w:val="0"/>
                <w:bCs w:val="0"/>
                <w:color w:val="auto"/>
                <w:sz w:val="24"/>
                <w:lang w:val="en-US" w:eastAsia="zh-CN"/>
              </w:rPr>
              <w:t>《关于昌吉高新技术产业开发区总体规划（2014-2030年）环境影响报告书的审查意见》（新环函[2015]306号）</w:t>
            </w:r>
          </w:p>
        </w:tc>
      </w:tr>
      <w:tr w14:paraId="7BE065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849" w:type="dxa"/>
            <w:noWrap w:val="0"/>
            <w:vAlign w:val="center"/>
          </w:tcPr>
          <w:p w14:paraId="6BC2BF71">
            <w:pPr>
              <w:pageBreakBefore w:val="0"/>
              <w:kinsoku/>
              <w:autoSpaceDE w:val="0"/>
              <w:autoSpaceDN w:val="0"/>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规划及规划环境影响评价符合性分析</w:t>
            </w:r>
          </w:p>
        </w:tc>
        <w:tc>
          <w:tcPr>
            <w:tcW w:w="7021" w:type="dxa"/>
            <w:gridSpan w:val="3"/>
            <w:noWrap w:val="0"/>
            <w:vAlign w:val="center"/>
          </w:tcPr>
          <w:p w14:paraId="26FA47E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rightChars="0"/>
              <w:jc w:val="left"/>
              <w:textAlignment w:val="auto"/>
              <w:rPr>
                <w:rFonts w:hint="default" w:ascii="Times New Roman" w:hAnsi="Times New Roman" w:cs="Times New Roman" w:eastAsiaTheme="minorEastAsia"/>
                <w:b/>
                <w:bCs/>
                <w:color w:val="auto"/>
                <w:kern w:val="0"/>
                <w:sz w:val="24"/>
                <w:lang w:val="en-US" w:eastAsia="zh-CN"/>
              </w:rPr>
            </w:pPr>
            <w:r>
              <w:rPr>
                <w:rFonts w:hint="default" w:ascii="Times New Roman" w:hAnsi="Times New Roman" w:cs="Times New Roman" w:eastAsiaTheme="minorEastAsia"/>
                <w:b/>
                <w:bCs/>
                <w:color w:val="auto"/>
                <w:kern w:val="0"/>
                <w:sz w:val="24"/>
                <w:lang w:val="en-US" w:eastAsia="zh-CN"/>
              </w:rPr>
              <w:t>1 规划符合性分析</w:t>
            </w:r>
          </w:p>
          <w:p w14:paraId="0BA66338">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hint="default" w:ascii="Times New Roman" w:hAnsi="Times New Roman" w:eastAsia="宋体" w:cs="Times New Roman"/>
                <w:b/>
                <w:bCs/>
                <w:color w:val="auto"/>
                <w:kern w:val="0"/>
                <w:sz w:val="24"/>
                <w:szCs w:val="24"/>
                <w:lang w:val="en-US" w:eastAsia="zh-CN"/>
              </w:rPr>
            </w:pPr>
            <w:r>
              <w:rPr>
                <w:rFonts w:hint="default" w:ascii="Times New Roman" w:hAnsi="Times New Roman" w:eastAsia="宋体" w:cs="Times New Roman"/>
                <w:b/>
                <w:bCs/>
                <w:color w:val="auto"/>
                <w:kern w:val="0"/>
                <w:sz w:val="24"/>
                <w:szCs w:val="24"/>
                <w:lang w:val="en-US" w:eastAsia="zh-CN"/>
              </w:rPr>
              <w:t>1.1与《昌吉高新技术产业开发区国土空间专项规划(2021-2035年)》的符合性分析</w:t>
            </w:r>
          </w:p>
          <w:p w14:paraId="63FD4C6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根据《昌吉高新技术产业开发区国土空间专项规划(2021-2035年)》,昌吉国家高新技术产业开发区规划范围土地总面积5772.31公顷，其中农用地面积2308.22公顷，建设用地面积2560.11公顷，未利用地面积903.98公顷。本</w:t>
            </w:r>
            <w:r>
              <w:rPr>
                <w:rFonts w:hint="eastAsia" w:ascii="Times New Roman" w:hAnsi="Times New Roman" w:eastAsia="宋体" w:cs="Times New Roman"/>
                <w:color w:val="auto"/>
                <w:kern w:val="0"/>
                <w:sz w:val="24"/>
                <w:szCs w:val="24"/>
                <w:highlight w:val="none"/>
                <w:lang w:val="en-US" w:eastAsia="zh-CN"/>
              </w:rPr>
              <w:t>项目位于《昌吉高新技术产业开发区国土空间专项规划(2021-2035年)》所划定的范围内，用地属于昌吉高新技术产业开发区现规划的</w:t>
            </w:r>
            <w:r>
              <w:rPr>
                <w:rFonts w:hint="eastAsia" w:eastAsia="宋体" w:cs="Times New Roman"/>
                <w:color w:val="auto"/>
                <w:kern w:val="0"/>
                <w:sz w:val="24"/>
                <w:szCs w:val="24"/>
                <w:highlight w:val="none"/>
                <w:lang w:val="en-US" w:eastAsia="zh-CN"/>
              </w:rPr>
              <w:t>教育用地</w:t>
            </w:r>
            <w:r>
              <w:rPr>
                <w:rFonts w:hint="eastAsia" w:ascii="Times New Roman" w:hAnsi="Times New Roman" w:eastAsia="宋体" w:cs="Times New Roman"/>
                <w:color w:val="auto"/>
                <w:kern w:val="0"/>
                <w:sz w:val="24"/>
                <w:szCs w:val="24"/>
                <w:highlight w:val="none"/>
                <w:lang w:val="en-US" w:eastAsia="zh-CN"/>
              </w:rPr>
              <w:t>。</w:t>
            </w:r>
          </w:p>
          <w:p w14:paraId="70397A7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强化榆树沟镇区综合服务能力，构建“双核十字轴，两极多园区”的城镇空间布局，力求实现以产促城、以产聚人、以城兴产、以人兴业的区镇融合发展路线。</w:t>
            </w:r>
          </w:p>
          <w:p w14:paraId="028C554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“双核”指高新文化中心和榆树沟服务中心，助力高新区完成产业转型和产城融合升级。</w:t>
            </w:r>
          </w:p>
          <w:p w14:paraId="511D3AA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十字轴”指东西向“乌昌创新发展示范轴”与南北向“综合服务发展轴”。“乌昌创新发展示范轴”连接两大核心，外部东向连接昌吉市、乌鲁木齐市，西向连接石河子，直抵延边开放口岸；南北向“综合服务发展轴”串联起步服务区、科创教育园两大引擎，北向连接昌吉农高区，南向连接军户农场，助力高新区实现产城融合转型升级。“两极”指特变电工科技城和蓝山屯河科技城两处增长极，依托特变电工、蓝山屯河，发展瞄准生态环保和中高端产品方向，以发展成为国内领先企业为目标。“多园区”包括新材料产业区、装备制造产业园、生物科技园、光园、综合活力区。</w:t>
            </w:r>
          </w:p>
          <w:p w14:paraId="6F08D01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根据昌吉高新技术产业开发区空间结构规划，本项目位于昌吉高新技术产业开发区中的</w:t>
            </w:r>
            <w:r>
              <w:rPr>
                <w:rFonts w:hint="eastAsia" w:eastAsia="宋体" w:cs="Times New Roman"/>
                <w:color w:val="auto"/>
                <w:kern w:val="0"/>
                <w:sz w:val="24"/>
                <w:szCs w:val="24"/>
                <w:lang w:val="en-US" w:eastAsia="zh-CN"/>
              </w:rPr>
              <w:t>高新活力区</w:t>
            </w:r>
            <w:r>
              <w:rPr>
                <w:rFonts w:hint="eastAsia" w:ascii="Times New Roman" w:hAnsi="Times New Roman" w:eastAsia="宋体" w:cs="Times New Roman"/>
                <w:color w:val="auto"/>
                <w:kern w:val="0"/>
                <w:sz w:val="24"/>
                <w:szCs w:val="24"/>
                <w:lang w:val="en-US" w:eastAsia="zh-CN"/>
              </w:rPr>
              <w:t>，本项目是昌吉职业技术学院的配套设施项目，符合</w:t>
            </w:r>
            <w:r>
              <w:rPr>
                <w:rFonts w:hint="eastAsia" w:eastAsia="宋体" w:cs="Times New Roman"/>
                <w:color w:val="auto"/>
                <w:kern w:val="0"/>
                <w:sz w:val="24"/>
                <w:szCs w:val="24"/>
                <w:lang w:val="en-US" w:eastAsia="zh-CN"/>
              </w:rPr>
              <w:t>高新活力区</w:t>
            </w:r>
            <w:r>
              <w:rPr>
                <w:rFonts w:hint="eastAsia" w:ascii="Times New Roman" w:hAnsi="Times New Roman" w:eastAsia="宋体" w:cs="Times New Roman"/>
                <w:color w:val="auto"/>
                <w:kern w:val="0"/>
                <w:sz w:val="24"/>
                <w:szCs w:val="24"/>
                <w:lang w:val="en-US" w:eastAsia="zh-CN"/>
              </w:rPr>
              <w:t>规划。本项目与昌吉高新技术产业开发区国土空间结构规划位置关系见附图</w:t>
            </w:r>
            <w:r>
              <w:rPr>
                <w:rFonts w:hint="eastAsia" w:cs="Times New Roman"/>
                <w:color w:val="auto"/>
                <w:kern w:val="0"/>
                <w:sz w:val="24"/>
                <w:szCs w:val="24"/>
                <w:lang w:val="en-US" w:eastAsia="zh-CN"/>
              </w:rPr>
              <w:t>1，项目与园区土地使用规划位置</w:t>
            </w:r>
            <w:r>
              <w:rPr>
                <w:rFonts w:hint="eastAsia" w:ascii="Times New Roman" w:hAnsi="Times New Roman" w:eastAsia="宋体" w:cs="Times New Roman"/>
                <w:color w:val="auto"/>
                <w:kern w:val="0"/>
                <w:sz w:val="24"/>
                <w:szCs w:val="24"/>
                <w:lang w:val="en-US" w:eastAsia="zh-CN"/>
              </w:rPr>
              <w:t>见附图</w:t>
            </w:r>
            <w:r>
              <w:rPr>
                <w:rFonts w:hint="eastAsia" w:cs="Times New Roman"/>
                <w:color w:val="auto"/>
                <w:kern w:val="0"/>
                <w:sz w:val="24"/>
                <w:szCs w:val="24"/>
                <w:lang w:val="en-US" w:eastAsia="zh-CN"/>
              </w:rPr>
              <w:t>2</w:t>
            </w:r>
            <w:r>
              <w:rPr>
                <w:rFonts w:hint="eastAsia" w:ascii="Times New Roman" w:hAnsi="Times New Roman" w:eastAsia="宋体" w:cs="Times New Roman"/>
                <w:color w:val="auto"/>
                <w:kern w:val="0"/>
                <w:sz w:val="24"/>
                <w:szCs w:val="24"/>
                <w:lang w:val="en-US" w:eastAsia="zh-CN"/>
              </w:rPr>
              <w:t>）。</w:t>
            </w:r>
          </w:p>
          <w:p w14:paraId="6FC59E60">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rightChars="0"/>
              <w:jc w:val="left"/>
              <w:textAlignment w:val="auto"/>
              <w:rPr>
                <w:rFonts w:hint="default" w:ascii="Times New Roman" w:hAnsi="Times New Roman" w:cs="Times New Roman" w:eastAsiaTheme="minorEastAsia"/>
                <w:b/>
                <w:bCs/>
                <w:color w:val="auto"/>
                <w:kern w:val="0"/>
                <w:sz w:val="24"/>
                <w:lang w:val="en-US" w:eastAsia="zh-CN"/>
              </w:rPr>
            </w:pPr>
            <w:r>
              <w:rPr>
                <w:rFonts w:hint="eastAsia" w:cs="Times New Roman" w:eastAsiaTheme="minorEastAsia"/>
                <w:b/>
                <w:bCs/>
                <w:color w:val="auto"/>
                <w:kern w:val="0"/>
                <w:sz w:val="24"/>
                <w:lang w:val="en-US" w:eastAsia="zh-CN"/>
              </w:rPr>
              <w:t>1.</w:t>
            </w:r>
            <w:r>
              <w:rPr>
                <w:rFonts w:hint="default" w:ascii="Times New Roman" w:hAnsi="Times New Roman" w:cs="Times New Roman" w:eastAsiaTheme="minorEastAsia"/>
                <w:b/>
                <w:bCs/>
                <w:color w:val="auto"/>
                <w:kern w:val="0"/>
                <w:sz w:val="24"/>
                <w:lang w:val="en-US" w:eastAsia="zh-CN"/>
              </w:rPr>
              <w:t>2 规划环评及审查意见的符合性分析</w:t>
            </w:r>
          </w:p>
          <w:p w14:paraId="1D2EA9B4">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本项目与规划环评的符合性分析如下。</w:t>
            </w:r>
          </w:p>
          <w:p w14:paraId="61C70359">
            <w:pPr>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表1-1   与规划环评的符合性分析</w:t>
            </w:r>
          </w:p>
          <w:tbl>
            <w:tblPr>
              <w:tblStyle w:val="29"/>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76"/>
              <w:gridCol w:w="2858"/>
              <w:gridCol w:w="1968"/>
              <w:gridCol w:w="899"/>
            </w:tblGrid>
            <w:tr w14:paraId="37051B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1" w:type="pct"/>
                  <w:tcBorders>
                    <w:tl2br w:val="nil"/>
                    <w:tr2bl w:val="nil"/>
                  </w:tcBorders>
                  <w:noWrap w:val="0"/>
                  <w:vAlign w:val="center"/>
                </w:tcPr>
                <w:p w14:paraId="2190A66A">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类别</w:t>
                  </w:r>
                </w:p>
              </w:tc>
              <w:tc>
                <w:tcPr>
                  <w:tcW w:w="2101" w:type="pct"/>
                  <w:tcBorders>
                    <w:tl2br w:val="nil"/>
                    <w:tr2bl w:val="nil"/>
                  </w:tcBorders>
                  <w:noWrap w:val="0"/>
                  <w:vAlign w:val="center"/>
                </w:tcPr>
                <w:p w14:paraId="61E6F983">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规划环评要求</w:t>
                  </w:r>
                </w:p>
              </w:tc>
              <w:tc>
                <w:tcPr>
                  <w:tcW w:w="1446" w:type="pct"/>
                  <w:tcBorders>
                    <w:tl2br w:val="nil"/>
                    <w:tr2bl w:val="nil"/>
                  </w:tcBorders>
                  <w:noWrap w:val="0"/>
                  <w:vAlign w:val="center"/>
                </w:tcPr>
                <w:p w14:paraId="50E4F101">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项目情况</w:t>
                  </w:r>
                </w:p>
              </w:tc>
              <w:tc>
                <w:tcPr>
                  <w:tcW w:w="660" w:type="pct"/>
                  <w:tcBorders>
                    <w:tl2br w:val="nil"/>
                    <w:tr2bl w:val="nil"/>
                  </w:tcBorders>
                  <w:noWrap w:val="0"/>
                  <w:vAlign w:val="center"/>
                </w:tcPr>
                <w:p w14:paraId="5C331645">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符合性</w:t>
                  </w:r>
                </w:p>
              </w:tc>
            </w:tr>
            <w:tr w14:paraId="7DF7E2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1" w:type="pct"/>
                  <w:vMerge w:val="restart"/>
                  <w:tcBorders>
                    <w:tl2br w:val="nil"/>
                    <w:tr2bl w:val="nil"/>
                  </w:tcBorders>
                  <w:noWrap w:val="0"/>
                  <w:vAlign w:val="center"/>
                </w:tcPr>
                <w:p w14:paraId="68FFCB77">
                  <w:pPr>
                    <w:keepNext w:val="0"/>
                    <w:keepLines w:val="0"/>
                    <w:pageBreakBefore w:val="0"/>
                    <w:numPr>
                      <w:ilvl w:val="0"/>
                      <w:numId w:val="0"/>
                    </w:numPr>
                    <w:tabs>
                      <w:tab w:val="left" w:pos="0"/>
                    </w:tabs>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《昌吉高新技术产业开发区总体规划（2014-2030年）环境影响报告书》</w:t>
                  </w:r>
                </w:p>
              </w:tc>
              <w:tc>
                <w:tcPr>
                  <w:tcW w:w="2101" w:type="pct"/>
                  <w:tcBorders>
                    <w:tl2br w:val="nil"/>
                    <w:tr2bl w:val="nil"/>
                  </w:tcBorders>
                  <w:noWrap w:val="0"/>
                  <w:vAlign w:val="center"/>
                </w:tcPr>
                <w:p w14:paraId="51257A2B">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（1）大气环境影响</w:t>
                  </w:r>
                </w:p>
                <w:p w14:paraId="47DDD56E">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both"/>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工业园区主要入驻企业污染物排放对评价区的SO</w:t>
                  </w:r>
                  <w:r>
                    <w:rPr>
                      <w:rFonts w:hint="default" w:ascii="Times New Roman" w:hAnsi="Times New Roman" w:cs="Times New Roman" w:eastAsiaTheme="minorEastAsia"/>
                      <w:color w:val="auto"/>
                      <w:sz w:val="21"/>
                      <w:szCs w:val="21"/>
                      <w:vertAlign w:val="subscript"/>
                    </w:rPr>
                    <w:t>2</w:t>
                  </w:r>
                  <w:r>
                    <w:rPr>
                      <w:rFonts w:hint="default" w:ascii="Times New Roman" w:hAnsi="Times New Roman" w:cs="Times New Roman" w:eastAsiaTheme="minorEastAsia"/>
                      <w:color w:val="auto"/>
                      <w:sz w:val="21"/>
                      <w:szCs w:val="21"/>
                    </w:rPr>
                    <w:t>、NOx、TSP浓度最大贡献值较低，主要污染物对评价区各敏感点环境空气质量产生影响较少。园区规划期环境影响是可以接受的。</w:t>
                  </w:r>
                </w:p>
              </w:tc>
              <w:tc>
                <w:tcPr>
                  <w:tcW w:w="1446" w:type="pct"/>
                  <w:tcBorders>
                    <w:tl2br w:val="nil"/>
                    <w:tr2bl w:val="nil"/>
                  </w:tcBorders>
                  <w:noWrap w:val="0"/>
                  <w:vAlign w:val="center"/>
                </w:tcPr>
                <w:p w14:paraId="72DB872D">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highlight w:val="none"/>
                      <w:lang w:val="en-US" w:eastAsia="zh-CN"/>
                    </w:rPr>
                    <w:t>本项目位于昌吉职业技术学院内，</w:t>
                  </w:r>
                  <w:r>
                    <w:rPr>
                      <w:rFonts w:hint="default" w:ascii="Times New Roman" w:hAnsi="Times New Roman" w:cs="Times New Roman" w:eastAsiaTheme="minorEastAsia"/>
                      <w:color w:val="auto"/>
                      <w:sz w:val="21"/>
                      <w:szCs w:val="21"/>
                      <w:lang w:val="en-US" w:eastAsia="zh-CN"/>
                    </w:rPr>
                    <w:t>符合“严格建设项目环境准入”的要求</w:t>
                  </w:r>
                  <w:r>
                    <w:rPr>
                      <w:rFonts w:hint="default" w:ascii="Times New Roman" w:hAnsi="Times New Roman" w:cs="Times New Roman" w:eastAsiaTheme="minorEastAsia"/>
                      <w:color w:val="auto"/>
                      <w:sz w:val="21"/>
                      <w:szCs w:val="21"/>
                      <w:highlight w:val="none"/>
                      <w:lang w:val="en-US" w:eastAsia="zh-CN"/>
                    </w:rPr>
                    <w:t>。本项目仅产生微量废气无组织排放</w:t>
                  </w:r>
                  <w:r>
                    <w:rPr>
                      <w:rFonts w:hint="eastAsia" w:cs="Times New Roman" w:eastAsiaTheme="minorEastAsia"/>
                      <w:color w:val="auto"/>
                      <w:sz w:val="21"/>
                      <w:szCs w:val="21"/>
                      <w:highlight w:val="none"/>
                      <w:lang w:val="en-US" w:eastAsia="zh-CN"/>
                    </w:rPr>
                    <w:t>。</w:t>
                  </w:r>
                </w:p>
              </w:tc>
              <w:tc>
                <w:tcPr>
                  <w:tcW w:w="660" w:type="pct"/>
                  <w:tcBorders>
                    <w:tl2br w:val="nil"/>
                    <w:tr2bl w:val="nil"/>
                  </w:tcBorders>
                  <w:noWrap w:val="0"/>
                  <w:vAlign w:val="center"/>
                </w:tcPr>
                <w:p w14:paraId="2DFF353C">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符合</w:t>
                  </w:r>
                </w:p>
              </w:tc>
            </w:tr>
            <w:tr w14:paraId="5ACAA6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1" w:type="pct"/>
                  <w:vMerge w:val="continue"/>
                  <w:tcBorders>
                    <w:tl2br w:val="nil"/>
                    <w:tr2bl w:val="nil"/>
                  </w:tcBorders>
                  <w:noWrap w:val="0"/>
                  <w:vAlign w:val="center"/>
                </w:tcPr>
                <w:p w14:paraId="5EA3B30C">
                  <w:pPr>
                    <w:keepNext w:val="0"/>
                    <w:keepLines w:val="0"/>
                    <w:pageBreakBefore w:val="0"/>
                    <w:numPr>
                      <w:ilvl w:val="0"/>
                      <w:numId w:val="0"/>
                    </w:numPr>
                    <w:tabs>
                      <w:tab w:val="left" w:pos="0"/>
                    </w:tabs>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rPr>
                  </w:pPr>
                </w:p>
              </w:tc>
              <w:tc>
                <w:tcPr>
                  <w:tcW w:w="2101" w:type="pct"/>
                  <w:tcBorders>
                    <w:tl2br w:val="nil"/>
                    <w:tr2bl w:val="nil"/>
                  </w:tcBorders>
                  <w:noWrap w:val="0"/>
                  <w:vAlign w:val="center"/>
                </w:tcPr>
                <w:p w14:paraId="24B6F544">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（2）水环境影响</w:t>
                  </w:r>
                </w:p>
                <w:p w14:paraId="62DEA848">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依据《新疆维吾尔自治区地下水资源管理条例》和《昌吉市落实井电双控控制取用地下水实施方案》（昌市政办发〔2014〕66号）“除了生活饮用水以外，</w:t>
                  </w:r>
                  <w:r>
                    <w:rPr>
                      <w:rFonts w:hint="default" w:ascii="Times New Roman" w:hAnsi="Times New Roman" w:cs="Times New Roman" w:eastAsiaTheme="minorEastAsia"/>
                      <w:color w:val="auto"/>
                      <w:sz w:val="21"/>
                      <w:szCs w:val="21"/>
                      <w:lang w:val="en-US" w:eastAsia="zh-CN"/>
                    </w:rPr>
                    <w:t>禁止任何形式的新增取水用地下</w:t>
                  </w:r>
                  <w:r>
                    <w:rPr>
                      <w:rFonts w:hint="default" w:ascii="Times New Roman" w:hAnsi="Times New Roman" w:cs="Times New Roman" w:eastAsiaTheme="minorEastAsia"/>
                      <w:color w:val="auto"/>
                      <w:sz w:val="21"/>
                      <w:szCs w:val="21"/>
                    </w:rPr>
                    <w:t>水，确保地下水开采量只减不增”，环评建议：高新区近期应加快落实三屯河地表水作为主要供水水源，辅助开采区域潜水和浅层承压水作为备用水源，远期应争取加大三屯河地表水供给量和采用大流域调水，保障园区用水需求。落实区域地下水总量控制和水位控制的“双控”措施，保证区域水资源采补平衡，并强化水资源管理，按照区域水资源规划在近期园区供水水源采用地表水的基础上，会对园区企业排放废水先经企业自行处理达到《污水综合排放标准》三级标准后排入园区排水管道，最后进入园区污水处理厂，出水水质达到《城镇污水处理厂污染物排放标准》（GB18918-2002）一级 B 标准，符合《城市杂用水水质标准（绿化）》（GB/T18920-2002），在园区作为防护林绿化用水使用后，多余废水排放至50公里外的荒漠区作为生态恢复用水，在保证污水处理厂处理达标排放情况下，对荒漠区的生态恢复将产生积极影响。</w:t>
                  </w:r>
                </w:p>
              </w:tc>
              <w:tc>
                <w:tcPr>
                  <w:tcW w:w="1446" w:type="pct"/>
                  <w:tcBorders>
                    <w:tl2br w:val="nil"/>
                    <w:tr2bl w:val="nil"/>
                  </w:tcBorders>
                  <w:noWrap w:val="0"/>
                  <w:vAlign w:val="center"/>
                </w:tcPr>
                <w:p w14:paraId="264F65A2">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本项目无废水产生及排放。</w:t>
                  </w:r>
                </w:p>
              </w:tc>
              <w:tc>
                <w:tcPr>
                  <w:tcW w:w="660" w:type="pct"/>
                  <w:tcBorders>
                    <w:tl2br w:val="nil"/>
                    <w:tr2bl w:val="nil"/>
                  </w:tcBorders>
                  <w:noWrap w:val="0"/>
                  <w:vAlign w:val="center"/>
                </w:tcPr>
                <w:p w14:paraId="6E2A6B58">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符合</w:t>
                  </w:r>
                </w:p>
              </w:tc>
            </w:tr>
            <w:tr w14:paraId="79BFBF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1" w:type="pct"/>
                  <w:vMerge w:val="continue"/>
                  <w:tcBorders>
                    <w:tl2br w:val="nil"/>
                    <w:tr2bl w:val="nil"/>
                  </w:tcBorders>
                  <w:noWrap w:val="0"/>
                  <w:vAlign w:val="center"/>
                </w:tcPr>
                <w:p w14:paraId="74551AC1">
                  <w:pPr>
                    <w:keepNext w:val="0"/>
                    <w:keepLines w:val="0"/>
                    <w:pageBreakBefore w:val="0"/>
                    <w:numPr>
                      <w:ilvl w:val="0"/>
                      <w:numId w:val="0"/>
                    </w:numPr>
                    <w:tabs>
                      <w:tab w:val="left" w:pos="0"/>
                    </w:tabs>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rPr>
                  </w:pPr>
                </w:p>
              </w:tc>
              <w:tc>
                <w:tcPr>
                  <w:tcW w:w="2101" w:type="pct"/>
                  <w:tcBorders>
                    <w:tl2br w:val="nil"/>
                    <w:tr2bl w:val="nil"/>
                  </w:tcBorders>
                  <w:noWrap w:val="0"/>
                  <w:vAlign w:val="center"/>
                </w:tcPr>
                <w:p w14:paraId="53574EE9">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（3）声环境影响</w:t>
                  </w:r>
                </w:p>
                <w:p w14:paraId="336E982E">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both"/>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工业园区声环境现状符合《声环境质量标准》（GB3096-2008）中的相应标准。随着工业园区的建设，一些隔音降噪措施采用后区域声环境质量状况亦能够满足GB3096-2008 中的相应标准要求。同时工业园区道路两侧、边界都设置了较宽的绿化带，可有效降低噪声的影响，保障区域声环境质量满足功能区划的要求。</w:t>
                  </w:r>
                </w:p>
              </w:tc>
              <w:tc>
                <w:tcPr>
                  <w:tcW w:w="1446" w:type="pct"/>
                  <w:tcBorders>
                    <w:tl2br w:val="nil"/>
                    <w:tr2bl w:val="nil"/>
                  </w:tcBorders>
                  <w:noWrap w:val="0"/>
                  <w:vAlign w:val="center"/>
                </w:tcPr>
                <w:p w14:paraId="56D811B6">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本项目运营期噪声主要为运输车辆产生的噪声，通过车辆减速慢行等措施，对周围环境影响较小。</w:t>
                  </w:r>
                </w:p>
              </w:tc>
              <w:tc>
                <w:tcPr>
                  <w:tcW w:w="660" w:type="pct"/>
                  <w:tcBorders>
                    <w:tl2br w:val="nil"/>
                    <w:tr2bl w:val="nil"/>
                  </w:tcBorders>
                  <w:noWrap w:val="0"/>
                  <w:vAlign w:val="center"/>
                </w:tcPr>
                <w:p w14:paraId="695B73D5">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符合</w:t>
                  </w:r>
                </w:p>
              </w:tc>
            </w:tr>
            <w:tr w14:paraId="00FAC1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1" w:type="pct"/>
                  <w:vMerge w:val="continue"/>
                  <w:tcBorders>
                    <w:tl2br w:val="nil"/>
                    <w:tr2bl w:val="nil"/>
                  </w:tcBorders>
                  <w:noWrap w:val="0"/>
                  <w:vAlign w:val="center"/>
                </w:tcPr>
                <w:p w14:paraId="6593338E">
                  <w:pPr>
                    <w:keepNext w:val="0"/>
                    <w:keepLines w:val="0"/>
                    <w:pageBreakBefore w:val="0"/>
                    <w:numPr>
                      <w:ilvl w:val="0"/>
                      <w:numId w:val="0"/>
                    </w:numPr>
                    <w:tabs>
                      <w:tab w:val="left" w:pos="0"/>
                    </w:tabs>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rPr>
                  </w:pPr>
                </w:p>
              </w:tc>
              <w:tc>
                <w:tcPr>
                  <w:tcW w:w="2101" w:type="pct"/>
                  <w:tcBorders>
                    <w:tl2br w:val="nil"/>
                    <w:tr2bl w:val="nil"/>
                  </w:tcBorders>
                  <w:noWrap w:val="0"/>
                  <w:vAlign w:val="center"/>
                </w:tcPr>
                <w:p w14:paraId="4E295E6D">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（4）固体废弃物环境影响工业区固废收集、处置系统建成后，生活垃圾、工业固体废物可实现及时清运、填埋。</w:t>
                  </w:r>
                </w:p>
              </w:tc>
              <w:tc>
                <w:tcPr>
                  <w:tcW w:w="1446" w:type="pct"/>
                  <w:tcBorders>
                    <w:tl2br w:val="nil"/>
                    <w:tr2bl w:val="nil"/>
                  </w:tcBorders>
                  <w:noWrap w:val="0"/>
                  <w:vAlign w:val="center"/>
                </w:tcPr>
                <w:p w14:paraId="4C1B098D">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本项目产生的危险废物主要为实验室废液、</w:t>
                  </w:r>
                  <w:r>
                    <w:rPr>
                      <w:rFonts w:hint="default" w:ascii="Times New Roman" w:hAnsi="Times New Roman" w:cs="Times New Roman" w:eastAsiaTheme="minorEastAsia"/>
                      <w:color w:val="auto"/>
                      <w:kern w:val="0"/>
                      <w:sz w:val="21"/>
                      <w:szCs w:val="21"/>
                      <w:lang w:val="en-US" w:eastAsia="zh-CN" w:bidi="ar"/>
                    </w:rPr>
                    <w:t>过期废试剂、</w:t>
                  </w:r>
                  <w:r>
                    <w:rPr>
                      <w:rFonts w:hint="default" w:ascii="Times New Roman" w:hAnsi="Times New Roman" w:cs="Times New Roman" w:eastAsiaTheme="minorEastAsia"/>
                      <w:color w:val="auto"/>
                      <w:sz w:val="21"/>
                      <w:szCs w:val="21"/>
                      <w:highlight w:val="none"/>
                      <w:lang w:val="en-US" w:eastAsia="zh-CN"/>
                    </w:rPr>
                    <w:t>废试剂瓶，集中收集后由有资质单位处置。</w:t>
                  </w:r>
                </w:p>
              </w:tc>
              <w:tc>
                <w:tcPr>
                  <w:tcW w:w="660" w:type="pct"/>
                  <w:tcBorders>
                    <w:tl2br w:val="nil"/>
                    <w:tr2bl w:val="nil"/>
                  </w:tcBorders>
                  <w:noWrap w:val="0"/>
                  <w:vAlign w:val="center"/>
                </w:tcPr>
                <w:p w14:paraId="1ADCCFF2">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符合</w:t>
                  </w:r>
                </w:p>
              </w:tc>
            </w:tr>
            <w:tr w14:paraId="449C7A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1" w:type="pct"/>
                  <w:vMerge w:val="restart"/>
                  <w:tcBorders>
                    <w:tl2br w:val="nil"/>
                    <w:tr2bl w:val="nil"/>
                  </w:tcBorders>
                  <w:noWrap w:val="0"/>
                  <w:vAlign w:val="center"/>
                </w:tcPr>
                <w:p w14:paraId="4CABAD89">
                  <w:pPr>
                    <w:keepNext w:val="0"/>
                    <w:keepLines w:val="0"/>
                    <w:pageBreakBefore w:val="0"/>
                    <w:numPr>
                      <w:ilvl w:val="0"/>
                      <w:numId w:val="0"/>
                    </w:numPr>
                    <w:tabs>
                      <w:tab w:val="left" w:pos="0"/>
                    </w:tabs>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《昌吉高新技术产业开发区总体规划（2014-2030年）环境影响报告书》审查意见</w:t>
                  </w:r>
                </w:p>
              </w:tc>
              <w:tc>
                <w:tcPr>
                  <w:tcW w:w="2101" w:type="pct"/>
                  <w:tcBorders>
                    <w:tl2br w:val="nil"/>
                    <w:tr2bl w:val="nil"/>
                  </w:tcBorders>
                  <w:noWrap w:val="0"/>
                  <w:vAlign w:val="center"/>
                </w:tcPr>
                <w:p w14:paraId="24B34D9E">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1）园区发展定位：园区经过多年的不断建设和发展，已经形成以输变电装备，农牧机械装备，工程机械装备为主的先进装备制造业、以农副产品深加工，清真食品为主的生物科技和食品产业、以铝深加工产业链为主的新材料</w:t>
                  </w:r>
                  <w:r>
                    <w:rPr>
                      <w:rFonts w:hint="eastAsia" w:cs="Times New Roman" w:eastAsiaTheme="minorEastAsia"/>
                      <w:color w:val="auto"/>
                      <w:lang w:eastAsia="zh-CN"/>
                    </w:rPr>
                    <w:t>产业</w:t>
                  </w:r>
                  <w:r>
                    <w:rPr>
                      <w:rFonts w:hint="default" w:ascii="Times New Roman" w:hAnsi="Times New Roman" w:cs="Times New Roman" w:eastAsiaTheme="minorEastAsia"/>
                      <w:color w:val="auto"/>
                    </w:rPr>
                    <w:t>，以教育培训、现代物流、总部经济、安防监控服务、科技金融等现代服务业为配套。是</w:t>
                  </w:r>
                  <w:r>
                    <w:rPr>
                      <w:rFonts w:hint="eastAsia" w:cs="Times New Roman" w:eastAsiaTheme="minorEastAsia"/>
                      <w:color w:val="auto"/>
                      <w:lang w:eastAsia="zh-CN"/>
                    </w:rPr>
                    <w:t>新疆维吾尔自治区</w:t>
                  </w:r>
                  <w:r>
                    <w:rPr>
                      <w:rFonts w:hint="default" w:ascii="Times New Roman" w:hAnsi="Times New Roman" w:cs="Times New Roman" w:eastAsiaTheme="minorEastAsia"/>
                      <w:color w:val="auto"/>
                    </w:rPr>
                    <w:t>重要先进制造业基地，昌吉州生产性服务业创新中心</w:t>
                  </w:r>
                  <w:r>
                    <w:rPr>
                      <w:rFonts w:hint="default" w:ascii="Times New Roman" w:hAnsi="Times New Roman" w:cs="Times New Roman" w:eastAsiaTheme="minorEastAsia"/>
                      <w:color w:val="auto"/>
                      <w:lang w:eastAsia="zh-CN"/>
                    </w:rPr>
                    <w:t>。</w:t>
                  </w:r>
                </w:p>
              </w:tc>
              <w:tc>
                <w:tcPr>
                  <w:tcW w:w="1446" w:type="pct"/>
                  <w:tcBorders>
                    <w:tl2br w:val="nil"/>
                    <w:tr2bl w:val="nil"/>
                  </w:tcBorders>
                  <w:noWrap w:val="0"/>
                  <w:vAlign w:val="center"/>
                </w:tcPr>
                <w:p w14:paraId="4D5E7BE0">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本项目是昌吉职业技术学院的配套设施项目，属于教育园，与园区产业规划相符合。</w:t>
                  </w:r>
                </w:p>
              </w:tc>
              <w:tc>
                <w:tcPr>
                  <w:tcW w:w="660" w:type="pct"/>
                  <w:tcBorders>
                    <w:tl2br w:val="nil"/>
                    <w:tr2bl w:val="nil"/>
                  </w:tcBorders>
                  <w:noWrap w:val="0"/>
                  <w:vAlign w:val="center"/>
                </w:tcPr>
                <w:p w14:paraId="4C497B93">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符合</w:t>
                  </w:r>
                </w:p>
              </w:tc>
            </w:tr>
            <w:tr w14:paraId="610D61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1" w:type="pct"/>
                  <w:vMerge w:val="continue"/>
                  <w:tcBorders>
                    <w:tl2br w:val="nil"/>
                    <w:tr2bl w:val="nil"/>
                  </w:tcBorders>
                  <w:noWrap w:val="0"/>
                  <w:vAlign w:val="center"/>
                </w:tcPr>
                <w:p w14:paraId="2C64E1E3">
                  <w:pPr>
                    <w:keepNext w:val="0"/>
                    <w:keepLines w:val="0"/>
                    <w:pageBreakBefore w:val="0"/>
                    <w:numPr>
                      <w:ilvl w:val="0"/>
                      <w:numId w:val="0"/>
                    </w:numPr>
                    <w:tabs>
                      <w:tab w:val="left" w:pos="0"/>
                    </w:tabs>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rPr>
                  </w:pPr>
                </w:p>
              </w:tc>
              <w:tc>
                <w:tcPr>
                  <w:tcW w:w="2101" w:type="pct"/>
                  <w:tcBorders>
                    <w:tl2br w:val="nil"/>
                    <w:tr2bl w:val="nil"/>
                  </w:tcBorders>
                  <w:noWrap w:val="0"/>
                  <w:vAlign w:val="center"/>
                </w:tcPr>
                <w:p w14:paraId="30DD3EF6">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（2）坚持实行入园企业环保准入审核制度，与产业定位方向不符的项目一律不得入园，对于入园的建设项目必须开展建设项目环境影响评价，并严格执行建设项目“三同时”环境管理制度。</w:t>
                  </w:r>
                </w:p>
              </w:tc>
              <w:tc>
                <w:tcPr>
                  <w:tcW w:w="1446" w:type="pct"/>
                  <w:tcBorders>
                    <w:tl2br w:val="nil"/>
                    <w:tr2bl w:val="nil"/>
                  </w:tcBorders>
                  <w:noWrap w:val="0"/>
                  <w:vAlign w:val="center"/>
                </w:tcPr>
                <w:p w14:paraId="4FDAE316">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本项目正在办理环评手续，并严格执行建设项目“三同时”环境管理制度。</w:t>
                  </w:r>
                </w:p>
              </w:tc>
              <w:tc>
                <w:tcPr>
                  <w:tcW w:w="660" w:type="pct"/>
                  <w:tcBorders>
                    <w:tl2br w:val="nil"/>
                    <w:tr2bl w:val="nil"/>
                  </w:tcBorders>
                  <w:noWrap w:val="0"/>
                  <w:vAlign w:val="center"/>
                </w:tcPr>
                <w:p w14:paraId="1F111AE6">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符合</w:t>
                  </w:r>
                </w:p>
              </w:tc>
            </w:tr>
            <w:tr w14:paraId="2C6D79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1" w:type="pct"/>
                  <w:vMerge w:val="continue"/>
                  <w:tcBorders>
                    <w:tl2br w:val="nil"/>
                    <w:tr2bl w:val="nil"/>
                  </w:tcBorders>
                  <w:noWrap w:val="0"/>
                  <w:vAlign w:val="center"/>
                </w:tcPr>
                <w:p w14:paraId="11B717FC">
                  <w:pPr>
                    <w:keepNext w:val="0"/>
                    <w:keepLines w:val="0"/>
                    <w:pageBreakBefore w:val="0"/>
                    <w:numPr>
                      <w:ilvl w:val="0"/>
                      <w:numId w:val="0"/>
                    </w:numPr>
                    <w:tabs>
                      <w:tab w:val="left" w:pos="0"/>
                    </w:tabs>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rPr>
                  </w:pPr>
                </w:p>
              </w:tc>
              <w:tc>
                <w:tcPr>
                  <w:tcW w:w="2101" w:type="pct"/>
                  <w:tcBorders>
                    <w:tl2br w:val="nil"/>
                    <w:tr2bl w:val="nil"/>
                  </w:tcBorders>
                  <w:noWrap w:val="0"/>
                  <w:vAlign w:val="center"/>
                </w:tcPr>
                <w:p w14:paraId="13D3256B">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（3）园区范围内企业，应办理合法的环保手续，不符合园区规划布局、产业定位的企业应予以搬迁。园区项目须严格落实污染物总量控制要求，提出污染物减排具体方案和保障措施。</w:t>
                  </w:r>
                </w:p>
              </w:tc>
              <w:tc>
                <w:tcPr>
                  <w:tcW w:w="1446" w:type="pct"/>
                  <w:tcBorders>
                    <w:tl2br w:val="nil"/>
                    <w:tr2bl w:val="nil"/>
                  </w:tcBorders>
                  <w:noWrap w:val="0"/>
                  <w:vAlign w:val="center"/>
                </w:tcPr>
                <w:p w14:paraId="180228B8">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本项目位于昌吉职业技术学院内，符合园区规划。本项目仅产生微量废气无组织排放；无废水产生及排放；项目噪声主要为运输车辆产生的噪声，通过车辆减速慢行等措施来减噪；实验室废液</w:t>
                  </w:r>
                  <w:r>
                    <w:rPr>
                      <w:rFonts w:hint="default" w:ascii="Times New Roman" w:hAnsi="Times New Roman" w:cs="Times New Roman" w:eastAsiaTheme="minorEastAsia"/>
                      <w:color w:val="auto"/>
                      <w:kern w:val="0"/>
                      <w:sz w:val="21"/>
                      <w:szCs w:val="21"/>
                      <w:lang w:val="en-US" w:eastAsia="zh-CN" w:bidi="ar"/>
                    </w:rPr>
                    <w:t>、过期废试剂</w:t>
                  </w:r>
                  <w:r>
                    <w:rPr>
                      <w:rFonts w:hint="default" w:ascii="Times New Roman" w:hAnsi="Times New Roman" w:cs="Times New Roman" w:eastAsiaTheme="minorEastAsia"/>
                      <w:color w:val="auto"/>
                      <w:sz w:val="21"/>
                      <w:szCs w:val="21"/>
                      <w:highlight w:val="none"/>
                      <w:lang w:val="en-US" w:eastAsia="zh-CN"/>
                    </w:rPr>
                    <w:t>、废试剂瓶，集中收集后由有资质单位处置。</w:t>
                  </w:r>
                </w:p>
              </w:tc>
              <w:tc>
                <w:tcPr>
                  <w:tcW w:w="660" w:type="pct"/>
                  <w:tcBorders>
                    <w:tl2br w:val="nil"/>
                    <w:tr2bl w:val="nil"/>
                  </w:tcBorders>
                  <w:noWrap w:val="0"/>
                  <w:vAlign w:val="center"/>
                </w:tcPr>
                <w:p w14:paraId="1F84B7B4">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符合</w:t>
                  </w:r>
                </w:p>
              </w:tc>
            </w:tr>
            <w:tr w14:paraId="6D4A46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1" w:type="pct"/>
                  <w:vMerge w:val="continue"/>
                  <w:tcBorders>
                    <w:tl2br w:val="nil"/>
                    <w:tr2bl w:val="nil"/>
                  </w:tcBorders>
                  <w:noWrap w:val="0"/>
                  <w:vAlign w:val="center"/>
                </w:tcPr>
                <w:p w14:paraId="23945EE8">
                  <w:pPr>
                    <w:keepNext w:val="0"/>
                    <w:keepLines w:val="0"/>
                    <w:pageBreakBefore w:val="0"/>
                    <w:numPr>
                      <w:ilvl w:val="0"/>
                      <w:numId w:val="0"/>
                    </w:numPr>
                    <w:tabs>
                      <w:tab w:val="left" w:pos="0"/>
                    </w:tabs>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rPr>
                  </w:pPr>
                </w:p>
              </w:tc>
              <w:tc>
                <w:tcPr>
                  <w:tcW w:w="2101" w:type="pct"/>
                  <w:tcBorders>
                    <w:tl2br w:val="nil"/>
                    <w:tr2bl w:val="nil"/>
                  </w:tcBorders>
                  <w:noWrap w:val="0"/>
                  <w:vAlign w:val="center"/>
                </w:tcPr>
                <w:p w14:paraId="3EB09F4E">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rPr>
                    <w:t>（4）加快基础设施建设，优先建设集中供热设施；企业生活、生产废水须经处理达到相应标准后，方可排入园区污水处理厂；严格按照国家有关规定进行危险废物贮存、处理和处置，产生的固废优先综合利用，不能利用的按规范安全处置</w:t>
                  </w:r>
                  <w:r>
                    <w:rPr>
                      <w:rFonts w:hint="default" w:ascii="Times New Roman" w:hAnsi="Times New Roman" w:cs="Times New Roman" w:eastAsiaTheme="minorEastAsia"/>
                      <w:color w:val="auto"/>
                      <w:lang w:eastAsia="zh-CN"/>
                    </w:rPr>
                    <w:t>。</w:t>
                  </w:r>
                </w:p>
              </w:tc>
              <w:tc>
                <w:tcPr>
                  <w:tcW w:w="1446" w:type="pct"/>
                  <w:tcBorders>
                    <w:tl2br w:val="nil"/>
                    <w:tr2bl w:val="nil"/>
                  </w:tcBorders>
                  <w:noWrap w:val="0"/>
                  <w:vAlign w:val="center"/>
                </w:tcPr>
                <w:p w14:paraId="1A5067C7">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本项目无废水产生及排放。</w:t>
                  </w:r>
                </w:p>
              </w:tc>
              <w:tc>
                <w:tcPr>
                  <w:tcW w:w="660" w:type="pct"/>
                  <w:tcBorders>
                    <w:tl2br w:val="nil"/>
                    <w:tr2bl w:val="nil"/>
                  </w:tcBorders>
                  <w:noWrap w:val="0"/>
                  <w:vAlign w:val="center"/>
                </w:tcPr>
                <w:p w14:paraId="2C6A0AF9">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符合</w:t>
                  </w:r>
                </w:p>
              </w:tc>
            </w:tr>
            <w:tr w14:paraId="14DBF5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1" w:type="pct"/>
                  <w:vMerge w:val="continue"/>
                  <w:tcBorders>
                    <w:tl2br w:val="nil"/>
                    <w:tr2bl w:val="nil"/>
                  </w:tcBorders>
                  <w:noWrap w:val="0"/>
                  <w:vAlign w:val="center"/>
                </w:tcPr>
                <w:p w14:paraId="7216415F">
                  <w:pPr>
                    <w:keepNext w:val="0"/>
                    <w:keepLines w:val="0"/>
                    <w:pageBreakBefore w:val="0"/>
                    <w:numPr>
                      <w:ilvl w:val="0"/>
                      <w:numId w:val="0"/>
                    </w:numPr>
                    <w:tabs>
                      <w:tab w:val="left" w:pos="0"/>
                    </w:tabs>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rPr>
                  </w:pPr>
                </w:p>
              </w:tc>
              <w:tc>
                <w:tcPr>
                  <w:tcW w:w="2101" w:type="pct"/>
                  <w:tcBorders>
                    <w:tl2br w:val="nil"/>
                    <w:tr2bl w:val="nil"/>
                  </w:tcBorders>
                  <w:noWrap w:val="0"/>
                  <w:vAlign w:val="center"/>
                </w:tcPr>
                <w:p w14:paraId="332CCF2B">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（5）严格设置园区企业的环境准入标准，积极开展清洁生产审核，入园企业的清洁生产水平必须达到国内先进水平，与园区产业类型不相符合达不到环境准入条件的建设项目禁入园区。</w:t>
                  </w:r>
                </w:p>
              </w:tc>
              <w:tc>
                <w:tcPr>
                  <w:tcW w:w="1446" w:type="pct"/>
                  <w:tcBorders>
                    <w:tl2br w:val="nil"/>
                    <w:tr2bl w:val="nil"/>
                  </w:tcBorders>
                  <w:noWrap w:val="0"/>
                  <w:vAlign w:val="center"/>
                </w:tcPr>
                <w:p w14:paraId="41123414">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lang w:val="en-US" w:eastAsia="zh-CN"/>
                    </w:rPr>
                    <w:t>本项目是昌吉职业技术学院的配套设施项目，与园区产业规划相符合，符合</w:t>
                  </w:r>
                  <w:r>
                    <w:rPr>
                      <w:rFonts w:hint="default" w:ascii="Times New Roman" w:hAnsi="Times New Roman" w:cs="Times New Roman" w:eastAsiaTheme="minorEastAsia"/>
                      <w:color w:val="auto"/>
                    </w:rPr>
                    <w:t>园区企业的环境准入标准</w:t>
                  </w:r>
                  <w:r>
                    <w:rPr>
                      <w:rFonts w:hint="default" w:ascii="Times New Roman" w:hAnsi="Times New Roman" w:cs="Times New Roman" w:eastAsiaTheme="minorEastAsia"/>
                      <w:color w:val="auto"/>
                      <w:lang w:val="en-US" w:eastAsia="zh-CN"/>
                    </w:rPr>
                    <w:t>。</w:t>
                  </w:r>
                </w:p>
              </w:tc>
              <w:tc>
                <w:tcPr>
                  <w:tcW w:w="660" w:type="pct"/>
                  <w:tcBorders>
                    <w:tl2br w:val="nil"/>
                    <w:tr2bl w:val="nil"/>
                  </w:tcBorders>
                  <w:noWrap w:val="0"/>
                  <w:vAlign w:val="center"/>
                </w:tcPr>
                <w:p w14:paraId="64D87E6A">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符合</w:t>
                  </w:r>
                </w:p>
              </w:tc>
            </w:tr>
            <w:tr w14:paraId="57606B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1" w:type="pct"/>
                  <w:vMerge w:val="continue"/>
                  <w:tcBorders>
                    <w:tl2br w:val="nil"/>
                    <w:tr2bl w:val="nil"/>
                  </w:tcBorders>
                  <w:noWrap w:val="0"/>
                  <w:vAlign w:val="center"/>
                </w:tcPr>
                <w:p w14:paraId="39F28268">
                  <w:pPr>
                    <w:keepNext w:val="0"/>
                    <w:keepLines w:val="0"/>
                    <w:pageBreakBefore w:val="0"/>
                    <w:numPr>
                      <w:ilvl w:val="0"/>
                      <w:numId w:val="0"/>
                    </w:numPr>
                    <w:tabs>
                      <w:tab w:val="left" w:pos="0"/>
                    </w:tabs>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rPr>
                  </w:pPr>
                </w:p>
              </w:tc>
              <w:tc>
                <w:tcPr>
                  <w:tcW w:w="2101" w:type="pct"/>
                  <w:tcBorders>
                    <w:tl2br w:val="nil"/>
                    <w:tr2bl w:val="nil"/>
                  </w:tcBorders>
                  <w:noWrap w:val="0"/>
                  <w:vAlign w:val="center"/>
                </w:tcPr>
                <w:p w14:paraId="1FD7B252">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（6）大力发展园区循环经济，制定切实可行的一般固体废物、危险废物和生产废水综合利用方案，提高资源利用效率。严格落实污染物总量控制要求，提出污染物减排具体方案及保障措施。</w:t>
                  </w:r>
                </w:p>
              </w:tc>
              <w:tc>
                <w:tcPr>
                  <w:tcW w:w="1446" w:type="pct"/>
                  <w:tcBorders>
                    <w:tl2br w:val="nil"/>
                    <w:tr2bl w:val="nil"/>
                  </w:tcBorders>
                  <w:noWrap w:val="0"/>
                  <w:vAlign w:val="center"/>
                </w:tcPr>
                <w:p w14:paraId="06165FBA">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本项目贮存的危险废物主要为实验室废液</w:t>
                  </w:r>
                  <w:r>
                    <w:rPr>
                      <w:rFonts w:hint="default" w:ascii="Times New Roman" w:hAnsi="Times New Roman" w:cs="Times New Roman" w:eastAsiaTheme="minorEastAsia"/>
                      <w:color w:val="auto"/>
                      <w:kern w:val="0"/>
                      <w:sz w:val="21"/>
                      <w:szCs w:val="21"/>
                      <w:lang w:val="en-US" w:eastAsia="zh-CN" w:bidi="ar"/>
                    </w:rPr>
                    <w:t>、过期废试剂</w:t>
                  </w:r>
                  <w:r>
                    <w:rPr>
                      <w:rFonts w:hint="default" w:ascii="Times New Roman" w:hAnsi="Times New Roman" w:cs="Times New Roman" w:eastAsiaTheme="minorEastAsia"/>
                      <w:color w:val="auto"/>
                      <w:sz w:val="21"/>
                      <w:szCs w:val="21"/>
                      <w:highlight w:val="none"/>
                      <w:lang w:val="en-US" w:eastAsia="zh-CN"/>
                    </w:rPr>
                    <w:t>、废试剂瓶，集中收集后由有资质单位处置。</w:t>
                  </w:r>
                </w:p>
              </w:tc>
              <w:tc>
                <w:tcPr>
                  <w:tcW w:w="660" w:type="pct"/>
                  <w:tcBorders>
                    <w:tl2br w:val="nil"/>
                    <w:tr2bl w:val="nil"/>
                  </w:tcBorders>
                  <w:noWrap w:val="0"/>
                  <w:vAlign w:val="center"/>
                </w:tcPr>
                <w:p w14:paraId="4855C268">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符合</w:t>
                  </w:r>
                </w:p>
              </w:tc>
            </w:tr>
            <w:tr w14:paraId="172ACF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1" w:type="pct"/>
                  <w:vMerge w:val="continue"/>
                  <w:tcBorders>
                    <w:tl2br w:val="nil"/>
                    <w:tr2bl w:val="nil"/>
                  </w:tcBorders>
                  <w:noWrap w:val="0"/>
                  <w:vAlign w:val="center"/>
                </w:tcPr>
                <w:p w14:paraId="4783730E">
                  <w:pPr>
                    <w:keepNext w:val="0"/>
                    <w:keepLines w:val="0"/>
                    <w:pageBreakBefore w:val="0"/>
                    <w:numPr>
                      <w:ilvl w:val="0"/>
                      <w:numId w:val="0"/>
                    </w:numPr>
                    <w:tabs>
                      <w:tab w:val="left" w:pos="0"/>
                    </w:tabs>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rPr>
                  </w:pPr>
                </w:p>
              </w:tc>
              <w:tc>
                <w:tcPr>
                  <w:tcW w:w="2101" w:type="pct"/>
                  <w:tcBorders>
                    <w:tl2br w:val="nil"/>
                    <w:tr2bl w:val="nil"/>
                  </w:tcBorders>
                  <w:noWrap w:val="0"/>
                  <w:vAlign w:val="center"/>
                </w:tcPr>
                <w:p w14:paraId="5EDA1B19">
                  <w:pPr>
                    <w:keepNext w:val="0"/>
                    <w:keepLines w:val="0"/>
                    <w:pageBreakBefore w:val="0"/>
                    <w:widowControl/>
                    <w:numPr>
                      <w:ilvl w:val="0"/>
                      <w:numId w:val="0"/>
                    </w:numPr>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7）建立健全环境管理机构，完善各种环境管理制度、环境风险防控体系、污染防治制度和环境监控体系，确保环境安全。在园区基础设施和企业建设项目运营管理中须制定并落实事故风险防范措施和应急预案，配套完善的运行管理设施，防止污染事故的发生。</w:t>
                  </w:r>
                </w:p>
              </w:tc>
              <w:tc>
                <w:tcPr>
                  <w:tcW w:w="1446" w:type="pct"/>
                  <w:tcBorders>
                    <w:tl2br w:val="nil"/>
                    <w:tr2bl w:val="nil"/>
                  </w:tcBorders>
                  <w:noWrap w:val="0"/>
                  <w:vAlign w:val="center"/>
                </w:tcPr>
                <w:p w14:paraId="4808BE09">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本环评建议企业编制突发环境事件应急预案。</w:t>
                  </w:r>
                </w:p>
              </w:tc>
              <w:tc>
                <w:tcPr>
                  <w:tcW w:w="660" w:type="pct"/>
                  <w:tcBorders>
                    <w:tl2br w:val="nil"/>
                    <w:tr2bl w:val="nil"/>
                  </w:tcBorders>
                  <w:noWrap w:val="0"/>
                  <w:vAlign w:val="center"/>
                </w:tcPr>
                <w:p w14:paraId="64491CB5">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符合</w:t>
                  </w:r>
                </w:p>
              </w:tc>
            </w:tr>
          </w:tbl>
          <w:p w14:paraId="51A0FC4B">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pacing w:val="0"/>
                <w:kern w:val="21"/>
                <w:sz w:val="24"/>
                <w:szCs w:val="24"/>
                <w:lang w:val="en-US" w:eastAsia="zh-CN"/>
              </w:rPr>
            </w:pPr>
            <w:r>
              <w:rPr>
                <w:rFonts w:hint="default" w:ascii="Times New Roman" w:hAnsi="Times New Roman" w:cs="Times New Roman" w:eastAsiaTheme="minorEastAsia"/>
                <w:color w:val="auto"/>
                <w:sz w:val="24"/>
                <w:lang w:val="en-US" w:eastAsia="zh-CN"/>
              </w:rPr>
              <w:t>综上所述，</w:t>
            </w:r>
            <w:r>
              <w:rPr>
                <w:rFonts w:hint="default" w:ascii="Times New Roman" w:hAnsi="Times New Roman" w:cs="Times New Roman" w:eastAsiaTheme="minorEastAsia"/>
                <w:color w:val="auto"/>
                <w:sz w:val="24"/>
                <w:lang w:eastAsia="zh-CN"/>
              </w:rPr>
              <w:t>本项目的建设符合园区规划环评</w:t>
            </w:r>
            <w:r>
              <w:rPr>
                <w:rFonts w:hint="default" w:ascii="Times New Roman" w:hAnsi="Times New Roman" w:cs="Times New Roman" w:eastAsiaTheme="minorEastAsia"/>
                <w:color w:val="auto"/>
                <w:sz w:val="24"/>
                <w:lang w:val="en-US" w:eastAsia="zh-CN"/>
              </w:rPr>
              <w:t>及审查意见中提出的环境影响减缓对策与措施</w:t>
            </w:r>
            <w:r>
              <w:rPr>
                <w:rFonts w:hint="default" w:ascii="Times New Roman" w:hAnsi="Times New Roman" w:cs="Times New Roman" w:eastAsiaTheme="minorEastAsia"/>
                <w:color w:val="auto"/>
                <w:sz w:val="24"/>
                <w:lang w:eastAsia="zh-CN"/>
              </w:rPr>
              <w:t>要求。</w:t>
            </w:r>
          </w:p>
        </w:tc>
      </w:tr>
      <w:tr w14:paraId="1B5B8E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49" w:type="dxa"/>
            <w:noWrap w:val="0"/>
            <w:vAlign w:val="center"/>
          </w:tcPr>
          <w:p w14:paraId="4200959F">
            <w:pPr>
              <w:pageBreakBefore w:val="0"/>
              <w:kinsoku/>
              <w:autoSpaceDE w:val="0"/>
              <w:autoSpaceDN w:val="0"/>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Cs w:val="21"/>
              </w:rPr>
            </w:pPr>
            <w:r>
              <w:rPr>
                <w:rFonts w:hint="default" w:ascii="Times New Roman" w:hAnsi="Times New Roman" w:cs="Times New Roman" w:eastAsiaTheme="minorEastAsia"/>
                <w:color w:val="auto"/>
                <w:kern w:val="0"/>
                <w:sz w:val="24"/>
                <w:szCs w:val="24"/>
              </w:rPr>
              <w:t>其他符合性分析</w:t>
            </w:r>
          </w:p>
        </w:tc>
        <w:tc>
          <w:tcPr>
            <w:tcW w:w="7021" w:type="dxa"/>
            <w:gridSpan w:val="3"/>
            <w:noWrap w:val="0"/>
            <w:vAlign w:val="center"/>
          </w:tcPr>
          <w:p w14:paraId="7B2912D2">
            <w:pPr>
              <w:pageBreakBefore w:val="0"/>
              <w:kinsoku/>
              <w:autoSpaceDE w:val="0"/>
              <w:autoSpaceDN w:val="0"/>
              <w:bidi w:val="0"/>
              <w:adjustRightInd w:val="0"/>
              <w:snapToGrid w:val="0"/>
              <w:spacing w:beforeAutospacing="0" w:afterAutospacing="0" w:line="360" w:lineRule="auto"/>
              <w:ind w:left="0" w:leftChars="0" w:right="0" w:rightChars="0"/>
              <w:rPr>
                <w:rFonts w:hint="default" w:ascii="Times New Roman" w:hAnsi="Times New Roman" w:cs="Times New Roman" w:eastAsiaTheme="minorEastAsia"/>
                <w:b/>
                <w:bCs/>
                <w:color w:val="auto"/>
                <w:spacing w:val="0"/>
                <w:kern w:val="21"/>
                <w:sz w:val="24"/>
                <w:szCs w:val="24"/>
                <w:lang w:val="en-US" w:eastAsia="zh-CN"/>
              </w:rPr>
            </w:pPr>
            <w:r>
              <w:rPr>
                <w:rFonts w:hint="default" w:ascii="Times New Roman" w:hAnsi="Times New Roman" w:cs="Times New Roman" w:eastAsiaTheme="minorEastAsia"/>
                <w:b/>
                <w:bCs/>
                <w:color w:val="auto"/>
                <w:spacing w:val="0"/>
                <w:kern w:val="21"/>
                <w:sz w:val="24"/>
                <w:szCs w:val="24"/>
                <w:lang w:val="en-US" w:eastAsia="zh-CN"/>
              </w:rPr>
              <w:t>1.产业政策符合性分析</w:t>
            </w:r>
          </w:p>
          <w:p w14:paraId="7416E134">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2"/>
              <w:jc w:val="both"/>
              <w:textAlignment w:val="auto"/>
              <w:rPr>
                <w:rFonts w:hint="default" w:ascii="Times New Roman" w:hAnsi="Times New Roman" w:cs="Times New Roman" w:eastAsiaTheme="minorEastAsia"/>
                <w:color w:val="auto"/>
                <w:spacing w:val="0"/>
                <w:kern w:val="21"/>
                <w:sz w:val="24"/>
                <w:szCs w:val="24"/>
                <w:lang w:val="en-US" w:eastAsia="zh-CN"/>
              </w:rPr>
            </w:pPr>
            <w:r>
              <w:rPr>
                <w:rFonts w:hint="default" w:ascii="Times New Roman" w:hAnsi="Times New Roman" w:cs="Times New Roman" w:eastAsiaTheme="minorEastAsia"/>
                <w:color w:val="auto"/>
                <w:sz w:val="24"/>
              </w:rPr>
              <w:t>本项目</w:t>
            </w:r>
            <w:r>
              <w:rPr>
                <w:rFonts w:hint="default" w:ascii="Times New Roman" w:hAnsi="Times New Roman" w:cs="Times New Roman" w:eastAsiaTheme="minorEastAsia"/>
                <w:color w:val="auto"/>
                <w:sz w:val="24"/>
                <w:szCs w:val="24"/>
              </w:rPr>
              <w:t>属于危险废物治理</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根据国家发展和改革委员会令第7号《产业结构调整指导目录（20</w:t>
            </w:r>
            <w:r>
              <w:rPr>
                <w:rFonts w:hint="default" w:ascii="Times New Roman" w:hAnsi="Times New Roman" w:cs="Times New Roman" w:eastAsiaTheme="minorEastAsia"/>
                <w:color w:val="auto"/>
                <w:sz w:val="24"/>
                <w:szCs w:val="24"/>
                <w:lang w:val="en-US" w:eastAsia="zh-CN"/>
              </w:rPr>
              <w:t>24</w:t>
            </w:r>
            <w:r>
              <w:rPr>
                <w:rFonts w:hint="default" w:ascii="Times New Roman" w:hAnsi="Times New Roman" w:cs="Times New Roman" w:eastAsiaTheme="minorEastAsia"/>
                <w:color w:val="auto"/>
                <w:sz w:val="24"/>
                <w:szCs w:val="24"/>
              </w:rPr>
              <w:t>年本）》</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val="en-US" w:eastAsia="zh-CN"/>
              </w:rPr>
              <w:t>本项目不属于“</w:t>
            </w:r>
            <w:r>
              <w:rPr>
                <w:rFonts w:hint="default" w:ascii="Times New Roman" w:hAnsi="Times New Roman" w:cs="Times New Roman" w:eastAsiaTheme="minorEastAsia"/>
                <w:color w:val="auto"/>
                <w:sz w:val="24"/>
                <w:szCs w:val="24"/>
                <w:lang w:val="en-US"/>
              </w:rPr>
              <w:t>限制类</w:t>
            </w:r>
            <w:r>
              <w:rPr>
                <w:rFonts w:hint="default" w:ascii="Times New Roman" w:hAnsi="Times New Roman" w:cs="Times New Roman" w:eastAsiaTheme="minorEastAsia"/>
                <w:color w:val="auto"/>
                <w:sz w:val="24"/>
                <w:szCs w:val="24"/>
                <w:lang w:val="en-US" w:eastAsia="zh-CN"/>
              </w:rPr>
              <w:t>、</w:t>
            </w:r>
            <w:r>
              <w:rPr>
                <w:rFonts w:hint="default" w:ascii="Times New Roman" w:hAnsi="Times New Roman" w:cs="Times New Roman" w:eastAsiaTheme="minorEastAsia"/>
                <w:color w:val="auto"/>
                <w:sz w:val="24"/>
                <w:szCs w:val="24"/>
                <w:lang w:val="en-US"/>
              </w:rPr>
              <w:t>淘汰类和鼓励类</w:t>
            </w:r>
            <w:r>
              <w:rPr>
                <w:rFonts w:hint="default" w:ascii="Times New Roman" w:hAnsi="Times New Roman" w:cs="Times New Roman" w:eastAsiaTheme="minorEastAsia"/>
                <w:color w:val="auto"/>
                <w:sz w:val="24"/>
                <w:szCs w:val="24"/>
                <w:lang w:val="en-US" w:eastAsia="zh-CN"/>
              </w:rPr>
              <w:t>”</w:t>
            </w:r>
            <w:r>
              <w:rPr>
                <w:rFonts w:hint="default" w:ascii="Times New Roman" w:hAnsi="Times New Roman" w:cs="Times New Roman" w:eastAsiaTheme="minorEastAsia"/>
                <w:color w:val="auto"/>
                <w:sz w:val="24"/>
                <w:szCs w:val="24"/>
                <w:lang w:val="en-US"/>
              </w:rPr>
              <w:t>，</w:t>
            </w:r>
            <w:r>
              <w:rPr>
                <w:rFonts w:hint="default" w:ascii="Times New Roman" w:hAnsi="Times New Roman" w:cs="Times New Roman" w:eastAsiaTheme="minorEastAsia"/>
                <w:color w:val="auto"/>
                <w:sz w:val="24"/>
                <w:szCs w:val="24"/>
                <w:lang w:val="en-US" w:eastAsia="zh-CN"/>
              </w:rPr>
              <w:t>属于“</w:t>
            </w:r>
            <w:r>
              <w:rPr>
                <w:rFonts w:hint="default" w:ascii="Times New Roman" w:hAnsi="Times New Roman" w:cs="Times New Roman" w:eastAsiaTheme="minorEastAsia"/>
                <w:color w:val="auto"/>
                <w:sz w:val="24"/>
                <w:szCs w:val="24"/>
                <w:lang w:val="en-US"/>
              </w:rPr>
              <w:t>允许类</w:t>
            </w:r>
            <w:r>
              <w:rPr>
                <w:rFonts w:hint="default" w:ascii="Times New Roman" w:hAnsi="Times New Roman" w:cs="Times New Roman" w:eastAsiaTheme="minorEastAsia"/>
                <w:color w:val="auto"/>
                <w:sz w:val="24"/>
                <w:szCs w:val="24"/>
                <w:lang w:val="en-US" w:eastAsia="zh-CN"/>
              </w:rPr>
              <w:t>”规定范畴，</w:t>
            </w:r>
            <w:r>
              <w:rPr>
                <w:rFonts w:hint="default" w:ascii="Times New Roman" w:hAnsi="Times New Roman" w:cs="Times New Roman" w:eastAsiaTheme="minorEastAsia"/>
                <w:color w:val="auto"/>
                <w:sz w:val="24"/>
                <w:szCs w:val="24"/>
              </w:rPr>
              <w:t>因此，本项目符合现行国家产业政策的有关要求。</w:t>
            </w:r>
          </w:p>
          <w:p w14:paraId="7E367BA0">
            <w:pPr>
              <w:pageBreakBefore w:val="0"/>
              <w:kinsoku/>
              <w:autoSpaceDE w:val="0"/>
              <w:autoSpaceDN w:val="0"/>
              <w:bidi w:val="0"/>
              <w:adjustRightInd w:val="0"/>
              <w:snapToGrid w:val="0"/>
              <w:spacing w:beforeAutospacing="0" w:afterAutospacing="0" w:line="360" w:lineRule="auto"/>
              <w:ind w:left="0" w:leftChars="0" w:right="0" w:rightChars="0"/>
              <w:rPr>
                <w:rFonts w:hint="default" w:ascii="Times New Roman" w:hAnsi="Times New Roman" w:cs="Times New Roman" w:eastAsiaTheme="minorEastAsia"/>
                <w:b/>
                <w:bCs/>
                <w:color w:val="auto"/>
                <w:spacing w:val="0"/>
                <w:kern w:val="21"/>
                <w:sz w:val="24"/>
                <w:szCs w:val="24"/>
                <w:lang w:val="en-US" w:eastAsia="zh-CN"/>
              </w:rPr>
            </w:pPr>
            <w:r>
              <w:rPr>
                <w:rFonts w:hint="default" w:ascii="Times New Roman" w:hAnsi="Times New Roman" w:cs="Times New Roman" w:eastAsiaTheme="minorEastAsia"/>
                <w:b/>
                <w:bCs/>
                <w:color w:val="auto"/>
                <w:spacing w:val="0"/>
                <w:kern w:val="21"/>
                <w:sz w:val="24"/>
                <w:szCs w:val="24"/>
                <w:lang w:val="en-US" w:eastAsia="zh-CN"/>
              </w:rPr>
              <w:t>2.生态环境分区管控符合性分析</w:t>
            </w:r>
          </w:p>
          <w:p w14:paraId="7C47E9F7">
            <w:pPr>
              <w:pageBreakBefore w:val="0"/>
              <w:kinsoku/>
              <w:overflowPunct/>
              <w:autoSpaceDE/>
              <w:autoSpaceDN/>
              <w:bidi w:val="0"/>
              <w:adjustRightInd w:val="0"/>
              <w:snapToGrid w:val="0"/>
              <w:spacing w:beforeAutospacing="0" w:afterAutospacing="0" w:line="360" w:lineRule="auto"/>
              <w:ind w:left="0" w:leftChars="0" w:right="0" w:rightChars="0"/>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与《新疆维吾尔自治区生态环境分区管控动态更新成果》（新环环评发〔2024〕157号）符合性分析</w:t>
            </w:r>
          </w:p>
          <w:p w14:paraId="4C287A7D">
            <w:pPr>
              <w:pageBreakBefore w:val="0"/>
              <w:kinsoku/>
              <w:autoSpaceDE w:val="0"/>
              <w:autoSpaceDN w:val="0"/>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本项目与《新疆维吾尔自治区生态环境分区管控动态更新成果》（新环环评发〔2024〕157号）的符合性分析见表1-2。</w:t>
            </w:r>
          </w:p>
          <w:p w14:paraId="38799FFF">
            <w:pPr>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表1-2   与新疆维吾尔自治区生态环境分区管控动态更新成果分析一览表</w:t>
            </w:r>
          </w:p>
          <w:tbl>
            <w:tblPr>
              <w:tblStyle w:val="29"/>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2"/>
              <w:gridCol w:w="424"/>
              <w:gridCol w:w="3838"/>
              <w:gridCol w:w="1695"/>
              <w:gridCol w:w="425"/>
            </w:tblGrid>
            <w:tr w14:paraId="0DF288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1" w:type="pct"/>
                  <w:gridSpan w:val="2"/>
                  <w:tcBorders>
                    <w:bottom w:val="single" w:color="auto" w:sz="12" w:space="0"/>
                  </w:tcBorders>
                  <w:noWrap w:val="0"/>
                  <w:vAlign w:val="center"/>
                </w:tcPr>
                <w:p w14:paraId="0B686219">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color w:val="auto"/>
                      <w:kern w:val="0"/>
                      <w:sz w:val="21"/>
                      <w:szCs w:val="21"/>
                      <w:highlight w:val="none"/>
                      <w:lang w:val="en-US" w:eastAsia="zh-CN" w:bidi="ar-SA"/>
                    </w:rPr>
                  </w:pPr>
                  <w:r>
                    <w:rPr>
                      <w:rFonts w:hint="default" w:ascii="Times New Roman" w:hAnsi="Times New Roman" w:cs="Times New Roman" w:eastAsiaTheme="minorEastAsia"/>
                      <w:b/>
                      <w:bCs/>
                      <w:color w:val="auto"/>
                      <w:kern w:val="0"/>
                      <w:sz w:val="21"/>
                      <w:szCs w:val="21"/>
                      <w:highlight w:val="none"/>
                      <w:lang w:val="en-US" w:eastAsia="zh-CN" w:bidi="ar-SA"/>
                    </w:rPr>
                    <w:t>管控维度</w:t>
                  </w:r>
                </w:p>
              </w:tc>
              <w:tc>
                <w:tcPr>
                  <w:tcW w:w="2820" w:type="pct"/>
                  <w:tcBorders>
                    <w:bottom w:val="single" w:color="auto" w:sz="12" w:space="0"/>
                  </w:tcBorders>
                  <w:noWrap w:val="0"/>
                  <w:vAlign w:val="center"/>
                </w:tcPr>
                <w:p w14:paraId="084DA7EF">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color w:val="auto"/>
                      <w:kern w:val="0"/>
                      <w:sz w:val="21"/>
                      <w:szCs w:val="21"/>
                      <w:highlight w:val="none"/>
                      <w:lang w:val="en-US" w:eastAsia="zh-CN" w:bidi="ar-SA"/>
                    </w:rPr>
                  </w:pPr>
                  <w:r>
                    <w:rPr>
                      <w:rFonts w:hint="default" w:ascii="Times New Roman" w:hAnsi="Times New Roman" w:cs="Times New Roman" w:eastAsiaTheme="minorEastAsia"/>
                      <w:b/>
                      <w:bCs/>
                      <w:color w:val="auto"/>
                      <w:kern w:val="0"/>
                      <w:sz w:val="21"/>
                      <w:szCs w:val="21"/>
                      <w:highlight w:val="none"/>
                      <w:lang w:val="en-US" w:eastAsia="zh-CN" w:bidi="ar-SA"/>
                    </w:rPr>
                    <w:t>管控要求</w:t>
                  </w:r>
                </w:p>
              </w:tc>
              <w:tc>
                <w:tcPr>
                  <w:tcW w:w="1245" w:type="pct"/>
                  <w:tcBorders>
                    <w:bottom w:val="single" w:color="auto" w:sz="12" w:space="0"/>
                  </w:tcBorders>
                  <w:noWrap w:val="0"/>
                  <w:vAlign w:val="center"/>
                </w:tcPr>
                <w:p w14:paraId="2B155BC5">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color w:val="auto"/>
                      <w:kern w:val="0"/>
                      <w:sz w:val="21"/>
                      <w:szCs w:val="21"/>
                      <w:highlight w:val="none"/>
                      <w:lang w:val="en-US" w:eastAsia="zh-CN" w:bidi="ar-SA"/>
                    </w:rPr>
                  </w:pPr>
                  <w:r>
                    <w:rPr>
                      <w:rFonts w:hint="default" w:ascii="Times New Roman" w:hAnsi="Times New Roman" w:cs="Times New Roman" w:eastAsiaTheme="minorEastAsia"/>
                      <w:b/>
                      <w:bCs/>
                      <w:color w:val="auto"/>
                      <w:kern w:val="0"/>
                      <w:sz w:val="21"/>
                      <w:szCs w:val="21"/>
                      <w:highlight w:val="none"/>
                      <w:lang w:val="en-US" w:eastAsia="zh-CN" w:bidi="ar-SA"/>
                    </w:rPr>
                    <w:t>项目情况</w:t>
                  </w:r>
                </w:p>
              </w:tc>
              <w:tc>
                <w:tcPr>
                  <w:tcW w:w="312" w:type="pct"/>
                  <w:tcBorders>
                    <w:bottom w:val="single" w:color="auto" w:sz="12" w:space="0"/>
                  </w:tcBorders>
                  <w:noWrap w:val="0"/>
                  <w:vAlign w:val="center"/>
                </w:tcPr>
                <w:p w14:paraId="0CB92756">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color w:val="auto"/>
                      <w:kern w:val="0"/>
                      <w:sz w:val="21"/>
                      <w:szCs w:val="21"/>
                      <w:highlight w:val="none"/>
                      <w:lang w:val="en-US" w:eastAsia="zh-CN" w:bidi="ar-SA"/>
                    </w:rPr>
                  </w:pPr>
                  <w:r>
                    <w:rPr>
                      <w:rFonts w:hint="default" w:ascii="Times New Roman" w:hAnsi="Times New Roman" w:cs="Times New Roman" w:eastAsiaTheme="minorEastAsia"/>
                      <w:b/>
                      <w:bCs/>
                      <w:color w:val="auto"/>
                      <w:kern w:val="0"/>
                      <w:sz w:val="21"/>
                      <w:szCs w:val="21"/>
                      <w:highlight w:val="none"/>
                      <w:lang w:val="en-US" w:eastAsia="zh-CN" w:bidi="ar-SA"/>
                    </w:rPr>
                    <w:t>符合性</w:t>
                  </w:r>
                </w:p>
              </w:tc>
            </w:tr>
            <w:tr w14:paraId="4576FA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10" w:type="pct"/>
                  <w:vMerge w:val="restart"/>
                  <w:tcBorders>
                    <w:top w:val="single" w:color="auto" w:sz="12" w:space="0"/>
                  </w:tcBorders>
                  <w:noWrap w:val="0"/>
                  <w:vAlign w:val="center"/>
                </w:tcPr>
                <w:p w14:paraId="21FA4CEA">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空间布局约束</w:t>
                  </w:r>
                </w:p>
              </w:tc>
              <w:tc>
                <w:tcPr>
                  <w:tcW w:w="311" w:type="pct"/>
                  <w:tcBorders>
                    <w:top w:val="single" w:color="auto" w:sz="12" w:space="0"/>
                  </w:tcBorders>
                  <w:noWrap w:val="0"/>
                  <w:vAlign w:val="center"/>
                </w:tcPr>
                <w:p w14:paraId="638D09D1">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限制开发建设的活动</w:t>
                  </w:r>
                </w:p>
              </w:tc>
              <w:tc>
                <w:tcPr>
                  <w:tcW w:w="2820" w:type="pct"/>
                  <w:tcBorders>
                    <w:top w:val="single" w:color="auto" w:sz="12" w:space="0"/>
                  </w:tcBorders>
                  <w:noWrap w:val="0"/>
                  <w:vAlign w:val="center"/>
                </w:tcPr>
                <w:p w14:paraId="7D329A4A">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A1.2-2〕建设项目用地原则上不得占用永久基本农田，确需占用永久基本农田的建设项目须符合《中华人民共和国基本农田保护条例》中相关要求，占用耕地、林地或草地的建设项目须按照国家、自治区相关补偿要求进行补偿。</w:t>
                  </w:r>
                </w:p>
              </w:tc>
              <w:tc>
                <w:tcPr>
                  <w:tcW w:w="1245" w:type="pct"/>
                  <w:tcBorders>
                    <w:top w:val="single" w:color="auto" w:sz="12" w:space="0"/>
                  </w:tcBorders>
                  <w:noWrap w:val="0"/>
                  <w:vAlign w:val="center"/>
                </w:tcPr>
                <w:p w14:paraId="2850A371">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本项目未占用基本农田。</w:t>
                  </w:r>
                </w:p>
              </w:tc>
              <w:tc>
                <w:tcPr>
                  <w:tcW w:w="312" w:type="pct"/>
                  <w:tcBorders>
                    <w:top w:val="single" w:color="auto" w:sz="12" w:space="0"/>
                  </w:tcBorders>
                  <w:noWrap w:val="0"/>
                  <w:vAlign w:val="center"/>
                </w:tcPr>
                <w:p w14:paraId="65083D13">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符合</w:t>
                  </w:r>
                </w:p>
              </w:tc>
            </w:tr>
            <w:tr w14:paraId="044DFD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10" w:type="pct"/>
                  <w:vMerge w:val="continue"/>
                  <w:noWrap w:val="0"/>
                  <w:vAlign w:val="center"/>
                </w:tcPr>
                <w:p w14:paraId="32240370">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p>
              </w:tc>
              <w:tc>
                <w:tcPr>
                  <w:tcW w:w="311" w:type="pct"/>
                  <w:noWrap w:val="0"/>
                  <w:vAlign w:val="center"/>
                </w:tcPr>
                <w:p w14:paraId="4E9C4AE3">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其他布局要求</w:t>
                  </w:r>
                </w:p>
              </w:tc>
              <w:tc>
                <w:tcPr>
                  <w:tcW w:w="2820" w:type="pct"/>
                  <w:noWrap w:val="0"/>
                  <w:vAlign w:val="center"/>
                </w:tcPr>
                <w:p w14:paraId="66A50D66">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A1.4-1〕一切开发建设活动应符合国家、自治区主体功能区规划、自治区和各地颁布实施的生态环境功能区规划、国民经济发展规划、产业发展规划、国土空间规划等相关规划及重点生态功能区负面清单要求，符合区域或产业规划环评要求。</w:t>
                  </w:r>
                </w:p>
              </w:tc>
              <w:tc>
                <w:tcPr>
                  <w:tcW w:w="1245" w:type="pct"/>
                  <w:noWrap w:val="0"/>
                  <w:vAlign w:val="center"/>
                </w:tcPr>
                <w:p w14:paraId="0012698B">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本项目符合国家、自治区主体功能区规划、自治区和昌吉市颁布实施的生态环境功能区规划、国民经济发展规划、产业发展规划、国土空间规划等相关规划及重点生态功能区负面清单要求。</w:t>
                  </w:r>
                </w:p>
              </w:tc>
              <w:tc>
                <w:tcPr>
                  <w:tcW w:w="312" w:type="pct"/>
                  <w:noWrap w:val="0"/>
                  <w:vAlign w:val="center"/>
                </w:tcPr>
                <w:p w14:paraId="31A6B71E">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符合</w:t>
                  </w:r>
                </w:p>
              </w:tc>
            </w:tr>
            <w:tr w14:paraId="2E045D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10" w:type="pct"/>
                  <w:vMerge w:val="restart"/>
                  <w:noWrap w:val="0"/>
                  <w:vAlign w:val="center"/>
                </w:tcPr>
                <w:p w14:paraId="444ABC90">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环境风险防控</w:t>
                  </w:r>
                </w:p>
              </w:tc>
              <w:tc>
                <w:tcPr>
                  <w:tcW w:w="311" w:type="pct"/>
                  <w:vMerge w:val="restart"/>
                  <w:noWrap w:val="0"/>
                  <w:vAlign w:val="center"/>
                </w:tcPr>
                <w:p w14:paraId="22D901D6">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联防联控要求</w:t>
                  </w:r>
                </w:p>
              </w:tc>
              <w:tc>
                <w:tcPr>
                  <w:tcW w:w="2820" w:type="pct"/>
                  <w:noWrap w:val="0"/>
                  <w:vAlign w:val="center"/>
                </w:tcPr>
                <w:p w14:paraId="237EE622">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A3.2-5〕强化生态环境应急管理。实施企业突发生态环境应急预案电子化备案，完成县级以上政府突发环境事件应急预案修编。完善区域和企业应急处置物资储备系统，结合新疆各地特征污染物的特性，加强应急物资储备及应急物资信息化建设，掌握社会应急物资储备动态信息，妥善应对各类突发生态环境事件。加强应急监测装备配置，定期开展应急演练，增强实战能力。</w:t>
                  </w:r>
                </w:p>
              </w:tc>
              <w:tc>
                <w:tcPr>
                  <w:tcW w:w="1245" w:type="pct"/>
                  <w:noWrap w:val="0"/>
                  <w:vAlign w:val="center"/>
                </w:tcPr>
                <w:p w14:paraId="2E2D4D38">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已要求企业完善应急处置物资。</w:t>
                  </w:r>
                </w:p>
              </w:tc>
              <w:tc>
                <w:tcPr>
                  <w:tcW w:w="312" w:type="pct"/>
                  <w:noWrap w:val="0"/>
                  <w:vAlign w:val="center"/>
                </w:tcPr>
                <w:p w14:paraId="075877D5">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符合</w:t>
                  </w:r>
                </w:p>
              </w:tc>
            </w:tr>
            <w:tr w14:paraId="273E00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10" w:type="pct"/>
                  <w:vMerge w:val="continue"/>
                  <w:noWrap w:val="0"/>
                  <w:vAlign w:val="center"/>
                </w:tcPr>
                <w:p w14:paraId="1D2B9D51">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SA"/>
                    </w:rPr>
                  </w:pPr>
                </w:p>
              </w:tc>
              <w:tc>
                <w:tcPr>
                  <w:tcW w:w="311" w:type="pct"/>
                  <w:vMerge w:val="continue"/>
                  <w:noWrap w:val="0"/>
                  <w:vAlign w:val="center"/>
                </w:tcPr>
                <w:p w14:paraId="1911D8DD">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SA"/>
                    </w:rPr>
                  </w:pPr>
                </w:p>
              </w:tc>
              <w:tc>
                <w:tcPr>
                  <w:tcW w:w="2820" w:type="pct"/>
                  <w:noWrap w:val="0"/>
                  <w:vAlign w:val="center"/>
                </w:tcPr>
                <w:p w14:paraId="0CE09607">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〔A4.1-4〕地下水资源利用实行总量控制和水位控制。取用地下水资源，应当按照国家和自治区有关规定申请取水许可。地下水利用应当以浅层地下水为主。</w:t>
                  </w:r>
                </w:p>
              </w:tc>
              <w:tc>
                <w:tcPr>
                  <w:tcW w:w="1245" w:type="pct"/>
                  <w:noWrap w:val="0"/>
                  <w:vAlign w:val="center"/>
                </w:tcPr>
                <w:p w14:paraId="49F550B0">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本项目不涉及地下水资源利用。</w:t>
                  </w:r>
                </w:p>
              </w:tc>
              <w:tc>
                <w:tcPr>
                  <w:tcW w:w="312" w:type="pct"/>
                  <w:noWrap w:val="0"/>
                  <w:vAlign w:val="center"/>
                </w:tcPr>
                <w:p w14:paraId="62D9289D">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符合</w:t>
                  </w:r>
                </w:p>
              </w:tc>
            </w:tr>
            <w:tr w14:paraId="2D7733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10" w:type="pct"/>
                  <w:vMerge w:val="continue"/>
                  <w:noWrap w:val="0"/>
                  <w:vAlign w:val="center"/>
                </w:tcPr>
                <w:p w14:paraId="49A0A779">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SA"/>
                    </w:rPr>
                  </w:pPr>
                </w:p>
              </w:tc>
              <w:tc>
                <w:tcPr>
                  <w:tcW w:w="311" w:type="pct"/>
                  <w:noWrap w:val="0"/>
                  <w:vAlign w:val="center"/>
                </w:tcPr>
                <w:p w14:paraId="6353E272">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土地资源</w:t>
                  </w:r>
                </w:p>
              </w:tc>
              <w:tc>
                <w:tcPr>
                  <w:tcW w:w="2820" w:type="pct"/>
                  <w:noWrap w:val="0"/>
                  <w:vAlign w:val="center"/>
                </w:tcPr>
                <w:p w14:paraId="73CAC831">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both"/>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〔A4.2-1〕土地资源上线指标控制在最终批复的国土空间规划控制指标内。</w:t>
                  </w:r>
                </w:p>
              </w:tc>
              <w:tc>
                <w:tcPr>
                  <w:tcW w:w="1245" w:type="pct"/>
                  <w:noWrap w:val="0"/>
                  <w:vAlign w:val="center"/>
                </w:tcPr>
                <w:p w14:paraId="39EBA449">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本项目在昌吉职业技术学院内建设，不新增占地。</w:t>
                  </w:r>
                </w:p>
              </w:tc>
              <w:tc>
                <w:tcPr>
                  <w:tcW w:w="312" w:type="pct"/>
                  <w:noWrap w:val="0"/>
                  <w:vAlign w:val="center"/>
                </w:tcPr>
                <w:p w14:paraId="054E25E3">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eastAsiaTheme="minorEastAsia"/>
                      <w:color w:val="auto"/>
                      <w:kern w:val="0"/>
                      <w:sz w:val="21"/>
                      <w:szCs w:val="21"/>
                      <w:highlight w:val="none"/>
                      <w:lang w:val="en-US" w:eastAsia="zh-CN" w:bidi="ar-SA"/>
                    </w:rPr>
                    <w:t>符合</w:t>
                  </w:r>
                </w:p>
              </w:tc>
            </w:tr>
          </w:tbl>
          <w:p w14:paraId="5917CA19">
            <w:pPr>
              <w:pStyle w:val="73"/>
              <w:pageBreakBefore w:val="0"/>
              <w:kinsoku/>
              <w:bidi w:val="0"/>
              <w:spacing w:beforeAutospacing="0" w:afterAutospacing="0" w:line="360" w:lineRule="auto"/>
              <w:ind w:left="0" w:leftChars="0" w:right="0" w:rightChars="0" w:firstLine="480" w:firstLineChars="200"/>
              <w:jc w:val="left"/>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综上所述，本项目符合《新疆维吾尔自治区生态环境分区管控动态更新成果》（新环环评发〔2024〕157号）的相关要求。</w:t>
            </w:r>
          </w:p>
          <w:p w14:paraId="18387A3D">
            <w:pPr>
              <w:pageBreakBefore w:val="0"/>
              <w:kinsoku/>
              <w:overflowPunct/>
              <w:autoSpaceDE/>
              <w:autoSpaceDN/>
              <w:bidi w:val="0"/>
              <w:adjustRightInd w:val="0"/>
              <w:snapToGrid w:val="0"/>
              <w:spacing w:beforeAutospacing="0" w:afterAutospacing="0" w:line="360" w:lineRule="auto"/>
              <w:ind w:left="0" w:leftChars="0" w:right="0" w:rightChars="0"/>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2.2 与《昌吉回族自治州生态环境分区管控动态更新成果》的符合性分析</w:t>
            </w:r>
          </w:p>
          <w:p w14:paraId="5EDAC9F8">
            <w:pPr>
              <w:pageBreakBefore w:val="0"/>
              <w:kinsoku/>
              <w:overflowPunct/>
              <w:autoSpaceDE/>
              <w:autoSpaceDN/>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lang w:val="en-US" w:eastAsia="zh-CN"/>
              </w:rPr>
            </w:pPr>
            <w:r>
              <w:rPr>
                <w:rFonts w:hint="eastAsia"/>
                <w:b w:val="0"/>
                <w:bCs w:val="0"/>
                <w:color w:val="auto"/>
                <w:kern w:val="0"/>
                <w:sz w:val="24"/>
                <w:highlight w:val="none"/>
                <w:lang w:val="en-US" w:eastAsia="zh-CN"/>
              </w:rPr>
              <w:t>根据《昌吉回族自治州生态环境分区管控动态更新成果》，本</w:t>
            </w:r>
            <w:r>
              <w:rPr>
                <w:rFonts w:hint="eastAsia" w:ascii="Times New Roman" w:eastAsia="宋体"/>
                <w:b w:val="0"/>
                <w:bCs w:val="0"/>
                <w:color w:val="auto"/>
                <w:kern w:val="0"/>
                <w:sz w:val="24"/>
                <w:highlight w:val="none"/>
                <w:lang w:val="en-US" w:eastAsia="zh-CN"/>
              </w:rPr>
              <w:t>项目</w:t>
            </w:r>
            <w:r>
              <w:rPr>
                <w:rFonts w:hint="eastAsia"/>
                <w:b w:val="0"/>
                <w:bCs w:val="0"/>
                <w:color w:val="auto"/>
                <w:kern w:val="0"/>
                <w:sz w:val="24"/>
                <w:highlight w:val="none"/>
                <w:lang w:val="en-US" w:eastAsia="zh-CN"/>
              </w:rPr>
              <w:t>属于重点管控单元，管控单元名称为“昌吉市城镇集中建设区”，管控单元编码为“ZH65230120001”。</w:t>
            </w:r>
            <w:r>
              <w:rPr>
                <w:rFonts w:hint="default" w:ascii="Times New Roman" w:hAnsi="Times New Roman" w:eastAsia="宋体" w:cs="Times New Roman"/>
                <w:color w:val="auto"/>
                <w:sz w:val="24"/>
                <w:highlight w:val="none"/>
                <w:lang w:val="en-US" w:eastAsia="zh-CN"/>
              </w:rPr>
              <w:t>本项目与《昌吉回族自治州生态环境分区管控动态更新成果》的符合性分析见表</w:t>
            </w:r>
            <w:r>
              <w:rPr>
                <w:rFonts w:hint="eastAsia" w:cs="Times New Roman"/>
                <w:color w:val="auto"/>
                <w:sz w:val="24"/>
                <w:highlight w:val="none"/>
                <w:lang w:val="en-US" w:eastAsia="zh-CN"/>
              </w:rPr>
              <w:t>1-3</w:t>
            </w:r>
            <w:r>
              <w:rPr>
                <w:rFonts w:hint="default" w:ascii="Times New Roman" w:hAnsi="Times New Roman" w:eastAsia="宋体" w:cs="Times New Roman"/>
                <w:color w:val="auto"/>
                <w:sz w:val="24"/>
                <w:highlight w:val="none"/>
                <w:lang w:val="en-US" w:eastAsia="zh-CN"/>
              </w:rPr>
              <w:t>，本项目在昌吉回族自治州生态环境分区管控动态更新成果位置见</w:t>
            </w:r>
            <w:r>
              <w:rPr>
                <w:rFonts w:hint="eastAsia" w:cs="Times New Roman"/>
                <w:b/>
                <w:bCs/>
                <w:color w:val="auto"/>
                <w:sz w:val="24"/>
                <w:highlight w:val="none"/>
                <w:lang w:val="en-US" w:eastAsia="zh-CN"/>
              </w:rPr>
              <w:t>附</w:t>
            </w:r>
            <w:r>
              <w:rPr>
                <w:rFonts w:hint="default" w:ascii="Times New Roman" w:hAnsi="Times New Roman" w:eastAsia="宋体" w:cs="Times New Roman"/>
                <w:b/>
                <w:bCs/>
                <w:color w:val="auto"/>
                <w:sz w:val="24"/>
                <w:highlight w:val="none"/>
                <w:lang w:val="en-US" w:eastAsia="zh-CN"/>
              </w:rPr>
              <w:t>图</w:t>
            </w:r>
            <w:r>
              <w:rPr>
                <w:rFonts w:hint="eastAsia" w:cs="Times New Roman"/>
                <w:b/>
                <w:bCs/>
                <w:color w:val="auto"/>
                <w:sz w:val="24"/>
                <w:highlight w:val="none"/>
                <w:lang w:val="en-US" w:eastAsia="zh-CN"/>
              </w:rPr>
              <w:t>3</w:t>
            </w:r>
            <w:r>
              <w:rPr>
                <w:rFonts w:hint="default" w:ascii="Times New Roman" w:hAnsi="Times New Roman" w:eastAsia="宋体" w:cs="Times New Roman"/>
                <w:color w:val="auto"/>
                <w:sz w:val="24"/>
                <w:highlight w:val="none"/>
                <w:lang w:val="en-US" w:eastAsia="zh-CN"/>
              </w:rPr>
              <w:t>。</w:t>
            </w:r>
          </w:p>
          <w:p w14:paraId="763A1B6A">
            <w:pPr>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表1-3  与《昌吉回族自治州生态环境分区管控动态更新成果》符合性分析</w:t>
            </w:r>
          </w:p>
          <w:tbl>
            <w:tblPr>
              <w:tblStyle w:val="29"/>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84"/>
              <w:gridCol w:w="3249"/>
              <w:gridCol w:w="1645"/>
              <w:gridCol w:w="423"/>
            </w:tblGrid>
            <w:tr w14:paraId="602475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1" w:type="pct"/>
                  <w:tcBorders>
                    <w:bottom w:val="single" w:color="auto" w:sz="12" w:space="0"/>
                  </w:tcBorders>
                  <w:noWrap w:val="0"/>
                  <w:vAlign w:val="center"/>
                </w:tcPr>
                <w:p w14:paraId="59E7BE1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color w:val="auto"/>
                      <w:kern w:val="0"/>
                      <w:sz w:val="21"/>
                      <w:szCs w:val="21"/>
                      <w:highlight w:val="none"/>
                      <w:lang w:val="en-US" w:eastAsia="zh-CN" w:bidi="ar"/>
                    </w:rPr>
                  </w:pPr>
                  <w:r>
                    <w:rPr>
                      <w:rFonts w:hint="default" w:ascii="Times New Roman" w:hAnsi="Times New Roman" w:cs="Times New Roman" w:eastAsiaTheme="minorEastAsia"/>
                      <w:b/>
                      <w:bCs/>
                      <w:color w:val="auto"/>
                      <w:kern w:val="0"/>
                      <w:sz w:val="21"/>
                      <w:szCs w:val="21"/>
                      <w:highlight w:val="none"/>
                      <w:lang w:val="en-US" w:eastAsia="zh-CN" w:bidi="ar"/>
                    </w:rPr>
                    <w:t>管控类别/管控单元</w:t>
                  </w:r>
                </w:p>
              </w:tc>
              <w:tc>
                <w:tcPr>
                  <w:tcW w:w="2388" w:type="pct"/>
                  <w:tcBorders>
                    <w:bottom w:val="single" w:color="auto" w:sz="12" w:space="0"/>
                  </w:tcBorders>
                  <w:noWrap w:val="0"/>
                  <w:vAlign w:val="center"/>
                </w:tcPr>
                <w:p w14:paraId="0FDC7040">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color w:val="auto"/>
                      <w:kern w:val="0"/>
                      <w:sz w:val="21"/>
                      <w:szCs w:val="21"/>
                      <w:highlight w:val="none"/>
                      <w:lang w:val="en-US" w:eastAsia="zh-CN" w:bidi="ar"/>
                    </w:rPr>
                  </w:pPr>
                  <w:r>
                    <w:rPr>
                      <w:rFonts w:hint="default" w:ascii="Times New Roman" w:hAnsi="Times New Roman" w:cs="Times New Roman" w:eastAsiaTheme="minorEastAsia"/>
                      <w:b/>
                      <w:bCs/>
                      <w:color w:val="auto"/>
                      <w:kern w:val="0"/>
                      <w:sz w:val="21"/>
                      <w:szCs w:val="21"/>
                      <w:highlight w:val="none"/>
                      <w:lang w:val="en-US" w:eastAsia="zh-CN" w:bidi="ar"/>
                    </w:rPr>
                    <w:t>管控要求</w:t>
                  </w:r>
                </w:p>
              </w:tc>
              <w:tc>
                <w:tcPr>
                  <w:tcW w:w="1209" w:type="pct"/>
                  <w:tcBorders>
                    <w:bottom w:val="single" w:color="auto" w:sz="12" w:space="0"/>
                  </w:tcBorders>
                  <w:noWrap w:val="0"/>
                  <w:vAlign w:val="center"/>
                </w:tcPr>
                <w:p w14:paraId="2C7D2C9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color w:val="auto"/>
                      <w:kern w:val="0"/>
                      <w:sz w:val="21"/>
                      <w:szCs w:val="21"/>
                      <w:highlight w:val="none"/>
                      <w:lang w:val="en-US" w:eastAsia="zh-CN" w:bidi="ar"/>
                    </w:rPr>
                  </w:pPr>
                  <w:r>
                    <w:rPr>
                      <w:rFonts w:hint="default" w:ascii="Times New Roman" w:hAnsi="Times New Roman" w:cs="Times New Roman" w:eastAsiaTheme="minorEastAsia"/>
                      <w:b/>
                      <w:bCs/>
                      <w:color w:val="auto"/>
                      <w:kern w:val="0"/>
                      <w:sz w:val="21"/>
                      <w:szCs w:val="21"/>
                      <w:highlight w:val="none"/>
                      <w:lang w:val="en-US" w:eastAsia="zh-CN" w:bidi="ar"/>
                    </w:rPr>
                    <w:t>园区情况</w:t>
                  </w:r>
                </w:p>
              </w:tc>
              <w:tc>
                <w:tcPr>
                  <w:tcW w:w="310" w:type="pct"/>
                  <w:tcBorders>
                    <w:bottom w:val="single" w:color="auto" w:sz="12" w:space="0"/>
                  </w:tcBorders>
                  <w:noWrap w:val="0"/>
                  <w:vAlign w:val="center"/>
                </w:tcPr>
                <w:p w14:paraId="0F664BBC">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color w:val="auto"/>
                      <w:kern w:val="0"/>
                      <w:sz w:val="21"/>
                      <w:szCs w:val="21"/>
                      <w:highlight w:val="none"/>
                      <w:lang w:val="en-US" w:eastAsia="zh-CN" w:bidi="ar"/>
                    </w:rPr>
                  </w:pPr>
                  <w:r>
                    <w:rPr>
                      <w:rFonts w:hint="default" w:ascii="Times New Roman" w:hAnsi="Times New Roman" w:cs="Times New Roman" w:eastAsiaTheme="minorEastAsia"/>
                      <w:b/>
                      <w:bCs/>
                      <w:color w:val="auto"/>
                      <w:kern w:val="0"/>
                      <w:sz w:val="21"/>
                      <w:szCs w:val="21"/>
                      <w:highlight w:val="none"/>
                      <w:lang w:val="en-US" w:eastAsia="zh-CN" w:bidi="ar"/>
                    </w:rPr>
                    <w:t>符合性</w:t>
                  </w:r>
                </w:p>
              </w:tc>
            </w:tr>
            <w:tr w14:paraId="19D10E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1" w:type="pct"/>
                  <w:tcBorders>
                    <w:top w:val="single" w:color="auto" w:sz="12" w:space="0"/>
                  </w:tcBorders>
                  <w:noWrap w:val="0"/>
                  <w:vAlign w:val="center"/>
                </w:tcPr>
                <w:p w14:paraId="08B205B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空间布局约束</w:t>
                  </w:r>
                </w:p>
              </w:tc>
              <w:tc>
                <w:tcPr>
                  <w:tcW w:w="2388" w:type="pct"/>
                  <w:tcBorders>
                    <w:top w:val="single" w:color="auto" w:sz="12" w:space="0"/>
                  </w:tcBorders>
                  <w:noWrap w:val="0"/>
                  <w:vAlign w:val="top"/>
                </w:tcPr>
                <w:p w14:paraId="59CD4175">
                  <w:pPr>
                    <w:pStyle w:val="57"/>
                    <w:keepNext w:val="0"/>
                    <w:keepLines w:val="0"/>
                    <w:pageBreakBefore w:val="0"/>
                    <w:kinsoku/>
                    <w:overflowPunct/>
                    <w:topLinePunct w:val="0"/>
                    <w:autoSpaceDE/>
                    <w:autoSpaceDN/>
                    <w:bidi w:val="0"/>
                    <w:adjustRightInd/>
                    <w:snapToGrid/>
                    <w:spacing w:beforeAutospacing="0" w:afterAutospacing="0" w:line="240" w:lineRule="auto"/>
                    <w:ind w:left="0" w:leftChars="0" w:right="0" w:rightChars="0"/>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1、入园企业需符合园区产业发展定位，产业发展以装备制造、新材料、节能环保产业为主导。</w:t>
                  </w:r>
                </w:p>
                <w:p w14:paraId="20D189BC">
                  <w:pPr>
                    <w:pStyle w:val="57"/>
                    <w:keepNext w:val="0"/>
                    <w:keepLines w:val="0"/>
                    <w:pageBreakBefore w:val="0"/>
                    <w:kinsoku/>
                    <w:overflowPunct/>
                    <w:topLinePunct w:val="0"/>
                    <w:autoSpaceDE/>
                    <w:autoSpaceDN/>
                    <w:bidi w:val="0"/>
                    <w:adjustRightInd/>
                    <w:snapToGrid/>
                    <w:spacing w:beforeAutospacing="0" w:afterAutospacing="0" w:line="240" w:lineRule="auto"/>
                    <w:ind w:left="0" w:leftChars="0" w:right="0" w:rightChars="0"/>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2、入园企业需符合产业布局规划及土地利用规划。</w:t>
                  </w:r>
                </w:p>
              </w:tc>
              <w:tc>
                <w:tcPr>
                  <w:tcW w:w="1209" w:type="pct"/>
                  <w:tcBorders>
                    <w:top w:val="single" w:color="auto" w:sz="12" w:space="0"/>
                  </w:tcBorders>
                  <w:noWrap w:val="0"/>
                  <w:vAlign w:val="center"/>
                </w:tcPr>
                <w:p w14:paraId="36927F2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本项目符合入园产业发展定位，符合园区产业布局规划及土地利用规划</w:t>
                  </w:r>
                </w:p>
              </w:tc>
              <w:tc>
                <w:tcPr>
                  <w:tcW w:w="310" w:type="pct"/>
                  <w:tcBorders>
                    <w:top w:val="single" w:color="auto" w:sz="12" w:space="0"/>
                  </w:tcBorders>
                  <w:noWrap w:val="0"/>
                  <w:vAlign w:val="center"/>
                </w:tcPr>
                <w:p w14:paraId="4B356A5A">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符合</w:t>
                  </w:r>
                </w:p>
              </w:tc>
            </w:tr>
            <w:tr w14:paraId="00D4DD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1" w:type="pct"/>
                  <w:noWrap w:val="0"/>
                  <w:vAlign w:val="center"/>
                </w:tcPr>
                <w:p w14:paraId="0134F8B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污染物排放</w:t>
                  </w:r>
                </w:p>
                <w:p w14:paraId="4E650E5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管控</w:t>
                  </w:r>
                </w:p>
              </w:tc>
              <w:tc>
                <w:tcPr>
                  <w:tcW w:w="2388" w:type="pct"/>
                  <w:noWrap w:val="0"/>
                  <w:vAlign w:val="top"/>
                </w:tcPr>
                <w:p w14:paraId="26A4337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1、除国家规定新增原料用能不纳入能源消费总量控制的项目和列入国家规划的项目外，“乌—昌—石”等重点区域不再新建、扩建使用煤炭项目。</w:t>
                  </w:r>
                </w:p>
                <w:p w14:paraId="74204F8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2、新（改、扩）建项目应执行最严格的大气污染物排放标准。</w:t>
                  </w:r>
                </w:p>
                <w:p w14:paraId="5368823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3、严格限制石化、化工、包装印刷、工业涂装等高VOCs排放建设项目。新、改、扩建涉VOCs排放项目，应从源头加强控制，使用低（无）VOCs含量的原辅材料，加强废气收集，安装高效治理设施。</w:t>
                  </w:r>
                </w:p>
                <w:p w14:paraId="14E9573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4、“乌-昌-石”区域内，已实施超低排放的涉气排污单位，其实施超低排放改造的污染因子执行超低排放限值，其他污染因子执行特别排放限值和特别控制要求。</w:t>
                  </w:r>
                </w:p>
                <w:p w14:paraId="5C34CD6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5、2024年底前全面完成钢铁行业超低排放改造，有序推进水泥、焦化（含半焦）行业全流程超低排放改造。</w:t>
                  </w:r>
                </w:p>
              </w:tc>
              <w:tc>
                <w:tcPr>
                  <w:tcW w:w="1209" w:type="pct"/>
                  <w:noWrap w:val="0"/>
                  <w:vAlign w:val="center"/>
                </w:tcPr>
                <w:p w14:paraId="12559EC8">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leftChars="0" w:right="0" w:rightChars="0" w:firstLine="0" w:firstLineChars="0"/>
                    <w:jc w:val="left"/>
                    <w:textAlignment w:val="auto"/>
                    <w:rPr>
                      <w:rFonts w:hint="default" w:ascii="Times New Roman" w:hAnsi="Times New Roman" w:cs="Times New Roman" w:eastAsiaTheme="minorEastAsia"/>
                      <w:color w:val="auto"/>
                      <w:kern w:val="0"/>
                      <w:sz w:val="21"/>
                      <w:szCs w:val="21"/>
                      <w:vertAlign w:val="baseline"/>
                      <w:lang w:val="en-US" w:eastAsia="zh-CN" w:bidi="ar"/>
                    </w:rPr>
                  </w:pPr>
                  <w:r>
                    <w:rPr>
                      <w:rFonts w:hint="default" w:ascii="Times New Roman" w:hAnsi="Times New Roman" w:cs="Times New Roman" w:eastAsiaTheme="minorEastAsia"/>
                      <w:color w:val="auto"/>
                      <w:kern w:val="0"/>
                      <w:sz w:val="21"/>
                      <w:szCs w:val="21"/>
                      <w:lang w:val="en-US" w:eastAsia="zh-CN" w:bidi="ar"/>
                    </w:rPr>
                    <w:t>本项目实验室废液、过期废试剂使用密闭桶装，贮存的全过程不对其进行拆封、倾倒、分装、混装等操作，仅产生微量废气，无组织排放。</w:t>
                  </w:r>
                </w:p>
              </w:tc>
              <w:tc>
                <w:tcPr>
                  <w:tcW w:w="310" w:type="pct"/>
                  <w:noWrap w:val="0"/>
                  <w:vAlign w:val="center"/>
                </w:tcPr>
                <w:p w14:paraId="74CAECCF">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3DD253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1" w:type="pct"/>
                  <w:noWrap w:val="0"/>
                  <w:vAlign w:val="center"/>
                </w:tcPr>
                <w:p w14:paraId="0B1474E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环境风险防控</w:t>
                  </w:r>
                </w:p>
              </w:tc>
              <w:tc>
                <w:tcPr>
                  <w:tcW w:w="2388" w:type="pct"/>
                  <w:noWrap w:val="0"/>
                  <w:vAlign w:val="top"/>
                </w:tcPr>
                <w:p w14:paraId="2FD92B92">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1、严格落实错峰生产方案和重污染天气应急响应措施。</w:t>
                  </w:r>
                </w:p>
                <w:p w14:paraId="74BCF7D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2、生产、使用、贮存、运输、回收、处置、排放有毒有害物质的单位和个人，应当采取措施，防止有毒有害物质渗漏、流失、扬散，避免土壤受到污染。</w:t>
                  </w:r>
                </w:p>
                <w:p w14:paraId="6A20EF29">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3、园区应设立环境应急管理机构，建立环境风险监管制度、环境风险预警制度、突发环境事件应急预案、环境风险应急保障制度等环境风险防控体系，并具备环境风险应急救援能力。</w:t>
                  </w:r>
                </w:p>
              </w:tc>
              <w:tc>
                <w:tcPr>
                  <w:tcW w:w="1209" w:type="pct"/>
                  <w:noWrap w:val="0"/>
                  <w:vAlign w:val="center"/>
                </w:tcPr>
                <w:p w14:paraId="4B935AF5">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sz w:val="21"/>
                      <w:szCs w:val="21"/>
                      <w:highlight w:val="none"/>
                      <w:lang w:val="en-US" w:eastAsia="zh-CN"/>
                    </w:rPr>
                    <w:t>本项目贮存的危险废物主要为实验室废液</w:t>
                  </w:r>
                  <w:r>
                    <w:rPr>
                      <w:rFonts w:hint="default" w:ascii="Times New Roman" w:hAnsi="Times New Roman" w:cs="Times New Roman" w:eastAsiaTheme="minorEastAsia"/>
                      <w:color w:val="auto"/>
                      <w:kern w:val="0"/>
                      <w:sz w:val="21"/>
                      <w:szCs w:val="21"/>
                      <w:lang w:val="en-US" w:eastAsia="zh-CN" w:bidi="ar"/>
                    </w:rPr>
                    <w:t>、过期废试剂</w:t>
                  </w:r>
                  <w:r>
                    <w:rPr>
                      <w:rFonts w:hint="default" w:ascii="Times New Roman" w:hAnsi="Times New Roman" w:cs="Times New Roman" w:eastAsiaTheme="minorEastAsia"/>
                      <w:color w:val="auto"/>
                      <w:sz w:val="21"/>
                      <w:szCs w:val="21"/>
                      <w:highlight w:val="none"/>
                      <w:lang w:val="en-US" w:eastAsia="zh-CN"/>
                    </w:rPr>
                    <w:t>、废试剂瓶，集中收集后由有资质单位处置。</w:t>
                  </w:r>
                </w:p>
              </w:tc>
              <w:tc>
                <w:tcPr>
                  <w:tcW w:w="310" w:type="pct"/>
                  <w:noWrap w:val="0"/>
                  <w:vAlign w:val="center"/>
                </w:tcPr>
                <w:p w14:paraId="589DD7F1">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4F5249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91" w:type="pct"/>
                  <w:noWrap w:val="0"/>
                  <w:vAlign w:val="center"/>
                </w:tcPr>
                <w:p w14:paraId="4185916E">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资源开发效率要求</w:t>
                  </w:r>
                </w:p>
              </w:tc>
              <w:tc>
                <w:tcPr>
                  <w:tcW w:w="2388" w:type="pct"/>
                  <w:noWrap w:val="0"/>
                  <w:vAlign w:val="top"/>
                </w:tcPr>
                <w:p w14:paraId="59618D73">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1、提高工业用水重复利用率。</w:t>
                  </w:r>
                </w:p>
                <w:p w14:paraId="2E14DF98">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2、逐步减少煤炭消耗。</w:t>
                  </w:r>
                </w:p>
                <w:p w14:paraId="3D0A27AD">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3、提高工业固废处置率。</w:t>
                  </w:r>
                </w:p>
                <w:p w14:paraId="7A8F913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4、推行清洁生产、降低生产水耗、从源头上控制污染物的产生。</w:t>
                  </w:r>
                </w:p>
              </w:tc>
              <w:tc>
                <w:tcPr>
                  <w:tcW w:w="1209" w:type="pct"/>
                  <w:noWrap w:val="0"/>
                  <w:vAlign w:val="center"/>
                </w:tcPr>
                <w:p w14:paraId="6487BF36">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本项目无生产废水产生；本项目不涉及煤炭消耗。</w:t>
                  </w:r>
                </w:p>
              </w:tc>
              <w:tc>
                <w:tcPr>
                  <w:tcW w:w="310" w:type="pct"/>
                  <w:noWrap w:val="0"/>
                  <w:vAlign w:val="center"/>
                </w:tcPr>
                <w:p w14:paraId="73A74F24">
                  <w:pPr>
                    <w:keepNext w:val="0"/>
                    <w:keepLines w:val="0"/>
                    <w:pageBreakBefore w:val="0"/>
                    <w:widowControl/>
                    <w:suppressLineNumbers w:val="0"/>
                    <w:kinsoku/>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bl>
          <w:p w14:paraId="4CF816CB">
            <w:pPr>
              <w:pageBreakBefore w:val="0"/>
              <w:numPr>
                <w:ilvl w:val="0"/>
                <w:numId w:val="0"/>
              </w:numPr>
              <w:kinsoku/>
              <w:overflowPunct/>
              <w:autoSpaceDE/>
              <w:autoSpaceDN/>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综上所述，本项目符合《关于发布昌吉回族自治州生态环境分区管控动态更新成果的公告》的相关要求。</w:t>
            </w:r>
          </w:p>
          <w:p w14:paraId="405FBDE7">
            <w:pPr>
              <w:pageBreakBefore w:val="0"/>
              <w:numPr>
                <w:ilvl w:val="0"/>
                <w:numId w:val="0"/>
              </w:numPr>
              <w:kinsoku/>
              <w:overflowPunct/>
              <w:autoSpaceDE/>
              <w:autoSpaceDN/>
              <w:bidi w:val="0"/>
              <w:adjustRightInd w:val="0"/>
              <w:snapToGrid w:val="0"/>
              <w:spacing w:beforeAutospacing="0" w:afterAutospacing="0" w:line="360" w:lineRule="auto"/>
              <w:ind w:left="0" w:leftChars="0" w:right="0" w:rightChars="0"/>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3 与《新疆维吾尔自治区七大片区“三线一单”生态环境分区管控要求》（新环环评发〔2021〕162号）的符合性分析</w:t>
            </w:r>
          </w:p>
          <w:p w14:paraId="0E6546DC">
            <w:pPr>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Cs w:val="21"/>
                <w:lang w:val="en-US" w:eastAsia="zh-CN"/>
              </w:rPr>
              <w:t xml:space="preserve">表1-4 </w:t>
            </w:r>
            <w:r>
              <w:rPr>
                <w:rFonts w:hint="eastAsia" w:ascii="Times New Roman" w:hAnsi="Times New Roman" w:cs="Times New Roman" w:eastAsiaTheme="minorEastAsia"/>
                <w:b/>
                <w:bCs/>
                <w:color w:val="auto"/>
                <w:szCs w:val="21"/>
                <w:lang w:val="en-US" w:eastAsia="zh-CN"/>
              </w:rPr>
              <w:t xml:space="preserve"> </w:t>
            </w:r>
            <w:r>
              <w:rPr>
                <w:rFonts w:hint="default" w:ascii="Times New Roman" w:hAnsi="Times New Roman" w:cs="Times New Roman" w:eastAsiaTheme="minorEastAsia"/>
                <w:b/>
                <w:bCs/>
                <w:color w:val="auto"/>
                <w:szCs w:val="21"/>
                <w:lang w:val="en-US" w:eastAsia="zh-CN"/>
              </w:rPr>
              <w:t xml:space="preserve"> 项目与自治区七大片区“三线一单”管控要求符合性分析一览表</w:t>
            </w:r>
          </w:p>
          <w:tbl>
            <w:tblPr>
              <w:tblStyle w:val="29"/>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02"/>
              <w:gridCol w:w="3830"/>
              <w:gridCol w:w="1741"/>
              <w:gridCol w:w="628"/>
            </w:tblGrid>
            <w:tr w14:paraId="518C4F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98" w:type="dxa"/>
                  <w:tcBorders>
                    <w:bottom w:val="single" w:color="auto" w:sz="12" w:space="0"/>
                  </w:tcBorders>
                  <w:noWrap w:val="0"/>
                  <w:vAlign w:val="center"/>
                </w:tcPr>
                <w:p w14:paraId="693D4BBB">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内容</w:t>
                  </w:r>
                </w:p>
              </w:tc>
              <w:tc>
                <w:tcPr>
                  <w:tcW w:w="3804" w:type="dxa"/>
                  <w:tcBorders>
                    <w:bottom w:val="single" w:color="auto" w:sz="12" w:space="0"/>
                  </w:tcBorders>
                  <w:noWrap w:val="0"/>
                  <w:vAlign w:val="center"/>
                </w:tcPr>
                <w:p w14:paraId="12D67AE2">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要求</w:t>
                  </w:r>
                </w:p>
              </w:tc>
              <w:tc>
                <w:tcPr>
                  <w:tcW w:w="1729" w:type="dxa"/>
                  <w:tcBorders>
                    <w:bottom w:val="single" w:color="auto" w:sz="12" w:space="0"/>
                  </w:tcBorders>
                  <w:noWrap w:val="0"/>
                  <w:vAlign w:val="center"/>
                </w:tcPr>
                <w:p w14:paraId="79725ECE">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本项目工程概况</w:t>
                  </w:r>
                </w:p>
              </w:tc>
              <w:tc>
                <w:tcPr>
                  <w:tcW w:w="624" w:type="dxa"/>
                  <w:tcBorders>
                    <w:bottom w:val="single" w:color="auto" w:sz="12" w:space="0"/>
                  </w:tcBorders>
                  <w:noWrap w:val="0"/>
                  <w:vAlign w:val="center"/>
                </w:tcPr>
                <w:p w14:paraId="58085DB6">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符合性</w:t>
                  </w:r>
                </w:p>
              </w:tc>
            </w:tr>
            <w:tr w14:paraId="58028B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98" w:type="dxa"/>
                  <w:tcBorders>
                    <w:top w:val="single" w:color="auto" w:sz="12" w:space="0"/>
                  </w:tcBorders>
                  <w:noWrap w:val="0"/>
                  <w:vAlign w:val="center"/>
                </w:tcPr>
                <w:p w14:paraId="609825F4">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val="en-US" w:eastAsia="zh-CN" w:bidi="ar"/>
                    </w:rPr>
                    <w:t>乌昌石片区</w:t>
                  </w:r>
                </w:p>
              </w:tc>
              <w:tc>
                <w:tcPr>
                  <w:tcW w:w="3804" w:type="dxa"/>
                  <w:tcBorders>
                    <w:top w:val="single" w:color="auto" w:sz="12" w:space="0"/>
                  </w:tcBorders>
                  <w:noWrap w:val="0"/>
                  <w:vAlign w:val="center"/>
                </w:tcPr>
                <w:p w14:paraId="11885311">
                  <w:pPr>
                    <w:keepNext w:val="0"/>
                    <w:keepLines w:val="0"/>
                    <w:pageBreakBefore w:val="0"/>
                    <w:widowControl/>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①乌昌石片区包括乌鲁木齐市、昌吉回族自治州和沙湾市。除国家规划项目外，乌鲁木齐市七区一县、昌吉市、阜康市、玛纳斯县、呼图壁县、沙湾市建成区及周边敏感区域内不再布局建设煤化工、电解铝、燃煤纯发电机组、金属硅、碳化硅、聚氯乙烯（电石法）、焦炭（含半焦）等新增产能项目，具备风光电清洁供暖建设条件的区域原则上不新批热电联产项目。</w:t>
                  </w:r>
                </w:p>
                <w:p w14:paraId="13C38628">
                  <w:pPr>
                    <w:keepNext w:val="0"/>
                    <w:keepLines w:val="0"/>
                    <w:pageBreakBefore w:val="0"/>
                    <w:widowControl/>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②坚持属地负责与区域大气污染联防联控相结合，以明显降低细颗粒物浓度为重点，协同推进“乌-昌-石”区域大气环境治理，强化与生产建设兵团第六师、第八师、第十一师、第十二师的同防同治，确保区域环境空气质量持续改善。所有新建、改建、扩建工业项目执行最严格的大气污染物排放标准。强化氮氧化物深度治理。强化挥发性有机物污染防治措施。推广使用低挥发性有机物原辅料，推动有条件的园区（工业集聚区）建设集中喷涂工程中心，配备高效治污设施，替代企业独立喷涂工序。</w:t>
                  </w:r>
                </w:p>
                <w:p w14:paraId="63140AFE">
                  <w:pPr>
                    <w:keepNext w:val="0"/>
                    <w:keepLines w:val="0"/>
                    <w:pageBreakBefore w:val="0"/>
                    <w:widowControl/>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③强化企业清洁生产改造，推进节水型企业、节水型工业园区建设，提高资源集约节约利用水平。积极推进地下水超采治理，逐步压减地下水超采量，实现地下水采补平衡。</w:t>
                  </w:r>
                </w:p>
                <w:p w14:paraId="2A4E3084">
                  <w:pPr>
                    <w:keepNext w:val="0"/>
                    <w:keepLines w:val="0"/>
                    <w:pageBreakBefore w:val="0"/>
                    <w:widowControl/>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④强化油（气）资源开发区土壤环境污染综合整治。加强涉重金属行业污染防控与工业废物处理处置。</w:t>
                  </w:r>
                </w:p>
                <w:p w14:paraId="3F55B076">
                  <w:pPr>
                    <w:keepNext w:val="0"/>
                    <w:keepLines w:val="0"/>
                    <w:pageBreakBefore w:val="0"/>
                    <w:widowControl/>
                    <w:suppressLineNumbers w:val="0"/>
                    <w:kinsoku/>
                    <w:overflowPunct/>
                    <w:autoSpaceDE/>
                    <w:autoSpaceDN/>
                    <w:bidi w:val="0"/>
                    <w:adjustRightIn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val="en-US" w:eastAsia="zh-CN" w:bidi="ar"/>
                    </w:rPr>
                    <w:t>⑤煤炭、石油、天然气开发单位应当制定生态保护和恢复治理方案，并予以实施。生态保护和恢复治理方案内容应当向社会公布，接受社会监督。</w:t>
                  </w:r>
                </w:p>
              </w:tc>
              <w:tc>
                <w:tcPr>
                  <w:tcW w:w="1729" w:type="dxa"/>
                  <w:tcBorders>
                    <w:top w:val="single" w:color="auto" w:sz="12" w:space="0"/>
                  </w:tcBorders>
                  <w:noWrap w:val="0"/>
                  <w:vAlign w:val="center"/>
                </w:tcPr>
                <w:p w14:paraId="0F9B96B4">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sz w:val="21"/>
                      <w:szCs w:val="21"/>
                      <w:highlight w:val="none"/>
                      <w:lang w:val="en-US" w:eastAsia="zh-CN"/>
                    </w:rPr>
                    <w:t>①本项目位于昌吉回族自治州昌吉市，属于乌昌石片区；本项目属于危险废物治理，不属于煤化工、电解铝、燃煤纯发电机组、金属硅、碳化硅、聚氯乙烯（电石法）、焦炭（含半焦）等新增产能项目，不属于</w:t>
                  </w:r>
                  <w:r>
                    <w:rPr>
                      <w:rFonts w:hint="default" w:ascii="Times New Roman" w:hAnsi="Times New Roman" w:cs="Times New Roman" w:eastAsiaTheme="minorEastAsia"/>
                      <w:color w:val="auto"/>
                      <w:kern w:val="0"/>
                      <w:sz w:val="21"/>
                      <w:szCs w:val="21"/>
                      <w:highlight w:val="none"/>
                      <w:lang w:val="en-US" w:eastAsia="zh-CN" w:bidi="ar"/>
                    </w:rPr>
                    <w:t>热电联产项目。</w:t>
                  </w:r>
                </w:p>
                <w:p w14:paraId="62F78A67">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eastAsia" w:ascii="Times New Roman" w:hAnsi="Times New Roman" w:cs="Times New Roman" w:eastAsiaTheme="minorEastAsia"/>
                      <w:color w:val="auto"/>
                      <w:kern w:val="0"/>
                      <w:sz w:val="21"/>
                      <w:szCs w:val="21"/>
                      <w:highlight w:val="none"/>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②本</w:t>
                  </w:r>
                  <w:r>
                    <w:rPr>
                      <w:rFonts w:hint="default" w:ascii="Times New Roman" w:hAnsi="Times New Roman" w:cs="Times New Roman" w:eastAsiaTheme="minorEastAsia"/>
                      <w:color w:val="auto"/>
                      <w:kern w:val="0"/>
                      <w:sz w:val="21"/>
                      <w:szCs w:val="21"/>
                      <w:lang w:val="en-US" w:eastAsia="zh-CN" w:bidi="ar"/>
                    </w:rPr>
                    <w:t>项目危险废物贮存的全过程不对其进行拆封、倾倒、分装、混装等操作，仅产生微量废气，无组织排放</w:t>
                  </w:r>
                  <w:r>
                    <w:rPr>
                      <w:rFonts w:hint="eastAsia" w:cs="Times New Roman" w:eastAsiaTheme="minorEastAsia"/>
                      <w:color w:val="auto"/>
                      <w:lang w:eastAsia="zh-CN"/>
                    </w:rPr>
                    <w:t>。</w:t>
                  </w:r>
                </w:p>
                <w:p w14:paraId="6A32CBE3">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③本项目不开采地下水。</w:t>
                  </w:r>
                </w:p>
                <w:p w14:paraId="5320271C">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④本项目不涉及油（气）资源开发</w:t>
                  </w:r>
                  <w:r>
                    <w:rPr>
                      <w:rFonts w:hint="default" w:ascii="Times New Roman" w:hAnsi="Times New Roman" w:cs="Times New Roman" w:eastAsiaTheme="minorEastAsia"/>
                      <w:color w:val="auto"/>
                      <w:sz w:val="21"/>
                      <w:szCs w:val="21"/>
                      <w:highlight w:val="none"/>
                      <w:lang w:eastAsia="zh-CN"/>
                    </w:rPr>
                    <w:t>。</w:t>
                  </w:r>
                </w:p>
                <w:p w14:paraId="721E64E3">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⑤</w:t>
                  </w:r>
                  <w:r>
                    <w:rPr>
                      <w:rFonts w:hint="default" w:ascii="Times New Roman" w:hAnsi="Times New Roman" w:cs="Times New Roman" w:eastAsiaTheme="minorEastAsia"/>
                      <w:color w:val="auto"/>
                      <w:highlight w:val="none"/>
                      <w:lang w:val="en-US" w:eastAsia="zh-CN"/>
                    </w:rPr>
                    <w:t>企业不属于</w:t>
                  </w:r>
                  <w:r>
                    <w:rPr>
                      <w:rFonts w:hint="default" w:ascii="Times New Roman" w:hAnsi="Times New Roman" w:cs="Times New Roman" w:eastAsiaTheme="minorEastAsia"/>
                      <w:color w:val="auto"/>
                      <w:kern w:val="0"/>
                      <w:sz w:val="21"/>
                      <w:szCs w:val="21"/>
                      <w:highlight w:val="none"/>
                      <w:lang w:val="en-US" w:eastAsia="zh-CN" w:bidi="ar"/>
                    </w:rPr>
                    <w:t>煤炭、石油、天然气开发单位</w:t>
                  </w:r>
                  <w:r>
                    <w:rPr>
                      <w:rFonts w:hint="default" w:ascii="Times New Roman" w:hAnsi="Times New Roman" w:cs="Times New Roman" w:eastAsiaTheme="minorEastAsia"/>
                      <w:color w:val="auto"/>
                      <w:highlight w:val="none"/>
                      <w:lang w:val="en-US" w:eastAsia="zh-CN"/>
                    </w:rPr>
                    <w:t>。</w:t>
                  </w:r>
                </w:p>
              </w:tc>
              <w:tc>
                <w:tcPr>
                  <w:tcW w:w="624" w:type="dxa"/>
                  <w:tcBorders>
                    <w:top w:val="single" w:color="auto" w:sz="12" w:space="0"/>
                  </w:tcBorders>
                  <w:noWrap w:val="0"/>
                  <w:vAlign w:val="center"/>
                </w:tcPr>
                <w:p w14:paraId="10ADB970">
                  <w:pPr>
                    <w:keepNext w:val="0"/>
                    <w:keepLines w:val="0"/>
                    <w:pageBreakBefore w:val="0"/>
                    <w:kinsoku/>
                    <w:wordWrap w:val="0"/>
                    <w:overflowPunct/>
                    <w:topLinePunct/>
                    <w:autoSpaceDE/>
                    <w:autoSpaceDN/>
                    <w:bidi w:val="0"/>
                    <w:adjustRightInd/>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符合</w:t>
                  </w:r>
                </w:p>
              </w:tc>
            </w:tr>
          </w:tbl>
          <w:p w14:paraId="09643D54">
            <w:pPr>
              <w:keepNext w:val="0"/>
              <w:keepLines w:val="0"/>
              <w:pageBreakBefore w:val="0"/>
              <w:numPr>
                <w:ilvl w:val="0"/>
                <w:numId w:val="0"/>
              </w:numPr>
              <w:kinsoku/>
              <w:wordWrap/>
              <w:overflowPunct/>
              <w:topLinePunct w:val="0"/>
              <w:autoSpaceDE w:val="0"/>
              <w:autoSpaceDN w:val="0"/>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综上所述，本项目符合《新疆维吾尔自治区七大片区“三线一单”生态环境分区管控要求》（新环环评发〔2021〕162号）的相关要求。</w:t>
            </w:r>
          </w:p>
          <w:p w14:paraId="59DEEDE0">
            <w:pPr>
              <w:pageBreakBefore w:val="0"/>
              <w:kinsoku/>
              <w:overflowPunct/>
              <w:autoSpaceDE/>
              <w:autoSpaceDN/>
              <w:bidi w:val="0"/>
              <w:adjustRightInd w:val="0"/>
              <w:snapToGrid w:val="0"/>
              <w:spacing w:beforeAutospacing="0" w:afterAutospacing="0" w:line="360" w:lineRule="auto"/>
              <w:ind w:left="0" w:leftChars="0" w:right="0" w:rightChars="0"/>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4 与《新疆维吾尔自治区大气污染防治条例》的符合性分析</w:t>
            </w:r>
          </w:p>
          <w:p w14:paraId="44BCBDC3">
            <w:pPr>
              <w:pageBreakBefore w:val="0"/>
              <w:kinsoku/>
              <w:overflowPunct/>
              <w:autoSpaceDE/>
              <w:autoSpaceDN/>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highlight w:val="none"/>
                <w:lang w:val="en-US" w:eastAsia="zh-CN"/>
              </w:rPr>
            </w:pPr>
            <w:r>
              <w:rPr>
                <w:rFonts w:hint="default" w:ascii="Times New Roman" w:hAnsi="Times New Roman" w:cs="Times New Roman" w:eastAsiaTheme="minorEastAsia"/>
                <w:b/>
                <w:bCs/>
                <w:color w:val="auto"/>
                <w:szCs w:val="21"/>
                <w:lang w:val="en-US" w:eastAsia="zh-CN"/>
              </w:rPr>
              <w:t xml:space="preserve">表1-5 </w:t>
            </w:r>
            <w:r>
              <w:rPr>
                <w:rFonts w:hint="eastAsia" w:ascii="Times New Roman" w:hAnsi="Times New Roman" w:cs="Times New Roman" w:eastAsiaTheme="minorEastAsia"/>
                <w:b/>
                <w:bCs/>
                <w:color w:val="auto"/>
                <w:szCs w:val="21"/>
                <w:lang w:val="en-US" w:eastAsia="zh-CN"/>
              </w:rPr>
              <w:t xml:space="preserve"> </w:t>
            </w:r>
            <w:r>
              <w:rPr>
                <w:rFonts w:hint="default" w:ascii="Times New Roman" w:hAnsi="Times New Roman" w:cs="Times New Roman" w:eastAsiaTheme="minorEastAsia"/>
                <w:b/>
                <w:bCs/>
                <w:color w:val="auto"/>
                <w:szCs w:val="21"/>
                <w:lang w:val="en-US" w:eastAsia="zh-CN"/>
              </w:rPr>
              <w:t xml:space="preserve"> 项目与《新疆维吾尔自治区大气污染防治条例》符合性</w:t>
            </w:r>
          </w:p>
          <w:tbl>
            <w:tblPr>
              <w:tblStyle w:val="30"/>
              <w:tblW w:w="6805"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893"/>
              <w:gridCol w:w="2261"/>
              <w:gridCol w:w="651"/>
            </w:tblGrid>
            <w:tr w14:paraId="5EE5B2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bottom w:val="single" w:color="auto" w:sz="12" w:space="0"/>
                  </w:tcBorders>
                  <w:noWrap w:val="0"/>
                  <w:vAlign w:val="center"/>
                </w:tcPr>
                <w:p w14:paraId="38B9E4A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kern w:val="0"/>
                      <w:sz w:val="21"/>
                      <w:szCs w:val="21"/>
                      <w:lang w:val="en-US" w:eastAsia="zh-CN" w:bidi="ar"/>
                    </w:rPr>
                  </w:pPr>
                  <w:r>
                    <w:rPr>
                      <w:rFonts w:hint="default" w:ascii="Times New Roman" w:hAnsi="Times New Roman" w:cs="Times New Roman" w:eastAsiaTheme="minorEastAsia"/>
                      <w:b/>
                      <w:bCs/>
                      <w:color w:val="auto"/>
                      <w:kern w:val="0"/>
                      <w:sz w:val="21"/>
                      <w:szCs w:val="21"/>
                      <w:lang w:val="en-US" w:eastAsia="zh-CN" w:bidi="ar"/>
                    </w:rPr>
                    <w:t>条例要求</w:t>
                  </w:r>
                </w:p>
              </w:tc>
              <w:tc>
                <w:tcPr>
                  <w:tcW w:w="2261" w:type="dxa"/>
                  <w:tcBorders>
                    <w:bottom w:val="single" w:color="auto" w:sz="12" w:space="0"/>
                  </w:tcBorders>
                  <w:noWrap w:val="0"/>
                  <w:vAlign w:val="center"/>
                </w:tcPr>
                <w:p w14:paraId="127B010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kern w:val="0"/>
                      <w:sz w:val="21"/>
                      <w:szCs w:val="21"/>
                      <w:lang w:val="en-US" w:eastAsia="zh-CN" w:bidi="ar"/>
                    </w:rPr>
                  </w:pPr>
                  <w:r>
                    <w:rPr>
                      <w:rFonts w:hint="default" w:ascii="Times New Roman" w:hAnsi="Times New Roman" w:cs="Times New Roman" w:eastAsiaTheme="minorEastAsia"/>
                      <w:b/>
                      <w:bCs/>
                      <w:color w:val="auto"/>
                      <w:kern w:val="0"/>
                      <w:sz w:val="21"/>
                      <w:szCs w:val="21"/>
                      <w:lang w:val="en-US" w:eastAsia="zh-CN" w:bidi="ar"/>
                    </w:rPr>
                    <w:t>本项目实际</w:t>
                  </w:r>
                </w:p>
              </w:tc>
              <w:tc>
                <w:tcPr>
                  <w:tcW w:w="651" w:type="dxa"/>
                  <w:tcBorders>
                    <w:bottom w:val="single" w:color="auto" w:sz="12" w:space="0"/>
                  </w:tcBorders>
                  <w:noWrap w:val="0"/>
                  <w:vAlign w:val="center"/>
                </w:tcPr>
                <w:p w14:paraId="49C15F0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kern w:val="0"/>
                      <w:sz w:val="21"/>
                      <w:szCs w:val="21"/>
                      <w:lang w:val="en-US" w:eastAsia="zh-CN" w:bidi="ar"/>
                    </w:rPr>
                  </w:pPr>
                  <w:r>
                    <w:rPr>
                      <w:rFonts w:hint="default" w:ascii="Times New Roman" w:hAnsi="Times New Roman" w:cs="Times New Roman" w:eastAsiaTheme="minorEastAsia"/>
                      <w:b/>
                      <w:bCs/>
                      <w:color w:val="auto"/>
                      <w:kern w:val="0"/>
                      <w:sz w:val="21"/>
                      <w:szCs w:val="21"/>
                      <w:lang w:val="en-US" w:eastAsia="zh-CN" w:bidi="ar"/>
                    </w:rPr>
                    <w:t>符合性</w:t>
                  </w:r>
                </w:p>
              </w:tc>
            </w:tr>
            <w:tr w14:paraId="5B36D6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top w:val="single" w:color="auto" w:sz="12" w:space="0"/>
                    <w:tl2br w:val="nil"/>
                    <w:tr2bl w:val="nil"/>
                  </w:tcBorders>
                  <w:noWrap w:val="0"/>
                  <w:vAlign w:val="center"/>
                </w:tcPr>
                <w:p w14:paraId="227508B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自治区对大气污染物实行排污许可管理制度</w:t>
                  </w:r>
                </w:p>
              </w:tc>
              <w:tc>
                <w:tcPr>
                  <w:tcW w:w="2261" w:type="dxa"/>
                  <w:tcBorders>
                    <w:top w:val="single" w:color="auto" w:sz="12" w:space="0"/>
                    <w:tl2br w:val="nil"/>
                    <w:tr2bl w:val="nil"/>
                  </w:tcBorders>
                  <w:noWrap w:val="0"/>
                  <w:vAlign w:val="center"/>
                </w:tcPr>
                <w:p w14:paraId="6691D3F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lang w:val="en-US" w:eastAsia="zh-CN"/>
                    </w:rPr>
                    <w:t>本项目不需要申请排污许可。</w:t>
                  </w:r>
                </w:p>
              </w:tc>
              <w:tc>
                <w:tcPr>
                  <w:tcW w:w="651" w:type="dxa"/>
                  <w:tcBorders>
                    <w:top w:val="single" w:color="auto" w:sz="12" w:space="0"/>
                    <w:tl2br w:val="nil"/>
                    <w:tr2bl w:val="nil"/>
                  </w:tcBorders>
                  <w:noWrap w:val="0"/>
                  <w:vAlign w:val="center"/>
                </w:tcPr>
                <w:p w14:paraId="003367C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5E1A7B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tl2br w:val="nil"/>
                    <w:tr2bl w:val="nil"/>
                  </w:tcBorders>
                  <w:noWrap w:val="0"/>
                  <w:vAlign w:val="center"/>
                </w:tcPr>
                <w:p w14:paraId="0F79C06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向大气排放污染物的企业事业单位和其他生产经营者，应当按照国家有关规定和监测规范，自行或者委托有资质的监测机构监测大气污染物排放情况，并保存原始监测数据记录</w:t>
                  </w:r>
                </w:p>
              </w:tc>
              <w:tc>
                <w:tcPr>
                  <w:tcW w:w="2261" w:type="dxa"/>
                  <w:tcBorders>
                    <w:tl2br w:val="nil"/>
                    <w:tr2bl w:val="nil"/>
                  </w:tcBorders>
                  <w:noWrap w:val="0"/>
                  <w:vAlign w:val="center"/>
                </w:tcPr>
                <w:p w14:paraId="39C1C9E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highlight w:val="none"/>
                      <w:lang w:val="en-US" w:eastAsia="zh-CN" w:bidi="ar"/>
                    </w:rPr>
                    <w:t>本</w:t>
                  </w:r>
                  <w:r>
                    <w:rPr>
                      <w:rFonts w:hint="default" w:ascii="Times New Roman" w:hAnsi="Times New Roman" w:cs="Times New Roman" w:eastAsiaTheme="minorEastAsia"/>
                      <w:color w:val="auto"/>
                      <w:kern w:val="0"/>
                      <w:sz w:val="21"/>
                      <w:szCs w:val="21"/>
                      <w:lang w:val="en-US" w:eastAsia="zh-CN" w:bidi="ar"/>
                    </w:rPr>
                    <w:t>项目危险废物贮存的全过程不对其进行拆封、倾倒、分装、混装等操作，仅产生微量废气，无组织排放。</w:t>
                  </w:r>
                </w:p>
              </w:tc>
              <w:tc>
                <w:tcPr>
                  <w:tcW w:w="651" w:type="dxa"/>
                  <w:tcBorders>
                    <w:tl2br w:val="nil"/>
                    <w:tr2bl w:val="nil"/>
                  </w:tcBorders>
                  <w:noWrap w:val="0"/>
                  <w:vAlign w:val="center"/>
                </w:tcPr>
                <w:p w14:paraId="14F8FB1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59D24E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tl2br w:val="nil"/>
                    <w:tr2bl w:val="nil"/>
                  </w:tcBorders>
                  <w:noWrap w:val="0"/>
                  <w:vAlign w:val="center"/>
                </w:tcPr>
                <w:p w14:paraId="1C7D8EFD">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实行煤炭消费总量控制制度，采取有利于煤炭消费总量削减的经济、技术政策和措施，鼓励和支持清洁能源的开发利用，引导企业开展清洁能源替代，减少煤炭生产、使用、转化过程中的大气污染物排放</w:t>
                  </w:r>
                </w:p>
              </w:tc>
              <w:tc>
                <w:tcPr>
                  <w:tcW w:w="2261" w:type="dxa"/>
                  <w:tcBorders>
                    <w:tl2br w:val="nil"/>
                    <w:tr2bl w:val="nil"/>
                  </w:tcBorders>
                  <w:noWrap w:val="0"/>
                  <w:vAlign w:val="center"/>
                </w:tcPr>
                <w:p w14:paraId="3C8C11A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企业不涉及燃煤工艺</w:t>
                  </w:r>
                </w:p>
              </w:tc>
              <w:tc>
                <w:tcPr>
                  <w:tcW w:w="651" w:type="dxa"/>
                  <w:tcBorders>
                    <w:tl2br w:val="nil"/>
                    <w:tr2bl w:val="nil"/>
                  </w:tcBorders>
                  <w:noWrap w:val="0"/>
                  <w:vAlign w:val="center"/>
                </w:tcPr>
                <w:p w14:paraId="5E817D9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6C3746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tl2br w:val="nil"/>
                    <w:tr2bl w:val="nil"/>
                  </w:tcBorders>
                  <w:noWrap w:val="0"/>
                  <w:vAlign w:val="center"/>
                </w:tcPr>
                <w:p w14:paraId="0170A1E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推进城市建成区、工业园区实行集中供热，使用清洁燃料</w:t>
                  </w:r>
                </w:p>
              </w:tc>
              <w:tc>
                <w:tcPr>
                  <w:tcW w:w="2261" w:type="dxa"/>
                  <w:tcBorders>
                    <w:tl2br w:val="nil"/>
                    <w:tr2bl w:val="nil"/>
                  </w:tcBorders>
                  <w:noWrap w:val="0"/>
                  <w:vAlign w:val="center"/>
                </w:tcPr>
                <w:p w14:paraId="183111B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本项目生产无需供热。</w:t>
                  </w:r>
                </w:p>
              </w:tc>
              <w:tc>
                <w:tcPr>
                  <w:tcW w:w="651" w:type="dxa"/>
                  <w:tcBorders>
                    <w:tl2br w:val="nil"/>
                    <w:tr2bl w:val="nil"/>
                  </w:tcBorders>
                  <w:noWrap w:val="0"/>
                  <w:vAlign w:val="center"/>
                </w:tcPr>
                <w:p w14:paraId="4220225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21C35D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tl2br w:val="nil"/>
                    <w:tr2bl w:val="nil"/>
                  </w:tcBorders>
                  <w:noWrap w:val="0"/>
                  <w:vAlign w:val="center"/>
                </w:tcPr>
                <w:p w14:paraId="7EB9B4F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在禁燃区内，禁止销售、燃用高污染燃料；禁止新建、扩建燃用高污染燃料的设施。已建成的，应当在规定期限内改用清洁能源</w:t>
                  </w:r>
                </w:p>
              </w:tc>
              <w:tc>
                <w:tcPr>
                  <w:tcW w:w="2261" w:type="dxa"/>
                  <w:tcBorders>
                    <w:tl2br w:val="nil"/>
                    <w:tr2bl w:val="nil"/>
                  </w:tcBorders>
                  <w:noWrap w:val="0"/>
                  <w:vAlign w:val="center"/>
                </w:tcPr>
                <w:p w14:paraId="327EB57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本项目不使用高污染燃料。</w:t>
                  </w:r>
                </w:p>
              </w:tc>
              <w:tc>
                <w:tcPr>
                  <w:tcW w:w="651" w:type="dxa"/>
                  <w:tcBorders>
                    <w:tl2br w:val="nil"/>
                    <w:tr2bl w:val="nil"/>
                  </w:tcBorders>
                  <w:noWrap w:val="0"/>
                  <w:vAlign w:val="center"/>
                </w:tcPr>
                <w:p w14:paraId="0721EA2D">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02F1FB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tl2br w:val="nil"/>
                    <w:tr2bl w:val="nil"/>
                  </w:tcBorders>
                  <w:noWrap w:val="0"/>
                  <w:vAlign w:val="center"/>
                </w:tcPr>
                <w:p w14:paraId="5F1E4E5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禁止在自治区行政区域内引进能(水)耗不符合相关国家标准中准入值要求且污染物排放和环境风险防控不符合国家(地方)标准及有关产业准入条件的高污染(排放)、高能(水)耗、高环境风险的工业项目</w:t>
                  </w:r>
                </w:p>
              </w:tc>
              <w:tc>
                <w:tcPr>
                  <w:tcW w:w="2261" w:type="dxa"/>
                  <w:tcBorders>
                    <w:tl2br w:val="nil"/>
                    <w:tr2bl w:val="nil"/>
                  </w:tcBorders>
                  <w:noWrap w:val="0"/>
                  <w:vAlign w:val="center"/>
                </w:tcPr>
                <w:p w14:paraId="5E1A456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本项目不属于高污染（排放）、高能（水）耗、高环境风险的工业项目。</w:t>
                  </w:r>
                </w:p>
              </w:tc>
              <w:tc>
                <w:tcPr>
                  <w:tcW w:w="651" w:type="dxa"/>
                  <w:tcBorders>
                    <w:tl2br w:val="nil"/>
                    <w:tr2bl w:val="nil"/>
                  </w:tcBorders>
                  <w:noWrap w:val="0"/>
                  <w:vAlign w:val="center"/>
                </w:tcPr>
                <w:p w14:paraId="7BB86D6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3C11E9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tl2br w:val="nil"/>
                    <w:tr2bl w:val="nil"/>
                  </w:tcBorders>
                  <w:noWrap w:val="0"/>
                  <w:vAlign w:val="center"/>
                </w:tcPr>
                <w:p w14:paraId="1FFA673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禁止新建、改建、扩建列入淘汰类目录的高污染工业项目。禁止使用列入淘汰类目录的工艺、设备、产品</w:t>
                  </w:r>
                </w:p>
              </w:tc>
              <w:tc>
                <w:tcPr>
                  <w:tcW w:w="2261" w:type="dxa"/>
                  <w:tcBorders>
                    <w:tl2br w:val="nil"/>
                    <w:tr2bl w:val="nil"/>
                  </w:tcBorders>
                  <w:noWrap w:val="0"/>
                  <w:vAlign w:val="center"/>
                </w:tcPr>
                <w:p w14:paraId="45FE560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本项目不属于高污染工业项目，不使用列入淘汰类目录的工艺、设备、产品。</w:t>
                  </w:r>
                </w:p>
              </w:tc>
              <w:tc>
                <w:tcPr>
                  <w:tcW w:w="651" w:type="dxa"/>
                  <w:tcBorders>
                    <w:tl2br w:val="nil"/>
                    <w:tr2bl w:val="nil"/>
                  </w:tcBorders>
                  <w:noWrap w:val="0"/>
                  <w:vAlign w:val="center"/>
                </w:tcPr>
                <w:p w14:paraId="24215CD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04F2E0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tl2br w:val="nil"/>
                    <w:tr2bl w:val="nil"/>
                  </w:tcBorders>
                  <w:noWrap w:val="0"/>
                  <w:vAlign w:val="center"/>
                </w:tcPr>
                <w:p w14:paraId="1FC93AD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鼓励产业集聚发展，按照主体功能区划合理规划工业园区的布局，引导工业企业入驻工业园区</w:t>
                  </w:r>
                </w:p>
              </w:tc>
              <w:tc>
                <w:tcPr>
                  <w:tcW w:w="2261" w:type="dxa"/>
                  <w:tcBorders>
                    <w:tl2br w:val="nil"/>
                    <w:tr2bl w:val="nil"/>
                  </w:tcBorders>
                  <w:noWrap w:val="0"/>
                  <w:vAlign w:val="center"/>
                </w:tcPr>
                <w:p w14:paraId="377DF6F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本项目位于昌吉高新技术产业开发区昌吉技术学院内，位于园区教育园范围内。</w:t>
                  </w:r>
                </w:p>
              </w:tc>
              <w:tc>
                <w:tcPr>
                  <w:tcW w:w="651" w:type="dxa"/>
                  <w:tcBorders>
                    <w:tl2br w:val="nil"/>
                    <w:tr2bl w:val="nil"/>
                  </w:tcBorders>
                  <w:noWrap w:val="0"/>
                  <w:vAlign w:val="center"/>
                </w:tcPr>
                <w:p w14:paraId="182AB4D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1332D6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tl2br w:val="nil"/>
                    <w:tr2bl w:val="nil"/>
                  </w:tcBorders>
                  <w:noWrap w:val="0"/>
                  <w:vAlign w:val="center"/>
                </w:tcPr>
                <w:p w14:paraId="656F04E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产生含挥发性有机物废气的生产和服务活动，应当按照国家规定在密闭空间或者设备中进行，并安装、使用污染防治设施；无法密闭的，应当采取措施减少废气排放</w:t>
                  </w:r>
                </w:p>
              </w:tc>
              <w:tc>
                <w:tcPr>
                  <w:tcW w:w="2261" w:type="dxa"/>
                  <w:tcBorders>
                    <w:tl2br w:val="nil"/>
                    <w:tr2bl w:val="nil"/>
                  </w:tcBorders>
                  <w:noWrap w:val="0"/>
                  <w:vAlign w:val="center"/>
                </w:tcPr>
                <w:p w14:paraId="13335C27">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本项目实验室废液、过期废试剂使用密闭桶装，贮存的全过程不对其进行拆封、倾倒、分装、混装等操作，仅产生微量废气，无组织排放。</w:t>
                  </w:r>
                </w:p>
              </w:tc>
              <w:tc>
                <w:tcPr>
                  <w:tcW w:w="651" w:type="dxa"/>
                  <w:tcBorders>
                    <w:tl2br w:val="nil"/>
                    <w:tr2bl w:val="nil"/>
                  </w:tcBorders>
                  <w:noWrap w:val="0"/>
                  <w:vAlign w:val="center"/>
                </w:tcPr>
                <w:p w14:paraId="12F4651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6E3F9E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tl2br w:val="nil"/>
                    <w:tr2bl w:val="nil"/>
                  </w:tcBorders>
                  <w:noWrap w:val="0"/>
                  <w:vAlign w:val="center"/>
                </w:tcPr>
                <w:p w14:paraId="39088F3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新建储油库、储气库、加油加气站以及新登记油罐车、气罐车，应当按照国家有关规定安装油气回收装置并正常使用；已建储油库、储气库、加油加气站以及在用油罐车、气罐车，不符合国家有关规定的，应当限期完成回收治理</w:t>
                  </w:r>
                </w:p>
              </w:tc>
              <w:tc>
                <w:tcPr>
                  <w:tcW w:w="2261" w:type="dxa"/>
                  <w:tcBorders>
                    <w:tl2br w:val="nil"/>
                    <w:tr2bl w:val="nil"/>
                  </w:tcBorders>
                  <w:noWrap w:val="0"/>
                  <w:vAlign w:val="center"/>
                </w:tcPr>
                <w:p w14:paraId="2BCBB06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本项目不涉及所列项目。</w:t>
                  </w:r>
                </w:p>
              </w:tc>
              <w:tc>
                <w:tcPr>
                  <w:tcW w:w="651" w:type="dxa"/>
                  <w:tcBorders>
                    <w:tl2br w:val="nil"/>
                    <w:tr2bl w:val="nil"/>
                  </w:tcBorders>
                  <w:noWrap w:val="0"/>
                  <w:vAlign w:val="center"/>
                </w:tcPr>
                <w:p w14:paraId="486C0D8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202261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tl2br w:val="nil"/>
                    <w:tr2bl w:val="nil"/>
                  </w:tcBorders>
                  <w:noWrap w:val="0"/>
                  <w:vAlign w:val="center"/>
                </w:tcPr>
                <w:p w14:paraId="69BE1C1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向大气排放恶臭气体的排污单位、垃圾处置场、污水处理厂，应当设置合理的防护距离，安装净化装置或者采取其他措施，防止恶臭气体排放</w:t>
                  </w:r>
                </w:p>
              </w:tc>
              <w:tc>
                <w:tcPr>
                  <w:tcW w:w="2261" w:type="dxa"/>
                  <w:tcBorders>
                    <w:tl2br w:val="nil"/>
                    <w:tr2bl w:val="nil"/>
                  </w:tcBorders>
                  <w:noWrap w:val="0"/>
                  <w:vAlign w:val="center"/>
                </w:tcPr>
                <w:p w14:paraId="30D26C0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项目不涉及臭气</w:t>
                  </w:r>
                </w:p>
              </w:tc>
              <w:tc>
                <w:tcPr>
                  <w:tcW w:w="651" w:type="dxa"/>
                  <w:tcBorders>
                    <w:tl2br w:val="nil"/>
                    <w:tr2bl w:val="nil"/>
                  </w:tcBorders>
                  <w:noWrap w:val="0"/>
                  <w:vAlign w:val="center"/>
                </w:tcPr>
                <w:p w14:paraId="42F1795D">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r w14:paraId="55F97D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93" w:type="dxa"/>
                  <w:tcBorders>
                    <w:tl2br w:val="nil"/>
                    <w:tr2bl w:val="nil"/>
                  </w:tcBorders>
                  <w:noWrap w:val="0"/>
                  <w:vAlign w:val="center"/>
                </w:tcPr>
                <w:p w14:paraId="76BFAA7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贮存易产生扬尘的煤炭、煤矸石、煤渣、煤灰、水泥、石灰、石膏、砂土等物料的堆场应当密闭；露天装卸物料应当采取密闭或者喷淋等抑尘措施；输送的物料应当在装料、卸料处配备吸尘、喷淋等防尘设施</w:t>
                  </w:r>
                </w:p>
              </w:tc>
              <w:tc>
                <w:tcPr>
                  <w:tcW w:w="2261" w:type="dxa"/>
                  <w:tcBorders>
                    <w:tl2br w:val="nil"/>
                    <w:tr2bl w:val="nil"/>
                  </w:tcBorders>
                  <w:noWrap w:val="0"/>
                  <w:vAlign w:val="center"/>
                </w:tcPr>
                <w:p w14:paraId="2CF6C26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项目不属于上述工艺</w:t>
                  </w:r>
                </w:p>
              </w:tc>
              <w:tc>
                <w:tcPr>
                  <w:tcW w:w="651" w:type="dxa"/>
                  <w:tcBorders>
                    <w:tl2br w:val="nil"/>
                    <w:tr2bl w:val="nil"/>
                  </w:tcBorders>
                  <w:noWrap w:val="0"/>
                  <w:vAlign w:val="center"/>
                </w:tcPr>
                <w:p w14:paraId="7B24094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符合</w:t>
                  </w:r>
                </w:p>
              </w:tc>
            </w:tr>
          </w:tbl>
          <w:p w14:paraId="1501CFB7">
            <w:pPr>
              <w:pageBreakBefore w:val="0"/>
              <w:kinsoku/>
              <w:overflowPunct/>
              <w:autoSpaceDE/>
              <w:autoSpaceDN/>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highlight w:val="none"/>
                <w:lang w:val="en-US" w:eastAsia="zh-CN"/>
              </w:rPr>
            </w:pPr>
            <w:r>
              <w:rPr>
                <w:rFonts w:hint="default" w:ascii="Times New Roman" w:hAnsi="Times New Roman" w:cs="Times New Roman" w:eastAsiaTheme="minorEastAsia"/>
                <w:color w:val="auto"/>
                <w:sz w:val="24"/>
                <w:highlight w:val="none"/>
                <w:lang w:val="en-US" w:eastAsia="zh-CN"/>
              </w:rPr>
              <w:t>综上所述，本项目的建设与《新疆维吾尔自治区大气污染防治条例》中相关要求是相符的。</w:t>
            </w:r>
          </w:p>
          <w:p w14:paraId="71996717">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right="0" w:rightChars="0"/>
              <w:textAlignment w:val="auto"/>
              <w:rPr>
                <w:rFonts w:hint="eastAsia" w:ascii="Times New Roman" w:hAnsi="Times New Roman" w:eastAsia="宋体" w:cs="Times New Roman"/>
                <w:b/>
                <w:bCs/>
                <w:color w:val="auto"/>
                <w:sz w:val="24"/>
                <w:highlight w:val="none"/>
                <w:lang w:val="en-US" w:eastAsia="zh-CN"/>
              </w:rPr>
            </w:pPr>
            <w:r>
              <w:rPr>
                <w:rFonts w:hint="default" w:ascii="Times New Roman" w:hAnsi="Times New Roman" w:cs="Times New Roman" w:eastAsiaTheme="minorEastAsia"/>
                <w:b/>
                <w:bCs/>
                <w:color w:val="auto"/>
                <w:sz w:val="24"/>
                <w:lang w:val="en-US" w:eastAsia="zh-CN"/>
              </w:rPr>
              <w:t xml:space="preserve">5 </w:t>
            </w:r>
            <w:r>
              <w:rPr>
                <w:rFonts w:hint="eastAsia" w:ascii="Times New Roman" w:hAnsi="Times New Roman" w:eastAsia="宋体" w:cs="Times New Roman"/>
                <w:b/>
                <w:bCs/>
                <w:color w:val="auto"/>
                <w:sz w:val="24"/>
                <w:highlight w:val="none"/>
                <w:lang w:val="en-US" w:eastAsia="zh-CN"/>
              </w:rPr>
              <w:t>与《</w:t>
            </w:r>
            <w:r>
              <w:rPr>
                <w:rFonts w:hint="default" w:ascii="Times New Roman" w:hAnsi="Times New Roman" w:cs="Times New Roman" w:eastAsiaTheme="minorEastAsia"/>
                <w:b/>
                <w:bCs/>
                <w:color w:val="auto"/>
                <w:sz w:val="24"/>
                <w:lang w:val="en-US" w:eastAsia="zh-CN"/>
              </w:rPr>
              <w:t>固体废物污染防治十五五规划</w:t>
            </w:r>
            <w:r>
              <w:rPr>
                <w:rFonts w:hint="eastAsia" w:ascii="Times New Roman" w:hAnsi="Times New Roman" w:eastAsia="宋体" w:cs="Times New Roman"/>
                <w:b/>
                <w:bCs/>
                <w:color w:val="auto"/>
                <w:sz w:val="24"/>
                <w:highlight w:val="none"/>
                <w:lang w:val="en-US" w:eastAsia="zh-CN"/>
              </w:rPr>
              <w:t>》符合性分析</w:t>
            </w:r>
          </w:p>
          <w:p w14:paraId="15EBE34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kern w:val="0"/>
                <w:sz w:val="24"/>
                <w:szCs w:val="24"/>
                <w:lang w:val="en-US" w:eastAsia="zh-CN"/>
              </w:rPr>
              <w:t>根据关于印发《固体废物污染防治“十五五”规划》的通知（环固体〔2026〕39号），项目与文件符合性分析见下表。</w:t>
            </w:r>
          </w:p>
          <w:p w14:paraId="42C4B384">
            <w:pPr>
              <w:pageBreakBefore w:val="0"/>
              <w:kinsoku/>
              <w:overflowPunct/>
              <w:autoSpaceDE/>
              <w:autoSpaceDN/>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highlight w:val="none"/>
                <w:lang w:val="en-US" w:eastAsia="zh-CN"/>
              </w:rPr>
            </w:pPr>
            <w:r>
              <w:rPr>
                <w:rFonts w:hint="default" w:ascii="Times New Roman" w:hAnsi="Times New Roman" w:cs="Times New Roman" w:eastAsiaTheme="minorEastAsia"/>
                <w:b/>
                <w:bCs/>
                <w:color w:val="auto"/>
                <w:szCs w:val="21"/>
                <w:lang w:val="en-US" w:eastAsia="zh-CN"/>
              </w:rPr>
              <w:t>表1-</w:t>
            </w:r>
            <w:r>
              <w:rPr>
                <w:rFonts w:hint="eastAsia" w:cs="Times New Roman" w:eastAsiaTheme="minorEastAsia"/>
                <w:b/>
                <w:bCs/>
                <w:color w:val="auto"/>
                <w:szCs w:val="21"/>
                <w:lang w:val="en-US" w:eastAsia="zh-CN"/>
              </w:rPr>
              <w:t>6</w:t>
            </w:r>
            <w:r>
              <w:rPr>
                <w:rFonts w:hint="default" w:ascii="Times New Roman" w:hAnsi="Times New Roman" w:cs="Times New Roman" w:eastAsiaTheme="minorEastAsia"/>
                <w:b/>
                <w:bCs/>
                <w:color w:val="auto"/>
                <w:szCs w:val="21"/>
                <w:lang w:val="en-US" w:eastAsia="zh-CN"/>
              </w:rPr>
              <w:t xml:space="preserve"> </w:t>
            </w:r>
            <w:r>
              <w:rPr>
                <w:rFonts w:hint="eastAsia" w:ascii="Times New Roman" w:hAnsi="Times New Roman" w:cs="Times New Roman" w:eastAsiaTheme="minorEastAsia"/>
                <w:b/>
                <w:bCs/>
                <w:color w:val="auto"/>
                <w:szCs w:val="21"/>
                <w:lang w:val="en-US" w:eastAsia="zh-CN"/>
              </w:rPr>
              <w:t xml:space="preserve"> </w:t>
            </w:r>
            <w:r>
              <w:rPr>
                <w:rFonts w:hint="default" w:ascii="Times New Roman" w:hAnsi="Times New Roman" w:cs="Times New Roman" w:eastAsiaTheme="minorEastAsia"/>
                <w:b/>
                <w:bCs/>
                <w:color w:val="auto"/>
                <w:szCs w:val="21"/>
                <w:lang w:val="en-US" w:eastAsia="zh-CN"/>
              </w:rPr>
              <w:t xml:space="preserve"> 项目与《固体废物污染防治“十五五”规划》符合性</w:t>
            </w:r>
          </w:p>
          <w:tbl>
            <w:tblPr>
              <w:tblStyle w:val="29"/>
              <w:tblW w:w="6855"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3"/>
              <w:gridCol w:w="3507"/>
              <w:gridCol w:w="2415"/>
              <w:gridCol w:w="480"/>
            </w:tblGrid>
            <w:tr w14:paraId="6644FB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36287587">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序号</w:t>
                  </w:r>
                </w:p>
              </w:tc>
              <w:tc>
                <w:tcPr>
                  <w:tcW w:w="3507" w:type="dxa"/>
                  <w:noWrap w:val="0"/>
                  <w:vAlign w:val="center"/>
                </w:tcPr>
                <w:p w14:paraId="66F2A75E">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要求</w:t>
                  </w:r>
                </w:p>
              </w:tc>
              <w:tc>
                <w:tcPr>
                  <w:tcW w:w="2415" w:type="dxa"/>
                  <w:noWrap w:val="0"/>
                  <w:vAlign w:val="center"/>
                </w:tcPr>
                <w:p w14:paraId="0841D746">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本项目</w:t>
                  </w:r>
                </w:p>
              </w:tc>
              <w:tc>
                <w:tcPr>
                  <w:tcW w:w="480" w:type="dxa"/>
                  <w:noWrap w:val="0"/>
                  <w:vAlign w:val="center"/>
                </w:tcPr>
                <w:p w14:paraId="04B2727D">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符合性</w:t>
                  </w:r>
                </w:p>
              </w:tc>
            </w:tr>
            <w:tr w14:paraId="4831B1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4DC46A10">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c>
                <w:tcPr>
                  <w:tcW w:w="3507" w:type="dxa"/>
                  <w:noWrap w:val="0"/>
                  <w:vAlign w:val="center"/>
                </w:tcPr>
                <w:p w14:paraId="063CB8CA">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以有效防控固体废物全过程生态环境风险为目标，统筹推进重点攻坚和系统治理，紧盯重点领域、重点地区、重点问题，扎实推动固体废物环境污染隐患排查整治，加快补齐短板弱项，持续强化固体废物全链条监管</w:t>
                  </w:r>
                  <w:r>
                    <w:rPr>
                      <w:rFonts w:hint="eastAsia" w:eastAsia="宋体" w:cs="Times New Roman"/>
                      <w:color w:val="auto"/>
                      <w:sz w:val="21"/>
                      <w:szCs w:val="21"/>
                      <w:highlight w:val="none"/>
                      <w:lang w:val="en-US" w:eastAsia="zh-CN"/>
                    </w:rPr>
                    <w:t>。</w:t>
                  </w:r>
                </w:p>
              </w:tc>
              <w:tc>
                <w:tcPr>
                  <w:tcW w:w="2415" w:type="dxa"/>
                  <w:noWrap w:val="0"/>
                  <w:vAlign w:val="center"/>
                </w:tcPr>
                <w:p w14:paraId="7A8AAE38">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本项目为危险废物贮存库建设项目，对实验室废液、过期废试剂、废试剂瓶实行密闭收集、规范化贮存、定期委托有资质单位转移处置，覆盖产生、收集、贮存、转移全过程，落实固体废物全链条监管要求。</w:t>
                  </w:r>
                </w:p>
              </w:tc>
              <w:tc>
                <w:tcPr>
                  <w:tcW w:w="480" w:type="dxa"/>
                  <w:noWrap w:val="0"/>
                  <w:vAlign w:val="center"/>
                </w:tcPr>
                <w:p w14:paraId="45398BE2">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32B14A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1CE0DB36">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3507" w:type="dxa"/>
                  <w:noWrap w:val="0"/>
                  <w:vAlign w:val="center"/>
                </w:tcPr>
                <w:p w14:paraId="5A1150A5">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推进危险废物产生单位“五即”（即产生、即包装、即称重、即打码、即入库）规范化建设，强化危险废物“一码贯通”实时可追溯信息化监管，全面实现危险废物运输车辆轨迹实时追踪</w:t>
                  </w:r>
                  <w:r>
                    <w:rPr>
                      <w:rFonts w:hint="eastAsia" w:eastAsia="宋体" w:cs="Times New Roman"/>
                      <w:color w:val="auto"/>
                      <w:sz w:val="21"/>
                      <w:szCs w:val="21"/>
                      <w:highlight w:val="none"/>
                      <w:lang w:val="en-US" w:eastAsia="zh-CN"/>
                    </w:rPr>
                    <w:t>。</w:t>
                  </w:r>
                </w:p>
              </w:tc>
              <w:tc>
                <w:tcPr>
                  <w:tcW w:w="2415" w:type="dxa"/>
                  <w:noWrap w:val="0"/>
                  <w:vAlign w:val="center"/>
                </w:tcPr>
                <w:p w14:paraId="54E89AB7">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危险废物即产生、即包装，采用密闭容器分类收集并及时入库；建立危险废物电子管理台账，通过国家危险废物信息管理系统在线填报管理计划；危险废物转移运行电子转移联单，危险废物委托有资质单位运输，实现全过程可追溯</w:t>
                  </w:r>
                  <w:r>
                    <w:rPr>
                      <w:rFonts w:hint="eastAsia" w:eastAsia="宋体" w:cs="Times New Roman"/>
                      <w:color w:val="auto"/>
                      <w:sz w:val="21"/>
                      <w:szCs w:val="21"/>
                      <w:highlight w:val="none"/>
                      <w:lang w:val="en-US" w:eastAsia="zh-CN"/>
                    </w:rPr>
                    <w:t>。</w:t>
                  </w:r>
                </w:p>
              </w:tc>
              <w:tc>
                <w:tcPr>
                  <w:tcW w:w="480" w:type="dxa"/>
                  <w:noWrap w:val="0"/>
                  <w:vAlign w:val="center"/>
                </w:tcPr>
                <w:p w14:paraId="4B0C6023">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75F0F5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6D7FC2FD">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w:t>
                  </w:r>
                </w:p>
              </w:tc>
              <w:tc>
                <w:tcPr>
                  <w:tcW w:w="3507" w:type="dxa"/>
                  <w:noWrap w:val="0"/>
                  <w:vAlign w:val="center"/>
                </w:tcPr>
                <w:p w14:paraId="4A0B136B">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提升危险废物收集利用处置水平。强化小微企业危险废物收集管理，优化服务对象和服务地域范围，推动收集单位提档升级</w:t>
                  </w:r>
                  <w:r>
                    <w:rPr>
                      <w:rFonts w:hint="eastAsia" w:eastAsia="宋体" w:cs="Times New Roman"/>
                      <w:color w:val="auto"/>
                      <w:sz w:val="21"/>
                      <w:szCs w:val="21"/>
                      <w:highlight w:val="none"/>
                      <w:lang w:val="en-US" w:eastAsia="zh-CN"/>
                    </w:rPr>
                    <w:t>。</w:t>
                  </w:r>
                </w:p>
              </w:tc>
              <w:tc>
                <w:tcPr>
                  <w:tcW w:w="2415" w:type="dxa"/>
                  <w:noWrap w:val="0"/>
                  <w:vAlign w:val="center"/>
                </w:tcPr>
                <w:p w14:paraId="0D74466F">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本项目为学校实验室危险废物的规范化收集、暂存项目，危险废物收集后交由具有危险废物经营许可证的收集、利用处置单位处置，落实危险废物规范化收集管理要求。</w:t>
                  </w:r>
                </w:p>
              </w:tc>
              <w:tc>
                <w:tcPr>
                  <w:tcW w:w="480" w:type="dxa"/>
                  <w:noWrap w:val="0"/>
                  <w:vAlign w:val="center"/>
                </w:tcPr>
                <w:p w14:paraId="4253591A">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符合</w:t>
                  </w:r>
                </w:p>
              </w:tc>
            </w:tr>
            <w:tr w14:paraId="30266D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4AAF64AD">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4</w:t>
                  </w:r>
                </w:p>
              </w:tc>
              <w:tc>
                <w:tcPr>
                  <w:tcW w:w="3507" w:type="dxa"/>
                  <w:noWrap w:val="0"/>
                  <w:vAlign w:val="center"/>
                </w:tcPr>
                <w:p w14:paraId="6ED39EA1">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强化危险废物环境风险管控。严格限制通过利用、焚烧等处理方式可减量的危险废物直接填埋，最大限度减少填埋量</w:t>
                  </w:r>
                  <w:r>
                    <w:rPr>
                      <w:rFonts w:hint="eastAsia" w:eastAsia="宋体" w:cs="Times New Roman"/>
                      <w:color w:val="auto"/>
                      <w:sz w:val="21"/>
                      <w:szCs w:val="21"/>
                      <w:highlight w:val="none"/>
                      <w:lang w:val="en-US" w:eastAsia="zh-CN"/>
                    </w:rPr>
                    <w:t>.</w:t>
                  </w:r>
                </w:p>
              </w:tc>
              <w:tc>
                <w:tcPr>
                  <w:tcW w:w="2415" w:type="dxa"/>
                  <w:noWrap w:val="0"/>
                  <w:vAlign w:val="center"/>
                </w:tcPr>
                <w:p w14:paraId="4956D0BA">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本项目仅对危险废物进行规范化收集、暂存，不涉及填埋处置；危险废物产生后定期交由有资质单位利用、处置，不直接填埋，符合要求。</w:t>
                  </w:r>
                </w:p>
              </w:tc>
              <w:tc>
                <w:tcPr>
                  <w:tcW w:w="480" w:type="dxa"/>
                  <w:noWrap w:val="0"/>
                  <w:vAlign w:val="center"/>
                </w:tcPr>
                <w:p w14:paraId="5F5A1D10">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符合</w:t>
                  </w:r>
                </w:p>
              </w:tc>
            </w:tr>
          </w:tbl>
          <w:p w14:paraId="76E328F8">
            <w:pPr>
              <w:pageBreakBefore w:val="0"/>
              <w:kinsoku/>
              <w:overflowPunct/>
              <w:autoSpaceDE/>
              <w:autoSpaceDN/>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highlight w:val="none"/>
                <w:lang w:val="en-US" w:eastAsia="zh-CN"/>
              </w:rPr>
            </w:pPr>
            <w:r>
              <w:rPr>
                <w:rFonts w:hint="default" w:ascii="Times New Roman" w:hAnsi="Times New Roman" w:cs="Times New Roman" w:eastAsiaTheme="minorEastAsia"/>
                <w:color w:val="auto"/>
                <w:sz w:val="24"/>
                <w:highlight w:val="none"/>
                <w:lang w:val="en-US" w:eastAsia="zh-CN"/>
              </w:rPr>
              <w:t>综上所述，本项目与《固体废物污染防治十五五规划》中相关要求是相符的。</w:t>
            </w:r>
          </w:p>
          <w:p w14:paraId="2F4B9A3D">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right="0" w:rightChars="0"/>
              <w:textAlignment w:val="auto"/>
              <w:rPr>
                <w:rFonts w:hint="eastAsia" w:ascii="Times New Roman" w:hAnsi="Times New Roman" w:eastAsia="宋体" w:cs="Times New Roman"/>
                <w:b/>
                <w:bCs/>
                <w:color w:val="auto"/>
                <w:sz w:val="24"/>
                <w:highlight w:val="none"/>
                <w:lang w:val="en-US" w:eastAsia="zh-CN"/>
              </w:rPr>
            </w:pPr>
            <w:r>
              <w:rPr>
                <w:rFonts w:hint="eastAsia" w:cs="Times New Roman" w:eastAsiaTheme="minorEastAsia"/>
                <w:b/>
                <w:bCs/>
                <w:color w:val="auto"/>
                <w:sz w:val="24"/>
                <w:highlight w:val="none"/>
                <w:lang w:val="en-US" w:eastAsia="zh-CN"/>
              </w:rPr>
              <w:t>6</w:t>
            </w:r>
            <w:r>
              <w:rPr>
                <w:rFonts w:hint="default" w:ascii="Times New Roman" w:hAnsi="Times New Roman" w:cs="Times New Roman" w:eastAsiaTheme="minorEastAsia"/>
                <w:b/>
                <w:bCs/>
                <w:color w:val="auto"/>
                <w:sz w:val="24"/>
                <w:highlight w:val="none"/>
                <w:lang w:val="en-US" w:eastAsia="zh-CN"/>
              </w:rPr>
              <w:t xml:space="preserve"> </w:t>
            </w:r>
            <w:r>
              <w:rPr>
                <w:rFonts w:hint="eastAsia" w:ascii="Times New Roman" w:hAnsi="Times New Roman" w:eastAsia="宋体" w:cs="Times New Roman"/>
                <w:b/>
                <w:bCs/>
                <w:color w:val="auto"/>
                <w:sz w:val="24"/>
                <w:highlight w:val="none"/>
                <w:lang w:val="en-US" w:eastAsia="zh-CN"/>
              </w:rPr>
              <w:t>与《美丽中国建设“十五五”规划》符合性分析</w:t>
            </w:r>
          </w:p>
          <w:p w14:paraId="2CB3CF3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kern w:val="0"/>
                <w:sz w:val="24"/>
                <w:szCs w:val="24"/>
                <w:lang w:val="en-US" w:eastAsia="zh-CN"/>
              </w:rPr>
              <w:t>根据关于印发《美丽中国建设十五五规划》的通知（国发〔2026〕20号），项目与文件符合性分析见下表。</w:t>
            </w:r>
          </w:p>
          <w:p w14:paraId="3E957B95">
            <w:pPr>
              <w:pageBreakBefore w:val="0"/>
              <w:kinsoku/>
              <w:overflowPunct/>
              <w:autoSpaceDE/>
              <w:autoSpaceDN/>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highlight w:val="none"/>
                <w:lang w:val="en-US" w:eastAsia="zh-CN"/>
              </w:rPr>
            </w:pPr>
            <w:r>
              <w:rPr>
                <w:rFonts w:hint="default" w:ascii="Times New Roman" w:hAnsi="Times New Roman" w:cs="Times New Roman" w:eastAsiaTheme="minorEastAsia"/>
                <w:b/>
                <w:bCs/>
                <w:color w:val="auto"/>
                <w:szCs w:val="21"/>
                <w:lang w:val="en-US" w:eastAsia="zh-CN"/>
              </w:rPr>
              <w:t>表1-</w:t>
            </w:r>
            <w:r>
              <w:rPr>
                <w:rFonts w:hint="eastAsia" w:cs="Times New Roman" w:eastAsiaTheme="minorEastAsia"/>
                <w:b/>
                <w:bCs/>
                <w:color w:val="auto"/>
                <w:szCs w:val="21"/>
                <w:lang w:val="en-US" w:eastAsia="zh-CN"/>
              </w:rPr>
              <w:t>7</w:t>
            </w:r>
            <w:r>
              <w:rPr>
                <w:rFonts w:hint="default" w:ascii="Times New Roman" w:hAnsi="Times New Roman" w:cs="Times New Roman" w:eastAsiaTheme="minorEastAsia"/>
                <w:b/>
                <w:bCs/>
                <w:color w:val="auto"/>
                <w:szCs w:val="21"/>
                <w:lang w:val="en-US" w:eastAsia="zh-CN"/>
              </w:rPr>
              <w:t xml:space="preserve"> </w:t>
            </w:r>
            <w:r>
              <w:rPr>
                <w:rFonts w:hint="eastAsia" w:ascii="Times New Roman" w:hAnsi="Times New Roman" w:cs="Times New Roman" w:eastAsiaTheme="minorEastAsia"/>
                <w:b/>
                <w:bCs/>
                <w:color w:val="auto"/>
                <w:szCs w:val="21"/>
                <w:lang w:val="en-US" w:eastAsia="zh-CN"/>
              </w:rPr>
              <w:t xml:space="preserve"> </w:t>
            </w:r>
            <w:r>
              <w:rPr>
                <w:rFonts w:hint="default" w:ascii="Times New Roman" w:hAnsi="Times New Roman" w:cs="Times New Roman" w:eastAsiaTheme="minorEastAsia"/>
                <w:b/>
                <w:bCs/>
                <w:color w:val="auto"/>
                <w:szCs w:val="21"/>
                <w:lang w:val="en-US" w:eastAsia="zh-CN"/>
              </w:rPr>
              <w:t xml:space="preserve"> 项目与《美丽中国建设“十五五”规划》符合性</w:t>
            </w:r>
          </w:p>
          <w:tbl>
            <w:tblPr>
              <w:tblStyle w:val="29"/>
              <w:tblW w:w="6855"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3"/>
              <w:gridCol w:w="3007"/>
              <w:gridCol w:w="2915"/>
              <w:gridCol w:w="480"/>
            </w:tblGrid>
            <w:tr w14:paraId="4D8E9E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4BEE5007">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序号</w:t>
                  </w:r>
                </w:p>
              </w:tc>
              <w:tc>
                <w:tcPr>
                  <w:tcW w:w="3007" w:type="dxa"/>
                  <w:noWrap w:val="0"/>
                  <w:vAlign w:val="center"/>
                </w:tcPr>
                <w:p w14:paraId="5E2C9392">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要求</w:t>
                  </w:r>
                </w:p>
              </w:tc>
              <w:tc>
                <w:tcPr>
                  <w:tcW w:w="2915" w:type="dxa"/>
                  <w:noWrap w:val="0"/>
                  <w:vAlign w:val="center"/>
                </w:tcPr>
                <w:p w14:paraId="515AAFA4">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本项目</w:t>
                  </w:r>
                </w:p>
              </w:tc>
              <w:tc>
                <w:tcPr>
                  <w:tcW w:w="480" w:type="dxa"/>
                  <w:noWrap w:val="0"/>
                  <w:vAlign w:val="center"/>
                </w:tcPr>
                <w:p w14:paraId="5A269B21">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符合性</w:t>
                  </w:r>
                </w:p>
              </w:tc>
            </w:tr>
            <w:tr w14:paraId="7D4DDF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64905A3C">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c>
                <w:tcPr>
                  <w:tcW w:w="3007" w:type="dxa"/>
                  <w:noWrap w:val="0"/>
                  <w:vAlign w:val="center"/>
                </w:tcPr>
                <w:p w14:paraId="3CE87FEC">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强化工业固体废物全链条管控和规模化消纳利用，推动重点行业固体废物产生量与综合消纳量逐步实现动态平衡</w:t>
                  </w:r>
                  <w:r>
                    <w:rPr>
                      <w:rFonts w:hint="eastAsia" w:eastAsia="宋体" w:cs="Times New Roman"/>
                      <w:color w:val="auto"/>
                      <w:sz w:val="21"/>
                      <w:szCs w:val="21"/>
                      <w:highlight w:val="none"/>
                      <w:lang w:val="en-US" w:eastAsia="zh-CN"/>
                    </w:rPr>
                    <w:t>。</w:t>
                  </w:r>
                </w:p>
              </w:tc>
              <w:tc>
                <w:tcPr>
                  <w:tcW w:w="2915" w:type="dxa"/>
                  <w:noWrap w:val="0"/>
                  <w:vAlign w:val="center"/>
                </w:tcPr>
                <w:p w14:paraId="4812AE08">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本项目为危险废物贮存库建设项目，对实验室废液、过期废试剂、废试剂瓶实行密闭收集、规范化贮存、定期委托有资质单位转移处置，落实危险废物产生、收集、贮存、转移全链条管控要求。</w:t>
                  </w:r>
                </w:p>
              </w:tc>
              <w:tc>
                <w:tcPr>
                  <w:tcW w:w="480" w:type="dxa"/>
                  <w:noWrap w:val="0"/>
                  <w:vAlign w:val="center"/>
                </w:tcPr>
                <w:p w14:paraId="5780D5A0">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32C967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5C9E8D2A">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3007" w:type="dxa"/>
                  <w:noWrap w:val="0"/>
                  <w:vAlign w:val="center"/>
                </w:tcPr>
                <w:p w14:paraId="7FF1732B">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扎实推进非法倾倒处置固体废物、溶洞垃圾污染等专项整治</w:t>
                  </w:r>
                  <w:r>
                    <w:rPr>
                      <w:rFonts w:hint="eastAsia" w:eastAsia="宋体" w:cs="Times New Roman"/>
                      <w:color w:val="auto"/>
                      <w:sz w:val="21"/>
                      <w:szCs w:val="21"/>
                      <w:highlight w:val="none"/>
                      <w:lang w:val="en-US" w:eastAsia="zh-CN"/>
                    </w:rPr>
                    <w:t>。</w:t>
                  </w:r>
                </w:p>
              </w:tc>
              <w:tc>
                <w:tcPr>
                  <w:tcW w:w="2915" w:type="dxa"/>
                  <w:noWrap w:val="0"/>
                  <w:vAlign w:val="center"/>
                </w:tcPr>
                <w:p w14:paraId="3863D340">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本项目危险废物全部交由具有危险废物经营许可证的单位处置，不随意倾倒、堆放，不存在非法倾倒处置行为，符合专项整治要求。</w:t>
                  </w:r>
                </w:p>
              </w:tc>
              <w:tc>
                <w:tcPr>
                  <w:tcW w:w="480" w:type="dxa"/>
                  <w:noWrap w:val="0"/>
                  <w:vAlign w:val="center"/>
                </w:tcPr>
                <w:p w14:paraId="52B1B6C8">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07FEEF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4B425EA5">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w:t>
                  </w:r>
                </w:p>
              </w:tc>
              <w:tc>
                <w:tcPr>
                  <w:tcW w:w="3007" w:type="dxa"/>
                  <w:noWrap w:val="0"/>
                  <w:vAlign w:val="center"/>
                </w:tcPr>
                <w:p w14:paraId="3A3359C3">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实施堆（渣）场、危险废物填埋场、磷石膏库等环境风险隐患排查整治，完成 60%以上的历史遗留固体废物堆存场所治理，危险废物填埋处置量占比控制在10%以内</w:t>
                  </w:r>
                  <w:r>
                    <w:rPr>
                      <w:rFonts w:hint="eastAsia" w:eastAsia="宋体" w:cs="Times New Roman"/>
                      <w:color w:val="auto"/>
                      <w:sz w:val="21"/>
                      <w:szCs w:val="21"/>
                      <w:highlight w:val="none"/>
                      <w:lang w:val="en-US" w:eastAsia="zh-CN"/>
                    </w:rPr>
                    <w:t>。</w:t>
                  </w:r>
                </w:p>
              </w:tc>
              <w:tc>
                <w:tcPr>
                  <w:tcW w:w="2915" w:type="dxa"/>
                  <w:noWrap w:val="0"/>
                  <w:vAlign w:val="center"/>
                </w:tcPr>
                <w:p w14:paraId="4DBE15D4">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本项目仅对危险废物进行规范化收集、暂存，不涉及填埋处置；危险废物产生后交由有资质单位利用、处置，不直接填埋，符合要求</w:t>
                  </w:r>
                </w:p>
              </w:tc>
              <w:tc>
                <w:tcPr>
                  <w:tcW w:w="480" w:type="dxa"/>
                  <w:noWrap w:val="0"/>
                  <w:vAlign w:val="center"/>
                </w:tcPr>
                <w:p w14:paraId="49234D6A">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符合</w:t>
                  </w:r>
                </w:p>
              </w:tc>
            </w:tr>
            <w:tr w14:paraId="53E64F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64FF2E01">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4</w:t>
                  </w:r>
                </w:p>
              </w:tc>
              <w:tc>
                <w:tcPr>
                  <w:tcW w:w="3007" w:type="dxa"/>
                  <w:noWrap w:val="0"/>
                  <w:vAlign w:val="center"/>
                </w:tcPr>
                <w:p w14:paraId="614463D0">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推进全国危险废物产生单位</w:t>
                  </w:r>
                  <w:r>
                    <w:rPr>
                      <w:rFonts w:hint="eastAsia"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五即</w:t>
                  </w:r>
                  <w:r>
                    <w:rPr>
                      <w:rFonts w:hint="eastAsia"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（即产生、即包装、即称重、即打码、即入库）规范化建设，强化危险废物</w:t>
                  </w:r>
                  <w:r>
                    <w:rPr>
                      <w:rFonts w:hint="eastAsia"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一码贯通</w:t>
                  </w:r>
                  <w:r>
                    <w:rPr>
                      <w:rFonts w:hint="eastAsia"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全过程监管</w:t>
                  </w:r>
                </w:p>
              </w:tc>
              <w:tc>
                <w:tcPr>
                  <w:tcW w:w="2915" w:type="dxa"/>
                  <w:noWrap w:val="0"/>
                  <w:vAlign w:val="center"/>
                </w:tcPr>
                <w:p w14:paraId="1F755B2F">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本项目危险废物即产生、即包装，采用密闭容器分类收集并及时入库；建立危险废物电子管理台账，通过国家危险废物信息管理系统在线填报，危险废物转移运行电子转移联单，实现</w:t>
                  </w:r>
                  <w:r>
                    <w:rPr>
                      <w:rFonts w:hint="eastAsia"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一码贯通</w:t>
                  </w:r>
                  <w:r>
                    <w:rPr>
                      <w:rFonts w:hint="eastAsia"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全过程监管。</w:t>
                  </w:r>
                </w:p>
              </w:tc>
              <w:tc>
                <w:tcPr>
                  <w:tcW w:w="480" w:type="dxa"/>
                  <w:noWrap w:val="0"/>
                  <w:vAlign w:val="center"/>
                </w:tcPr>
                <w:p w14:paraId="470D10FD">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符合</w:t>
                  </w:r>
                </w:p>
              </w:tc>
            </w:tr>
          </w:tbl>
          <w:p w14:paraId="59250F59">
            <w:pPr>
              <w:pageBreakBefore w:val="0"/>
              <w:kinsoku/>
              <w:overflowPunct/>
              <w:autoSpaceDE/>
              <w:autoSpaceDN/>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highlight w:val="none"/>
                <w:lang w:val="en-US" w:eastAsia="zh-CN"/>
              </w:rPr>
            </w:pPr>
            <w:r>
              <w:rPr>
                <w:rFonts w:hint="default" w:ascii="Times New Roman" w:hAnsi="Times New Roman" w:cs="Times New Roman" w:eastAsiaTheme="minorEastAsia"/>
                <w:color w:val="auto"/>
                <w:sz w:val="24"/>
                <w:highlight w:val="none"/>
                <w:lang w:val="en-US" w:eastAsia="zh-CN"/>
              </w:rPr>
              <w:t>综上所述，本项目与《美丽中国建设十五五规划》中相关要求是相符的。</w:t>
            </w:r>
          </w:p>
          <w:p w14:paraId="10F183F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bCs/>
                <w:color w:val="auto"/>
                <w:sz w:val="24"/>
                <w:highlight w:val="none"/>
                <w:lang w:val="en-US" w:eastAsia="zh-CN"/>
              </w:rPr>
            </w:pPr>
            <w:r>
              <w:rPr>
                <w:rFonts w:hint="eastAsia" w:cs="Times New Roman"/>
                <w:b/>
                <w:bCs/>
                <w:color w:val="auto"/>
                <w:sz w:val="24"/>
                <w:highlight w:val="none"/>
                <w:lang w:val="en-US" w:eastAsia="zh-CN"/>
              </w:rPr>
              <w:t xml:space="preserve">7 </w:t>
            </w:r>
            <w:r>
              <w:rPr>
                <w:rFonts w:hint="eastAsia" w:ascii="Times New Roman" w:hAnsi="Times New Roman" w:eastAsia="宋体" w:cs="Times New Roman"/>
                <w:b/>
                <w:bCs/>
                <w:color w:val="auto"/>
                <w:sz w:val="24"/>
                <w:highlight w:val="none"/>
                <w:lang w:val="en-US" w:eastAsia="zh-CN"/>
              </w:rPr>
              <w:t>与《新疆维吾尔自治区2025年空气质量持续改善行动实施方案》符合性分析</w:t>
            </w:r>
          </w:p>
          <w:p w14:paraId="6735027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kern w:val="0"/>
                <w:sz w:val="24"/>
                <w:szCs w:val="24"/>
                <w:lang w:val="en-US" w:eastAsia="zh-CN"/>
              </w:rPr>
              <w:t>根据关于印发《新疆维吾尔自治区2025年空气质量持续改善行动实施方案》的通知（新政办发〔2024〕58号），项目与文件符合性分析见下表。</w:t>
            </w:r>
          </w:p>
          <w:p w14:paraId="036CE146">
            <w:pPr>
              <w:pStyle w:val="8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表1</w:t>
            </w:r>
            <w:r>
              <w:rPr>
                <w:rFonts w:hint="eastAsia" w:ascii="Times New Roman" w:hAnsi="Times New Roman" w:eastAsia="宋体" w:cs="Times New Roman"/>
                <w:b/>
                <w:bCs/>
                <w:color w:val="auto"/>
                <w:sz w:val="21"/>
                <w:szCs w:val="21"/>
                <w:highlight w:val="none"/>
                <w:lang w:val="en-US" w:eastAsia="zh-CN"/>
              </w:rPr>
              <w:t>-</w:t>
            </w:r>
            <w:r>
              <w:rPr>
                <w:rFonts w:hint="eastAsia" w:cs="Times New Roman"/>
                <w:b/>
                <w:bCs/>
                <w:color w:val="auto"/>
                <w:sz w:val="21"/>
                <w:szCs w:val="21"/>
                <w:highlight w:val="none"/>
                <w:lang w:val="en-US" w:eastAsia="zh-CN"/>
              </w:rPr>
              <w:t>8</w:t>
            </w:r>
            <w:r>
              <w:rPr>
                <w:rFonts w:hint="eastAsia"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val="en-US" w:eastAsia="zh-CN"/>
              </w:rPr>
              <w:t>与</w:t>
            </w:r>
            <w:r>
              <w:rPr>
                <w:rFonts w:hint="eastAsia" w:ascii="Times New Roman" w:hAnsi="Times New Roman" w:eastAsia="宋体" w:cs="Times New Roman"/>
                <w:b/>
                <w:bCs/>
                <w:color w:val="auto"/>
                <w:sz w:val="21"/>
                <w:szCs w:val="21"/>
                <w:highlight w:val="none"/>
                <w:lang w:val="en-US" w:eastAsia="zh-CN"/>
              </w:rPr>
              <w:t>新政办发〔2024〕58号文件</w:t>
            </w:r>
            <w:r>
              <w:rPr>
                <w:rFonts w:hint="default" w:ascii="Times New Roman" w:hAnsi="Times New Roman" w:eastAsia="宋体" w:cs="Times New Roman"/>
                <w:b/>
                <w:bCs/>
                <w:color w:val="auto"/>
                <w:sz w:val="21"/>
                <w:szCs w:val="21"/>
                <w:highlight w:val="none"/>
                <w:lang w:val="en-US" w:eastAsia="zh-CN"/>
              </w:rPr>
              <w:t>的符合性</w:t>
            </w:r>
          </w:p>
          <w:tbl>
            <w:tblPr>
              <w:tblStyle w:val="29"/>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3"/>
              <w:gridCol w:w="3830"/>
              <w:gridCol w:w="2092"/>
              <w:gridCol w:w="480"/>
            </w:tblGrid>
            <w:tr w14:paraId="39FA53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3C9F373D">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序号</w:t>
                  </w:r>
                </w:p>
              </w:tc>
              <w:tc>
                <w:tcPr>
                  <w:tcW w:w="3830" w:type="dxa"/>
                  <w:noWrap w:val="0"/>
                  <w:vAlign w:val="center"/>
                </w:tcPr>
                <w:p w14:paraId="542D8BAA">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要求</w:t>
                  </w:r>
                </w:p>
              </w:tc>
              <w:tc>
                <w:tcPr>
                  <w:tcW w:w="2092" w:type="dxa"/>
                  <w:noWrap w:val="0"/>
                  <w:vAlign w:val="center"/>
                </w:tcPr>
                <w:p w14:paraId="6566CA64">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本项目</w:t>
                  </w:r>
                </w:p>
              </w:tc>
              <w:tc>
                <w:tcPr>
                  <w:tcW w:w="480" w:type="dxa"/>
                  <w:noWrap w:val="0"/>
                  <w:vAlign w:val="center"/>
                </w:tcPr>
                <w:p w14:paraId="64774D13">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符合性</w:t>
                  </w:r>
                </w:p>
              </w:tc>
            </w:tr>
            <w:tr w14:paraId="3D39EC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0C528CD0">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c>
                <w:tcPr>
                  <w:tcW w:w="3830" w:type="dxa"/>
                  <w:noWrap w:val="0"/>
                  <w:vAlign w:val="center"/>
                </w:tcPr>
                <w:p w14:paraId="2B5B6DAF">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新改扩建项目严格落实国家和自治区产业规划、产业政策、生态环境分区管控方案、规划环评、项目环评、节能审查、产能置换、重点污染物总量控制、污染物排放区域削减、碳排放达峰目标等相关要求，原则上采用清洁运输方式，达到能效标杆水平、环保绩效A级水平。</w:t>
                  </w:r>
                </w:p>
              </w:tc>
              <w:tc>
                <w:tcPr>
                  <w:tcW w:w="2092" w:type="dxa"/>
                  <w:noWrap w:val="0"/>
                  <w:vAlign w:val="center"/>
                </w:tcPr>
                <w:p w14:paraId="4E306A79">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本项目严格落实国家和自治区产业规划、产业政策、生态环境分区管控方案、规划环评、重点污染物总量控制等相关要求，</w:t>
                  </w:r>
                </w:p>
              </w:tc>
              <w:tc>
                <w:tcPr>
                  <w:tcW w:w="480" w:type="dxa"/>
                  <w:noWrap w:val="0"/>
                  <w:vAlign w:val="center"/>
                </w:tcPr>
                <w:p w14:paraId="7ADC0EA2">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18FC0A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1033A021">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3830" w:type="dxa"/>
                  <w:noWrap w:val="0"/>
                  <w:vAlign w:val="center"/>
                </w:tcPr>
                <w:p w14:paraId="4CA3754C">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严格执行《产业结构调整指导目录》，依法依规淘汰落后产能。联防联控区进一步提高落后产能能耗、环保、质量、安全、技术等要求，逐步退出限制类涉气行业工艺和装备。</w:t>
                  </w:r>
                </w:p>
              </w:tc>
              <w:tc>
                <w:tcPr>
                  <w:tcW w:w="2092" w:type="dxa"/>
                  <w:noWrap w:val="0"/>
                  <w:vAlign w:val="center"/>
                </w:tcPr>
                <w:p w14:paraId="20411120">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本项目严格执行《产业结构调整指导目录》，不涉及落后产能，采用产污少，耗能低的设备。</w:t>
                  </w:r>
                </w:p>
              </w:tc>
              <w:tc>
                <w:tcPr>
                  <w:tcW w:w="480" w:type="dxa"/>
                  <w:noWrap w:val="0"/>
                  <w:vAlign w:val="center"/>
                </w:tcPr>
                <w:p w14:paraId="10F92167">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475123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3" w:type="dxa"/>
                  <w:noWrap w:val="0"/>
                  <w:vAlign w:val="center"/>
                </w:tcPr>
                <w:p w14:paraId="32E8ACFB">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w:t>
                  </w:r>
                </w:p>
              </w:tc>
              <w:tc>
                <w:tcPr>
                  <w:tcW w:w="3830" w:type="dxa"/>
                  <w:noWrap w:val="0"/>
                  <w:vAlign w:val="center"/>
                </w:tcPr>
                <w:p w14:paraId="37239A1D">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持续强化扬尘污染综合管控。施工场地严格落实“六个百分百”要求。</w:t>
                  </w:r>
                </w:p>
              </w:tc>
              <w:tc>
                <w:tcPr>
                  <w:tcW w:w="2092" w:type="dxa"/>
                  <w:noWrap w:val="0"/>
                  <w:vAlign w:val="center"/>
                </w:tcPr>
                <w:p w14:paraId="4C86D043">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本项目在施工过程中严格落实“六个百分百”要求。</w:t>
                  </w:r>
                </w:p>
              </w:tc>
              <w:tc>
                <w:tcPr>
                  <w:tcW w:w="480" w:type="dxa"/>
                  <w:noWrap w:val="0"/>
                  <w:vAlign w:val="center"/>
                </w:tcPr>
                <w:p w14:paraId="753A9DA6">
                  <w:pPr>
                    <w:keepNext w:val="0"/>
                    <w:keepLines w:val="0"/>
                    <w:pageBreakBefore w:val="0"/>
                    <w:widowControl w:val="0"/>
                    <w:kinsoku/>
                    <w:wordWrap w:val="0"/>
                    <w:overflowPunct/>
                    <w:topLinePunct/>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符合</w:t>
                  </w:r>
                </w:p>
              </w:tc>
            </w:tr>
          </w:tbl>
          <w:p w14:paraId="4FC828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b w:val="0"/>
                <w:bCs w:val="0"/>
                <w:color w:val="auto"/>
                <w:sz w:val="24"/>
                <w:szCs w:val="24"/>
                <w:lang w:val="en-US" w:eastAsia="zh-CN"/>
              </w:rPr>
            </w:pPr>
            <w:r>
              <w:rPr>
                <w:rFonts w:hint="eastAsia" w:ascii="Times New Roman" w:hAnsi="Times New Roman" w:cs="Times New Roman" w:eastAsiaTheme="minorEastAsia"/>
                <w:b w:val="0"/>
                <w:bCs w:val="0"/>
                <w:color w:val="auto"/>
                <w:sz w:val="24"/>
                <w:szCs w:val="24"/>
                <w:lang w:val="en-US" w:eastAsia="zh-CN"/>
              </w:rPr>
              <w:t>综上所述，本项目符合《新疆维吾尔自治区人民政府办公厅 新疆生产建设兵团办公厅关于印发&lt;新疆维吾尔自治区2025年空气质量持续改善行动实施方案&gt;的通知》（新政办发〔2024〕58号）相关要求。</w:t>
            </w:r>
          </w:p>
          <w:p w14:paraId="41BCA592">
            <w:pPr>
              <w:keepNext w:val="0"/>
              <w:keepLines w:val="0"/>
              <w:pageBreakBefore w:val="0"/>
              <w:numPr>
                <w:ilvl w:val="0"/>
                <w:numId w:val="0"/>
              </w:numPr>
              <w:kinsoku/>
              <w:wordWrap/>
              <w:overflowPunct/>
              <w:topLinePunct w:val="0"/>
              <w:autoSpaceDE w:val="0"/>
              <w:autoSpaceDN w:val="0"/>
              <w:bidi w:val="0"/>
              <w:adjustRightInd w:val="0"/>
              <w:snapToGrid w:val="0"/>
              <w:spacing w:beforeAutospacing="0" w:afterAutospacing="0" w:line="360" w:lineRule="auto"/>
              <w:ind w:left="0" w:leftChars="0" w:right="0" w:rightChars="0" w:firstLine="0" w:firstLineChars="0"/>
              <w:rPr>
                <w:rFonts w:hint="default" w:ascii="Times New Roman" w:hAnsi="Times New Roman" w:cs="Times New Roman" w:eastAsiaTheme="minorEastAsia"/>
                <w:b/>
                <w:bCs/>
                <w:color w:val="auto"/>
                <w:sz w:val="24"/>
              </w:rPr>
            </w:pPr>
            <w:r>
              <w:rPr>
                <w:rFonts w:hint="eastAsia" w:cs="Times New Roman" w:eastAsiaTheme="minorEastAsia"/>
                <w:b/>
                <w:bCs/>
                <w:color w:val="auto"/>
                <w:kern w:val="2"/>
                <w:sz w:val="24"/>
                <w:szCs w:val="24"/>
                <w:lang w:val="en-US" w:eastAsia="zh-CN" w:bidi="ar-SA"/>
              </w:rPr>
              <w:t>8</w:t>
            </w:r>
            <w:r>
              <w:rPr>
                <w:rFonts w:hint="default" w:ascii="Times New Roman" w:hAnsi="Times New Roman" w:cs="Times New Roman" w:eastAsiaTheme="minorEastAsia"/>
                <w:b/>
                <w:bCs/>
                <w:color w:val="auto"/>
                <w:kern w:val="2"/>
                <w:sz w:val="24"/>
                <w:szCs w:val="24"/>
                <w:lang w:val="en-US" w:eastAsia="zh-CN" w:bidi="ar-SA"/>
              </w:rPr>
              <w:t xml:space="preserve"> </w:t>
            </w:r>
            <w:r>
              <w:rPr>
                <w:rFonts w:hint="default" w:ascii="Times New Roman" w:hAnsi="Times New Roman" w:cs="Times New Roman" w:eastAsiaTheme="minorEastAsia"/>
                <w:b/>
                <w:bCs/>
                <w:color w:val="auto"/>
                <w:sz w:val="24"/>
              </w:rPr>
              <w:t>选址合理性分析</w:t>
            </w:r>
          </w:p>
          <w:p w14:paraId="2645B4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val="0"/>
                <w:bCs w:val="0"/>
                <w:color w:val="auto"/>
                <w:sz w:val="24"/>
                <w:szCs w:val="24"/>
                <w:lang w:val="en-US" w:eastAsia="zh-CN"/>
              </w:rPr>
              <w:t>本项目仅进行实验室危险废物的收集、暂存，不涉及运输及后续处置利用。项目选址位于昌吉职业技术学院内，属于昌吉职业技术学院的附属工程，根据分析，项目用地符合昌吉高新技术产业开发区产业定位、产业布局和用地规划。项目所在区域不在自然保护区、饮用水源保护区、风景名胜区等生态保护红线内，周边敏感点较少，所在区域地理位置优越、交通便利。</w:t>
            </w:r>
          </w:p>
          <w:p w14:paraId="370D5B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val="0"/>
                <w:bCs w:val="0"/>
                <w:color w:val="auto"/>
                <w:sz w:val="24"/>
                <w:szCs w:val="24"/>
                <w:lang w:val="en-US" w:eastAsia="zh-CN"/>
              </w:rPr>
              <w:t>项目区地势平坦，微地貌变化不大。场地无不良地质现象存在，也没有大的活动性构造通过，场地区域稳定性较好，属于可进行工程建设的一般型场地，工程地质条件较好。本项目不在水源保护区、居民集中区，基本农田保护区内，项目所在区域内无重要环境敏感点，条件优越，厂址符合土地用途管理和规划功能要求，项目区供电、供水、排水等基础设施完善，可满足项目需求，且交通十分便利。</w:t>
            </w:r>
          </w:p>
          <w:p w14:paraId="786BBF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val="0"/>
                <w:bCs w:val="0"/>
                <w:color w:val="auto"/>
                <w:sz w:val="24"/>
                <w:szCs w:val="24"/>
                <w:lang w:val="en-US" w:eastAsia="zh-CN"/>
              </w:rPr>
              <w:t>因此，本建设项目的选址是合理的、项目的建设是可行的。</w:t>
            </w:r>
          </w:p>
          <w:p w14:paraId="1D6BCE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b w:val="0"/>
                <w:bCs w:val="0"/>
                <w:color w:val="auto"/>
                <w:sz w:val="24"/>
                <w:szCs w:val="24"/>
                <w:lang w:val="en-US" w:eastAsia="zh-CN"/>
              </w:rPr>
            </w:pPr>
          </w:p>
          <w:p w14:paraId="4025C22C">
            <w:pPr>
              <w:pStyle w:val="25"/>
              <w:rPr>
                <w:rFonts w:hint="default" w:ascii="Times New Roman" w:hAnsi="Times New Roman" w:cs="Times New Roman" w:eastAsiaTheme="minorEastAsia"/>
                <w:b w:val="0"/>
                <w:bCs w:val="0"/>
                <w:color w:val="auto"/>
                <w:sz w:val="24"/>
                <w:szCs w:val="24"/>
                <w:lang w:val="en-US" w:eastAsia="zh-CN"/>
              </w:rPr>
            </w:pPr>
          </w:p>
          <w:p w14:paraId="7CC00188">
            <w:pPr>
              <w:rPr>
                <w:rFonts w:hint="default" w:ascii="Times New Roman" w:hAnsi="Times New Roman" w:cs="Times New Roman" w:eastAsiaTheme="minorEastAsia"/>
                <w:b w:val="0"/>
                <w:bCs w:val="0"/>
                <w:color w:val="auto"/>
                <w:sz w:val="24"/>
                <w:szCs w:val="24"/>
                <w:lang w:val="en-US" w:eastAsia="zh-CN"/>
              </w:rPr>
            </w:pPr>
          </w:p>
          <w:p w14:paraId="23B2D82B">
            <w:pPr>
              <w:pStyle w:val="25"/>
              <w:rPr>
                <w:rFonts w:hint="default" w:ascii="Times New Roman" w:hAnsi="Times New Roman" w:cs="Times New Roman" w:eastAsiaTheme="minorEastAsia"/>
                <w:b w:val="0"/>
                <w:bCs w:val="0"/>
                <w:color w:val="auto"/>
                <w:sz w:val="24"/>
                <w:szCs w:val="24"/>
                <w:lang w:val="en-US" w:eastAsia="zh-CN"/>
              </w:rPr>
            </w:pPr>
          </w:p>
          <w:p w14:paraId="4AE62EA7">
            <w:pPr>
              <w:rPr>
                <w:rFonts w:hint="default" w:ascii="Times New Roman" w:hAnsi="Times New Roman" w:cs="Times New Roman" w:eastAsiaTheme="minorEastAsia"/>
                <w:b w:val="0"/>
                <w:bCs w:val="0"/>
                <w:color w:val="auto"/>
                <w:sz w:val="24"/>
                <w:szCs w:val="24"/>
                <w:lang w:val="en-US" w:eastAsia="zh-CN"/>
              </w:rPr>
            </w:pPr>
          </w:p>
          <w:p w14:paraId="0F6B31FA">
            <w:pPr>
              <w:pStyle w:val="25"/>
              <w:rPr>
                <w:rFonts w:hint="default" w:ascii="Times New Roman" w:hAnsi="Times New Roman" w:cs="Times New Roman" w:eastAsiaTheme="minorEastAsia"/>
                <w:b w:val="0"/>
                <w:bCs w:val="0"/>
                <w:color w:val="auto"/>
                <w:sz w:val="24"/>
                <w:szCs w:val="24"/>
                <w:lang w:val="en-US" w:eastAsia="zh-CN"/>
              </w:rPr>
            </w:pPr>
          </w:p>
          <w:p w14:paraId="63504C24">
            <w:pPr>
              <w:rPr>
                <w:rFonts w:hint="default" w:ascii="Times New Roman" w:hAnsi="Times New Roman" w:cs="Times New Roman" w:eastAsiaTheme="minorEastAsia"/>
                <w:b w:val="0"/>
                <w:bCs w:val="0"/>
                <w:color w:val="auto"/>
                <w:sz w:val="24"/>
                <w:szCs w:val="24"/>
                <w:lang w:val="en-US" w:eastAsia="zh-CN"/>
              </w:rPr>
            </w:pPr>
          </w:p>
          <w:p w14:paraId="4EA9D3DE">
            <w:pPr>
              <w:pStyle w:val="25"/>
              <w:rPr>
                <w:rFonts w:hint="default" w:ascii="Times New Roman" w:hAnsi="Times New Roman" w:cs="Times New Roman" w:eastAsiaTheme="minorEastAsia"/>
                <w:b w:val="0"/>
                <w:bCs w:val="0"/>
                <w:color w:val="auto"/>
                <w:sz w:val="24"/>
                <w:szCs w:val="24"/>
                <w:lang w:val="en-US" w:eastAsia="zh-CN"/>
              </w:rPr>
            </w:pPr>
          </w:p>
          <w:p w14:paraId="47B630C5">
            <w:pPr>
              <w:rPr>
                <w:rFonts w:hint="default" w:ascii="Times New Roman" w:hAnsi="Times New Roman" w:cs="Times New Roman" w:eastAsiaTheme="minorEastAsia"/>
                <w:b w:val="0"/>
                <w:bCs w:val="0"/>
                <w:color w:val="auto"/>
                <w:sz w:val="24"/>
                <w:szCs w:val="24"/>
                <w:lang w:val="en-US" w:eastAsia="zh-CN"/>
              </w:rPr>
            </w:pPr>
          </w:p>
          <w:p w14:paraId="1BF96021">
            <w:pPr>
              <w:pStyle w:val="2"/>
              <w:rPr>
                <w:rFonts w:hint="default" w:ascii="Times New Roman" w:hAnsi="Times New Roman" w:cs="Times New Roman" w:eastAsiaTheme="minorEastAsia"/>
                <w:b w:val="0"/>
                <w:bCs w:val="0"/>
                <w:color w:val="auto"/>
                <w:sz w:val="24"/>
                <w:szCs w:val="24"/>
                <w:lang w:val="en-US" w:eastAsia="zh-CN"/>
              </w:rPr>
            </w:pPr>
          </w:p>
          <w:p w14:paraId="02BEB4EF">
            <w:pPr>
              <w:pStyle w:val="4"/>
              <w:rPr>
                <w:rFonts w:hint="default" w:ascii="Times New Roman" w:hAnsi="Times New Roman" w:cs="Times New Roman" w:eastAsiaTheme="minorEastAsia"/>
                <w:b w:val="0"/>
                <w:bCs w:val="0"/>
                <w:color w:val="auto"/>
                <w:sz w:val="24"/>
                <w:szCs w:val="24"/>
                <w:lang w:val="en-US" w:eastAsia="zh-CN"/>
              </w:rPr>
            </w:pPr>
          </w:p>
          <w:p w14:paraId="7CB08245">
            <w:pPr>
              <w:pStyle w:val="6"/>
              <w:rPr>
                <w:rFonts w:hint="default" w:ascii="Times New Roman" w:hAnsi="Times New Roman" w:cs="Times New Roman" w:eastAsiaTheme="minorEastAsia"/>
                <w:b w:val="0"/>
                <w:bCs w:val="0"/>
                <w:color w:val="auto"/>
                <w:sz w:val="24"/>
                <w:szCs w:val="24"/>
                <w:lang w:val="en-US" w:eastAsia="zh-CN"/>
              </w:rPr>
            </w:pPr>
          </w:p>
          <w:p w14:paraId="3D493787">
            <w:pPr>
              <w:pStyle w:val="5"/>
              <w:rPr>
                <w:rFonts w:hint="default" w:ascii="Times New Roman" w:hAnsi="Times New Roman" w:cs="Times New Roman" w:eastAsiaTheme="minorEastAsia"/>
                <w:b w:val="0"/>
                <w:bCs w:val="0"/>
                <w:color w:val="auto"/>
                <w:sz w:val="24"/>
                <w:szCs w:val="24"/>
                <w:lang w:val="en-US" w:eastAsia="zh-CN"/>
              </w:rPr>
            </w:pPr>
          </w:p>
          <w:p w14:paraId="4DEF2903">
            <w:pPr>
              <w:pStyle w:val="4"/>
              <w:rPr>
                <w:rFonts w:hint="default" w:ascii="Times New Roman" w:hAnsi="Times New Roman" w:cs="Times New Roman" w:eastAsiaTheme="minorEastAsia"/>
                <w:b w:val="0"/>
                <w:bCs w:val="0"/>
                <w:color w:val="auto"/>
                <w:sz w:val="24"/>
                <w:szCs w:val="24"/>
                <w:lang w:val="en-US" w:eastAsia="zh-CN"/>
              </w:rPr>
            </w:pPr>
          </w:p>
          <w:p w14:paraId="1D1FD383">
            <w:pPr>
              <w:pStyle w:val="6"/>
              <w:rPr>
                <w:rFonts w:hint="default" w:ascii="Times New Roman" w:hAnsi="Times New Roman" w:cs="Times New Roman" w:eastAsiaTheme="minorEastAsia"/>
                <w:b w:val="0"/>
                <w:bCs w:val="0"/>
                <w:color w:val="auto"/>
                <w:sz w:val="24"/>
                <w:szCs w:val="24"/>
                <w:lang w:val="en-US" w:eastAsia="zh-CN"/>
              </w:rPr>
            </w:pPr>
          </w:p>
          <w:p w14:paraId="413F4770">
            <w:pPr>
              <w:pStyle w:val="5"/>
              <w:rPr>
                <w:rFonts w:hint="default" w:ascii="Times New Roman" w:hAnsi="Times New Roman" w:cs="Times New Roman" w:eastAsiaTheme="minorEastAsia"/>
                <w:b w:val="0"/>
                <w:bCs w:val="0"/>
                <w:color w:val="auto"/>
                <w:sz w:val="24"/>
                <w:szCs w:val="24"/>
                <w:lang w:val="en-US" w:eastAsia="zh-CN"/>
              </w:rPr>
            </w:pPr>
          </w:p>
          <w:p w14:paraId="013CEF29">
            <w:pPr>
              <w:pStyle w:val="4"/>
              <w:rPr>
                <w:rFonts w:hint="default" w:ascii="Times New Roman" w:hAnsi="Times New Roman" w:cs="Times New Roman" w:eastAsiaTheme="minorEastAsia"/>
                <w:b w:val="0"/>
                <w:bCs w:val="0"/>
                <w:color w:val="auto"/>
                <w:sz w:val="24"/>
                <w:szCs w:val="24"/>
                <w:lang w:val="en-US" w:eastAsia="zh-CN"/>
              </w:rPr>
            </w:pPr>
          </w:p>
          <w:p w14:paraId="5887038D">
            <w:pPr>
              <w:pStyle w:val="6"/>
              <w:rPr>
                <w:rFonts w:hint="default" w:ascii="Times New Roman" w:hAnsi="Times New Roman" w:cs="Times New Roman" w:eastAsiaTheme="minorEastAsia"/>
                <w:b w:val="0"/>
                <w:bCs w:val="0"/>
                <w:color w:val="auto"/>
                <w:sz w:val="24"/>
                <w:szCs w:val="24"/>
                <w:lang w:val="en-US" w:eastAsia="zh-CN"/>
              </w:rPr>
            </w:pPr>
          </w:p>
          <w:p w14:paraId="438AC961">
            <w:pPr>
              <w:pStyle w:val="5"/>
              <w:rPr>
                <w:rFonts w:hint="default" w:ascii="Times New Roman" w:hAnsi="Times New Roman" w:cs="Times New Roman" w:eastAsiaTheme="minorEastAsia"/>
                <w:b w:val="0"/>
                <w:bCs w:val="0"/>
                <w:color w:val="auto"/>
                <w:sz w:val="24"/>
                <w:szCs w:val="24"/>
                <w:lang w:val="en-US" w:eastAsia="zh-CN"/>
              </w:rPr>
            </w:pPr>
          </w:p>
          <w:p w14:paraId="0AF04705">
            <w:pPr>
              <w:pStyle w:val="4"/>
              <w:rPr>
                <w:rFonts w:hint="default" w:ascii="Times New Roman" w:hAnsi="Times New Roman" w:cs="Times New Roman" w:eastAsiaTheme="minorEastAsia"/>
                <w:b w:val="0"/>
                <w:bCs w:val="0"/>
                <w:color w:val="auto"/>
                <w:sz w:val="24"/>
                <w:szCs w:val="24"/>
                <w:lang w:val="en-US" w:eastAsia="zh-CN"/>
              </w:rPr>
            </w:pPr>
          </w:p>
          <w:p w14:paraId="2AB72AD4">
            <w:pPr>
              <w:pStyle w:val="6"/>
              <w:rPr>
                <w:rFonts w:hint="default" w:ascii="Times New Roman" w:hAnsi="Times New Roman" w:cs="Times New Roman" w:eastAsiaTheme="minorEastAsia"/>
                <w:b w:val="0"/>
                <w:bCs w:val="0"/>
                <w:color w:val="auto"/>
                <w:sz w:val="24"/>
                <w:szCs w:val="24"/>
                <w:lang w:val="en-US" w:eastAsia="zh-CN"/>
              </w:rPr>
            </w:pPr>
          </w:p>
          <w:p w14:paraId="4E294628">
            <w:pPr>
              <w:pStyle w:val="5"/>
              <w:rPr>
                <w:rFonts w:hint="default" w:ascii="Times New Roman" w:hAnsi="Times New Roman" w:cs="Times New Roman" w:eastAsiaTheme="minorEastAsia"/>
                <w:b w:val="0"/>
                <w:bCs w:val="0"/>
                <w:color w:val="auto"/>
                <w:sz w:val="24"/>
                <w:szCs w:val="24"/>
                <w:lang w:val="en-US" w:eastAsia="zh-CN"/>
              </w:rPr>
            </w:pPr>
          </w:p>
          <w:p w14:paraId="373AF911">
            <w:pPr>
              <w:pStyle w:val="4"/>
              <w:rPr>
                <w:rFonts w:hint="default" w:ascii="Times New Roman" w:hAnsi="Times New Roman" w:cs="Times New Roman" w:eastAsiaTheme="minorEastAsia"/>
                <w:b w:val="0"/>
                <w:bCs w:val="0"/>
                <w:color w:val="auto"/>
                <w:sz w:val="24"/>
                <w:szCs w:val="24"/>
                <w:lang w:val="en-US" w:eastAsia="zh-CN"/>
              </w:rPr>
            </w:pPr>
          </w:p>
          <w:p w14:paraId="2D08ABC0">
            <w:pPr>
              <w:pStyle w:val="6"/>
              <w:rPr>
                <w:rFonts w:hint="default" w:ascii="Times New Roman" w:hAnsi="Times New Roman" w:cs="Times New Roman" w:eastAsiaTheme="minorEastAsia"/>
                <w:b w:val="0"/>
                <w:bCs w:val="0"/>
                <w:color w:val="auto"/>
                <w:sz w:val="24"/>
                <w:szCs w:val="24"/>
                <w:lang w:val="en-US" w:eastAsia="zh-CN"/>
              </w:rPr>
            </w:pPr>
          </w:p>
          <w:p w14:paraId="7906E313">
            <w:pPr>
              <w:pStyle w:val="5"/>
              <w:rPr>
                <w:rFonts w:hint="default" w:ascii="Times New Roman" w:hAnsi="Times New Roman" w:cs="Times New Roman" w:eastAsiaTheme="minorEastAsia"/>
                <w:b w:val="0"/>
                <w:bCs w:val="0"/>
                <w:color w:val="auto"/>
                <w:sz w:val="24"/>
                <w:szCs w:val="24"/>
                <w:lang w:val="en-US" w:eastAsia="zh-CN"/>
              </w:rPr>
            </w:pPr>
          </w:p>
          <w:p w14:paraId="31F0DFE7">
            <w:pPr>
              <w:pStyle w:val="4"/>
              <w:rPr>
                <w:rFonts w:hint="default" w:ascii="Times New Roman" w:hAnsi="Times New Roman" w:cs="Times New Roman" w:eastAsiaTheme="minorEastAsia"/>
                <w:b w:val="0"/>
                <w:bCs w:val="0"/>
                <w:color w:val="auto"/>
                <w:sz w:val="24"/>
                <w:szCs w:val="24"/>
                <w:lang w:val="en-US" w:eastAsia="zh-CN"/>
              </w:rPr>
            </w:pPr>
          </w:p>
          <w:p w14:paraId="20DC8E38">
            <w:pPr>
              <w:pStyle w:val="6"/>
              <w:rPr>
                <w:rFonts w:hint="default"/>
                <w:color w:val="auto"/>
                <w:lang w:val="en-US" w:eastAsia="zh-CN"/>
              </w:rPr>
            </w:pPr>
          </w:p>
          <w:p w14:paraId="10E70DF0">
            <w:pPr>
              <w:rPr>
                <w:rFonts w:hint="default" w:ascii="Times New Roman" w:hAnsi="Times New Roman" w:cs="Times New Roman" w:eastAsiaTheme="minorEastAsia"/>
                <w:b w:val="0"/>
                <w:bCs w:val="0"/>
                <w:color w:val="auto"/>
                <w:sz w:val="24"/>
                <w:szCs w:val="24"/>
                <w:lang w:val="en-US" w:eastAsia="zh-CN"/>
              </w:rPr>
            </w:pPr>
          </w:p>
          <w:p w14:paraId="162476A5">
            <w:pPr>
              <w:pStyle w:val="25"/>
              <w:rPr>
                <w:rFonts w:hint="default"/>
                <w:color w:val="auto"/>
                <w:lang w:val="en-US" w:eastAsia="zh-CN"/>
              </w:rPr>
            </w:pPr>
          </w:p>
          <w:p w14:paraId="572C79A2">
            <w:pPr>
              <w:rPr>
                <w:rFonts w:hint="default"/>
                <w:color w:val="auto"/>
                <w:lang w:val="en-US" w:eastAsia="zh-CN"/>
              </w:rPr>
            </w:pPr>
          </w:p>
          <w:p w14:paraId="14699891">
            <w:pPr>
              <w:rPr>
                <w:rFonts w:hint="default"/>
                <w:color w:val="auto"/>
                <w:lang w:val="en-US" w:eastAsia="zh-CN"/>
              </w:rPr>
            </w:pPr>
          </w:p>
          <w:p w14:paraId="3BAC3DBB">
            <w:pPr>
              <w:pStyle w:val="25"/>
              <w:rPr>
                <w:rFonts w:hint="default"/>
                <w:color w:val="auto"/>
                <w:lang w:val="en-US" w:eastAsia="zh-CN"/>
              </w:rPr>
            </w:pPr>
          </w:p>
          <w:p w14:paraId="4E1F9A77">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eastAsia="zh-CN"/>
              </w:rPr>
            </w:pPr>
          </w:p>
        </w:tc>
      </w:tr>
    </w:tbl>
    <w:p w14:paraId="7A544966">
      <w:pPr>
        <w:pageBreakBefore w:val="0"/>
        <w:kinsoku/>
        <w:bidi w:val="0"/>
        <w:spacing w:beforeAutospacing="0" w:afterAutospacing="0" w:line="360" w:lineRule="auto"/>
        <w:ind w:left="0" w:leftChars="0" w:right="0" w:rightChars="0"/>
        <w:outlineLvl w:val="0"/>
        <w:rPr>
          <w:rFonts w:hint="default" w:ascii="Times New Roman" w:hAnsi="Times New Roman" w:cs="Times New Roman" w:eastAsiaTheme="minorEastAsia"/>
          <w:color w:val="auto"/>
          <w:sz w:val="30"/>
        </w:rPr>
        <w:sectPr>
          <w:footerReference r:id="rId4"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2421FC6B">
      <w:pPr>
        <w:pStyle w:val="27"/>
        <w:pageBreakBefore w:val="0"/>
        <w:kinsoku/>
        <w:bidi w:val="0"/>
        <w:spacing w:beforeAutospacing="0" w:afterAutospacing="0" w:line="360" w:lineRule="auto"/>
        <w:ind w:left="0" w:leftChars="0" w:right="0" w:rightChars="0"/>
        <w:jc w:val="center"/>
        <w:outlineLvl w:val="0"/>
        <w:rPr>
          <w:rFonts w:hint="default" w:ascii="Times New Roman" w:hAnsi="Times New Roman" w:cs="Times New Roman" w:eastAsiaTheme="minorEastAsia"/>
          <w:b/>
          <w:bCs/>
          <w:snapToGrid w:val="0"/>
          <w:color w:val="auto"/>
          <w:sz w:val="30"/>
          <w:szCs w:val="30"/>
        </w:rPr>
      </w:pPr>
      <w:r>
        <w:rPr>
          <w:rFonts w:hint="default" w:ascii="Times New Roman" w:hAnsi="Times New Roman" w:cs="Times New Roman" w:eastAsiaTheme="minorEastAsia"/>
          <w:b/>
          <w:bCs/>
          <w:snapToGrid w:val="0"/>
          <w:color w:val="auto"/>
          <w:sz w:val="30"/>
          <w:szCs w:val="30"/>
        </w:rPr>
        <w:t>二、建设项目工程分析</w: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59"/>
        <w:gridCol w:w="8301"/>
      </w:tblGrid>
      <w:tr w14:paraId="48D901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759" w:type="dxa"/>
            <w:noWrap w:val="0"/>
            <w:vAlign w:val="center"/>
          </w:tcPr>
          <w:p w14:paraId="32DF3599">
            <w:pPr>
              <w:pStyle w:val="27"/>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建设内容</w:t>
            </w:r>
          </w:p>
        </w:tc>
        <w:tc>
          <w:tcPr>
            <w:tcW w:w="8301" w:type="dxa"/>
            <w:noWrap w:val="0"/>
            <w:vAlign w:val="top"/>
          </w:tcPr>
          <w:p w14:paraId="102E5D59">
            <w:pPr>
              <w:pStyle w:val="7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0" w:firstLineChars="0"/>
              <w:rPr>
                <w:rFonts w:hint="default" w:ascii="Times New Roman" w:hAnsi="Times New Roman" w:cs="Times New Roman" w:eastAsiaTheme="minorEastAsia"/>
                <w:b/>
                <w:bCs/>
                <w:color w:val="auto"/>
                <w:sz w:val="24"/>
                <w:szCs w:val="32"/>
                <w:lang w:val="en-US" w:eastAsia="zh-CN"/>
              </w:rPr>
            </w:pPr>
            <w:r>
              <w:rPr>
                <w:rFonts w:hint="default" w:ascii="Times New Roman" w:hAnsi="Times New Roman" w:cs="Times New Roman" w:eastAsiaTheme="minorEastAsia"/>
                <w:b/>
                <w:bCs/>
                <w:color w:val="auto"/>
                <w:kern w:val="2"/>
                <w:sz w:val="24"/>
                <w:szCs w:val="32"/>
                <w:lang w:val="en-US" w:eastAsia="zh-CN" w:bidi="ar-SA"/>
              </w:rPr>
              <w:t xml:space="preserve">1 </w:t>
            </w:r>
            <w:r>
              <w:rPr>
                <w:rFonts w:hint="default" w:ascii="Times New Roman" w:hAnsi="Times New Roman" w:cs="Times New Roman" w:eastAsiaTheme="minorEastAsia"/>
                <w:b/>
                <w:bCs/>
                <w:color w:val="auto"/>
                <w:sz w:val="24"/>
                <w:szCs w:val="32"/>
                <w:lang w:val="en-US" w:eastAsia="zh-CN"/>
              </w:rPr>
              <w:t>项目概况</w:t>
            </w:r>
          </w:p>
          <w:p w14:paraId="7B39E7A7">
            <w:pPr>
              <w:pStyle w:val="7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0" w:firstLineChars="0"/>
              <w:rPr>
                <w:rStyle w:val="77"/>
                <w:rFonts w:hint="default" w:ascii="Times New Roman" w:hAnsi="Times New Roman" w:cs="Times New Roman" w:eastAsiaTheme="minorEastAsia"/>
                <w:b/>
                <w:bCs/>
                <w:color w:val="auto"/>
                <w:kern w:val="2"/>
                <w:sz w:val="24"/>
                <w:szCs w:val="24"/>
                <w:lang w:val="en-US" w:eastAsia="zh-CN" w:bidi="ar-SA"/>
              </w:rPr>
            </w:pPr>
            <w:r>
              <w:rPr>
                <w:rStyle w:val="77"/>
                <w:rFonts w:hint="default" w:ascii="Times New Roman" w:hAnsi="Times New Roman" w:cs="Times New Roman" w:eastAsiaTheme="minorEastAsia"/>
                <w:b/>
                <w:bCs/>
                <w:color w:val="auto"/>
                <w:kern w:val="2"/>
                <w:sz w:val="24"/>
                <w:szCs w:val="24"/>
                <w:lang w:val="en-US" w:eastAsia="zh-CN" w:bidi="ar-SA"/>
              </w:rPr>
              <w:t>1.1项目基本情况</w:t>
            </w:r>
          </w:p>
          <w:p w14:paraId="6B9DA638">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rPr>
                <w:rFonts w:hint="default" w:ascii="Times New Roman" w:hAnsi="Times New Roman" w:cs="Times New Roman" w:eastAsiaTheme="minorEastAsia"/>
                <w:b w:val="0"/>
                <w:bCs w:val="0"/>
                <w:color w:val="auto"/>
                <w:sz w:val="24"/>
                <w:lang w:val="en-US" w:eastAsia="zh-CN"/>
              </w:rPr>
            </w:pPr>
            <w:r>
              <w:rPr>
                <w:rFonts w:hint="default" w:ascii="Times New Roman" w:hAnsi="Times New Roman" w:cs="Times New Roman" w:eastAsiaTheme="minorEastAsia"/>
                <w:b w:val="0"/>
                <w:bCs w:val="0"/>
                <w:color w:val="auto"/>
                <w:sz w:val="24"/>
                <w:lang w:val="en-US" w:eastAsia="zh-CN"/>
              </w:rPr>
              <w:t>昌吉职业技术学院是一所以工科、医学为主的公办全日制综合性高等职业院校。2001年6月经新疆维吾尔自治区人民政府批准、</w:t>
            </w:r>
            <w:r>
              <w:rPr>
                <w:rFonts w:hint="eastAsia" w:cs="Times New Roman" w:eastAsiaTheme="minorEastAsia"/>
                <w:b w:val="0"/>
                <w:bCs w:val="0"/>
                <w:color w:val="auto"/>
                <w:sz w:val="24"/>
                <w:lang w:val="en-US" w:eastAsia="zh-CN"/>
              </w:rPr>
              <w:t>教育部</w:t>
            </w:r>
            <w:r>
              <w:rPr>
                <w:rFonts w:hint="default" w:ascii="Times New Roman" w:hAnsi="Times New Roman" w:cs="Times New Roman" w:eastAsiaTheme="minorEastAsia"/>
                <w:b w:val="0"/>
                <w:bCs w:val="0"/>
                <w:color w:val="auto"/>
                <w:sz w:val="24"/>
                <w:lang w:val="en-US" w:eastAsia="zh-CN"/>
              </w:rPr>
              <w:t>备案，由昌吉州域内13所院校合并组建。入选教育部中德先进职业教育合作项目首批试点院校，是自治区首批高职高专示范校、自治区首批优质高等职业学校，建有国家级高技能人才培训基地、国家级“众创空间”、国家级特色产业公共实训基地，获评全国职业教育先进单位、自治区民族团结进步创建示范单位，是自治区首个技工教育联盟理事长单位、昌吉州 “工匠学院”，为区域产业发展培育大量技术技能人才，是丝绸之路经济带新疆核心区重要的职业教育基地。</w:t>
            </w:r>
          </w:p>
          <w:p w14:paraId="00C3E60E">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rPr>
                <w:rFonts w:hint="default" w:ascii="Times New Roman" w:hAnsi="Times New Roman" w:cs="Times New Roman" w:eastAsiaTheme="minorEastAsia"/>
                <w:b w:val="0"/>
                <w:bCs w:val="0"/>
                <w:color w:val="auto"/>
                <w:sz w:val="24"/>
                <w:lang w:val="en-US" w:eastAsia="zh-CN"/>
              </w:rPr>
            </w:pPr>
            <w:r>
              <w:rPr>
                <w:rFonts w:hint="default" w:ascii="Times New Roman" w:hAnsi="Times New Roman" w:cs="Times New Roman" w:eastAsiaTheme="minorEastAsia"/>
                <w:b w:val="0"/>
                <w:bCs w:val="0"/>
                <w:color w:val="auto"/>
                <w:sz w:val="24"/>
                <w:lang w:val="en-US" w:eastAsia="zh-CN"/>
              </w:rPr>
              <w:t>昌吉职业技术学院日常教学及实训过程中，各类专业实验室常态化开展教学实验活动，实验过程中会持续产生少量危险废物，主要包括实验室有机、无机实验废液、过期失效化学试剂、沾染危险化学品的废试剂瓶等。</w:t>
            </w:r>
            <w:r>
              <w:rPr>
                <w:rFonts w:hint="default" w:ascii="Times New Roman" w:hAnsi="Times New Roman" w:cs="Times New Roman" w:eastAsiaTheme="minorEastAsia"/>
                <w:b w:val="0"/>
                <w:bCs/>
                <w:color w:val="auto"/>
                <w:kern w:val="2"/>
                <w:sz w:val="24"/>
                <w:szCs w:val="24"/>
                <w:lang w:val="en-US" w:eastAsia="zh-CN" w:bidi="ar-SA"/>
              </w:rPr>
              <w:t>目前，上述危险废物均采用密闭容器分类收集，定期交由具有危险废物经营许可证的资质单位拉运处置，未发生随意倾倒、堆放及环境污染事故。</w:t>
            </w:r>
            <w:r>
              <w:rPr>
                <w:rFonts w:hint="default" w:ascii="Times New Roman" w:hAnsi="Times New Roman" w:cs="Times New Roman" w:eastAsiaTheme="minorEastAsia"/>
                <w:b w:val="0"/>
                <w:bCs w:val="0"/>
                <w:color w:val="auto"/>
                <w:sz w:val="24"/>
                <w:lang w:val="en-US" w:eastAsia="zh-CN"/>
              </w:rPr>
              <w:t>为严格遵守《中华人民共和国生态环境法典》等相关环保法律法规及规范标准，进一步规范学院实验类危险废物的收集、暂存、转运全流程管理，有效防范危险废物泄漏、扩散引发的环境污染及安全风险，保障校园及周边生态环境、人员安全，学校拟新建一座标准化危险废物贮存库。本项目的建设可实现学院实验危险废物的分类收集、规范暂存、集中管控，补齐校园固体废物环境管理短板，助力学院常态化环保管理工作合规有序开展。</w:t>
            </w:r>
          </w:p>
          <w:p w14:paraId="09B664AD">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rPr>
                <w:rFonts w:hint="default" w:ascii="Times New Roman" w:hAnsi="Times New Roman" w:cs="Times New Roman" w:eastAsiaTheme="minorEastAsia"/>
                <w:b w:val="0"/>
                <w:bCs w:val="0"/>
                <w:color w:val="auto"/>
                <w:sz w:val="24"/>
              </w:rPr>
            </w:pPr>
            <w:r>
              <w:rPr>
                <w:rFonts w:hint="default" w:ascii="Times New Roman" w:hAnsi="Times New Roman" w:cs="Times New Roman" w:eastAsiaTheme="minorEastAsia"/>
                <w:b w:val="0"/>
                <w:bCs w:val="0"/>
                <w:color w:val="auto"/>
                <w:sz w:val="24"/>
              </w:rPr>
              <w:t>根据《危险废物贮存污染控制标准》（GB18597-2023）中“5.1 贮存设施选址应满足生态环境保护法律法规、规划和“三线一单”生态环境分区管控的要求，项目</w:t>
            </w:r>
            <w:r>
              <w:rPr>
                <w:rFonts w:hint="default" w:ascii="Times New Roman" w:hAnsi="Times New Roman" w:cs="Times New Roman" w:eastAsiaTheme="minorEastAsia"/>
                <w:b w:val="0"/>
                <w:bCs w:val="0"/>
                <w:color w:val="auto"/>
                <w:sz w:val="24"/>
                <w:lang w:val="en-US" w:eastAsia="zh-CN"/>
              </w:rPr>
              <w:t>应</w:t>
            </w:r>
            <w:r>
              <w:rPr>
                <w:rFonts w:hint="default" w:ascii="Times New Roman" w:hAnsi="Times New Roman" w:cs="Times New Roman" w:eastAsiaTheme="minorEastAsia"/>
                <w:b w:val="0"/>
                <w:bCs w:val="0"/>
                <w:color w:val="auto"/>
                <w:sz w:val="24"/>
              </w:rPr>
              <w:t>进行环境影响评价。对照《建设项目环境影响评价分类管理名录》(2021 年版)中规定，本项目属于“四十七、生态保护和环境治理业 101 中危险废物（不含医疗废物）利用及处置中的其他，应编制环境影响报告表。</w:t>
            </w:r>
          </w:p>
          <w:p w14:paraId="5833D58C">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rPr>
                <w:rFonts w:hint="default" w:ascii="Times New Roman" w:hAnsi="Times New Roman" w:cs="Times New Roman" w:eastAsiaTheme="minorEastAsia"/>
                <w:b w:val="0"/>
                <w:bCs w:val="0"/>
                <w:color w:val="auto"/>
                <w:sz w:val="24"/>
              </w:rPr>
            </w:pPr>
            <w:r>
              <w:rPr>
                <w:rFonts w:hint="default" w:ascii="Times New Roman" w:hAnsi="Times New Roman" w:cs="Times New Roman" w:eastAsiaTheme="minorEastAsia"/>
                <w:b w:val="0"/>
                <w:bCs w:val="0"/>
                <w:color w:val="auto"/>
                <w:sz w:val="24"/>
              </w:rPr>
              <w:t>本项目位于昌吉市高新技术产业开发区兴业大道8号</w:t>
            </w:r>
            <w:r>
              <w:rPr>
                <w:rFonts w:hint="default" w:ascii="Times New Roman" w:hAnsi="Times New Roman" w:cs="Times New Roman" w:eastAsiaTheme="minorEastAsia"/>
                <w:b w:val="0"/>
                <w:bCs w:val="0"/>
                <w:color w:val="auto"/>
                <w:sz w:val="24"/>
                <w:lang w:val="en-US" w:eastAsia="zh-CN"/>
              </w:rPr>
              <w:t>昌吉职业技术学院内</w:t>
            </w:r>
            <w:r>
              <w:rPr>
                <w:rFonts w:hint="default" w:ascii="Times New Roman" w:hAnsi="Times New Roman" w:cs="Times New Roman" w:eastAsiaTheme="minorEastAsia"/>
                <w:color w:val="auto"/>
                <w:kern w:val="0"/>
                <w:sz w:val="24"/>
                <w:szCs w:val="24"/>
                <w:lang w:val="en-US" w:eastAsia="zh-CN" w:bidi="ar-SA"/>
              </w:rPr>
              <w:t>，项目区地理位置坐标：E87°03′20.576″，N44°05′21.05</w:t>
            </w:r>
            <w:r>
              <w:rPr>
                <w:rFonts w:hint="eastAsia" w:ascii="Times New Roman" w:hAnsi="Times New Roman" w:cs="Times New Roman" w:eastAsiaTheme="minorEastAsia"/>
                <w:color w:val="auto"/>
                <w:kern w:val="0"/>
                <w:sz w:val="24"/>
                <w:szCs w:val="24"/>
                <w:lang w:val="en-US" w:eastAsia="zh-CN" w:bidi="ar-SA"/>
              </w:rPr>
              <w:t>7</w:t>
            </w:r>
            <w:r>
              <w:rPr>
                <w:rFonts w:hint="default" w:ascii="Times New Roman" w:hAnsi="Times New Roman" w:cs="Times New Roman" w:eastAsiaTheme="minorEastAsia"/>
                <w:color w:val="auto"/>
                <w:kern w:val="0"/>
                <w:sz w:val="24"/>
                <w:szCs w:val="24"/>
                <w:lang w:val="en-US" w:eastAsia="zh-CN" w:bidi="ar-SA"/>
              </w:rPr>
              <w:t>″。项目区东侧为</w:t>
            </w:r>
            <w:r>
              <w:rPr>
                <w:rFonts w:hint="default" w:ascii="Times New Roman" w:hAnsi="Times New Roman" w:cs="Times New Roman" w:eastAsiaTheme="minorEastAsia"/>
                <w:b w:val="0"/>
                <w:bCs w:val="0"/>
                <w:color w:val="auto"/>
                <w:sz w:val="24"/>
                <w:lang w:val="en-US" w:eastAsia="zh-CN"/>
              </w:rPr>
              <w:t>昌盛路</w:t>
            </w:r>
            <w:r>
              <w:rPr>
                <w:rFonts w:hint="default" w:ascii="Times New Roman" w:hAnsi="Times New Roman" w:cs="Times New Roman" w:eastAsiaTheme="minorEastAsia"/>
                <w:b w:val="0"/>
                <w:bCs w:val="0"/>
                <w:color w:val="auto"/>
                <w:sz w:val="24"/>
              </w:rPr>
              <w:t>；南侧为</w:t>
            </w:r>
            <w:r>
              <w:rPr>
                <w:rFonts w:hint="default" w:ascii="Times New Roman" w:hAnsi="Times New Roman" w:cs="Times New Roman" w:eastAsiaTheme="minorEastAsia"/>
                <w:b w:val="0"/>
                <w:bCs w:val="0"/>
                <w:color w:val="auto"/>
                <w:sz w:val="24"/>
                <w:lang w:val="en-US" w:eastAsia="zh-CN"/>
              </w:rPr>
              <w:t>开括大道</w:t>
            </w:r>
            <w:r>
              <w:rPr>
                <w:rFonts w:hint="default" w:ascii="Times New Roman" w:hAnsi="Times New Roman" w:cs="Times New Roman" w:eastAsiaTheme="minorEastAsia"/>
                <w:b w:val="0"/>
                <w:bCs w:val="0"/>
                <w:color w:val="auto"/>
                <w:sz w:val="24"/>
              </w:rPr>
              <w:t>；西侧为</w:t>
            </w:r>
            <w:r>
              <w:rPr>
                <w:rFonts w:hint="default" w:ascii="Times New Roman" w:hAnsi="Times New Roman" w:cs="Times New Roman" w:eastAsiaTheme="minorEastAsia"/>
                <w:b w:val="0"/>
                <w:bCs w:val="0"/>
                <w:color w:val="auto"/>
                <w:sz w:val="24"/>
                <w:lang w:val="en-US" w:eastAsia="zh-CN"/>
              </w:rPr>
              <w:t>经四路</w:t>
            </w:r>
            <w:r>
              <w:rPr>
                <w:rFonts w:hint="default" w:ascii="Times New Roman" w:hAnsi="Times New Roman" w:cs="Times New Roman" w:eastAsiaTheme="minorEastAsia"/>
                <w:b w:val="0"/>
                <w:bCs w:val="0"/>
                <w:color w:val="auto"/>
                <w:sz w:val="24"/>
              </w:rPr>
              <w:t>；</w:t>
            </w:r>
            <w:r>
              <w:rPr>
                <w:rFonts w:hint="default" w:ascii="Times New Roman" w:hAnsi="Times New Roman" w:cs="Times New Roman" w:eastAsiaTheme="minorEastAsia"/>
                <w:b w:val="0"/>
                <w:bCs w:val="0"/>
                <w:color w:val="auto"/>
                <w:sz w:val="24"/>
                <w:lang w:eastAsia="zh-CN"/>
              </w:rPr>
              <w:t>北侧为</w:t>
            </w:r>
            <w:r>
              <w:rPr>
                <w:rFonts w:hint="default" w:ascii="Times New Roman" w:hAnsi="Times New Roman" w:cs="Times New Roman" w:eastAsiaTheme="minorEastAsia"/>
                <w:b w:val="0"/>
                <w:bCs w:val="0"/>
                <w:color w:val="auto"/>
                <w:sz w:val="24"/>
                <w:lang w:val="en-US" w:eastAsia="zh-CN"/>
              </w:rPr>
              <w:t>兴业大道</w:t>
            </w:r>
            <w:r>
              <w:rPr>
                <w:rFonts w:hint="default" w:ascii="Times New Roman" w:hAnsi="Times New Roman" w:cs="Times New Roman" w:eastAsiaTheme="minorEastAsia"/>
                <w:b w:val="0"/>
                <w:bCs w:val="0"/>
                <w:color w:val="auto"/>
                <w:sz w:val="24"/>
              </w:rPr>
              <w:t>。本项目地理位置图详见附图</w:t>
            </w:r>
            <w:r>
              <w:rPr>
                <w:rFonts w:hint="default" w:ascii="Times New Roman" w:hAnsi="Times New Roman" w:cs="Times New Roman" w:eastAsiaTheme="minorEastAsia"/>
                <w:b w:val="0"/>
                <w:bCs w:val="0"/>
                <w:color w:val="auto"/>
                <w:sz w:val="24"/>
                <w:lang w:val="en-US" w:eastAsia="zh-CN"/>
              </w:rPr>
              <w:t>4</w:t>
            </w:r>
            <w:r>
              <w:rPr>
                <w:rFonts w:hint="default" w:ascii="Times New Roman" w:hAnsi="Times New Roman" w:cs="Times New Roman" w:eastAsiaTheme="minorEastAsia"/>
                <w:b w:val="0"/>
                <w:bCs w:val="0"/>
                <w:color w:val="auto"/>
                <w:sz w:val="24"/>
              </w:rPr>
              <w:t>。本项目周边环境关系图见附图</w:t>
            </w:r>
            <w:r>
              <w:rPr>
                <w:rFonts w:hint="default" w:ascii="Times New Roman" w:hAnsi="Times New Roman" w:cs="Times New Roman" w:eastAsiaTheme="minorEastAsia"/>
                <w:color w:val="auto"/>
                <w:lang w:val="en-US" w:eastAsia="zh-CN"/>
              </w:rPr>
              <w:t>5</w:t>
            </w:r>
            <w:r>
              <w:rPr>
                <w:rFonts w:hint="default" w:ascii="Times New Roman" w:hAnsi="Times New Roman" w:cs="Times New Roman" w:eastAsiaTheme="minorEastAsia"/>
                <w:b w:val="0"/>
                <w:bCs w:val="0"/>
                <w:color w:val="auto"/>
                <w:sz w:val="24"/>
              </w:rPr>
              <w:t>。</w:t>
            </w:r>
          </w:p>
          <w:p w14:paraId="64104FAA">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rPr>
                <w:rStyle w:val="77"/>
                <w:rFonts w:hint="default" w:ascii="Times New Roman" w:hAnsi="Times New Roman" w:cs="Times New Roman" w:eastAsiaTheme="minorEastAsia"/>
                <w:b/>
                <w:bCs/>
                <w:color w:val="auto"/>
                <w:kern w:val="2"/>
                <w:sz w:val="24"/>
                <w:szCs w:val="24"/>
                <w:lang w:val="en-US" w:eastAsia="zh-CN" w:bidi="ar-SA"/>
              </w:rPr>
            </w:pPr>
            <w:r>
              <w:rPr>
                <w:rStyle w:val="77"/>
                <w:rFonts w:hint="default" w:ascii="Times New Roman" w:hAnsi="Times New Roman" w:cs="Times New Roman" w:eastAsiaTheme="minorEastAsia"/>
                <w:b/>
                <w:bCs/>
                <w:color w:val="auto"/>
                <w:kern w:val="2"/>
                <w:sz w:val="24"/>
                <w:szCs w:val="24"/>
                <w:lang w:val="en-US" w:eastAsia="zh-CN" w:bidi="ar-SA"/>
              </w:rPr>
              <w:t>1.2 项目建设规模</w:t>
            </w:r>
          </w:p>
          <w:p w14:paraId="77723FF2">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rPr>
              <w:t>本项目</w:t>
            </w:r>
            <w:r>
              <w:rPr>
                <w:rFonts w:hint="default" w:ascii="Times New Roman" w:hAnsi="Times New Roman" w:cs="Times New Roman" w:eastAsiaTheme="minorEastAsia"/>
                <w:color w:val="auto"/>
                <w:highlight w:val="none"/>
                <w:lang w:val="en-US" w:eastAsia="zh-CN"/>
              </w:rPr>
              <w:t>新建1间</w:t>
            </w:r>
            <w:r>
              <w:rPr>
                <w:rFonts w:hint="default" w:ascii="Times New Roman" w:hAnsi="Times New Roman" w:cs="Times New Roman" w:eastAsiaTheme="minorEastAsia"/>
                <w:color w:val="auto"/>
                <w:sz w:val="24"/>
                <w:lang w:val="en-US" w:eastAsia="zh-CN"/>
              </w:rPr>
              <w:t>尺寸</w:t>
            </w:r>
            <w:r>
              <w:rPr>
                <w:rFonts w:hint="eastAsia" w:cs="Times New Roman" w:eastAsiaTheme="minorEastAsia"/>
                <w:color w:val="auto"/>
                <w:sz w:val="24"/>
                <w:lang w:val="en-US" w:eastAsia="zh-CN"/>
              </w:rPr>
              <w:t>为</w:t>
            </w:r>
            <w:r>
              <w:rPr>
                <w:rFonts w:hint="default" w:ascii="Times New Roman" w:hAnsi="Times New Roman" w:cs="Times New Roman" w:eastAsiaTheme="minorEastAsia"/>
                <w:color w:val="auto"/>
                <w:sz w:val="24"/>
                <w:lang w:val="en-US" w:eastAsia="zh-CN"/>
              </w:rPr>
              <w:t>4</w:t>
            </w:r>
            <w:r>
              <w:rPr>
                <w:rFonts w:hint="eastAsia" w:cs="Times New Roman" w:eastAsiaTheme="minorEastAsia"/>
                <w:color w:val="auto"/>
                <w:sz w:val="24"/>
                <w:lang w:val="en-US" w:eastAsia="zh-CN"/>
              </w:rPr>
              <w:t>m</w:t>
            </w:r>
            <w:r>
              <w:rPr>
                <w:rFonts w:hint="default" w:ascii="Times New Roman" w:hAnsi="Times New Roman" w:cs="Times New Roman" w:eastAsiaTheme="minorEastAsia"/>
                <w:color w:val="auto"/>
                <w:sz w:val="24"/>
                <w:lang w:val="en-US" w:eastAsia="zh-CN"/>
              </w:rPr>
              <w:t>×2</w:t>
            </w:r>
            <w:r>
              <w:rPr>
                <w:rFonts w:hint="eastAsia" w:cs="Times New Roman" w:eastAsiaTheme="minorEastAsia"/>
                <w:color w:val="auto"/>
                <w:sz w:val="21"/>
                <w:szCs w:val="21"/>
                <w:vertAlign w:val="baseline"/>
                <w:lang w:val="en-US" w:eastAsia="zh-CN"/>
              </w:rPr>
              <w:t>m</w:t>
            </w:r>
            <w:r>
              <w:rPr>
                <w:rFonts w:hint="default" w:ascii="Times New Roman" w:hAnsi="Times New Roman" w:cs="Times New Roman" w:eastAsiaTheme="minorEastAsia"/>
                <w:color w:val="auto"/>
                <w:sz w:val="24"/>
                <w:lang w:val="en-US" w:eastAsia="zh-CN"/>
              </w:rPr>
              <w:t>×2.</w:t>
            </w:r>
            <w:r>
              <w:rPr>
                <w:rFonts w:hint="eastAsia" w:cs="Times New Roman" w:eastAsiaTheme="minorEastAsia"/>
                <w:color w:val="auto"/>
                <w:sz w:val="24"/>
                <w:lang w:val="en-US" w:eastAsia="zh-CN"/>
              </w:rPr>
              <w:t>6</w:t>
            </w:r>
            <w:r>
              <w:rPr>
                <w:rFonts w:hint="default" w:ascii="Times New Roman" w:hAnsi="Times New Roman" w:cs="Times New Roman" w:eastAsiaTheme="minorEastAsia"/>
                <w:color w:val="auto"/>
                <w:sz w:val="24"/>
                <w:lang w:val="en-US" w:eastAsia="zh-CN"/>
              </w:rPr>
              <w:t>m</w:t>
            </w:r>
            <w:r>
              <w:rPr>
                <w:rFonts w:hint="eastAsia" w:cs="Times New Roman" w:eastAsiaTheme="minorEastAsia"/>
                <w:color w:val="auto"/>
                <w:sz w:val="24"/>
                <w:lang w:val="en-US" w:eastAsia="zh-CN"/>
              </w:rPr>
              <w:t>的</w:t>
            </w:r>
            <w:r>
              <w:rPr>
                <w:rFonts w:hint="default" w:ascii="Times New Roman" w:hAnsi="Times New Roman" w:cs="Times New Roman" w:eastAsiaTheme="minorEastAsia"/>
                <w:color w:val="auto"/>
                <w:highlight w:val="none"/>
                <w:lang w:val="en-US" w:eastAsia="zh-CN"/>
              </w:rPr>
              <w:t>危废贮存库</w:t>
            </w:r>
            <w:r>
              <w:rPr>
                <w:rFonts w:hint="default" w:ascii="Times New Roman" w:hAnsi="Times New Roman" w:cs="Times New Roman" w:eastAsiaTheme="minorEastAsia"/>
                <w:color w:val="auto"/>
                <w:sz w:val="24"/>
                <w:lang w:val="en-US" w:eastAsia="zh-CN"/>
              </w:rPr>
              <w:t>。</w:t>
            </w:r>
          </w:p>
          <w:p w14:paraId="4FA60A81">
            <w:pPr>
              <w:pStyle w:val="76"/>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rPr>
                <w:rStyle w:val="77"/>
                <w:rFonts w:hint="default" w:ascii="Times New Roman" w:hAnsi="Times New Roman" w:cs="Times New Roman" w:eastAsiaTheme="minorEastAsia"/>
                <w:b/>
                <w:bCs/>
                <w:color w:val="auto"/>
                <w:sz w:val="24"/>
                <w:lang w:val="en-US" w:eastAsia="zh-CN"/>
              </w:rPr>
            </w:pPr>
            <w:r>
              <w:rPr>
                <w:rStyle w:val="77"/>
                <w:rFonts w:hint="default" w:ascii="Times New Roman" w:hAnsi="Times New Roman" w:cs="Times New Roman" w:eastAsiaTheme="minorEastAsia"/>
                <w:b/>
                <w:bCs/>
                <w:color w:val="auto"/>
                <w:sz w:val="24"/>
              </w:rPr>
              <w:t>1.</w:t>
            </w:r>
            <w:r>
              <w:rPr>
                <w:rStyle w:val="77"/>
                <w:rFonts w:hint="default" w:ascii="Times New Roman" w:hAnsi="Times New Roman" w:cs="Times New Roman" w:eastAsiaTheme="minorEastAsia"/>
                <w:b/>
                <w:bCs/>
                <w:color w:val="auto"/>
                <w:sz w:val="24"/>
                <w:lang w:val="en-US" w:eastAsia="zh-CN"/>
              </w:rPr>
              <w:t>3 主要建设内容</w:t>
            </w:r>
          </w:p>
          <w:p w14:paraId="65D6BFDF">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baseline"/>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本项目总投资3</w:t>
            </w:r>
            <w:r>
              <w:rPr>
                <w:rFonts w:hint="eastAsia" w:cs="Times New Roman" w:eastAsiaTheme="minorEastAsia"/>
                <w:color w:val="auto"/>
                <w:sz w:val="24"/>
                <w:lang w:val="en-US" w:eastAsia="zh-CN"/>
              </w:rPr>
              <w:t>.1</w:t>
            </w:r>
            <w:r>
              <w:rPr>
                <w:rFonts w:hint="default" w:ascii="Times New Roman" w:hAnsi="Times New Roman" w:cs="Times New Roman" w:eastAsiaTheme="minorEastAsia"/>
                <w:color w:val="auto"/>
                <w:sz w:val="24"/>
                <w:lang w:val="en-US" w:eastAsia="zh-CN"/>
              </w:rPr>
              <w:t>万元，占地面积约</w:t>
            </w:r>
            <w:r>
              <w:rPr>
                <w:rFonts w:hint="eastAsia" w:cs="Times New Roman" w:eastAsiaTheme="minorEastAsia"/>
                <w:color w:val="auto"/>
                <w:sz w:val="24"/>
                <w:lang w:val="en-US" w:eastAsia="zh-CN"/>
              </w:rPr>
              <w:t>8</w:t>
            </w:r>
            <w:r>
              <w:rPr>
                <w:rFonts w:hint="default" w:ascii="Times New Roman" w:hAnsi="Times New Roman" w:cs="Times New Roman" w:eastAsiaTheme="minorEastAsia"/>
                <w:color w:val="auto"/>
                <w:sz w:val="24"/>
                <w:lang w:val="en-US" w:eastAsia="zh-CN"/>
              </w:rPr>
              <w:t>m²，新建1座成品集装箱式危险废物</w:t>
            </w:r>
            <w:r>
              <w:rPr>
                <w:rFonts w:hint="eastAsia" w:cs="Times New Roman" w:eastAsiaTheme="minorEastAsia"/>
                <w:color w:val="auto"/>
                <w:sz w:val="24"/>
                <w:lang w:val="en-US" w:eastAsia="zh-CN"/>
              </w:rPr>
              <w:t>贮存库</w:t>
            </w:r>
            <w:r>
              <w:rPr>
                <w:rFonts w:hint="default" w:ascii="Times New Roman" w:hAnsi="Times New Roman" w:cs="Times New Roman" w:eastAsiaTheme="minorEastAsia"/>
                <w:color w:val="auto"/>
                <w:sz w:val="24"/>
                <w:lang w:val="en-US" w:eastAsia="zh-CN"/>
              </w:rPr>
              <w:t>，尺寸约4</w:t>
            </w:r>
            <w:r>
              <w:rPr>
                <w:rFonts w:hint="eastAsia" w:cs="Times New Roman" w:eastAsiaTheme="minorEastAsia"/>
                <w:color w:val="auto"/>
                <w:sz w:val="24"/>
                <w:lang w:val="en-US" w:eastAsia="zh-CN"/>
              </w:rPr>
              <w:t>（长）</w:t>
            </w:r>
            <w:r>
              <w:rPr>
                <w:rFonts w:hint="default" w:ascii="Times New Roman" w:hAnsi="Times New Roman" w:cs="Times New Roman" w:eastAsiaTheme="minorEastAsia"/>
                <w:color w:val="auto"/>
                <w:sz w:val="24"/>
                <w:lang w:val="en-US" w:eastAsia="zh-CN"/>
              </w:rPr>
              <w:t>×2（宽）×2.6（高）m，用于贮存学院实验室产生的危险废物（实验室废液、过期废试剂、废试剂瓶），建设标准按照《危险废物贮存污染控制标准》（GB 18597—2023）执行。</w:t>
            </w:r>
          </w:p>
          <w:p w14:paraId="74403236">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rPr>
                <w:rStyle w:val="77"/>
                <w:rFonts w:hint="default" w:ascii="Times New Roman" w:hAnsi="Times New Roman" w:cs="Times New Roman" w:eastAsiaTheme="minorEastAsia"/>
                <w:b/>
                <w:bCs/>
                <w:color w:val="auto"/>
                <w:kern w:val="2"/>
                <w:sz w:val="24"/>
                <w:szCs w:val="24"/>
                <w:lang w:val="en-US" w:eastAsia="zh-CN" w:bidi="ar-SA"/>
              </w:rPr>
            </w:pPr>
            <w:r>
              <w:rPr>
                <w:rStyle w:val="77"/>
                <w:rFonts w:hint="default" w:ascii="Times New Roman" w:hAnsi="Times New Roman" w:cs="Times New Roman" w:eastAsiaTheme="minorEastAsia"/>
                <w:b/>
                <w:bCs/>
                <w:color w:val="auto"/>
                <w:kern w:val="2"/>
                <w:sz w:val="24"/>
                <w:szCs w:val="24"/>
                <w:lang w:val="en-US" w:eastAsia="zh-CN" w:bidi="ar-SA"/>
              </w:rPr>
              <w:t>1.4 项目组成</w:t>
            </w:r>
          </w:p>
          <w:p w14:paraId="4D27DE59">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t>项目组成见表2-1。</w:t>
            </w:r>
          </w:p>
          <w:p w14:paraId="77477C5D">
            <w:pPr>
              <w:pageBreakBefore w:val="0"/>
              <w:kinsoku/>
              <w:overflowPunct w:val="0"/>
              <w:bidi w:val="0"/>
              <w:adjustRightInd w:val="0"/>
              <w:snapToGrid w:val="0"/>
              <w:spacing w:beforeAutospacing="0" w:afterAutospacing="0" w:line="360" w:lineRule="auto"/>
              <w:ind w:left="0" w:leftChars="0" w:right="0" w:rightChars="0" w:firstLine="422" w:firstLineChars="200"/>
              <w:jc w:val="center"/>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 xml:space="preserve">表2-1 </w:t>
            </w:r>
            <w:r>
              <w:rPr>
                <w:rFonts w:hint="eastAsia" w:ascii="Times New Roman" w:hAnsi="Times New Roman" w:cs="Times New Roman" w:eastAsiaTheme="minorEastAsia"/>
                <w:b/>
                <w:bCs/>
                <w:color w:val="auto"/>
                <w:szCs w:val="21"/>
                <w:lang w:val="en-US" w:eastAsia="zh-CN"/>
              </w:rPr>
              <w:t xml:space="preserve">  </w:t>
            </w:r>
            <w:r>
              <w:rPr>
                <w:rFonts w:hint="default" w:ascii="Times New Roman" w:hAnsi="Times New Roman" w:cs="Times New Roman" w:eastAsiaTheme="minorEastAsia"/>
                <w:b/>
                <w:bCs/>
                <w:color w:val="auto"/>
                <w:szCs w:val="21"/>
              </w:rPr>
              <w:t>工程组成一览表</w:t>
            </w:r>
          </w:p>
          <w:tbl>
            <w:tblPr>
              <w:tblStyle w:val="29"/>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104"/>
              <w:gridCol w:w="1435"/>
              <w:gridCol w:w="4380"/>
              <w:gridCol w:w="1166"/>
            </w:tblGrid>
            <w:tr w14:paraId="7DA6ADD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570" w:type="pct"/>
                  <w:gridSpan w:val="2"/>
                  <w:tcBorders>
                    <w:bottom w:val="single" w:color="000000" w:sz="12" w:space="0"/>
                  </w:tcBorders>
                  <w:noWrap w:val="0"/>
                  <w:vAlign w:val="center"/>
                </w:tcPr>
                <w:p w14:paraId="368297F2">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项目</w:t>
                  </w:r>
                </w:p>
              </w:tc>
              <w:tc>
                <w:tcPr>
                  <w:tcW w:w="2708" w:type="pct"/>
                  <w:tcBorders>
                    <w:bottom w:val="single" w:color="000000" w:sz="12" w:space="0"/>
                  </w:tcBorders>
                  <w:noWrap w:val="0"/>
                  <w:vAlign w:val="center"/>
                </w:tcPr>
                <w:p w14:paraId="266DCCFF">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建设内容</w:t>
                  </w:r>
                </w:p>
              </w:tc>
              <w:tc>
                <w:tcPr>
                  <w:tcW w:w="721" w:type="pct"/>
                  <w:tcBorders>
                    <w:bottom w:val="single" w:color="000000" w:sz="12" w:space="0"/>
                  </w:tcBorders>
                  <w:noWrap w:val="0"/>
                  <w:vAlign w:val="center"/>
                </w:tcPr>
                <w:p w14:paraId="638F5D73">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备注</w:t>
                  </w:r>
                </w:p>
              </w:tc>
            </w:tr>
            <w:tr w14:paraId="7537062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82" w:type="pct"/>
                  <w:tcBorders>
                    <w:top w:val="single" w:color="000000" w:sz="12" w:space="0"/>
                    <w:tl2br w:val="nil"/>
                    <w:tr2bl w:val="nil"/>
                  </w:tcBorders>
                  <w:noWrap w:val="0"/>
                  <w:vAlign w:val="center"/>
                </w:tcPr>
                <w:p w14:paraId="2C632BAC">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主体工程</w:t>
                  </w:r>
                </w:p>
              </w:tc>
              <w:tc>
                <w:tcPr>
                  <w:tcW w:w="887" w:type="pct"/>
                  <w:tcBorders>
                    <w:top w:val="single" w:color="000000" w:sz="12" w:space="0"/>
                    <w:tl2br w:val="nil"/>
                    <w:tr2bl w:val="nil"/>
                  </w:tcBorders>
                  <w:noWrap w:val="0"/>
                  <w:vAlign w:val="center"/>
                </w:tcPr>
                <w:p w14:paraId="1A9B1EB1">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b w:val="0"/>
                      <w:bCs w:val="0"/>
                      <w:color w:val="auto"/>
                      <w:kern w:val="2"/>
                      <w:sz w:val="21"/>
                      <w:szCs w:val="21"/>
                      <w:highlight w:val="none"/>
                      <w:lang w:val="en-US" w:eastAsia="zh-CN" w:bidi="ar-SA"/>
                    </w:rPr>
                  </w:pPr>
                  <w:r>
                    <w:rPr>
                      <w:rFonts w:hint="default" w:ascii="Times New Roman" w:hAnsi="Times New Roman" w:cs="Times New Roman" w:eastAsiaTheme="minorEastAsia"/>
                      <w:b w:val="0"/>
                      <w:bCs w:val="0"/>
                      <w:color w:val="auto"/>
                      <w:kern w:val="2"/>
                      <w:sz w:val="21"/>
                      <w:szCs w:val="21"/>
                      <w:highlight w:val="none"/>
                      <w:lang w:val="en-US" w:eastAsia="zh-CN" w:bidi="ar-SA"/>
                    </w:rPr>
                    <w:t>危废贮存库</w:t>
                  </w:r>
                </w:p>
              </w:tc>
              <w:tc>
                <w:tcPr>
                  <w:tcW w:w="2708" w:type="pct"/>
                  <w:tcBorders>
                    <w:top w:val="single" w:color="000000" w:sz="12" w:space="0"/>
                    <w:tl2br w:val="nil"/>
                    <w:tr2bl w:val="nil"/>
                  </w:tcBorders>
                  <w:noWrap w:val="0"/>
                  <w:vAlign w:val="center"/>
                </w:tcPr>
                <w:p w14:paraId="1E24F2CE">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 xml:space="preserve">占地面积为 </w:t>
                  </w:r>
                  <w:r>
                    <w:rPr>
                      <w:rFonts w:hint="eastAsia" w:cs="Times New Roman" w:eastAsiaTheme="minorEastAsia"/>
                      <w:color w:val="auto"/>
                      <w:sz w:val="21"/>
                      <w:szCs w:val="21"/>
                      <w:vertAlign w:val="baseline"/>
                      <w:lang w:val="en-US" w:eastAsia="zh-CN"/>
                    </w:rPr>
                    <w:t>8</w:t>
                  </w:r>
                  <w:r>
                    <w:rPr>
                      <w:rFonts w:hint="default" w:ascii="Times New Roman" w:hAnsi="Times New Roman" w:cs="Times New Roman" w:eastAsiaTheme="minorEastAsia"/>
                      <w:color w:val="auto"/>
                      <w:sz w:val="21"/>
                      <w:szCs w:val="21"/>
                      <w:vertAlign w:val="baseline"/>
                      <w:lang w:val="en-US" w:eastAsia="zh-CN"/>
                    </w:rPr>
                    <w:t>m</w:t>
                  </w:r>
                  <w:r>
                    <w:rPr>
                      <w:rFonts w:hint="default" w:ascii="Times New Roman" w:hAnsi="Times New Roman" w:cs="Times New Roman" w:eastAsiaTheme="minorEastAsia"/>
                      <w:color w:val="auto"/>
                      <w:sz w:val="21"/>
                      <w:szCs w:val="21"/>
                      <w:vertAlign w:val="superscript"/>
                      <w:lang w:val="en-US" w:eastAsia="zh-CN"/>
                    </w:rPr>
                    <w:t>2</w:t>
                  </w:r>
                  <w:r>
                    <w:rPr>
                      <w:rFonts w:hint="default" w:ascii="Times New Roman" w:hAnsi="Times New Roman" w:cs="Times New Roman" w:eastAsiaTheme="minorEastAsia"/>
                      <w:color w:val="auto"/>
                      <w:sz w:val="21"/>
                      <w:szCs w:val="21"/>
                      <w:vertAlign w:val="baseline"/>
                      <w:lang w:val="en-US" w:eastAsia="zh-CN"/>
                    </w:rPr>
                    <w:t xml:space="preserve">，建设1座危险废物贮存库，建筑面积为 </w:t>
                  </w:r>
                  <w:r>
                    <w:rPr>
                      <w:rFonts w:hint="eastAsia" w:cs="Times New Roman" w:eastAsiaTheme="minorEastAsia"/>
                      <w:color w:val="auto"/>
                      <w:sz w:val="21"/>
                      <w:szCs w:val="21"/>
                      <w:vertAlign w:val="baseline"/>
                      <w:lang w:val="en-US" w:eastAsia="zh-CN"/>
                    </w:rPr>
                    <w:t>8</w:t>
                  </w:r>
                  <w:r>
                    <w:rPr>
                      <w:rFonts w:hint="default" w:ascii="Times New Roman" w:hAnsi="Times New Roman" w:cs="Times New Roman" w:eastAsiaTheme="minorEastAsia"/>
                      <w:color w:val="auto"/>
                      <w:sz w:val="21"/>
                      <w:szCs w:val="21"/>
                      <w:vertAlign w:val="baseline"/>
                      <w:lang w:val="en-US" w:eastAsia="zh-CN"/>
                    </w:rPr>
                    <w:t>m</w:t>
                  </w:r>
                  <w:r>
                    <w:rPr>
                      <w:rFonts w:hint="default" w:ascii="Times New Roman" w:hAnsi="Times New Roman" w:cs="Times New Roman" w:eastAsiaTheme="minorEastAsia"/>
                      <w:color w:val="auto"/>
                      <w:sz w:val="21"/>
                      <w:szCs w:val="21"/>
                      <w:vertAlign w:val="superscript"/>
                      <w:lang w:val="en-US" w:eastAsia="zh-CN"/>
                    </w:rPr>
                    <w:t>2</w:t>
                  </w:r>
                  <w:r>
                    <w:rPr>
                      <w:rFonts w:hint="default" w:ascii="Times New Roman" w:hAnsi="Times New Roman" w:cs="Times New Roman" w:eastAsiaTheme="minorEastAsia"/>
                      <w:color w:val="auto"/>
                      <w:sz w:val="21"/>
                      <w:szCs w:val="21"/>
                      <w:vertAlign w:val="baseline"/>
                      <w:lang w:val="en-US" w:eastAsia="zh-CN"/>
                    </w:rPr>
                    <w:t>，采用集装箱式危险废物</w:t>
                  </w:r>
                  <w:r>
                    <w:rPr>
                      <w:rFonts w:hint="eastAsia" w:cs="Times New Roman" w:eastAsiaTheme="minorEastAsia"/>
                      <w:color w:val="auto"/>
                      <w:sz w:val="21"/>
                      <w:szCs w:val="21"/>
                      <w:vertAlign w:val="baseline"/>
                      <w:lang w:val="en-US" w:eastAsia="zh-CN"/>
                    </w:rPr>
                    <w:t>贮存库</w:t>
                  </w:r>
                  <w:r>
                    <w:rPr>
                      <w:rFonts w:hint="default" w:ascii="Times New Roman" w:hAnsi="Times New Roman" w:cs="Times New Roman" w:eastAsiaTheme="minorEastAsia"/>
                      <w:color w:val="auto"/>
                      <w:sz w:val="21"/>
                      <w:szCs w:val="21"/>
                      <w:vertAlign w:val="baseline"/>
                      <w:lang w:val="en-US" w:eastAsia="zh-CN"/>
                    </w:rPr>
                    <w:t>，规格尺寸：4（长）×2（宽）×2.6（高）m</w:t>
                  </w:r>
                </w:p>
              </w:tc>
              <w:tc>
                <w:tcPr>
                  <w:tcW w:w="721" w:type="pct"/>
                  <w:tcBorders>
                    <w:top w:val="single" w:color="000000" w:sz="12" w:space="0"/>
                    <w:tl2br w:val="nil"/>
                    <w:tr2bl w:val="nil"/>
                  </w:tcBorders>
                  <w:noWrap w:val="0"/>
                  <w:vAlign w:val="center"/>
                </w:tcPr>
                <w:p w14:paraId="72B5FB66">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b w:val="0"/>
                      <w:bCs w:val="0"/>
                      <w:color w:val="auto"/>
                      <w:kern w:val="2"/>
                      <w:sz w:val="21"/>
                      <w:szCs w:val="21"/>
                      <w:highlight w:val="none"/>
                      <w:lang w:val="en-US" w:eastAsia="zh-CN" w:bidi="ar-SA"/>
                    </w:rPr>
                  </w:pPr>
                  <w:r>
                    <w:rPr>
                      <w:rFonts w:hint="default" w:ascii="Times New Roman" w:hAnsi="Times New Roman" w:cs="Times New Roman" w:eastAsiaTheme="minorEastAsia"/>
                      <w:b w:val="0"/>
                      <w:bCs w:val="0"/>
                      <w:color w:val="auto"/>
                      <w:kern w:val="2"/>
                      <w:sz w:val="21"/>
                      <w:szCs w:val="21"/>
                      <w:highlight w:val="none"/>
                      <w:lang w:val="en-US" w:eastAsia="zh-CN" w:bidi="ar-SA"/>
                    </w:rPr>
                    <w:t>新建</w:t>
                  </w:r>
                </w:p>
              </w:tc>
            </w:tr>
            <w:tr w14:paraId="2AAD8A7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82" w:type="pct"/>
                  <w:tcBorders>
                    <w:tl2br w:val="nil"/>
                    <w:tr2bl w:val="nil"/>
                  </w:tcBorders>
                  <w:noWrap w:val="0"/>
                  <w:vAlign w:val="center"/>
                </w:tcPr>
                <w:p w14:paraId="7B3B1334">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储运工程</w:t>
                  </w:r>
                </w:p>
              </w:tc>
              <w:tc>
                <w:tcPr>
                  <w:tcW w:w="887" w:type="pct"/>
                  <w:tcBorders>
                    <w:tl2br w:val="nil"/>
                    <w:tr2bl w:val="nil"/>
                  </w:tcBorders>
                  <w:noWrap w:val="0"/>
                  <w:vAlign w:val="center"/>
                </w:tcPr>
                <w:p w14:paraId="073DB78D">
                  <w:pPr>
                    <w:pStyle w:val="27"/>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专用工具进行转运</w:t>
                  </w:r>
                </w:p>
              </w:tc>
              <w:tc>
                <w:tcPr>
                  <w:tcW w:w="2708" w:type="pct"/>
                  <w:tcBorders>
                    <w:tl2br w:val="nil"/>
                    <w:tr2bl w:val="nil"/>
                  </w:tcBorders>
                  <w:noWrap w:val="0"/>
                  <w:vAlign w:val="center"/>
                </w:tcPr>
                <w:p w14:paraId="7927CB85">
                  <w:pPr>
                    <w:pStyle w:val="27"/>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由学校设定的危险废物管理人员采用专用转运工具进行转运，将各类危险废物转运至危险废物贮存库按要求贮存，危险废物贮存库不进行危险废物的倒罐及其他处置，仅用于暂存，后期由有资质单位进行处置。</w:t>
                  </w:r>
                </w:p>
              </w:tc>
              <w:tc>
                <w:tcPr>
                  <w:tcW w:w="721" w:type="pct"/>
                  <w:tcBorders>
                    <w:tl2br w:val="nil"/>
                    <w:tr2bl w:val="nil"/>
                  </w:tcBorders>
                  <w:noWrap w:val="0"/>
                  <w:vAlign w:val="center"/>
                </w:tcPr>
                <w:p w14:paraId="6D52D786">
                  <w:pPr>
                    <w:pStyle w:val="27"/>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新建</w:t>
                  </w:r>
                </w:p>
              </w:tc>
            </w:tr>
            <w:tr w14:paraId="5CF0B3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82" w:type="pct"/>
                  <w:vMerge w:val="restart"/>
                  <w:tcBorders>
                    <w:tl2br w:val="nil"/>
                    <w:tr2bl w:val="nil"/>
                  </w:tcBorders>
                  <w:noWrap w:val="0"/>
                  <w:vAlign w:val="center"/>
                </w:tcPr>
                <w:p w14:paraId="1F232526">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公用工程</w:t>
                  </w:r>
                </w:p>
              </w:tc>
              <w:tc>
                <w:tcPr>
                  <w:tcW w:w="887" w:type="pct"/>
                  <w:tcBorders>
                    <w:tl2br w:val="nil"/>
                    <w:tr2bl w:val="nil"/>
                  </w:tcBorders>
                  <w:noWrap w:val="0"/>
                  <w:vAlign w:val="center"/>
                </w:tcPr>
                <w:p w14:paraId="0DE14F77">
                  <w:pPr>
                    <w:pStyle w:val="27"/>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供水工程</w:t>
                  </w:r>
                </w:p>
              </w:tc>
              <w:tc>
                <w:tcPr>
                  <w:tcW w:w="2708" w:type="pct"/>
                  <w:tcBorders>
                    <w:tl2br w:val="nil"/>
                    <w:tr2bl w:val="nil"/>
                  </w:tcBorders>
                  <w:noWrap w:val="0"/>
                  <w:vAlign w:val="center"/>
                </w:tcPr>
                <w:p w14:paraId="2A139088">
                  <w:pPr>
                    <w:pStyle w:val="27"/>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项目不涉及生产用水，不新增劳动定员，无生活用水</w:t>
                  </w:r>
                </w:p>
              </w:tc>
              <w:tc>
                <w:tcPr>
                  <w:tcW w:w="721" w:type="pct"/>
                  <w:tcBorders>
                    <w:tl2br w:val="nil"/>
                    <w:tr2bl w:val="nil"/>
                  </w:tcBorders>
                  <w:noWrap w:val="0"/>
                  <w:vAlign w:val="center"/>
                </w:tcPr>
                <w:p w14:paraId="132240BE">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依托</w:t>
                  </w:r>
                </w:p>
              </w:tc>
            </w:tr>
            <w:tr w14:paraId="482DE0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82" w:type="pct"/>
                  <w:vMerge w:val="continue"/>
                  <w:tcBorders>
                    <w:tl2br w:val="nil"/>
                    <w:tr2bl w:val="nil"/>
                  </w:tcBorders>
                  <w:noWrap w:val="0"/>
                  <w:vAlign w:val="center"/>
                </w:tcPr>
                <w:p w14:paraId="6FAF761B">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rPr>
                  </w:pPr>
                </w:p>
              </w:tc>
              <w:tc>
                <w:tcPr>
                  <w:tcW w:w="887" w:type="pct"/>
                  <w:tcBorders>
                    <w:tl2br w:val="nil"/>
                    <w:tr2bl w:val="nil"/>
                  </w:tcBorders>
                  <w:noWrap w:val="0"/>
                  <w:vAlign w:val="center"/>
                </w:tcPr>
                <w:p w14:paraId="1B1F0B6C">
                  <w:pPr>
                    <w:pStyle w:val="27"/>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排水工程</w:t>
                  </w:r>
                </w:p>
              </w:tc>
              <w:tc>
                <w:tcPr>
                  <w:tcW w:w="2708" w:type="pct"/>
                  <w:tcBorders>
                    <w:tl2br w:val="nil"/>
                    <w:tr2bl w:val="nil"/>
                  </w:tcBorders>
                  <w:noWrap w:val="0"/>
                  <w:vAlign w:val="center"/>
                </w:tcPr>
                <w:p w14:paraId="60E627C5">
                  <w:pPr>
                    <w:pStyle w:val="27"/>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项目不产生生产废水，不新增劳动定员，无生活污水产生</w:t>
                  </w:r>
                </w:p>
              </w:tc>
              <w:tc>
                <w:tcPr>
                  <w:tcW w:w="721" w:type="pct"/>
                  <w:tcBorders>
                    <w:tl2br w:val="nil"/>
                    <w:tr2bl w:val="nil"/>
                  </w:tcBorders>
                  <w:noWrap w:val="0"/>
                  <w:vAlign w:val="center"/>
                </w:tcPr>
                <w:p w14:paraId="49538DB3">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依托</w:t>
                  </w:r>
                </w:p>
              </w:tc>
            </w:tr>
            <w:tr w14:paraId="7A3BC5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82" w:type="pct"/>
                  <w:vMerge w:val="continue"/>
                  <w:tcBorders>
                    <w:tl2br w:val="nil"/>
                    <w:tr2bl w:val="nil"/>
                  </w:tcBorders>
                  <w:noWrap w:val="0"/>
                  <w:vAlign w:val="center"/>
                </w:tcPr>
                <w:p w14:paraId="6642C0AA">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rPr>
                  </w:pPr>
                </w:p>
              </w:tc>
              <w:tc>
                <w:tcPr>
                  <w:tcW w:w="887" w:type="pct"/>
                  <w:tcBorders>
                    <w:tl2br w:val="nil"/>
                    <w:tr2bl w:val="nil"/>
                  </w:tcBorders>
                  <w:noWrap w:val="0"/>
                  <w:vAlign w:val="center"/>
                </w:tcPr>
                <w:p w14:paraId="60FCFDBD">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供电工程</w:t>
                  </w:r>
                </w:p>
              </w:tc>
              <w:tc>
                <w:tcPr>
                  <w:tcW w:w="2708" w:type="pct"/>
                  <w:tcBorders>
                    <w:tl2br w:val="nil"/>
                    <w:tr2bl w:val="nil"/>
                  </w:tcBorders>
                  <w:noWrap w:val="0"/>
                  <w:vAlign w:val="center"/>
                </w:tcPr>
                <w:p w14:paraId="333BE3B4">
                  <w:pPr>
                    <w:pStyle w:val="27"/>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eastAsia="zh-CN"/>
                    </w:rPr>
                    <w:t>市政</w:t>
                  </w:r>
                  <w:r>
                    <w:rPr>
                      <w:rFonts w:hint="default" w:ascii="Times New Roman" w:hAnsi="Times New Roman" w:cs="Times New Roman" w:eastAsiaTheme="minorEastAsia"/>
                      <w:color w:val="auto"/>
                      <w:sz w:val="21"/>
                      <w:szCs w:val="21"/>
                    </w:rPr>
                    <w:t>电网供电</w:t>
                  </w:r>
                </w:p>
              </w:tc>
              <w:tc>
                <w:tcPr>
                  <w:tcW w:w="721" w:type="pct"/>
                  <w:tcBorders>
                    <w:tl2br w:val="nil"/>
                    <w:tr2bl w:val="nil"/>
                  </w:tcBorders>
                  <w:noWrap w:val="0"/>
                  <w:vAlign w:val="center"/>
                </w:tcPr>
                <w:p w14:paraId="387EC8D4">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依托</w:t>
                  </w:r>
                </w:p>
              </w:tc>
            </w:tr>
            <w:tr w14:paraId="54D82BD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82" w:type="pct"/>
                  <w:vMerge w:val="continue"/>
                  <w:tcBorders>
                    <w:tl2br w:val="nil"/>
                    <w:tr2bl w:val="nil"/>
                  </w:tcBorders>
                  <w:noWrap w:val="0"/>
                  <w:vAlign w:val="center"/>
                </w:tcPr>
                <w:p w14:paraId="17AAABD3">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rPr>
                  </w:pPr>
                </w:p>
              </w:tc>
              <w:tc>
                <w:tcPr>
                  <w:tcW w:w="887" w:type="pct"/>
                  <w:tcBorders>
                    <w:tl2br w:val="nil"/>
                    <w:tr2bl w:val="nil"/>
                  </w:tcBorders>
                  <w:noWrap w:val="0"/>
                  <w:vAlign w:val="center"/>
                </w:tcPr>
                <w:p w14:paraId="098802E8">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供暖工程</w:t>
                  </w:r>
                </w:p>
              </w:tc>
              <w:tc>
                <w:tcPr>
                  <w:tcW w:w="2708" w:type="pct"/>
                  <w:tcBorders>
                    <w:tl2br w:val="nil"/>
                    <w:tr2bl w:val="nil"/>
                  </w:tcBorders>
                  <w:noWrap w:val="0"/>
                  <w:vAlign w:val="center"/>
                </w:tcPr>
                <w:p w14:paraId="164621D9">
                  <w:pPr>
                    <w:pStyle w:val="27"/>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项目不涉及采暖</w:t>
                  </w:r>
                </w:p>
              </w:tc>
              <w:tc>
                <w:tcPr>
                  <w:tcW w:w="721" w:type="pct"/>
                  <w:tcBorders>
                    <w:tl2br w:val="nil"/>
                    <w:tr2bl w:val="nil"/>
                  </w:tcBorders>
                  <w:noWrap w:val="0"/>
                  <w:vAlign w:val="center"/>
                </w:tcPr>
                <w:p w14:paraId="559AD57B">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依托</w:t>
                  </w:r>
                </w:p>
              </w:tc>
            </w:tr>
            <w:tr w14:paraId="1011686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82" w:type="pct"/>
                  <w:vMerge w:val="restart"/>
                  <w:tcBorders>
                    <w:tl2br w:val="nil"/>
                    <w:tr2bl w:val="nil"/>
                  </w:tcBorders>
                  <w:noWrap w:val="0"/>
                  <w:vAlign w:val="center"/>
                </w:tcPr>
                <w:p w14:paraId="3B15E525">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环保工程</w:t>
                  </w:r>
                </w:p>
              </w:tc>
              <w:tc>
                <w:tcPr>
                  <w:tcW w:w="887" w:type="pct"/>
                  <w:tcBorders>
                    <w:tl2br w:val="nil"/>
                    <w:tr2bl w:val="nil"/>
                  </w:tcBorders>
                  <w:noWrap w:val="0"/>
                  <w:vAlign w:val="center"/>
                </w:tcPr>
                <w:p w14:paraId="0DEFB230">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b w:val="0"/>
                      <w:bCs w:val="0"/>
                      <w:color w:val="auto"/>
                      <w:kern w:val="2"/>
                      <w:sz w:val="21"/>
                      <w:szCs w:val="21"/>
                      <w:highlight w:val="none"/>
                      <w:lang w:val="en-US" w:eastAsia="zh-CN" w:bidi="ar-SA"/>
                    </w:rPr>
                  </w:pPr>
                  <w:r>
                    <w:rPr>
                      <w:rFonts w:hint="default" w:ascii="Times New Roman" w:hAnsi="Times New Roman" w:cs="Times New Roman" w:eastAsiaTheme="minorEastAsia"/>
                      <w:b w:val="0"/>
                      <w:bCs w:val="0"/>
                      <w:color w:val="auto"/>
                      <w:kern w:val="2"/>
                      <w:sz w:val="21"/>
                      <w:szCs w:val="21"/>
                      <w:highlight w:val="none"/>
                      <w:lang w:val="en-US" w:eastAsia="zh-CN" w:bidi="ar-SA"/>
                    </w:rPr>
                    <w:t>废气</w:t>
                  </w:r>
                </w:p>
              </w:tc>
              <w:tc>
                <w:tcPr>
                  <w:tcW w:w="2708" w:type="pct"/>
                  <w:tcBorders>
                    <w:tl2br w:val="nil"/>
                    <w:tr2bl w:val="nil"/>
                  </w:tcBorders>
                  <w:noWrap w:val="0"/>
                  <w:vAlign w:val="center"/>
                </w:tcPr>
                <w:p w14:paraId="066A28A3">
                  <w:pPr>
                    <w:pStyle w:val="14"/>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本项目实验室废液、过期废试剂使用密闭桶装，贮存的全过程不对其进行拆封、倾倒、分装、混装等操作，仅产生微量废气，无组织排放。</w:t>
                  </w:r>
                </w:p>
              </w:tc>
              <w:tc>
                <w:tcPr>
                  <w:tcW w:w="721" w:type="pct"/>
                  <w:tcBorders>
                    <w:tl2br w:val="nil"/>
                    <w:tr2bl w:val="nil"/>
                  </w:tcBorders>
                  <w:noWrap w:val="0"/>
                  <w:vAlign w:val="center"/>
                </w:tcPr>
                <w:p w14:paraId="680F981E">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b w:val="0"/>
                      <w:bCs w:val="0"/>
                      <w:color w:val="auto"/>
                      <w:kern w:val="2"/>
                      <w:sz w:val="21"/>
                      <w:szCs w:val="21"/>
                      <w:highlight w:val="none"/>
                      <w:lang w:val="en-US" w:eastAsia="zh-CN" w:bidi="ar-SA"/>
                    </w:rPr>
                  </w:pPr>
                  <w:r>
                    <w:rPr>
                      <w:rFonts w:hint="default" w:ascii="Times New Roman" w:hAnsi="Times New Roman" w:cs="Times New Roman" w:eastAsiaTheme="minorEastAsia"/>
                      <w:b w:val="0"/>
                      <w:bCs w:val="0"/>
                      <w:color w:val="auto"/>
                      <w:kern w:val="2"/>
                      <w:sz w:val="21"/>
                      <w:szCs w:val="21"/>
                      <w:highlight w:val="none"/>
                      <w:lang w:val="en-US" w:eastAsia="zh-CN" w:bidi="ar-SA"/>
                    </w:rPr>
                    <w:t>新建</w:t>
                  </w:r>
                </w:p>
              </w:tc>
            </w:tr>
            <w:tr w14:paraId="12A05B4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82" w:type="pct"/>
                  <w:vMerge w:val="continue"/>
                  <w:tcBorders>
                    <w:tl2br w:val="nil"/>
                    <w:tr2bl w:val="nil"/>
                  </w:tcBorders>
                  <w:noWrap w:val="0"/>
                  <w:vAlign w:val="center"/>
                </w:tcPr>
                <w:p w14:paraId="239E6572">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rPr>
                  </w:pPr>
                </w:p>
              </w:tc>
              <w:tc>
                <w:tcPr>
                  <w:tcW w:w="887" w:type="pct"/>
                  <w:tcBorders>
                    <w:tl2br w:val="nil"/>
                    <w:tr2bl w:val="nil"/>
                  </w:tcBorders>
                  <w:noWrap w:val="0"/>
                  <w:vAlign w:val="center"/>
                </w:tcPr>
                <w:p w14:paraId="65F22B84">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b w:val="0"/>
                      <w:bCs w:val="0"/>
                      <w:color w:val="auto"/>
                      <w:kern w:val="2"/>
                      <w:sz w:val="21"/>
                      <w:szCs w:val="21"/>
                      <w:highlight w:val="none"/>
                      <w:lang w:val="en-US" w:eastAsia="zh-CN" w:bidi="ar-SA"/>
                    </w:rPr>
                  </w:pPr>
                  <w:r>
                    <w:rPr>
                      <w:rFonts w:hint="default" w:ascii="Times New Roman" w:hAnsi="Times New Roman" w:cs="Times New Roman" w:eastAsiaTheme="minorEastAsia"/>
                      <w:b w:val="0"/>
                      <w:bCs w:val="0"/>
                      <w:color w:val="auto"/>
                      <w:kern w:val="2"/>
                      <w:sz w:val="21"/>
                      <w:szCs w:val="21"/>
                      <w:highlight w:val="none"/>
                      <w:lang w:val="en-US" w:eastAsia="zh-CN" w:bidi="ar-SA"/>
                    </w:rPr>
                    <w:t>废水</w:t>
                  </w:r>
                </w:p>
              </w:tc>
              <w:tc>
                <w:tcPr>
                  <w:tcW w:w="2708" w:type="pct"/>
                  <w:tcBorders>
                    <w:tl2br w:val="nil"/>
                    <w:tr2bl w:val="nil"/>
                  </w:tcBorders>
                  <w:noWrap w:val="0"/>
                  <w:vAlign w:val="center"/>
                </w:tcPr>
                <w:p w14:paraId="237163A8">
                  <w:pPr>
                    <w:pStyle w:val="27"/>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b w:val="0"/>
                      <w:bCs w:val="0"/>
                      <w:color w:val="auto"/>
                      <w:kern w:val="2"/>
                      <w:sz w:val="21"/>
                      <w:szCs w:val="21"/>
                      <w:highlight w:val="none"/>
                      <w:lang w:val="en-US" w:eastAsia="zh-CN" w:bidi="ar-SA"/>
                    </w:rPr>
                  </w:pPr>
                  <w:r>
                    <w:rPr>
                      <w:rFonts w:hint="default" w:ascii="Times New Roman" w:hAnsi="Times New Roman" w:cs="Times New Roman" w:eastAsiaTheme="minorEastAsia"/>
                      <w:b w:val="0"/>
                      <w:bCs w:val="0"/>
                      <w:color w:val="auto"/>
                      <w:kern w:val="2"/>
                      <w:sz w:val="21"/>
                      <w:szCs w:val="21"/>
                      <w:highlight w:val="none"/>
                      <w:lang w:val="en-US" w:eastAsia="zh-CN" w:bidi="ar-SA"/>
                    </w:rPr>
                    <w:t>项目不产生生产废水，不新增劳动定员，无生活污水产生</w:t>
                  </w:r>
                  <w:r>
                    <w:rPr>
                      <w:rFonts w:hint="eastAsia" w:ascii="Times New Roman" w:hAnsi="Times New Roman" w:cs="Times New Roman" w:eastAsiaTheme="minorEastAsia"/>
                      <w:b w:val="0"/>
                      <w:bCs w:val="0"/>
                      <w:color w:val="auto"/>
                      <w:kern w:val="2"/>
                      <w:sz w:val="21"/>
                      <w:szCs w:val="21"/>
                      <w:highlight w:val="none"/>
                      <w:lang w:val="en-US" w:eastAsia="zh-CN" w:bidi="ar-SA"/>
                    </w:rPr>
                    <w:t>。</w:t>
                  </w:r>
                </w:p>
              </w:tc>
              <w:tc>
                <w:tcPr>
                  <w:tcW w:w="721" w:type="pct"/>
                  <w:tcBorders>
                    <w:tl2br w:val="nil"/>
                    <w:tr2bl w:val="nil"/>
                  </w:tcBorders>
                  <w:noWrap w:val="0"/>
                  <w:vAlign w:val="center"/>
                </w:tcPr>
                <w:p w14:paraId="39FA3BC4">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b w:val="0"/>
                      <w:bCs w:val="0"/>
                      <w:color w:val="auto"/>
                      <w:kern w:val="2"/>
                      <w:sz w:val="21"/>
                      <w:szCs w:val="21"/>
                      <w:highlight w:val="none"/>
                      <w:lang w:val="en-US" w:eastAsia="zh-CN" w:bidi="ar-SA"/>
                    </w:rPr>
                  </w:pPr>
                  <w:r>
                    <w:rPr>
                      <w:rFonts w:hint="default" w:ascii="Times New Roman" w:hAnsi="Times New Roman" w:cs="Times New Roman" w:eastAsiaTheme="minorEastAsia"/>
                      <w:color w:val="auto"/>
                      <w:sz w:val="21"/>
                      <w:szCs w:val="21"/>
                      <w:lang w:val="en-US" w:eastAsia="zh-CN"/>
                    </w:rPr>
                    <w:t>依托</w:t>
                  </w:r>
                </w:p>
              </w:tc>
            </w:tr>
            <w:tr w14:paraId="7D20D08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82" w:type="pct"/>
                  <w:vMerge w:val="continue"/>
                  <w:tcBorders>
                    <w:tl2br w:val="nil"/>
                    <w:tr2bl w:val="nil"/>
                  </w:tcBorders>
                  <w:noWrap w:val="0"/>
                  <w:vAlign w:val="center"/>
                </w:tcPr>
                <w:p w14:paraId="5D860626">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rPr>
                  </w:pPr>
                </w:p>
              </w:tc>
              <w:tc>
                <w:tcPr>
                  <w:tcW w:w="887" w:type="pct"/>
                  <w:tcBorders>
                    <w:tl2br w:val="nil"/>
                    <w:tr2bl w:val="nil"/>
                  </w:tcBorders>
                  <w:noWrap w:val="0"/>
                  <w:vAlign w:val="center"/>
                </w:tcPr>
                <w:p w14:paraId="0BCFC122">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噪声</w:t>
                  </w:r>
                </w:p>
              </w:tc>
              <w:tc>
                <w:tcPr>
                  <w:tcW w:w="2708" w:type="pct"/>
                  <w:tcBorders>
                    <w:tl2br w:val="nil"/>
                    <w:tr2bl w:val="nil"/>
                  </w:tcBorders>
                  <w:noWrap w:val="0"/>
                  <w:vAlign w:val="center"/>
                </w:tcPr>
                <w:p w14:paraId="573966E4">
                  <w:pPr>
                    <w:pStyle w:val="27"/>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eastAsia" w:ascii="Times New Roman" w:hAnsi="Times New Roman" w:cs="Times New Roman" w:eastAsiaTheme="minorEastAsia"/>
                      <w:color w:val="auto"/>
                      <w:sz w:val="21"/>
                      <w:szCs w:val="21"/>
                      <w:highlight w:val="none"/>
                      <w:lang w:eastAsia="zh-CN"/>
                    </w:rPr>
                  </w:pPr>
                  <w:r>
                    <w:rPr>
                      <w:rFonts w:hint="default" w:ascii="Times New Roman" w:hAnsi="Times New Roman" w:cs="Times New Roman" w:eastAsiaTheme="minorEastAsia"/>
                      <w:color w:val="auto"/>
                      <w:sz w:val="21"/>
                      <w:szCs w:val="21"/>
                      <w:highlight w:val="none"/>
                    </w:rPr>
                    <w:t>运输车辆采取限速、禁止鸣笛等措施</w:t>
                  </w:r>
                  <w:r>
                    <w:rPr>
                      <w:rFonts w:hint="eastAsia" w:ascii="Times New Roman" w:hAnsi="Times New Roman" w:cs="Times New Roman" w:eastAsiaTheme="minorEastAsia"/>
                      <w:color w:val="auto"/>
                      <w:sz w:val="21"/>
                      <w:szCs w:val="21"/>
                      <w:highlight w:val="none"/>
                      <w:lang w:eastAsia="zh-CN"/>
                    </w:rPr>
                    <w:t>。</w:t>
                  </w:r>
                </w:p>
              </w:tc>
              <w:tc>
                <w:tcPr>
                  <w:tcW w:w="721" w:type="pct"/>
                  <w:tcBorders>
                    <w:tl2br w:val="nil"/>
                    <w:tr2bl w:val="nil"/>
                  </w:tcBorders>
                  <w:noWrap w:val="0"/>
                  <w:vAlign w:val="center"/>
                </w:tcPr>
                <w:p w14:paraId="693FA66F">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sz w:val="21"/>
                      <w:szCs w:val="21"/>
                      <w:lang w:val="en-US" w:eastAsia="zh-CN"/>
                    </w:rPr>
                    <w:t>新建</w:t>
                  </w:r>
                </w:p>
              </w:tc>
            </w:tr>
            <w:tr w14:paraId="515826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82" w:type="pct"/>
                  <w:vMerge w:val="continue"/>
                  <w:tcBorders>
                    <w:tl2br w:val="nil"/>
                    <w:tr2bl w:val="nil"/>
                  </w:tcBorders>
                  <w:noWrap w:val="0"/>
                  <w:vAlign w:val="center"/>
                </w:tcPr>
                <w:p w14:paraId="5B227AAF">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rPr>
                  </w:pPr>
                </w:p>
              </w:tc>
              <w:tc>
                <w:tcPr>
                  <w:tcW w:w="887" w:type="pct"/>
                  <w:tcBorders>
                    <w:tl2br w:val="nil"/>
                    <w:tr2bl w:val="nil"/>
                  </w:tcBorders>
                  <w:noWrap w:val="0"/>
                  <w:vAlign w:val="center"/>
                </w:tcPr>
                <w:p w14:paraId="421081E3">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rPr>
                    <w:t>固</w:t>
                  </w:r>
                  <w:r>
                    <w:rPr>
                      <w:rFonts w:hint="default" w:ascii="Times New Roman" w:hAnsi="Times New Roman" w:cs="Times New Roman" w:eastAsiaTheme="minorEastAsia"/>
                      <w:color w:val="auto"/>
                      <w:sz w:val="21"/>
                      <w:szCs w:val="21"/>
                      <w:highlight w:val="none"/>
                      <w:lang w:val="en-US" w:eastAsia="zh-CN"/>
                    </w:rPr>
                    <w:t>废</w:t>
                  </w:r>
                </w:p>
              </w:tc>
              <w:tc>
                <w:tcPr>
                  <w:tcW w:w="2708" w:type="pct"/>
                  <w:tcBorders>
                    <w:tl2br w:val="nil"/>
                    <w:tr2bl w:val="nil"/>
                  </w:tcBorders>
                  <w:noWrap w:val="0"/>
                  <w:vAlign w:val="center"/>
                </w:tcPr>
                <w:p w14:paraId="0C76F6C8">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学校实验产生的实验室废液</w:t>
                  </w:r>
                  <w:r>
                    <w:rPr>
                      <w:rFonts w:hint="default" w:ascii="Times New Roman" w:hAnsi="Times New Roman" w:cs="Times New Roman" w:eastAsiaTheme="minorEastAsia"/>
                      <w:color w:val="auto"/>
                      <w:sz w:val="21"/>
                      <w:szCs w:val="21"/>
                      <w:lang w:val="en-US" w:eastAsia="zh-CN"/>
                    </w:rPr>
                    <w:t>、过期废试剂使用密闭桶装，与</w:t>
                  </w:r>
                  <w:r>
                    <w:rPr>
                      <w:rFonts w:hint="default" w:ascii="Times New Roman" w:hAnsi="Times New Roman" w:cs="Times New Roman" w:eastAsiaTheme="minorEastAsia"/>
                      <w:color w:val="auto"/>
                      <w:kern w:val="2"/>
                      <w:sz w:val="21"/>
                      <w:szCs w:val="21"/>
                      <w:highlight w:val="none"/>
                      <w:lang w:val="en-US" w:eastAsia="zh-CN" w:bidi="ar-SA"/>
                    </w:rPr>
                    <w:t>废试剂瓶集中收集后由有资质单位处置</w:t>
                  </w:r>
                  <w:r>
                    <w:rPr>
                      <w:rFonts w:hint="eastAsia" w:cs="Times New Roman" w:eastAsiaTheme="minorEastAsia"/>
                      <w:color w:val="auto"/>
                      <w:kern w:val="2"/>
                      <w:sz w:val="21"/>
                      <w:szCs w:val="21"/>
                      <w:highlight w:val="none"/>
                      <w:lang w:val="en-US" w:eastAsia="zh-CN" w:bidi="ar-SA"/>
                    </w:rPr>
                    <w:t>。</w:t>
                  </w:r>
                </w:p>
              </w:tc>
              <w:tc>
                <w:tcPr>
                  <w:tcW w:w="721" w:type="pct"/>
                  <w:tcBorders>
                    <w:tl2br w:val="nil"/>
                    <w:tr2bl w:val="nil"/>
                  </w:tcBorders>
                  <w:noWrap w:val="0"/>
                  <w:vAlign w:val="center"/>
                </w:tcPr>
                <w:p w14:paraId="510362FA">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新建</w:t>
                  </w:r>
                </w:p>
              </w:tc>
            </w:tr>
            <w:tr w14:paraId="46C57C1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82" w:type="pct"/>
                  <w:vMerge w:val="continue"/>
                  <w:tcBorders>
                    <w:tl2br w:val="nil"/>
                    <w:tr2bl w:val="nil"/>
                  </w:tcBorders>
                  <w:noWrap w:val="0"/>
                  <w:vAlign w:val="center"/>
                </w:tcPr>
                <w:p w14:paraId="47389CEF">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rPr>
                  </w:pPr>
                </w:p>
              </w:tc>
              <w:tc>
                <w:tcPr>
                  <w:tcW w:w="887" w:type="pct"/>
                  <w:tcBorders>
                    <w:tl2br w:val="nil"/>
                    <w:tr2bl w:val="nil"/>
                  </w:tcBorders>
                  <w:noWrap w:val="0"/>
                  <w:vAlign w:val="center"/>
                </w:tcPr>
                <w:p w14:paraId="65D44C42">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风险防范措施</w:t>
                  </w:r>
                </w:p>
              </w:tc>
              <w:tc>
                <w:tcPr>
                  <w:tcW w:w="2708" w:type="pct"/>
                  <w:tcBorders>
                    <w:tl2br w:val="nil"/>
                    <w:tr2bl w:val="nil"/>
                  </w:tcBorders>
                  <w:noWrap w:val="0"/>
                  <w:vAlign w:val="center"/>
                </w:tcPr>
                <w:p w14:paraId="72C4BF4E">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成品集装箱</w:t>
                  </w:r>
                  <w:r>
                    <w:rPr>
                      <w:rFonts w:hint="eastAsia" w:cs="Times New Roman" w:eastAsiaTheme="minorEastAsia"/>
                      <w:color w:val="auto"/>
                      <w:kern w:val="2"/>
                      <w:sz w:val="21"/>
                      <w:szCs w:val="21"/>
                      <w:highlight w:val="none"/>
                      <w:lang w:val="en-US" w:eastAsia="zh-CN" w:bidi="ar-SA"/>
                    </w:rPr>
                    <w:t>整体钢制底盘密封，底梁及门槛形成整体围堰，</w:t>
                  </w:r>
                  <w:r>
                    <w:rPr>
                      <w:rFonts w:hint="default" w:ascii="Times New Roman" w:hAnsi="Times New Roman" w:cs="Times New Roman" w:eastAsiaTheme="minorEastAsia"/>
                      <w:color w:val="auto"/>
                      <w:kern w:val="2"/>
                      <w:sz w:val="21"/>
                      <w:szCs w:val="21"/>
                      <w:highlight w:val="none"/>
                      <w:lang w:val="en-US" w:eastAsia="zh-CN" w:bidi="ar-SA"/>
                    </w:rPr>
                    <w:t>内部自带导流槽，设置尺寸250mm长×250mm宽×200mm深</w:t>
                  </w:r>
                  <w:r>
                    <w:rPr>
                      <w:rFonts w:hint="eastAsia" w:cs="Times New Roman" w:eastAsiaTheme="minorEastAsia"/>
                      <w:color w:val="auto"/>
                      <w:kern w:val="2"/>
                      <w:sz w:val="21"/>
                      <w:szCs w:val="21"/>
                      <w:highlight w:val="none"/>
                      <w:lang w:val="en-US" w:eastAsia="zh-CN" w:bidi="ar-SA"/>
                    </w:rPr>
                    <w:t>的</w:t>
                  </w:r>
                  <w:r>
                    <w:rPr>
                      <w:rFonts w:hint="default" w:ascii="Times New Roman" w:hAnsi="Times New Roman" w:cs="Times New Roman" w:eastAsiaTheme="minorEastAsia"/>
                      <w:color w:val="auto"/>
                      <w:kern w:val="2"/>
                      <w:sz w:val="21"/>
                      <w:szCs w:val="21"/>
                      <w:highlight w:val="none"/>
                      <w:lang w:val="en-US" w:eastAsia="zh-CN" w:bidi="ar-SA"/>
                    </w:rPr>
                    <w:t>应急</w:t>
                  </w:r>
                  <w:r>
                    <w:rPr>
                      <w:rFonts w:hint="eastAsia" w:cs="Times New Roman" w:eastAsiaTheme="minorEastAsia"/>
                      <w:color w:val="auto"/>
                      <w:kern w:val="2"/>
                      <w:sz w:val="21"/>
                      <w:szCs w:val="21"/>
                      <w:highlight w:val="none"/>
                      <w:lang w:val="en-US" w:eastAsia="zh-CN" w:bidi="ar-SA"/>
                    </w:rPr>
                    <w:t>事故池</w:t>
                  </w:r>
                  <w:r>
                    <w:rPr>
                      <w:rFonts w:hint="default" w:ascii="Times New Roman" w:hAnsi="Times New Roman" w:cs="Times New Roman" w:eastAsiaTheme="minorEastAsia"/>
                      <w:color w:val="auto"/>
                      <w:kern w:val="2"/>
                      <w:sz w:val="21"/>
                      <w:szCs w:val="21"/>
                      <w:highlight w:val="none"/>
                      <w:lang w:val="en-US" w:eastAsia="zh-CN" w:bidi="ar-SA"/>
                    </w:rPr>
                    <w:t>，作为本项目事故收集设施</w:t>
                  </w:r>
                  <w:r>
                    <w:rPr>
                      <w:rFonts w:hint="eastAsia" w:cs="Times New Roman" w:eastAsiaTheme="minorEastAsia"/>
                      <w:color w:val="auto"/>
                      <w:kern w:val="2"/>
                      <w:sz w:val="21"/>
                      <w:szCs w:val="21"/>
                      <w:highlight w:val="none"/>
                      <w:lang w:val="en-US" w:eastAsia="zh-CN" w:bidi="ar-SA"/>
                    </w:rPr>
                    <w:t>。</w:t>
                  </w:r>
                </w:p>
              </w:tc>
              <w:tc>
                <w:tcPr>
                  <w:tcW w:w="721" w:type="pct"/>
                  <w:tcBorders>
                    <w:tl2br w:val="nil"/>
                    <w:tr2bl w:val="nil"/>
                  </w:tcBorders>
                  <w:noWrap w:val="0"/>
                  <w:vAlign w:val="center"/>
                </w:tcPr>
                <w:p w14:paraId="348FF60C">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新建</w:t>
                  </w:r>
                </w:p>
              </w:tc>
            </w:tr>
            <w:tr w14:paraId="6A625CE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682" w:type="pct"/>
                  <w:vMerge w:val="continue"/>
                  <w:tcBorders>
                    <w:tl2br w:val="nil"/>
                    <w:tr2bl w:val="nil"/>
                  </w:tcBorders>
                  <w:noWrap w:val="0"/>
                  <w:vAlign w:val="center"/>
                </w:tcPr>
                <w:p w14:paraId="416FAF8F">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jc w:val="center"/>
                    <w:rPr>
                      <w:rFonts w:hint="default" w:ascii="Times New Roman" w:hAnsi="Times New Roman" w:cs="Times New Roman" w:eastAsiaTheme="minorEastAsia"/>
                      <w:color w:val="auto"/>
                      <w:sz w:val="21"/>
                      <w:szCs w:val="21"/>
                    </w:rPr>
                  </w:pPr>
                </w:p>
              </w:tc>
              <w:tc>
                <w:tcPr>
                  <w:tcW w:w="887" w:type="pct"/>
                  <w:tcBorders>
                    <w:tl2br w:val="nil"/>
                    <w:tr2bl w:val="nil"/>
                  </w:tcBorders>
                  <w:noWrap w:val="0"/>
                  <w:vAlign w:val="center"/>
                </w:tcPr>
                <w:p w14:paraId="706F51EE">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其他环境管理要求</w:t>
                  </w:r>
                </w:p>
              </w:tc>
              <w:tc>
                <w:tcPr>
                  <w:tcW w:w="2708" w:type="pct"/>
                  <w:tcBorders>
                    <w:tl2br w:val="nil"/>
                    <w:tr2bl w:val="nil"/>
                  </w:tcBorders>
                  <w:shd w:val="clear" w:color="auto" w:fill="auto"/>
                  <w:noWrap w:val="0"/>
                  <w:vAlign w:val="center"/>
                </w:tcPr>
                <w:p w14:paraId="65044475">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eastAsiaTheme="minorEastAsia"/>
                      <w:color w:val="auto"/>
                      <w:kern w:val="2"/>
                      <w:sz w:val="21"/>
                      <w:szCs w:val="21"/>
                      <w:highlight w:val="none"/>
                      <w:lang w:val="en-US" w:eastAsia="zh-CN" w:bidi="ar-SA"/>
                    </w:rPr>
                    <w:t>按《危险废物识别标志设置技术规范》（HJ 1276</w:t>
                  </w:r>
                  <w:r>
                    <w:rPr>
                      <w:rFonts w:hint="eastAsia" w:cs="Times New Roman" w:eastAsiaTheme="minorEastAsia"/>
                      <w:color w:val="auto"/>
                      <w:kern w:val="2"/>
                      <w:sz w:val="21"/>
                      <w:szCs w:val="21"/>
                      <w:highlight w:val="none"/>
                      <w:lang w:val="en-US" w:eastAsia="zh-CN" w:bidi="ar-SA"/>
                    </w:rPr>
                    <w:t>-</w:t>
                  </w:r>
                  <w:r>
                    <w:rPr>
                      <w:rFonts w:hint="default" w:ascii="Times New Roman" w:hAnsi="Times New Roman" w:cs="Times New Roman" w:eastAsiaTheme="minorEastAsia"/>
                      <w:color w:val="auto"/>
                      <w:kern w:val="2"/>
                      <w:sz w:val="21"/>
                      <w:szCs w:val="21"/>
                      <w:highlight w:val="none"/>
                      <w:lang w:val="en-US" w:eastAsia="zh-CN" w:bidi="ar-SA"/>
                    </w:rPr>
                    <w:t>2022）设置危险废物贮存设施标志、贮存分区标志及容器标签</w:t>
                  </w:r>
                  <w:r>
                    <w:rPr>
                      <w:rFonts w:hint="eastAsia" w:cs="Times New Roman" w:eastAsiaTheme="minorEastAsia"/>
                      <w:color w:val="auto"/>
                      <w:kern w:val="2"/>
                      <w:sz w:val="21"/>
                      <w:szCs w:val="21"/>
                      <w:highlight w:val="none"/>
                      <w:lang w:val="en-US" w:eastAsia="zh-CN" w:bidi="ar-SA"/>
                    </w:rPr>
                    <w:t>。</w:t>
                  </w:r>
                </w:p>
              </w:tc>
              <w:tc>
                <w:tcPr>
                  <w:tcW w:w="721" w:type="pct"/>
                  <w:tcBorders>
                    <w:tl2br w:val="nil"/>
                    <w:tr2bl w:val="nil"/>
                  </w:tcBorders>
                  <w:shd w:val="clear" w:color="auto" w:fill="auto"/>
                  <w:noWrap w:val="0"/>
                  <w:vAlign w:val="center"/>
                </w:tcPr>
                <w:p w14:paraId="7E8B57B6">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leftChars="0" w:right="0" w:rightChars="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新建</w:t>
                  </w:r>
                </w:p>
              </w:tc>
            </w:tr>
          </w:tbl>
          <w:p w14:paraId="16FA91B0">
            <w:pPr>
              <w:pStyle w:val="7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0" w:firstLineChars="0"/>
              <w:textAlignment w:val="baseline"/>
              <w:rPr>
                <w:rFonts w:hint="default" w:ascii="Times New Roman" w:hAnsi="Times New Roman" w:cs="Times New Roman" w:eastAsiaTheme="minorEastAsia"/>
                <w:b/>
                <w:bCs/>
                <w:color w:val="auto"/>
              </w:rPr>
            </w:pPr>
            <w:r>
              <w:rPr>
                <w:rFonts w:hint="default" w:ascii="Times New Roman" w:hAnsi="Times New Roman" w:cs="Times New Roman" w:eastAsiaTheme="minorEastAsia"/>
                <w:b/>
                <w:bCs/>
                <w:color w:val="auto"/>
                <w:kern w:val="2"/>
                <w:sz w:val="24"/>
                <w:szCs w:val="24"/>
                <w:lang w:val="en-US" w:eastAsia="zh-CN" w:bidi="ar-SA"/>
              </w:rPr>
              <w:t xml:space="preserve">2 </w:t>
            </w:r>
            <w:r>
              <w:rPr>
                <w:rFonts w:hint="default" w:ascii="Times New Roman" w:hAnsi="Times New Roman" w:cs="Times New Roman" w:eastAsiaTheme="minorEastAsia"/>
                <w:b/>
                <w:bCs/>
                <w:color w:val="auto"/>
              </w:rPr>
              <w:t>主要生产设备</w:t>
            </w:r>
          </w:p>
          <w:p w14:paraId="6FCC534A">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textAlignment w:val="baseline"/>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rPr>
              <w:t>本项目不属于生产型项目，不涉及生产设备的使用，项目使用的设备主要为</w:t>
            </w:r>
            <w:r>
              <w:rPr>
                <w:rFonts w:hint="default" w:ascii="Times New Roman" w:hAnsi="Times New Roman" w:cs="Times New Roman" w:eastAsiaTheme="minorEastAsia"/>
                <w:color w:val="auto"/>
                <w:lang w:val="en-US" w:eastAsia="zh-CN"/>
              </w:rPr>
              <w:t>防护装备</w:t>
            </w:r>
            <w:r>
              <w:rPr>
                <w:rFonts w:hint="default" w:ascii="Times New Roman" w:hAnsi="Times New Roman" w:cs="Times New Roman" w:eastAsiaTheme="minorEastAsia"/>
                <w:color w:val="auto"/>
              </w:rPr>
              <w:t>，本项目的厂外运输任务委托具备危险废物运输资质的公司承担危险废物收运任务。项目主要设备见表2-2</w:t>
            </w:r>
            <w:r>
              <w:rPr>
                <w:rFonts w:hint="default" w:ascii="Times New Roman" w:hAnsi="Times New Roman" w:cs="Times New Roman" w:eastAsiaTheme="minorEastAsia"/>
                <w:color w:val="auto"/>
                <w:lang w:eastAsia="zh-CN"/>
              </w:rPr>
              <w:t>。</w:t>
            </w:r>
          </w:p>
          <w:p w14:paraId="319A5844">
            <w:pPr>
              <w:pageBreakBefore w:val="0"/>
              <w:kinsoku/>
              <w:bidi w:val="0"/>
              <w:snapToGrid w:val="0"/>
              <w:spacing w:beforeAutospacing="0" w:afterAutospacing="0" w:line="360" w:lineRule="auto"/>
              <w:ind w:left="0" w:leftChars="0" w:right="0" w:rightChars="0"/>
              <w:jc w:val="center"/>
              <w:rPr>
                <w:rFonts w:hint="default" w:ascii="Times New Roman" w:hAnsi="Times New Roman" w:cs="Times New Roman" w:eastAsiaTheme="minorEastAsia"/>
                <w:b/>
                <w:color w:val="auto"/>
                <w:szCs w:val="21"/>
              </w:rPr>
            </w:pPr>
            <w:r>
              <w:rPr>
                <w:rFonts w:hint="default" w:ascii="Times New Roman" w:hAnsi="Times New Roman" w:cs="Times New Roman" w:eastAsiaTheme="minorEastAsia"/>
                <w:b/>
                <w:bCs/>
                <w:color w:val="auto"/>
                <w:sz w:val="21"/>
                <w:szCs w:val="21"/>
              </w:rPr>
              <w:t>表2-2   项目生产设备配置表</w:t>
            </w:r>
          </w:p>
          <w:tbl>
            <w:tblPr>
              <w:tblStyle w:val="29"/>
              <w:tblW w:w="795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Layout w:type="fixed"/>
              <w:tblCellMar>
                <w:top w:w="0" w:type="dxa"/>
                <w:left w:w="108" w:type="dxa"/>
                <w:bottom w:w="0" w:type="dxa"/>
                <w:right w:w="108" w:type="dxa"/>
              </w:tblCellMar>
            </w:tblPr>
            <w:tblGrid>
              <w:gridCol w:w="953"/>
              <w:gridCol w:w="2570"/>
              <w:gridCol w:w="1478"/>
              <w:gridCol w:w="1478"/>
              <w:gridCol w:w="1478"/>
            </w:tblGrid>
            <w:tr w14:paraId="541950CE">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3" w:hRule="atLeast"/>
                <w:jc w:val="center"/>
              </w:trPr>
              <w:tc>
                <w:tcPr>
                  <w:tcW w:w="953" w:type="dxa"/>
                  <w:tcBorders>
                    <w:bottom w:val="single" w:color="auto" w:sz="12" w:space="0"/>
                  </w:tcBorders>
                  <w:noWrap w:val="0"/>
                  <w:vAlign w:val="center"/>
                </w:tcPr>
                <w:p w14:paraId="48EA144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color w:val="auto"/>
                      <w:sz w:val="21"/>
                      <w:szCs w:val="21"/>
                    </w:rPr>
                  </w:pPr>
                  <w:r>
                    <w:rPr>
                      <w:rFonts w:hint="default" w:ascii="Times New Roman" w:hAnsi="Times New Roman" w:cs="Times New Roman" w:eastAsiaTheme="minorEastAsia"/>
                      <w:b/>
                      <w:color w:val="auto"/>
                      <w:sz w:val="21"/>
                      <w:szCs w:val="21"/>
                    </w:rPr>
                    <w:t>序号</w:t>
                  </w:r>
                </w:p>
              </w:tc>
              <w:tc>
                <w:tcPr>
                  <w:tcW w:w="2570" w:type="dxa"/>
                  <w:tcBorders>
                    <w:bottom w:val="single" w:color="auto" w:sz="12" w:space="0"/>
                  </w:tcBorders>
                  <w:noWrap w:val="0"/>
                  <w:vAlign w:val="center"/>
                </w:tcPr>
                <w:p w14:paraId="27A0206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color w:val="auto"/>
                      <w:sz w:val="21"/>
                      <w:szCs w:val="21"/>
                    </w:rPr>
                  </w:pPr>
                  <w:r>
                    <w:rPr>
                      <w:rFonts w:hint="default" w:ascii="Times New Roman" w:hAnsi="Times New Roman" w:cs="Times New Roman" w:eastAsiaTheme="minorEastAsia"/>
                      <w:b/>
                      <w:color w:val="auto"/>
                      <w:sz w:val="21"/>
                      <w:szCs w:val="21"/>
                    </w:rPr>
                    <w:t>设备名称</w:t>
                  </w:r>
                </w:p>
              </w:tc>
              <w:tc>
                <w:tcPr>
                  <w:tcW w:w="1478" w:type="dxa"/>
                  <w:tcBorders>
                    <w:bottom w:val="single" w:color="auto" w:sz="12" w:space="0"/>
                  </w:tcBorders>
                  <w:noWrap w:val="0"/>
                  <w:vAlign w:val="center"/>
                </w:tcPr>
                <w:p w14:paraId="482E29A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color w:val="auto"/>
                      <w:sz w:val="21"/>
                      <w:szCs w:val="21"/>
                    </w:rPr>
                  </w:pPr>
                  <w:r>
                    <w:rPr>
                      <w:rFonts w:hint="default" w:ascii="Times New Roman" w:hAnsi="Times New Roman" w:cs="Times New Roman" w:eastAsiaTheme="minorEastAsia"/>
                      <w:b/>
                      <w:color w:val="auto"/>
                      <w:sz w:val="21"/>
                      <w:szCs w:val="21"/>
                    </w:rPr>
                    <w:t>单位</w:t>
                  </w:r>
                </w:p>
              </w:tc>
              <w:tc>
                <w:tcPr>
                  <w:tcW w:w="1478" w:type="dxa"/>
                  <w:tcBorders>
                    <w:bottom w:val="single" w:color="auto" w:sz="12" w:space="0"/>
                  </w:tcBorders>
                  <w:noWrap w:val="0"/>
                  <w:vAlign w:val="center"/>
                </w:tcPr>
                <w:p w14:paraId="6990E9C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color w:val="auto"/>
                      <w:sz w:val="21"/>
                      <w:szCs w:val="21"/>
                    </w:rPr>
                  </w:pPr>
                  <w:r>
                    <w:rPr>
                      <w:rFonts w:hint="default" w:ascii="Times New Roman" w:hAnsi="Times New Roman" w:cs="Times New Roman" w:eastAsiaTheme="minorEastAsia"/>
                      <w:b/>
                      <w:color w:val="auto"/>
                      <w:sz w:val="21"/>
                      <w:szCs w:val="21"/>
                    </w:rPr>
                    <w:t>数量</w:t>
                  </w:r>
                </w:p>
              </w:tc>
              <w:tc>
                <w:tcPr>
                  <w:tcW w:w="1478" w:type="dxa"/>
                  <w:tcBorders>
                    <w:bottom w:val="single" w:color="auto" w:sz="12" w:space="0"/>
                  </w:tcBorders>
                  <w:noWrap w:val="0"/>
                  <w:vAlign w:val="center"/>
                </w:tcPr>
                <w:p w14:paraId="02C28D0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color w:val="auto"/>
                      <w:sz w:val="21"/>
                      <w:szCs w:val="21"/>
                    </w:rPr>
                  </w:pPr>
                  <w:r>
                    <w:rPr>
                      <w:rFonts w:hint="default" w:ascii="Times New Roman" w:hAnsi="Times New Roman" w:cs="Times New Roman" w:eastAsiaTheme="minorEastAsia"/>
                      <w:b/>
                      <w:color w:val="auto"/>
                      <w:sz w:val="21"/>
                      <w:szCs w:val="21"/>
                    </w:rPr>
                    <w:t>备注</w:t>
                  </w:r>
                </w:p>
              </w:tc>
            </w:tr>
            <w:tr w14:paraId="58577997">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3" w:hRule="atLeast"/>
                <w:jc w:val="center"/>
              </w:trPr>
              <w:tc>
                <w:tcPr>
                  <w:tcW w:w="953" w:type="dxa"/>
                  <w:tcBorders>
                    <w:top w:val="single" w:color="auto" w:sz="12" w:space="0"/>
                  </w:tcBorders>
                  <w:noWrap w:val="0"/>
                  <w:vAlign w:val="center"/>
                </w:tcPr>
                <w:p w14:paraId="57B9105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w:t>
                  </w:r>
                </w:p>
              </w:tc>
              <w:tc>
                <w:tcPr>
                  <w:tcW w:w="2570" w:type="dxa"/>
                  <w:tcBorders>
                    <w:top w:val="single" w:color="auto" w:sz="12" w:space="0"/>
                  </w:tcBorders>
                  <w:noWrap w:val="0"/>
                  <w:vAlign w:val="center"/>
                </w:tcPr>
                <w:p w14:paraId="09EE593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sz w:val="21"/>
                      <w:szCs w:val="21"/>
                      <w:lang w:eastAsia="zh-CN"/>
                    </w:rPr>
                    <w:t>灭火器</w:t>
                  </w:r>
                </w:p>
              </w:tc>
              <w:tc>
                <w:tcPr>
                  <w:tcW w:w="1478" w:type="dxa"/>
                  <w:tcBorders>
                    <w:top w:val="single" w:color="auto" w:sz="12" w:space="0"/>
                  </w:tcBorders>
                  <w:noWrap w:val="0"/>
                  <w:vAlign w:val="center"/>
                </w:tcPr>
                <w:p w14:paraId="077BF6D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sz w:val="21"/>
                      <w:szCs w:val="21"/>
                      <w:lang w:val="en-US" w:eastAsia="zh-CN"/>
                    </w:rPr>
                    <w:t>个</w:t>
                  </w:r>
                </w:p>
              </w:tc>
              <w:tc>
                <w:tcPr>
                  <w:tcW w:w="1478" w:type="dxa"/>
                  <w:tcBorders>
                    <w:top w:val="single" w:color="auto" w:sz="12" w:space="0"/>
                  </w:tcBorders>
                  <w:noWrap w:val="0"/>
                  <w:vAlign w:val="center"/>
                </w:tcPr>
                <w:p w14:paraId="5A0E219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1</w:t>
                  </w:r>
                </w:p>
              </w:tc>
              <w:tc>
                <w:tcPr>
                  <w:tcW w:w="1478" w:type="dxa"/>
                  <w:tcBorders>
                    <w:top w:val="single" w:color="auto" w:sz="12" w:space="0"/>
                  </w:tcBorders>
                  <w:noWrap w:val="0"/>
                  <w:vAlign w:val="center"/>
                </w:tcPr>
                <w:p w14:paraId="6A2540C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r>
            <w:tr w14:paraId="0CB1B80A">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3" w:hRule="atLeast"/>
                <w:jc w:val="center"/>
              </w:trPr>
              <w:tc>
                <w:tcPr>
                  <w:tcW w:w="953" w:type="dxa"/>
                  <w:noWrap w:val="0"/>
                  <w:vAlign w:val="center"/>
                </w:tcPr>
                <w:p w14:paraId="13D7C18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w:t>
                  </w:r>
                </w:p>
              </w:tc>
              <w:tc>
                <w:tcPr>
                  <w:tcW w:w="2570" w:type="dxa"/>
                  <w:noWrap w:val="0"/>
                  <w:vAlign w:val="center"/>
                </w:tcPr>
                <w:p w14:paraId="4DE95D8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sz w:val="21"/>
                      <w:szCs w:val="21"/>
                      <w:lang w:eastAsia="zh-CN"/>
                    </w:rPr>
                    <w:t>防毒面具</w:t>
                  </w:r>
                </w:p>
              </w:tc>
              <w:tc>
                <w:tcPr>
                  <w:tcW w:w="1478" w:type="dxa"/>
                  <w:noWrap w:val="0"/>
                  <w:vAlign w:val="center"/>
                </w:tcPr>
                <w:p w14:paraId="02456C6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个</w:t>
                  </w:r>
                </w:p>
              </w:tc>
              <w:tc>
                <w:tcPr>
                  <w:tcW w:w="1478" w:type="dxa"/>
                  <w:noWrap w:val="0"/>
                  <w:vAlign w:val="center"/>
                </w:tcPr>
                <w:p w14:paraId="55DADDC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1</w:t>
                  </w:r>
                </w:p>
              </w:tc>
              <w:tc>
                <w:tcPr>
                  <w:tcW w:w="1478" w:type="dxa"/>
                  <w:noWrap w:val="0"/>
                  <w:vAlign w:val="center"/>
                </w:tcPr>
                <w:p w14:paraId="7B452F8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r>
          </w:tbl>
          <w:p w14:paraId="36ED1677">
            <w:pPr>
              <w:pStyle w:val="78"/>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0" w:firstLineChars="0"/>
              <w:textAlignment w:val="auto"/>
              <w:rPr>
                <w:rFonts w:hint="default" w:ascii="Times New Roman" w:hAnsi="Times New Roman" w:cs="Times New Roman" w:eastAsiaTheme="minorEastAsia"/>
                <w:b/>
                <w:bCs/>
                <w:snapToGrid w:val="0"/>
                <w:color w:val="auto"/>
                <w:kern w:val="0"/>
                <w:sz w:val="24"/>
                <w:szCs w:val="24"/>
                <w:lang w:val="en-US" w:eastAsia="zh-CN" w:bidi="ar-SA"/>
              </w:rPr>
            </w:pPr>
            <w:r>
              <w:rPr>
                <w:rFonts w:hint="default" w:ascii="Times New Roman" w:hAnsi="Times New Roman" w:cs="Times New Roman" w:eastAsiaTheme="minorEastAsia"/>
                <w:b/>
                <w:bCs/>
                <w:snapToGrid w:val="0"/>
                <w:color w:val="auto"/>
                <w:kern w:val="0"/>
                <w:sz w:val="24"/>
                <w:szCs w:val="24"/>
                <w:lang w:val="en-US" w:eastAsia="zh-CN" w:bidi="ar-SA"/>
              </w:rPr>
              <w:t>3 项目原辅材料消耗情况</w:t>
            </w:r>
          </w:p>
          <w:p w14:paraId="3D7AF61F">
            <w:pPr>
              <w:pStyle w:val="26"/>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firstLineChars="200"/>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color w:val="auto"/>
                <w:sz w:val="24"/>
                <w:lang w:val="en-US" w:eastAsia="zh-CN"/>
              </w:rPr>
              <w:t>本项目所使用原料主要来源是实验教学过程产生的实验室废液、过期失效化学试剂、沾染危险化学品的废试剂瓶等，</w:t>
            </w:r>
            <w:r>
              <w:rPr>
                <w:rFonts w:hint="default" w:ascii="Times New Roman" w:hAnsi="Times New Roman" w:cs="Times New Roman" w:eastAsiaTheme="minorEastAsia"/>
                <w:color w:val="auto"/>
                <w:sz w:val="24"/>
              </w:rPr>
              <w:t>项目主要原辅材料能源消耗见表2-3。</w:t>
            </w:r>
          </w:p>
          <w:p w14:paraId="7957C938">
            <w:pPr>
              <w:pStyle w:val="78"/>
              <w:pageBreakBefore w:val="0"/>
              <w:kinsoku/>
              <w:bidi w:val="0"/>
              <w:spacing w:beforeAutospacing="0" w:afterAutospacing="0" w:line="360" w:lineRule="auto"/>
              <w:ind w:left="0" w:leftChars="0" w:right="0" w:rightChars="0" w:firstLine="0" w:firstLineChars="0"/>
              <w:jc w:val="center"/>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表2-3   项目主要原辅材料及能源消耗表</w:t>
            </w:r>
          </w:p>
          <w:tbl>
            <w:tblPr>
              <w:tblStyle w:val="29"/>
              <w:tblW w:w="4987" w:type="pct"/>
              <w:jc w:val="center"/>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Layout w:type="fixed"/>
              <w:tblCellMar>
                <w:top w:w="0" w:type="dxa"/>
                <w:left w:w="108" w:type="dxa"/>
                <w:bottom w:w="0" w:type="dxa"/>
                <w:right w:w="108" w:type="dxa"/>
              </w:tblCellMar>
            </w:tblPr>
            <w:tblGrid>
              <w:gridCol w:w="571"/>
              <w:gridCol w:w="3273"/>
              <w:gridCol w:w="1211"/>
              <w:gridCol w:w="1650"/>
              <w:gridCol w:w="1359"/>
            </w:tblGrid>
            <w:tr w14:paraId="08215457">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3" w:hRule="atLeast"/>
                <w:tblHeader/>
                <w:jc w:val="center"/>
              </w:trPr>
              <w:tc>
                <w:tcPr>
                  <w:tcW w:w="354" w:type="pct"/>
                  <w:tcBorders>
                    <w:bottom w:val="single" w:color="auto" w:sz="12" w:space="0"/>
                  </w:tcBorders>
                  <w:noWrap w:val="0"/>
                  <w:vAlign w:val="center"/>
                </w:tcPr>
                <w:p w14:paraId="6FB116DA">
                  <w:pPr>
                    <w:pStyle w:val="18"/>
                    <w:keepNext w:val="0"/>
                    <w:keepLines w:val="0"/>
                    <w:pageBreakBefore w:val="0"/>
                    <w:widowControl w:val="0"/>
                    <w:kinsoku/>
                    <w:wordWrap/>
                    <w:overflowPunct/>
                    <w:topLinePunct w:val="0"/>
                    <w:autoSpaceDE/>
                    <w:autoSpaceDN/>
                    <w:bidi w:val="0"/>
                    <w:adjustRightInd w:val="0"/>
                    <w:snapToGrid w:val="0"/>
                    <w:spacing w:beforeAutospacing="0" w:after="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序号</w:t>
                  </w:r>
                </w:p>
              </w:tc>
              <w:tc>
                <w:tcPr>
                  <w:tcW w:w="2029" w:type="pct"/>
                  <w:tcBorders>
                    <w:bottom w:val="single" w:color="auto" w:sz="12" w:space="0"/>
                  </w:tcBorders>
                  <w:noWrap w:val="0"/>
                  <w:vAlign w:val="center"/>
                </w:tcPr>
                <w:p w14:paraId="73D6FDC3">
                  <w:pPr>
                    <w:pStyle w:val="18"/>
                    <w:keepNext w:val="0"/>
                    <w:keepLines w:val="0"/>
                    <w:pageBreakBefore w:val="0"/>
                    <w:widowControl w:val="0"/>
                    <w:kinsoku/>
                    <w:wordWrap/>
                    <w:overflowPunct/>
                    <w:topLinePunct w:val="0"/>
                    <w:autoSpaceDE/>
                    <w:autoSpaceDN/>
                    <w:bidi w:val="0"/>
                    <w:adjustRightInd w:val="0"/>
                    <w:snapToGrid w:val="0"/>
                    <w:spacing w:beforeAutospacing="0" w:after="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名称</w:t>
                  </w:r>
                </w:p>
              </w:tc>
              <w:tc>
                <w:tcPr>
                  <w:tcW w:w="750" w:type="pct"/>
                  <w:tcBorders>
                    <w:bottom w:val="single" w:color="auto" w:sz="12" w:space="0"/>
                  </w:tcBorders>
                  <w:noWrap w:val="0"/>
                  <w:vAlign w:val="center"/>
                </w:tcPr>
                <w:p w14:paraId="22DA000C">
                  <w:pPr>
                    <w:pStyle w:val="18"/>
                    <w:keepNext w:val="0"/>
                    <w:keepLines w:val="0"/>
                    <w:pageBreakBefore w:val="0"/>
                    <w:widowControl w:val="0"/>
                    <w:kinsoku/>
                    <w:wordWrap/>
                    <w:overflowPunct/>
                    <w:topLinePunct w:val="0"/>
                    <w:autoSpaceDE/>
                    <w:autoSpaceDN/>
                    <w:bidi w:val="0"/>
                    <w:adjustRightInd w:val="0"/>
                    <w:snapToGrid w:val="0"/>
                    <w:spacing w:beforeAutospacing="0" w:after="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单位</w:t>
                  </w:r>
                </w:p>
              </w:tc>
              <w:tc>
                <w:tcPr>
                  <w:tcW w:w="1023" w:type="pct"/>
                  <w:tcBorders>
                    <w:bottom w:val="single" w:color="auto" w:sz="12" w:space="0"/>
                  </w:tcBorders>
                  <w:noWrap w:val="0"/>
                  <w:vAlign w:val="center"/>
                </w:tcPr>
                <w:p w14:paraId="390A8F3F">
                  <w:pPr>
                    <w:pStyle w:val="18"/>
                    <w:keepNext w:val="0"/>
                    <w:keepLines w:val="0"/>
                    <w:pageBreakBefore w:val="0"/>
                    <w:widowControl w:val="0"/>
                    <w:kinsoku/>
                    <w:wordWrap/>
                    <w:overflowPunct/>
                    <w:topLinePunct w:val="0"/>
                    <w:autoSpaceDE/>
                    <w:autoSpaceDN/>
                    <w:bidi w:val="0"/>
                    <w:adjustRightInd w:val="0"/>
                    <w:snapToGrid w:val="0"/>
                    <w:spacing w:beforeAutospacing="0" w:after="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数量</w:t>
                  </w:r>
                </w:p>
              </w:tc>
              <w:tc>
                <w:tcPr>
                  <w:tcW w:w="842" w:type="pct"/>
                  <w:tcBorders>
                    <w:bottom w:val="single" w:color="auto" w:sz="12" w:space="0"/>
                  </w:tcBorders>
                  <w:noWrap w:val="0"/>
                  <w:vAlign w:val="center"/>
                </w:tcPr>
                <w:p w14:paraId="55B54F57">
                  <w:pPr>
                    <w:pStyle w:val="18"/>
                    <w:keepNext w:val="0"/>
                    <w:keepLines w:val="0"/>
                    <w:pageBreakBefore w:val="0"/>
                    <w:widowControl w:val="0"/>
                    <w:kinsoku/>
                    <w:wordWrap/>
                    <w:overflowPunct/>
                    <w:topLinePunct w:val="0"/>
                    <w:autoSpaceDE/>
                    <w:autoSpaceDN/>
                    <w:bidi w:val="0"/>
                    <w:adjustRightInd w:val="0"/>
                    <w:snapToGrid w:val="0"/>
                    <w:spacing w:beforeAutospacing="0" w:after="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来源</w:t>
                  </w:r>
                </w:p>
              </w:tc>
            </w:tr>
            <w:tr w14:paraId="2FD17BCE">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3" w:hRule="atLeast"/>
                <w:jc w:val="center"/>
              </w:trPr>
              <w:tc>
                <w:tcPr>
                  <w:tcW w:w="354" w:type="pct"/>
                  <w:tcBorders>
                    <w:top w:val="single" w:color="auto" w:sz="12" w:space="0"/>
                  </w:tcBorders>
                  <w:noWrap w:val="0"/>
                  <w:vAlign w:val="center"/>
                </w:tcPr>
                <w:p w14:paraId="3A9E00CE">
                  <w:pPr>
                    <w:pStyle w:val="18"/>
                    <w:keepNext w:val="0"/>
                    <w:keepLines w:val="0"/>
                    <w:pageBreakBefore w:val="0"/>
                    <w:widowControl w:val="0"/>
                    <w:kinsoku/>
                    <w:wordWrap/>
                    <w:overflowPunct/>
                    <w:topLinePunct w:val="0"/>
                    <w:autoSpaceDE/>
                    <w:autoSpaceDN/>
                    <w:bidi w:val="0"/>
                    <w:adjustRightInd w:val="0"/>
                    <w:snapToGrid w:val="0"/>
                    <w:spacing w:beforeAutospacing="0" w:after="0" w:afterAutospacing="0" w:line="240" w:lineRule="auto"/>
                    <w:ind w:left="0" w:leftChars="0" w:right="0" w:rightChars="0"/>
                    <w:jc w:val="center"/>
                    <w:textAlignment w:val="auto"/>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1</w:t>
                  </w:r>
                </w:p>
              </w:tc>
              <w:tc>
                <w:tcPr>
                  <w:tcW w:w="2029" w:type="pct"/>
                  <w:tcBorders>
                    <w:top w:val="single" w:color="auto" w:sz="12" w:space="0"/>
                  </w:tcBorders>
                  <w:noWrap w:val="0"/>
                  <w:vAlign w:val="center"/>
                </w:tcPr>
                <w:p w14:paraId="5E2E2545">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lang w:val="en-US" w:eastAsia="zh-CN"/>
                    </w:rPr>
                    <w:t>实验室废液</w:t>
                  </w:r>
                  <w:r>
                    <w:rPr>
                      <w:rFonts w:hint="default" w:ascii="Times New Roman" w:hAnsi="Times New Roman" w:cs="Times New Roman" w:eastAsiaTheme="minorEastAsia"/>
                      <w:color w:val="auto"/>
                      <w:szCs w:val="21"/>
                    </w:rPr>
                    <w:t>、</w:t>
                  </w:r>
                  <w:r>
                    <w:rPr>
                      <w:rFonts w:hint="default" w:ascii="Times New Roman" w:hAnsi="Times New Roman" w:cs="Times New Roman" w:eastAsiaTheme="minorEastAsia"/>
                      <w:color w:val="auto"/>
                      <w:szCs w:val="21"/>
                      <w:lang w:val="en-US" w:eastAsia="zh-CN"/>
                    </w:rPr>
                    <w:t>过期试剂、</w:t>
                  </w:r>
                  <w:r>
                    <w:rPr>
                      <w:rFonts w:hint="default" w:ascii="Times New Roman" w:hAnsi="Times New Roman" w:cs="Times New Roman" w:eastAsiaTheme="minorEastAsia"/>
                      <w:color w:val="auto"/>
                      <w:szCs w:val="21"/>
                    </w:rPr>
                    <w:t>废试剂瓶</w:t>
                  </w:r>
                </w:p>
              </w:tc>
              <w:tc>
                <w:tcPr>
                  <w:tcW w:w="750" w:type="pct"/>
                  <w:tcBorders>
                    <w:top w:val="single" w:color="auto" w:sz="12" w:space="0"/>
                  </w:tcBorders>
                  <w:noWrap w:val="0"/>
                  <w:vAlign w:val="center"/>
                </w:tcPr>
                <w:p w14:paraId="2A01C6C1">
                  <w:pPr>
                    <w:pStyle w:val="46"/>
                    <w:keepNext w:val="0"/>
                    <w:keepLines w:val="0"/>
                    <w:pageBreakBefore w:val="0"/>
                    <w:widowControl w:val="0"/>
                    <w:kinsoku/>
                    <w:wordWrap/>
                    <w:overflowPunct/>
                    <w:topLinePunct w:val="0"/>
                    <w:autoSpaceDE/>
                    <w:autoSpaceDN/>
                    <w:bidi w:val="0"/>
                    <w:adjustRightInd w:val="0"/>
                    <w:snapToGrid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t/a</w:t>
                  </w:r>
                </w:p>
              </w:tc>
              <w:tc>
                <w:tcPr>
                  <w:tcW w:w="1023" w:type="pct"/>
                  <w:tcBorders>
                    <w:top w:val="single" w:color="auto" w:sz="12" w:space="0"/>
                  </w:tcBorders>
                  <w:noWrap w:val="0"/>
                  <w:vAlign w:val="center"/>
                </w:tcPr>
                <w:p w14:paraId="3C4CCDE3">
                  <w:pPr>
                    <w:pStyle w:val="18"/>
                    <w:keepNext w:val="0"/>
                    <w:keepLines w:val="0"/>
                    <w:pageBreakBefore w:val="0"/>
                    <w:widowControl w:val="0"/>
                    <w:kinsoku/>
                    <w:wordWrap/>
                    <w:overflowPunct/>
                    <w:topLinePunct w:val="0"/>
                    <w:autoSpaceDE/>
                    <w:autoSpaceDN/>
                    <w:bidi w:val="0"/>
                    <w:adjustRightInd w:val="0"/>
                    <w:snapToGrid w:val="0"/>
                    <w:spacing w:beforeAutospacing="0" w:after="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1</w:t>
                  </w:r>
                </w:p>
              </w:tc>
              <w:tc>
                <w:tcPr>
                  <w:tcW w:w="842" w:type="pct"/>
                  <w:tcBorders>
                    <w:top w:val="single" w:color="auto" w:sz="12" w:space="0"/>
                  </w:tcBorders>
                  <w:noWrap w:val="0"/>
                  <w:vAlign w:val="center"/>
                </w:tcPr>
                <w:p w14:paraId="05796DD4">
                  <w:pPr>
                    <w:pStyle w:val="18"/>
                    <w:keepNext w:val="0"/>
                    <w:keepLines w:val="0"/>
                    <w:pageBreakBefore w:val="0"/>
                    <w:widowControl w:val="0"/>
                    <w:kinsoku/>
                    <w:wordWrap/>
                    <w:overflowPunct/>
                    <w:topLinePunct w:val="0"/>
                    <w:autoSpaceDE/>
                    <w:autoSpaceDN/>
                    <w:bidi w:val="0"/>
                    <w:adjustRightInd w:val="0"/>
                    <w:snapToGrid w:val="0"/>
                    <w:spacing w:beforeAutospacing="0" w:after="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实验室</w:t>
                  </w:r>
                </w:p>
              </w:tc>
            </w:tr>
            <w:tr w14:paraId="01EF8830">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23" w:hRule="atLeast"/>
                <w:jc w:val="center"/>
              </w:trPr>
              <w:tc>
                <w:tcPr>
                  <w:tcW w:w="354" w:type="pct"/>
                  <w:noWrap w:val="0"/>
                  <w:vAlign w:val="center"/>
                </w:tcPr>
                <w:p w14:paraId="672E50BA">
                  <w:pPr>
                    <w:pStyle w:val="18"/>
                    <w:keepNext w:val="0"/>
                    <w:keepLines w:val="0"/>
                    <w:pageBreakBefore w:val="0"/>
                    <w:widowControl w:val="0"/>
                    <w:kinsoku/>
                    <w:wordWrap/>
                    <w:overflowPunct/>
                    <w:topLinePunct w:val="0"/>
                    <w:autoSpaceDE/>
                    <w:autoSpaceDN/>
                    <w:bidi w:val="0"/>
                    <w:adjustRightInd w:val="0"/>
                    <w:snapToGrid w:val="0"/>
                    <w:spacing w:beforeAutospacing="0" w:after="0" w:afterAutospacing="0" w:line="240" w:lineRule="auto"/>
                    <w:ind w:left="0" w:leftChars="0" w:right="0" w:rightChars="0"/>
                    <w:jc w:val="center"/>
                    <w:textAlignment w:val="auto"/>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2</w:t>
                  </w:r>
                </w:p>
              </w:tc>
              <w:tc>
                <w:tcPr>
                  <w:tcW w:w="2029" w:type="pct"/>
                  <w:noWrap w:val="0"/>
                  <w:vAlign w:val="center"/>
                </w:tcPr>
                <w:p w14:paraId="6E5915CF">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eastAsia="zh-CN"/>
                    </w:rPr>
                  </w:pPr>
                  <w:r>
                    <w:rPr>
                      <w:rFonts w:hint="default" w:ascii="Times New Roman" w:hAnsi="Times New Roman" w:cs="Times New Roman" w:eastAsiaTheme="minorEastAsia"/>
                      <w:color w:val="auto"/>
                      <w:szCs w:val="21"/>
                      <w:lang w:val="en-US" w:eastAsia="zh-CN"/>
                    </w:rPr>
                    <w:t>电</w:t>
                  </w:r>
                </w:p>
              </w:tc>
              <w:tc>
                <w:tcPr>
                  <w:tcW w:w="750" w:type="pct"/>
                  <w:noWrap w:val="0"/>
                  <w:vAlign w:val="center"/>
                </w:tcPr>
                <w:p w14:paraId="1F48F3DF">
                  <w:pPr>
                    <w:pStyle w:val="46"/>
                    <w:keepNext w:val="0"/>
                    <w:keepLines w:val="0"/>
                    <w:pageBreakBefore w:val="0"/>
                    <w:widowControl w:val="0"/>
                    <w:kinsoku/>
                    <w:wordWrap/>
                    <w:overflowPunct/>
                    <w:topLinePunct w:val="0"/>
                    <w:autoSpaceDE/>
                    <w:autoSpaceDN/>
                    <w:bidi w:val="0"/>
                    <w:adjustRightInd w:val="0"/>
                    <w:snapToGrid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Cs w:val="21"/>
                      <w:lang w:val="en-US" w:eastAsia="zh-CN"/>
                    </w:rPr>
                    <w:t>100Kw·h</w:t>
                  </w:r>
                  <w:r>
                    <w:rPr>
                      <w:rFonts w:hint="eastAsia" w:ascii="Times New Roman" w:cs="Times New Roman" w:eastAsiaTheme="minorEastAsia"/>
                      <w:color w:val="auto"/>
                      <w:szCs w:val="21"/>
                      <w:lang w:val="en-US" w:eastAsia="zh-CN"/>
                    </w:rPr>
                    <w:t>/a</w:t>
                  </w:r>
                </w:p>
              </w:tc>
              <w:tc>
                <w:tcPr>
                  <w:tcW w:w="1023" w:type="pct"/>
                  <w:noWrap w:val="0"/>
                  <w:vAlign w:val="center"/>
                </w:tcPr>
                <w:p w14:paraId="7F54ECBF">
                  <w:pPr>
                    <w:pStyle w:val="18"/>
                    <w:keepNext w:val="0"/>
                    <w:keepLines w:val="0"/>
                    <w:pageBreakBefore w:val="0"/>
                    <w:widowControl w:val="0"/>
                    <w:kinsoku/>
                    <w:wordWrap/>
                    <w:overflowPunct/>
                    <w:topLinePunct w:val="0"/>
                    <w:autoSpaceDE/>
                    <w:autoSpaceDN/>
                    <w:bidi w:val="0"/>
                    <w:adjustRightInd w:val="0"/>
                    <w:snapToGrid w:val="0"/>
                    <w:spacing w:beforeAutospacing="0" w:after="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100Kw·h</w:t>
                  </w:r>
                </w:p>
              </w:tc>
              <w:tc>
                <w:tcPr>
                  <w:tcW w:w="842" w:type="pct"/>
                  <w:noWrap w:val="0"/>
                  <w:vAlign w:val="center"/>
                </w:tcPr>
                <w:p w14:paraId="6D744C6A">
                  <w:pPr>
                    <w:pStyle w:val="18"/>
                    <w:keepNext w:val="0"/>
                    <w:keepLines w:val="0"/>
                    <w:pageBreakBefore w:val="0"/>
                    <w:widowControl w:val="0"/>
                    <w:kinsoku/>
                    <w:wordWrap/>
                    <w:overflowPunct/>
                    <w:topLinePunct w:val="0"/>
                    <w:autoSpaceDE/>
                    <w:autoSpaceDN/>
                    <w:bidi w:val="0"/>
                    <w:adjustRightInd w:val="0"/>
                    <w:snapToGrid w:val="0"/>
                    <w:spacing w:beforeAutospacing="0" w:after="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电网供电</w:t>
                  </w:r>
                </w:p>
              </w:tc>
            </w:tr>
          </w:tbl>
          <w:p w14:paraId="35BD841F">
            <w:pPr>
              <w:pStyle w:val="26"/>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left="0" w:leftChars="0" w:right="0" w:rightChars="0"/>
              <w:textAlignment w:val="auto"/>
              <w:rPr>
                <w:rFonts w:hint="default" w:ascii="Times New Roman" w:hAnsi="Times New Roman" w:cs="Times New Roman" w:eastAsiaTheme="minorEastAsia"/>
                <w:b/>
                <w:bCs/>
                <w:snapToGrid w:val="0"/>
                <w:color w:val="auto"/>
                <w:kern w:val="0"/>
                <w:sz w:val="24"/>
                <w:szCs w:val="24"/>
                <w:lang w:val="en-US" w:eastAsia="zh-CN" w:bidi="ar-SA"/>
              </w:rPr>
            </w:pPr>
            <w:r>
              <w:rPr>
                <w:rFonts w:hint="default" w:ascii="Times New Roman" w:hAnsi="Times New Roman" w:cs="Times New Roman" w:eastAsiaTheme="minorEastAsia"/>
                <w:b/>
                <w:bCs/>
                <w:snapToGrid w:val="0"/>
                <w:color w:val="auto"/>
                <w:kern w:val="0"/>
                <w:sz w:val="24"/>
                <w:szCs w:val="24"/>
                <w:lang w:val="en-US" w:eastAsia="zh-CN" w:bidi="ar-SA"/>
              </w:rPr>
              <w:t>4 危险废物储存</w:t>
            </w:r>
          </w:p>
          <w:p w14:paraId="088391BD">
            <w:pPr>
              <w:keepNext w:val="0"/>
              <w:keepLines w:val="0"/>
              <w:pageBreakBefore w:val="0"/>
              <w:widowControl/>
              <w:kinsoku/>
              <w:wordWrap/>
              <w:overflowPunct/>
              <w:topLinePunct w:val="0"/>
              <w:autoSpaceDE/>
              <w:autoSpaceDN/>
              <w:bidi w:val="0"/>
              <w:adjustRightInd w:val="0"/>
              <w:snapToGrid/>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本项目危险废物</w:t>
            </w:r>
            <w:r>
              <w:rPr>
                <w:rFonts w:hint="default" w:ascii="Times New Roman" w:hAnsi="Times New Roman" w:cs="Times New Roman" w:eastAsiaTheme="minorEastAsia"/>
                <w:color w:val="auto"/>
                <w:sz w:val="24"/>
                <w:lang w:val="en-US" w:eastAsia="zh-CN"/>
              </w:rPr>
              <w:t>贮存</w:t>
            </w:r>
            <w:r>
              <w:rPr>
                <w:rFonts w:hint="default" w:ascii="Times New Roman" w:hAnsi="Times New Roman" w:cs="Times New Roman" w:eastAsiaTheme="minorEastAsia"/>
                <w:color w:val="auto"/>
                <w:sz w:val="24"/>
              </w:rPr>
              <w:t>库只涉及收集、暂存昌吉职业技术学院实验过程产生的实验室废液、过期失效化学试剂、沾染危险化学品的废试剂瓶</w:t>
            </w:r>
            <w:r>
              <w:rPr>
                <w:rFonts w:hint="default" w:ascii="Times New Roman" w:hAnsi="Times New Roman" w:cs="Times New Roman" w:eastAsiaTheme="minorEastAsia"/>
                <w:color w:val="auto"/>
                <w:sz w:val="24"/>
                <w:lang w:val="en-US" w:eastAsia="zh-CN"/>
              </w:rPr>
              <w:t>等</w:t>
            </w:r>
            <w:r>
              <w:rPr>
                <w:rFonts w:hint="default" w:ascii="Times New Roman" w:hAnsi="Times New Roman" w:cs="Times New Roman" w:eastAsiaTheme="minorEastAsia"/>
                <w:color w:val="auto"/>
                <w:sz w:val="24"/>
              </w:rPr>
              <w:t>。危险废物贮存的全过程不对其进行拆封、倾倒、分装、混装等操作，不进行危险废物的末端处置，项目仅进行危险废物的收集、贮存和转移工作。危废的转运和处置均委托有运输和处置资质的单位进行。</w:t>
            </w:r>
          </w:p>
          <w:p w14:paraId="78075715">
            <w:pPr>
              <w:keepNext w:val="0"/>
              <w:keepLines w:val="0"/>
              <w:pageBreakBefore w:val="0"/>
              <w:widowControl/>
              <w:kinsoku/>
              <w:wordWrap/>
              <w:overflowPunct/>
              <w:topLinePunct w:val="0"/>
              <w:autoSpaceDE/>
              <w:autoSpaceDN/>
              <w:bidi w:val="0"/>
              <w:adjustRightInd w:val="0"/>
              <w:snapToGrid/>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本项目具体产品方案见表2-</w:t>
            </w:r>
            <w:r>
              <w:rPr>
                <w:rFonts w:hint="default" w:ascii="Times New Roman" w:hAnsi="Times New Roman" w:cs="Times New Roman" w:eastAsiaTheme="minorEastAsia"/>
                <w:color w:val="auto"/>
                <w:sz w:val="24"/>
                <w:lang w:val="en-US" w:eastAsia="zh-CN"/>
              </w:rPr>
              <w:t>4</w:t>
            </w:r>
            <w:r>
              <w:rPr>
                <w:rFonts w:hint="default" w:ascii="Times New Roman" w:hAnsi="Times New Roman" w:cs="Times New Roman" w:eastAsiaTheme="minorEastAsia"/>
                <w:color w:val="auto"/>
                <w:sz w:val="24"/>
              </w:rPr>
              <w:t>。</w:t>
            </w:r>
          </w:p>
          <w:p w14:paraId="0E4A0A8D">
            <w:pPr>
              <w:pageBreakBefore w:val="0"/>
              <w:widowControl/>
              <w:kinsoku/>
              <w:bidi w:val="0"/>
              <w:spacing w:beforeAutospacing="0" w:afterAutospacing="0" w:line="360" w:lineRule="auto"/>
              <w:ind w:left="0" w:leftChars="0" w:right="0" w:rightChars="0"/>
              <w:jc w:val="center"/>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kern w:val="0"/>
                <w:szCs w:val="21"/>
                <w:lang w:bidi="ar"/>
              </w:rPr>
              <w:t>表2-</w:t>
            </w:r>
            <w:r>
              <w:rPr>
                <w:rFonts w:hint="default" w:ascii="Times New Roman" w:hAnsi="Times New Roman" w:cs="Times New Roman" w:eastAsiaTheme="minorEastAsia"/>
                <w:b/>
                <w:bCs/>
                <w:color w:val="auto"/>
                <w:kern w:val="0"/>
                <w:szCs w:val="21"/>
                <w:lang w:val="en-US" w:eastAsia="zh-CN" w:bidi="ar"/>
              </w:rPr>
              <w:t>4</w:t>
            </w:r>
            <w:r>
              <w:rPr>
                <w:rFonts w:hint="default" w:ascii="Times New Roman" w:hAnsi="Times New Roman" w:cs="Times New Roman" w:eastAsiaTheme="minorEastAsia"/>
                <w:b/>
                <w:bCs/>
                <w:color w:val="auto"/>
                <w:kern w:val="0"/>
                <w:szCs w:val="21"/>
                <w:lang w:bidi="ar"/>
              </w:rPr>
              <w:t xml:space="preserve">   危险废物</w:t>
            </w:r>
            <w:r>
              <w:rPr>
                <w:rFonts w:hint="eastAsia" w:cs="Times New Roman" w:eastAsiaTheme="minorEastAsia"/>
                <w:b/>
                <w:bCs/>
                <w:color w:val="auto"/>
                <w:kern w:val="0"/>
                <w:szCs w:val="21"/>
                <w:lang w:val="en-US" w:eastAsia="zh-CN" w:bidi="ar"/>
              </w:rPr>
              <w:t>贮存</w:t>
            </w:r>
            <w:r>
              <w:rPr>
                <w:rFonts w:hint="default" w:ascii="Times New Roman" w:hAnsi="Times New Roman" w:cs="Times New Roman" w:eastAsiaTheme="minorEastAsia"/>
                <w:b/>
                <w:bCs/>
                <w:color w:val="auto"/>
                <w:kern w:val="0"/>
                <w:szCs w:val="21"/>
                <w:lang w:bidi="ar"/>
              </w:rPr>
              <w:t>一览表</w:t>
            </w:r>
          </w:p>
          <w:tbl>
            <w:tblPr>
              <w:tblStyle w:val="30"/>
              <w:tblW w:w="807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93"/>
              <w:gridCol w:w="670"/>
              <w:gridCol w:w="842"/>
              <w:gridCol w:w="814"/>
              <w:gridCol w:w="756"/>
              <w:gridCol w:w="703"/>
              <w:gridCol w:w="658"/>
              <w:gridCol w:w="669"/>
              <w:gridCol w:w="693"/>
              <w:gridCol w:w="695"/>
              <w:gridCol w:w="412"/>
              <w:gridCol w:w="769"/>
            </w:tblGrid>
            <w:tr w14:paraId="02F285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3" w:type="pct"/>
                  <w:tcBorders>
                    <w:bottom w:val="single" w:color="auto" w:sz="12" w:space="0"/>
                  </w:tcBorders>
                  <w:noWrap w:val="0"/>
                  <w:vAlign w:val="center"/>
                </w:tcPr>
                <w:p w14:paraId="44258A21">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序号</w:t>
                  </w:r>
                </w:p>
              </w:tc>
              <w:tc>
                <w:tcPr>
                  <w:tcW w:w="414" w:type="pct"/>
                  <w:tcBorders>
                    <w:bottom w:val="single" w:color="auto" w:sz="12" w:space="0"/>
                  </w:tcBorders>
                  <w:noWrap w:val="0"/>
                  <w:vAlign w:val="center"/>
                </w:tcPr>
                <w:p w14:paraId="1F4375E6">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lang w:val="en-US" w:eastAsia="zh-CN"/>
                    </w:rPr>
                    <w:t>危废名称</w:t>
                  </w:r>
                </w:p>
              </w:tc>
              <w:tc>
                <w:tcPr>
                  <w:tcW w:w="521" w:type="pct"/>
                  <w:tcBorders>
                    <w:bottom w:val="single" w:color="auto" w:sz="12" w:space="0"/>
                  </w:tcBorders>
                  <w:noWrap w:val="0"/>
                  <w:vAlign w:val="center"/>
                </w:tcPr>
                <w:p w14:paraId="57141A2D">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危废类别</w:t>
                  </w:r>
                </w:p>
              </w:tc>
              <w:tc>
                <w:tcPr>
                  <w:tcW w:w="504" w:type="pct"/>
                  <w:tcBorders>
                    <w:bottom w:val="single" w:color="auto" w:sz="12" w:space="0"/>
                  </w:tcBorders>
                  <w:noWrap w:val="0"/>
                  <w:vAlign w:val="center"/>
                </w:tcPr>
                <w:p w14:paraId="1EA37438">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危废代码</w:t>
                  </w:r>
                </w:p>
              </w:tc>
              <w:tc>
                <w:tcPr>
                  <w:tcW w:w="468" w:type="pct"/>
                  <w:tcBorders>
                    <w:bottom w:val="single" w:color="auto" w:sz="12" w:space="0"/>
                  </w:tcBorders>
                  <w:noWrap w:val="0"/>
                  <w:vAlign w:val="center"/>
                </w:tcPr>
                <w:p w14:paraId="61D4381E">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rPr>
                    <w:t>年周转量</w:t>
                  </w:r>
                  <w:r>
                    <w:rPr>
                      <w:rFonts w:hint="eastAsia" w:cs="Times New Roman" w:eastAsiaTheme="minorEastAsia"/>
                      <w:b/>
                      <w:bCs/>
                      <w:color w:val="auto"/>
                      <w:sz w:val="21"/>
                      <w:szCs w:val="21"/>
                      <w:lang w:val="en-US" w:eastAsia="zh-CN"/>
                    </w:rPr>
                    <w:t>(t)</w:t>
                  </w:r>
                </w:p>
              </w:tc>
              <w:tc>
                <w:tcPr>
                  <w:tcW w:w="435" w:type="pct"/>
                  <w:tcBorders>
                    <w:bottom w:val="single" w:color="auto" w:sz="12" w:space="0"/>
                  </w:tcBorders>
                  <w:noWrap w:val="0"/>
                  <w:vAlign w:val="center"/>
                </w:tcPr>
                <w:p w14:paraId="3A2C455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kern w:val="0"/>
                      <w:sz w:val="21"/>
                      <w:szCs w:val="21"/>
                      <w:lang w:val="en-US" w:eastAsia="zh-CN" w:bidi="ar-SA"/>
                    </w:rPr>
                    <w:t>贮存周期</w:t>
                  </w:r>
                  <w:r>
                    <w:rPr>
                      <w:rFonts w:hint="eastAsia" w:cs="Times New Roman" w:eastAsiaTheme="minorEastAsia"/>
                      <w:b/>
                      <w:bCs/>
                      <w:color w:val="auto"/>
                      <w:sz w:val="21"/>
                      <w:szCs w:val="21"/>
                      <w:lang w:val="en-US" w:eastAsia="zh-CN"/>
                    </w:rPr>
                    <w:t>(</w:t>
                  </w:r>
                  <w:r>
                    <w:rPr>
                      <w:rFonts w:hint="default" w:ascii="Times New Roman" w:hAnsi="Times New Roman" w:cs="Times New Roman" w:eastAsiaTheme="minorEastAsia"/>
                      <w:b/>
                      <w:bCs/>
                      <w:color w:val="auto"/>
                      <w:kern w:val="0"/>
                      <w:sz w:val="21"/>
                      <w:szCs w:val="21"/>
                      <w:lang w:val="en-US" w:eastAsia="zh-CN" w:bidi="ar-SA"/>
                    </w:rPr>
                    <w:t>a</w:t>
                  </w:r>
                  <w:r>
                    <w:rPr>
                      <w:rFonts w:hint="eastAsia" w:cs="Times New Roman" w:eastAsiaTheme="minorEastAsia"/>
                      <w:b/>
                      <w:bCs/>
                      <w:color w:val="auto"/>
                      <w:sz w:val="21"/>
                      <w:szCs w:val="21"/>
                      <w:lang w:val="en-US" w:eastAsia="zh-CN"/>
                    </w:rPr>
                    <w:t>)</w:t>
                  </w:r>
                </w:p>
              </w:tc>
              <w:tc>
                <w:tcPr>
                  <w:tcW w:w="407" w:type="pct"/>
                  <w:tcBorders>
                    <w:bottom w:val="single" w:color="auto" w:sz="12" w:space="0"/>
                  </w:tcBorders>
                  <w:noWrap w:val="0"/>
                  <w:vAlign w:val="center"/>
                </w:tcPr>
                <w:p w14:paraId="2B44EE59">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最大</w:t>
                  </w:r>
                  <w:r>
                    <w:rPr>
                      <w:rFonts w:hint="eastAsia" w:cs="Times New Roman" w:eastAsiaTheme="minorEastAsia"/>
                      <w:b/>
                      <w:bCs/>
                      <w:color w:val="auto"/>
                      <w:sz w:val="21"/>
                      <w:szCs w:val="21"/>
                      <w:lang w:val="en-US" w:eastAsia="zh-CN"/>
                    </w:rPr>
                    <w:t>贮存</w:t>
                  </w:r>
                  <w:r>
                    <w:rPr>
                      <w:rFonts w:hint="default" w:ascii="Times New Roman" w:hAnsi="Times New Roman" w:cs="Times New Roman" w:eastAsiaTheme="minorEastAsia"/>
                      <w:b/>
                      <w:bCs/>
                      <w:color w:val="auto"/>
                      <w:sz w:val="21"/>
                      <w:szCs w:val="21"/>
                    </w:rPr>
                    <w:t>量</w:t>
                  </w:r>
                  <w:r>
                    <w:rPr>
                      <w:rFonts w:hint="eastAsia" w:cs="Times New Roman" w:eastAsiaTheme="minorEastAsia"/>
                      <w:b/>
                      <w:bCs/>
                      <w:color w:val="auto"/>
                      <w:sz w:val="21"/>
                      <w:szCs w:val="21"/>
                      <w:lang w:val="en-US" w:eastAsia="zh-CN"/>
                    </w:rPr>
                    <w:t>(t)</w:t>
                  </w:r>
                </w:p>
              </w:tc>
              <w:tc>
                <w:tcPr>
                  <w:tcW w:w="414" w:type="pct"/>
                  <w:tcBorders>
                    <w:bottom w:val="single" w:color="auto" w:sz="12" w:space="0"/>
                  </w:tcBorders>
                  <w:noWrap w:val="0"/>
                  <w:vAlign w:val="center"/>
                </w:tcPr>
                <w:p w14:paraId="6A12C0A6">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形态</w:t>
                  </w:r>
                </w:p>
              </w:tc>
              <w:tc>
                <w:tcPr>
                  <w:tcW w:w="429" w:type="pct"/>
                  <w:tcBorders>
                    <w:bottom w:val="single" w:color="auto" w:sz="12" w:space="0"/>
                  </w:tcBorders>
                  <w:noWrap w:val="0"/>
                  <w:vAlign w:val="center"/>
                </w:tcPr>
                <w:p w14:paraId="0F1B4C15">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危险特性</w:t>
                  </w:r>
                </w:p>
              </w:tc>
              <w:tc>
                <w:tcPr>
                  <w:tcW w:w="430" w:type="pct"/>
                  <w:tcBorders>
                    <w:bottom w:val="single" w:color="auto" w:sz="12" w:space="0"/>
                  </w:tcBorders>
                  <w:noWrap w:val="0"/>
                  <w:vAlign w:val="center"/>
                </w:tcPr>
                <w:p w14:paraId="6D39A574">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储存方式</w:t>
                  </w:r>
                </w:p>
              </w:tc>
              <w:tc>
                <w:tcPr>
                  <w:tcW w:w="255" w:type="pct"/>
                  <w:tcBorders>
                    <w:bottom w:val="single" w:color="auto" w:sz="12" w:space="0"/>
                  </w:tcBorders>
                  <w:noWrap w:val="0"/>
                  <w:vAlign w:val="center"/>
                </w:tcPr>
                <w:p w14:paraId="4A5C75CB">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配送方式</w:t>
                  </w:r>
                </w:p>
              </w:tc>
              <w:tc>
                <w:tcPr>
                  <w:tcW w:w="476" w:type="pct"/>
                  <w:tcBorders>
                    <w:bottom w:val="single" w:color="auto" w:sz="12" w:space="0"/>
                  </w:tcBorders>
                  <w:noWrap w:val="0"/>
                  <w:vAlign w:val="center"/>
                </w:tcPr>
                <w:p w14:paraId="3C6A880D">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备注</w:t>
                  </w:r>
                </w:p>
              </w:tc>
            </w:tr>
            <w:tr w14:paraId="4AA2A7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3" w:type="pct"/>
                  <w:tcBorders>
                    <w:top w:val="single" w:color="auto" w:sz="12" w:space="0"/>
                    <w:bottom w:val="single" w:color="auto" w:sz="4" w:space="0"/>
                  </w:tcBorders>
                  <w:noWrap w:val="0"/>
                  <w:vAlign w:val="center"/>
                </w:tcPr>
                <w:p w14:paraId="29F7DEB4">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w:t>
                  </w:r>
                </w:p>
              </w:tc>
              <w:tc>
                <w:tcPr>
                  <w:tcW w:w="414" w:type="pct"/>
                  <w:tcBorders>
                    <w:top w:val="single" w:color="auto" w:sz="12" w:space="0"/>
                    <w:bottom w:val="single" w:color="auto" w:sz="4" w:space="0"/>
                  </w:tcBorders>
                  <w:noWrap w:val="0"/>
                  <w:vAlign w:val="center"/>
                </w:tcPr>
                <w:p w14:paraId="3199AD8B">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实验室废液</w:t>
                  </w:r>
                </w:p>
              </w:tc>
              <w:tc>
                <w:tcPr>
                  <w:tcW w:w="521" w:type="pct"/>
                  <w:tcBorders>
                    <w:top w:val="single" w:color="auto" w:sz="12" w:space="0"/>
                    <w:bottom w:val="single" w:color="auto" w:sz="4" w:space="0"/>
                  </w:tcBorders>
                  <w:noWrap w:val="0"/>
                  <w:vAlign w:val="center"/>
                </w:tcPr>
                <w:p w14:paraId="4D81751E">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rPr>
                    <w:t>HW49</w:t>
                  </w:r>
                </w:p>
              </w:tc>
              <w:tc>
                <w:tcPr>
                  <w:tcW w:w="504" w:type="pct"/>
                  <w:tcBorders>
                    <w:top w:val="single" w:color="auto" w:sz="12" w:space="0"/>
                    <w:bottom w:val="single" w:color="auto" w:sz="4" w:space="0"/>
                  </w:tcBorders>
                  <w:noWrap w:val="0"/>
                  <w:vAlign w:val="center"/>
                </w:tcPr>
                <w:p w14:paraId="38F1B28D">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rPr>
                    <w:t>900-047-49</w:t>
                  </w:r>
                </w:p>
              </w:tc>
              <w:tc>
                <w:tcPr>
                  <w:tcW w:w="468" w:type="pct"/>
                  <w:tcBorders>
                    <w:top w:val="single" w:color="auto" w:sz="12" w:space="0"/>
                    <w:bottom w:val="single" w:color="auto" w:sz="4" w:space="0"/>
                  </w:tcBorders>
                  <w:noWrap w:val="0"/>
                  <w:vAlign w:val="center"/>
                </w:tcPr>
                <w:p w14:paraId="284A7139">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0.5</w:t>
                  </w:r>
                </w:p>
              </w:tc>
              <w:tc>
                <w:tcPr>
                  <w:tcW w:w="435" w:type="pct"/>
                  <w:tcBorders>
                    <w:top w:val="single" w:color="auto" w:sz="12" w:space="0"/>
                    <w:bottom w:val="single" w:color="auto" w:sz="4" w:space="0"/>
                  </w:tcBorders>
                  <w:noWrap w:val="0"/>
                  <w:vAlign w:val="center"/>
                </w:tcPr>
                <w:p w14:paraId="064C8058">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1</w:t>
                  </w:r>
                </w:p>
              </w:tc>
              <w:tc>
                <w:tcPr>
                  <w:tcW w:w="407" w:type="pct"/>
                  <w:tcBorders>
                    <w:top w:val="single" w:color="auto" w:sz="12" w:space="0"/>
                    <w:bottom w:val="single" w:color="auto" w:sz="4" w:space="0"/>
                  </w:tcBorders>
                  <w:shd w:val="clear" w:color="auto" w:fill="auto"/>
                  <w:noWrap w:val="0"/>
                  <w:vAlign w:val="center"/>
                </w:tcPr>
                <w:p w14:paraId="50B3B3E0">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0.5</w:t>
                  </w:r>
                </w:p>
              </w:tc>
              <w:tc>
                <w:tcPr>
                  <w:tcW w:w="414" w:type="pct"/>
                  <w:tcBorders>
                    <w:top w:val="single" w:color="auto" w:sz="12" w:space="0"/>
                    <w:bottom w:val="single" w:color="auto" w:sz="4" w:space="0"/>
                  </w:tcBorders>
                  <w:shd w:val="clear" w:color="auto" w:fill="auto"/>
                  <w:noWrap w:val="0"/>
                  <w:vAlign w:val="center"/>
                </w:tcPr>
                <w:p w14:paraId="0999CFD4">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液态</w:t>
                  </w:r>
                </w:p>
              </w:tc>
              <w:tc>
                <w:tcPr>
                  <w:tcW w:w="429" w:type="pct"/>
                  <w:tcBorders>
                    <w:top w:val="single" w:color="auto" w:sz="12" w:space="0"/>
                    <w:bottom w:val="single" w:color="auto" w:sz="4" w:space="0"/>
                  </w:tcBorders>
                  <w:shd w:val="clear" w:color="auto" w:fill="auto"/>
                  <w:noWrap w:val="0"/>
                  <w:vAlign w:val="center"/>
                </w:tcPr>
                <w:p w14:paraId="4AA26821">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T/I/C</w:t>
                  </w:r>
                </w:p>
              </w:tc>
              <w:tc>
                <w:tcPr>
                  <w:tcW w:w="430" w:type="pct"/>
                  <w:tcBorders>
                    <w:top w:val="single" w:color="auto" w:sz="12" w:space="0"/>
                    <w:bottom w:val="single" w:color="auto" w:sz="4" w:space="0"/>
                  </w:tcBorders>
                  <w:shd w:val="clear" w:color="auto" w:fill="auto"/>
                  <w:noWrap w:val="0"/>
                  <w:vAlign w:val="center"/>
                </w:tcPr>
                <w:p w14:paraId="36DB1C9F">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密闭储存桶</w:t>
                  </w:r>
                </w:p>
              </w:tc>
              <w:tc>
                <w:tcPr>
                  <w:tcW w:w="255" w:type="pct"/>
                  <w:tcBorders>
                    <w:top w:val="single" w:color="auto" w:sz="12" w:space="0"/>
                    <w:bottom w:val="single" w:color="auto" w:sz="4" w:space="0"/>
                  </w:tcBorders>
                  <w:shd w:val="clear" w:color="auto" w:fill="auto"/>
                  <w:noWrap w:val="0"/>
                  <w:vAlign w:val="center"/>
                </w:tcPr>
                <w:p w14:paraId="1271A0D1">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汽运</w:t>
                  </w:r>
                </w:p>
              </w:tc>
              <w:tc>
                <w:tcPr>
                  <w:tcW w:w="476" w:type="pct"/>
                  <w:tcBorders>
                    <w:top w:val="single" w:color="auto" w:sz="12" w:space="0"/>
                    <w:bottom w:val="single" w:color="auto" w:sz="4" w:space="0"/>
                  </w:tcBorders>
                  <w:shd w:val="clear" w:color="auto" w:fill="auto"/>
                  <w:noWrap w:val="0"/>
                  <w:vAlign w:val="center"/>
                </w:tcPr>
                <w:p w14:paraId="0C6D33F4">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主要为有机废液、无机废液</w:t>
                  </w:r>
                </w:p>
              </w:tc>
            </w:tr>
            <w:tr w14:paraId="47AD34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3" w:type="pct"/>
                  <w:tcBorders>
                    <w:top w:val="single" w:color="auto" w:sz="4" w:space="0"/>
                    <w:bottom w:val="single" w:color="auto" w:sz="4" w:space="0"/>
                  </w:tcBorders>
                  <w:noWrap w:val="0"/>
                  <w:vAlign w:val="center"/>
                </w:tcPr>
                <w:p w14:paraId="66CF9D7E">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2</w:t>
                  </w:r>
                </w:p>
              </w:tc>
              <w:tc>
                <w:tcPr>
                  <w:tcW w:w="414" w:type="pct"/>
                  <w:tcBorders>
                    <w:top w:val="single" w:color="auto" w:sz="4" w:space="0"/>
                    <w:bottom w:val="single" w:color="auto" w:sz="4" w:space="0"/>
                  </w:tcBorders>
                  <w:noWrap w:val="0"/>
                  <w:vAlign w:val="center"/>
                </w:tcPr>
                <w:p w14:paraId="528F7967">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过期试剂</w:t>
                  </w:r>
                </w:p>
              </w:tc>
              <w:tc>
                <w:tcPr>
                  <w:tcW w:w="521" w:type="pct"/>
                  <w:tcBorders>
                    <w:top w:val="single" w:color="auto" w:sz="4" w:space="0"/>
                    <w:bottom w:val="single" w:color="auto" w:sz="4" w:space="0"/>
                  </w:tcBorders>
                  <w:noWrap w:val="0"/>
                  <w:vAlign w:val="center"/>
                </w:tcPr>
                <w:p w14:paraId="6746FAE3">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rPr>
                    <w:t>HW49</w:t>
                  </w:r>
                </w:p>
              </w:tc>
              <w:tc>
                <w:tcPr>
                  <w:tcW w:w="504" w:type="pct"/>
                  <w:tcBorders>
                    <w:top w:val="single" w:color="auto" w:sz="4" w:space="0"/>
                    <w:bottom w:val="single" w:color="auto" w:sz="4" w:space="0"/>
                  </w:tcBorders>
                  <w:noWrap w:val="0"/>
                  <w:vAlign w:val="center"/>
                </w:tcPr>
                <w:p w14:paraId="45973A97">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rPr>
                    <w:t>900-</w:t>
                  </w:r>
                  <w:r>
                    <w:rPr>
                      <w:rFonts w:hint="eastAsia" w:cs="Times New Roman" w:eastAsiaTheme="minorEastAsia"/>
                      <w:color w:val="auto"/>
                      <w:sz w:val="21"/>
                      <w:szCs w:val="21"/>
                      <w:lang w:val="en-US" w:eastAsia="zh-CN"/>
                    </w:rPr>
                    <w:t>999</w:t>
                  </w:r>
                  <w:r>
                    <w:rPr>
                      <w:rFonts w:hint="default" w:ascii="Times New Roman" w:hAnsi="Times New Roman" w:cs="Times New Roman" w:eastAsiaTheme="minorEastAsia"/>
                      <w:color w:val="auto"/>
                      <w:sz w:val="21"/>
                      <w:szCs w:val="21"/>
                      <w:lang w:val="en-US"/>
                    </w:rPr>
                    <w:t>-49</w:t>
                  </w:r>
                </w:p>
              </w:tc>
              <w:tc>
                <w:tcPr>
                  <w:tcW w:w="468" w:type="pct"/>
                  <w:tcBorders>
                    <w:top w:val="single" w:color="auto" w:sz="4" w:space="0"/>
                    <w:bottom w:val="single" w:color="auto" w:sz="4" w:space="0"/>
                  </w:tcBorders>
                  <w:noWrap w:val="0"/>
                  <w:vAlign w:val="center"/>
                </w:tcPr>
                <w:p w14:paraId="7534EBD5">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0.1</w:t>
                  </w:r>
                </w:p>
              </w:tc>
              <w:tc>
                <w:tcPr>
                  <w:tcW w:w="435" w:type="pct"/>
                  <w:tcBorders>
                    <w:top w:val="single" w:color="auto" w:sz="4" w:space="0"/>
                    <w:bottom w:val="single" w:color="auto" w:sz="4" w:space="0"/>
                  </w:tcBorders>
                  <w:noWrap w:val="0"/>
                  <w:vAlign w:val="center"/>
                </w:tcPr>
                <w:p w14:paraId="2DFA0294">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1</w:t>
                  </w:r>
                </w:p>
              </w:tc>
              <w:tc>
                <w:tcPr>
                  <w:tcW w:w="407" w:type="pct"/>
                  <w:tcBorders>
                    <w:top w:val="single" w:color="auto" w:sz="4" w:space="0"/>
                    <w:bottom w:val="single" w:color="auto" w:sz="4" w:space="0"/>
                  </w:tcBorders>
                  <w:shd w:val="clear" w:color="auto" w:fill="auto"/>
                  <w:noWrap w:val="0"/>
                  <w:vAlign w:val="center"/>
                </w:tcPr>
                <w:p w14:paraId="194D6E4F">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0.1</w:t>
                  </w:r>
                </w:p>
              </w:tc>
              <w:tc>
                <w:tcPr>
                  <w:tcW w:w="414" w:type="pct"/>
                  <w:tcBorders>
                    <w:top w:val="single" w:color="auto" w:sz="4" w:space="0"/>
                    <w:bottom w:val="single" w:color="auto" w:sz="4" w:space="0"/>
                  </w:tcBorders>
                  <w:shd w:val="clear" w:color="auto" w:fill="auto"/>
                  <w:noWrap w:val="0"/>
                  <w:vAlign w:val="center"/>
                </w:tcPr>
                <w:p w14:paraId="5304452B">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液态</w:t>
                  </w:r>
                </w:p>
              </w:tc>
              <w:tc>
                <w:tcPr>
                  <w:tcW w:w="429" w:type="pct"/>
                  <w:tcBorders>
                    <w:top w:val="single" w:color="auto" w:sz="4" w:space="0"/>
                    <w:bottom w:val="single" w:color="auto" w:sz="4" w:space="0"/>
                  </w:tcBorders>
                  <w:shd w:val="clear" w:color="auto" w:fill="auto"/>
                  <w:noWrap w:val="0"/>
                  <w:vAlign w:val="center"/>
                </w:tcPr>
                <w:p w14:paraId="0D2CAA48">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T/I/C</w:t>
                  </w:r>
                </w:p>
              </w:tc>
              <w:tc>
                <w:tcPr>
                  <w:tcW w:w="430" w:type="pct"/>
                  <w:tcBorders>
                    <w:top w:val="single" w:color="auto" w:sz="4" w:space="0"/>
                    <w:bottom w:val="single" w:color="auto" w:sz="4" w:space="0"/>
                  </w:tcBorders>
                  <w:shd w:val="clear" w:color="auto" w:fill="auto"/>
                  <w:noWrap w:val="0"/>
                  <w:vAlign w:val="center"/>
                </w:tcPr>
                <w:p w14:paraId="4AC970E7">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密闭储存桶</w:t>
                  </w:r>
                </w:p>
              </w:tc>
              <w:tc>
                <w:tcPr>
                  <w:tcW w:w="255" w:type="pct"/>
                  <w:tcBorders>
                    <w:top w:val="single" w:color="auto" w:sz="4" w:space="0"/>
                    <w:bottom w:val="single" w:color="auto" w:sz="4" w:space="0"/>
                  </w:tcBorders>
                  <w:shd w:val="clear" w:color="auto" w:fill="auto"/>
                  <w:noWrap w:val="0"/>
                  <w:vAlign w:val="center"/>
                </w:tcPr>
                <w:p w14:paraId="13730815">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汽运</w:t>
                  </w:r>
                </w:p>
              </w:tc>
              <w:tc>
                <w:tcPr>
                  <w:tcW w:w="476" w:type="pct"/>
                  <w:tcBorders>
                    <w:top w:val="single" w:color="auto" w:sz="4" w:space="0"/>
                    <w:bottom w:val="single" w:color="auto" w:sz="4" w:space="0"/>
                  </w:tcBorders>
                  <w:shd w:val="clear" w:color="auto" w:fill="auto"/>
                  <w:noWrap w:val="0"/>
                  <w:vAlign w:val="center"/>
                </w:tcPr>
                <w:p w14:paraId="63BB6F2A">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主要为有机废液、无机废液</w:t>
                  </w:r>
                </w:p>
              </w:tc>
            </w:tr>
            <w:tr w14:paraId="5D8D70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3" w:type="pct"/>
                  <w:tcBorders>
                    <w:top w:val="single" w:color="auto" w:sz="4" w:space="0"/>
                    <w:bottom w:val="single" w:color="auto" w:sz="12" w:space="0"/>
                  </w:tcBorders>
                  <w:noWrap w:val="0"/>
                  <w:vAlign w:val="center"/>
                </w:tcPr>
                <w:p w14:paraId="76381867">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3</w:t>
                  </w:r>
                </w:p>
              </w:tc>
              <w:tc>
                <w:tcPr>
                  <w:tcW w:w="414" w:type="pct"/>
                  <w:tcBorders>
                    <w:top w:val="single" w:color="auto" w:sz="4" w:space="0"/>
                    <w:bottom w:val="single" w:color="auto" w:sz="12" w:space="0"/>
                  </w:tcBorders>
                  <w:shd w:val="clear" w:color="auto" w:fill="auto"/>
                  <w:noWrap w:val="0"/>
                  <w:vAlign w:val="center"/>
                </w:tcPr>
                <w:p w14:paraId="78A1BE22">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废试剂瓶</w:t>
                  </w:r>
                </w:p>
              </w:tc>
              <w:tc>
                <w:tcPr>
                  <w:tcW w:w="521" w:type="pct"/>
                  <w:tcBorders>
                    <w:top w:val="single" w:color="auto" w:sz="4" w:space="0"/>
                    <w:bottom w:val="single" w:color="auto" w:sz="12" w:space="0"/>
                  </w:tcBorders>
                  <w:shd w:val="clear" w:color="auto" w:fill="auto"/>
                  <w:noWrap w:val="0"/>
                  <w:vAlign w:val="center"/>
                </w:tcPr>
                <w:p w14:paraId="4BC24EAB">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rPr>
                    <w:t>HW49</w:t>
                  </w:r>
                </w:p>
              </w:tc>
              <w:tc>
                <w:tcPr>
                  <w:tcW w:w="504" w:type="pct"/>
                  <w:tcBorders>
                    <w:top w:val="single" w:color="auto" w:sz="4" w:space="0"/>
                    <w:bottom w:val="single" w:color="auto" w:sz="12" w:space="0"/>
                  </w:tcBorders>
                  <w:shd w:val="clear" w:color="auto" w:fill="auto"/>
                  <w:noWrap w:val="0"/>
                  <w:vAlign w:val="center"/>
                </w:tcPr>
                <w:p w14:paraId="3F9CCDE3">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rPr>
                    <w:t>900-04</w:t>
                  </w:r>
                  <w:r>
                    <w:rPr>
                      <w:rFonts w:hint="default" w:ascii="Times New Roman" w:hAnsi="Times New Roman" w:cs="Times New Roman" w:eastAsiaTheme="minorEastAsia"/>
                      <w:color w:val="auto"/>
                      <w:sz w:val="21"/>
                      <w:szCs w:val="21"/>
                      <w:lang w:val="en-US" w:eastAsia="zh-CN"/>
                    </w:rPr>
                    <w:t>1</w:t>
                  </w:r>
                  <w:r>
                    <w:rPr>
                      <w:rFonts w:hint="default" w:ascii="Times New Roman" w:hAnsi="Times New Roman" w:cs="Times New Roman" w:eastAsiaTheme="minorEastAsia"/>
                      <w:color w:val="auto"/>
                      <w:sz w:val="21"/>
                      <w:szCs w:val="21"/>
                      <w:lang w:val="en-US"/>
                    </w:rPr>
                    <w:t>-49</w:t>
                  </w:r>
                </w:p>
              </w:tc>
              <w:tc>
                <w:tcPr>
                  <w:tcW w:w="468" w:type="pct"/>
                  <w:tcBorders>
                    <w:top w:val="single" w:color="auto" w:sz="4" w:space="0"/>
                    <w:bottom w:val="single" w:color="auto" w:sz="12" w:space="0"/>
                  </w:tcBorders>
                  <w:shd w:val="clear" w:color="auto" w:fill="auto"/>
                  <w:noWrap w:val="0"/>
                  <w:vAlign w:val="center"/>
                </w:tcPr>
                <w:p w14:paraId="24A0B377">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0.4</w:t>
                  </w:r>
                </w:p>
              </w:tc>
              <w:tc>
                <w:tcPr>
                  <w:tcW w:w="435" w:type="pct"/>
                  <w:tcBorders>
                    <w:top w:val="single" w:color="auto" w:sz="4" w:space="0"/>
                    <w:bottom w:val="single" w:color="auto" w:sz="12" w:space="0"/>
                  </w:tcBorders>
                  <w:shd w:val="clear" w:color="auto" w:fill="auto"/>
                  <w:noWrap w:val="0"/>
                  <w:vAlign w:val="center"/>
                </w:tcPr>
                <w:p w14:paraId="430B7639">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1</w:t>
                  </w:r>
                </w:p>
              </w:tc>
              <w:tc>
                <w:tcPr>
                  <w:tcW w:w="407" w:type="pct"/>
                  <w:tcBorders>
                    <w:top w:val="single" w:color="auto" w:sz="4" w:space="0"/>
                    <w:bottom w:val="single" w:color="auto" w:sz="12" w:space="0"/>
                  </w:tcBorders>
                  <w:shd w:val="clear" w:color="auto" w:fill="auto"/>
                  <w:noWrap w:val="0"/>
                  <w:vAlign w:val="center"/>
                </w:tcPr>
                <w:p w14:paraId="2DE004E3">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0.4</w:t>
                  </w:r>
                </w:p>
              </w:tc>
              <w:tc>
                <w:tcPr>
                  <w:tcW w:w="414" w:type="pct"/>
                  <w:tcBorders>
                    <w:top w:val="single" w:color="auto" w:sz="4" w:space="0"/>
                    <w:bottom w:val="single" w:color="auto" w:sz="12" w:space="0"/>
                  </w:tcBorders>
                  <w:shd w:val="clear" w:color="auto" w:fill="auto"/>
                  <w:noWrap w:val="0"/>
                  <w:vAlign w:val="center"/>
                </w:tcPr>
                <w:p w14:paraId="5F40FFB1">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固态</w:t>
                  </w:r>
                </w:p>
              </w:tc>
              <w:tc>
                <w:tcPr>
                  <w:tcW w:w="429" w:type="pct"/>
                  <w:tcBorders>
                    <w:top w:val="single" w:color="auto" w:sz="4" w:space="0"/>
                    <w:bottom w:val="single" w:color="auto" w:sz="12" w:space="0"/>
                  </w:tcBorders>
                  <w:shd w:val="clear" w:color="auto" w:fill="auto"/>
                  <w:noWrap w:val="0"/>
                  <w:vAlign w:val="center"/>
                </w:tcPr>
                <w:p w14:paraId="3CB0C54B">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T/I/C</w:t>
                  </w:r>
                </w:p>
              </w:tc>
              <w:tc>
                <w:tcPr>
                  <w:tcW w:w="430" w:type="pct"/>
                  <w:tcBorders>
                    <w:top w:val="single" w:color="auto" w:sz="4" w:space="0"/>
                    <w:bottom w:val="single" w:color="auto" w:sz="12" w:space="0"/>
                  </w:tcBorders>
                  <w:shd w:val="clear" w:color="auto" w:fill="auto"/>
                  <w:noWrap w:val="0"/>
                  <w:vAlign w:val="center"/>
                </w:tcPr>
                <w:p w14:paraId="61604B7C">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分区储存</w:t>
                  </w:r>
                </w:p>
              </w:tc>
              <w:tc>
                <w:tcPr>
                  <w:tcW w:w="255" w:type="pct"/>
                  <w:tcBorders>
                    <w:top w:val="single" w:color="auto" w:sz="4" w:space="0"/>
                    <w:bottom w:val="single" w:color="auto" w:sz="12" w:space="0"/>
                  </w:tcBorders>
                  <w:shd w:val="clear" w:color="auto" w:fill="auto"/>
                  <w:noWrap w:val="0"/>
                  <w:vAlign w:val="center"/>
                </w:tcPr>
                <w:p w14:paraId="1708F69C">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汽运</w:t>
                  </w:r>
                </w:p>
              </w:tc>
              <w:tc>
                <w:tcPr>
                  <w:tcW w:w="476" w:type="pct"/>
                  <w:tcBorders>
                    <w:top w:val="single" w:color="auto" w:sz="4" w:space="0"/>
                    <w:bottom w:val="single" w:color="auto" w:sz="12" w:space="0"/>
                  </w:tcBorders>
                  <w:shd w:val="clear" w:color="auto" w:fill="auto"/>
                  <w:noWrap w:val="0"/>
                  <w:vAlign w:val="center"/>
                </w:tcPr>
                <w:p w14:paraId="43514139">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w:t>
                  </w:r>
                </w:p>
              </w:tc>
            </w:tr>
          </w:tbl>
          <w:p w14:paraId="6CED6017">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kern w:val="0"/>
                <w:szCs w:val="21"/>
                <w:lang w:bidi="ar"/>
              </w:rPr>
              <w:t>表2-</w:t>
            </w:r>
            <w:r>
              <w:rPr>
                <w:rFonts w:hint="eastAsia" w:ascii="Times New Roman" w:hAnsi="Times New Roman" w:cs="Times New Roman" w:eastAsiaTheme="minorEastAsia"/>
                <w:b/>
                <w:bCs/>
                <w:color w:val="auto"/>
                <w:kern w:val="0"/>
                <w:szCs w:val="21"/>
                <w:lang w:val="en-US" w:eastAsia="zh-CN" w:bidi="ar"/>
              </w:rPr>
              <w:t>5</w:t>
            </w:r>
            <w:r>
              <w:rPr>
                <w:rFonts w:hint="default" w:ascii="Times New Roman" w:hAnsi="Times New Roman" w:cs="Times New Roman" w:eastAsiaTheme="minorEastAsia"/>
                <w:b/>
                <w:bCs/>
                <w:color w:val="auto"/>
                <w:kern w:val="0"/>
                <w:szCs w:val="21"/>
                <w:lang w:bidi="ar"/>
              </w:rPr>
              <w:t xml:space="preserve">   建设项目危险废物贮存场所（设施）基本情况表</w:t>
            </w:r>
          </w:p>
          <w:tbl>
            <w:tblPr>
              <w:tblStyle w:val="30"/>
              <w:tblW w:w="499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86"/>
              <w:gridCol w:w="830"/>
              <w:gridCol w:w="830"/>
              <w:gridCol w:w="869"/>
              <w:gridCol w:w="800"/>
              <w:gridCol w:w="950"/>
              <w:gridCol w:w="725"/>
              <w:gridCol w:w="1212"/>
              <w:gridCol w:w="713"/>
              <w:gridCol w:w="658"/>
            </w:tblGrid>
            <w:tr w14:paraId="76419C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92" w:hRule="atLeast"/>
                <w:jc w:val="center"/>
              </w:trPr>
              <w:tc>
                <w:tcPr>
                  <w:tcW w:w="301" w:type="pct"/>
                  <w:tcBorders>
                    <w:bottom w:val="single" w:color="auto" w:sz="12" w:space="0"/>
                  </w:tcBorders>
                  <w:noWrap w:val="0"/>
                  <w:vAlign w:val="center"/>
                </w:tcPr>
                <w:p w14:paraId="7ECD2094">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序号</w:t>
                  </w:r>
                </w:p>
              </w:tc>
              <w:tc>
                <w:tcPr>
                  <w:tcW w:w="514" w:type="pct"/>
                  <w:tcBorders>
                    <w:bottom w:val="single" w:color="auto" w:sz="12" w:space="0"/>
                  </w:tcBorders>
                  <w:noWrap w:val="0"/>
                  <w:vAlign w:val="center"/>
                </w:tcPr>
                <w:p w14:paraId="425B085D">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贮存场所（设施）名称</w:t>
                  </w:r>
                </w:p>
              </w:tc>
              <w:tc>
                <w:tcPr>
                  <w:tcW w:w="514" w:type="pct"/>
                  <w:tcBorders>
                    <w:bottom w:val="single" w:color="auto" w:sz="12" w:space="0"/>
                  </w:tcBorders>
                  <w:noWrap w:val="0"/>
                  <w:vAlign w:val="center"/>
                </w:tcPr>
                <w:p w14:paraId="4040B75C">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lang w:val="en-US" w:eastAsia="zh-CN"/>
                    </w:rPr>
                    <w:t>危废名称</w:t>
                  </w:r>
                </w:p>
              </w:tc>
              <w:tc>
                <w:tcPr>
                  <w:tcW w:w="538" w:type="pct"/>
                  <w:tcBorders>
                    <w:bottom w:val="single" w:color="auto" w:sz="12" w:space="0"/>
                  </w:tcBorders>
                  <w:noWrap w:val="0"/>
                  <w:vAlign w:val="center"/>
                </w:tcPr>
                <w:p w14:paraId="28186215">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危废类别</w:t>
                  </w:r>
                </w:p>
              </w:tc>
              <w:tc>
                <w:tcPr>
                  <w:tcW w:w="495" w:type="pct"/>
                  <w:tcBorders>
                    <w:bottom w:val="single" w:color="auto" w:sz="12" w:space="0"/>
                  </w:tcBorders>
                  <w:noWrap w:val="0"/>
                  <w:vAlign w:val="center"/>
                </w:tcPr>
                <w:p w14:paraId="59362876">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危废代码</w:t>
                  </w:r>
                </w:p>
              </w:tc>
              <w:tc>
                <w:tcPr>
                  <w:tcW w:w="588" w:type="pct"/>
                  <w:tcBorders>
                    <w:bottom w:val="single" w:color="auto" w:sz="12" w:space="0"/>
                  </w:tcBorders>
                  <w:noWrap w:val="0"/>
                  <w:vAlign w:val="center"/>
                </w:tcPr>
                <w:p w14:paraId="0F28D8CE">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位置</w:t>
                  </w:r>
                </w:p>
              </w:tc>
              <w:tc>
                <w:tcPr>
                  <w:tcW w:w="449" w:type="pct"/>
                  <w:tcBorders>
                    <w:bottom w:val="single" w:color="auto" w:sz="12" w:space="0"/>
                  </w:tcBorders>
                  <w:noWrap w:val="0"/>
                  <w:vAlign w:val="center"/>
                </w:tcPr>
                <w:p w14:paraId="78282159">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占地面积（m²）</w:t>
                  </w:r>
                </w:p>
              </w:tc>
              <w:tc>
                <w:tcPr>
                  <w:tcW w:w="750" w:type="pct"/>
                  <w:tcBorders>
                    <w:bottom w:val="single" w:color="auto" w:sz="12" w:space="0"/>
                  </w:tcBorders>
                  <w:noWrap w:val="0"/>
                  <w:vAlign w:val="center"/>
                </w:tcPr>
                <w:p w14:paraId="0C0E11D8">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贮存方式</w:t>
                  </w:r>
                </w:p>
              </w:tc>
              <w:tc>
                <w:tcPr>
                  <w:tcW w:w="441" w:type="pct"/>
                  <w:tcBorders>
                    <w:bottom w:val="single" w:color="auto" w:sz="12" w:space="0"/>
                  </w:tcBorders>
                  <w:noWrap w:val="0"/>
                  <w:vAlign w:val="center"/>
                </w:tcPr>
                <w:p w14:paraId="370FD5AC">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贮存能力（t）</w:t>
                  </w:r>
                </w:p>
              </w:tc>
              <w:tc>
                <w:tcPr>
                  <w:tcW w:w="407" w:type="pct"/>
                  <w:tcBorders>
                    <w:bottom w:val="single" w:color="auto" w:sz="12" w:space="0"/>
                  </w:tcBorders>
                  <w:noWrap w:val="0"/>
                  <w:vAlign w:val="center"/>
                </w:tcPr>
                <w:p w14:paraId="70A532A9">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贮存周期</w:t>
                  </w:r>
                </w:p>
              </w:tc>
            </w:tr>
            <w:tr w14:paraId="58E53A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301" w:type="pct"/>
                  <w:tcBorders>
                    <w:top w:val="single" w:color="auto" w:sz="12" w:space="0"/>
                    <w:bottom w:val="single" w:color="auto" w:sz="4" w:space="0"/>
                  </w:tcBorders>
                  <w:noWrap w:val="0"/>
                  <w:vAlign w:val="center"/>
                </w:tcPr>
                <w:p w14:paraId="050169C7">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w:t>
                  </w:r>
                </w:p>
              </w:tc>
              <w:tc>
                <w:tcPr>
                  <w:tcW w:w="514" w:type="pct"/>
                  <w:vMerge w:val="restart"/>
                  <w:tcBorders>
                    <w:top w:val="single" w:color="auto" w:sz="12" w:space="0"/>
                  </w:tcBorders>
                  <w:noWrap w:val="0"/>
                  <w:vAlign w:val="center"/>
                </w:tcPr>
                <w:p w14:paraId="5DCE0FC9">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危废贮存库</w:t>
                  </w:r>
                </w:p>
              </w:tc>
              <w:tc>
                <w:tcPr>
                  <w:tcW w:w="514" w:type="pct"/>
                  <w:tcBorders>
                    <w:top w:val="single" w:color="auto" w:sz="12" w:space="0"/>
                    <w:bottom w:val="single" w:color="auto" w:sz="4" w:space="0"/>
                  </w:tcBorders>
                  <w:noWrap w:val="0"/>
                  <w:vAlign w:val="center"/>
                </w:tcPr>
                <w:p w14:paraId="7F148F60">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实验室废液</w:t>
                  </w:r>
                </w:p>
              </w:tc>
              <w:tc>
                <w:tcPr>
                  <w:tcW w:w="538" w:type="pct"/>
                  <w:tcBorders>
                    <w:top w:val="single" w:color="auto" w:sz="12" w:space="0"/>
                    <w:bottom w:val="single" w:color="auto" w:sz="4" w:space="0"/>
                  </w:tcBorders>
                  <w:noWrap w:val="0"/>
                  <w:vAlign w:val="center"/>
                </w:tcPr>
                <w:p w14:paraId="576DC476">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rPr>
                    <w:t>HW49</w:t>
                  </w:r>
                </w:p>
              </w:tc>
              <w:tc>
                <w:tcPr>
                  <w:tcW w:w="495" w:type="pct"/>
                  <w:tcBorders>
                    <w:top w:val="single" w:color="auto" w:sz="12" w:space="0"/>
                    <w:bottom w:val="single" w:color="auto" w:sz="4" w:space="0"/>
                  </w:tcBorders>
                  <w:noWrap w:val="0"/>
                  <w:vAlign w:val="center"/>
                </w:tcPr>
                <w:p w14:paraId="15C1166E">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rPr>
                    <w:t>900-047-49</w:t>
                  </w:r>
                </w:p>
              </w:tc>
              <w:tc>
                <w:tcPr>
                  <w:tcW w:w="588" w:type="pct"/>
                  <w:vMerge w:val="restart"/>
                  <w:tcBorders>
                    <w:top w:val="single" w:color="auto" w:sz="12" w:space="0"/>
                  </w:tcBorders>
                  <w:shd w:val="clear" w:color="auto" w:fill="auto"/>
                  <w:noWrap w:val="0"/>
                  <w:vAlign w:val="center"/>
                </w:tcPr>
                <w:p w14:paraId="7D4C285F">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lang w:val="en-US" w:eastAsia="zh-CN" w:bidi="ar-SA"/>
                    </w:rPr>
                    <w:t>昌吉职业技术学院内一号教学</w:t>
                  </w:r>
                  <w:r>
                    <w:rPr>
                      <w:rFonts w:hint="eastAsia" w:cs="Times New Roman" w:eastAsiaTheme="minorEastAsia"/>
                      <w:color w:val="auto"/>
                      <w:kern w:val="0"/>
                      <w:sz w:val="21"/>
                      <w:szCs w:val="21"/>
                      <w:lang w:val="en-US" w:eastAsia="zh-CN" w:bidi="ar-SA"/>
                    </w:rPr>
                    <w:t>楼B段</w:t>
                  </w:r>
                  <w:r>
                    <w:rPr>
                      <w:rFonts w:hint="default" w:ascii="Times New Roman" w:hAnsi="Times New Roman" w:cs="Times New Roman" w:eastAsiaTheme="minorEastAsia"/>
                      <w:color w:val="auto"/>
                      <w:kern w:val="0"/>
                      <w:sz w:val="21"/>
                      <w:szCs w:val="21"/>
                      <w:lang w:val="en-US" w:eastAsia="zh-CN" w:bidi="ar-SA"/>
                    </w:rPr>
                    <w:t>西侧</w:t>
                  </w:r>
                </w:p>
              </w:tc>
              <w:tc>
                <w:tcPr>
                  <w:tcW w:w="449" w:type="pct"/>
                  <w:vMerge w:val="restart"/>
                  <w:tcBorders>
                    <w:top w:val="single" w:color="auto" w:sz="12" w:space="0"/>
                  </w:tcBorders>
                  <w:shd w:val="clear" w:color="auto" w:fill="auto"/>
                  <w:noWrap w:val="0"/>
                  <w:vAlign w:val="center"/>
                </w:tcPr>
                <w:p w14:paraId="2A35C4F0">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eastAsia" w:ascii="Times New Roman" w:hAnsi="Times New Roman" w:cs="Times New Roman" w:eastAsiaTheme="minorEastAsia"/>
                      <w:color w:val="auto"/>
                      <w:kern w:val="0"/>
                      <w:sz w:val="21"/>
                      <w:szCs w:val="21"/>
                      <w:lang w:val="en-US" w:eastAsia="zh-CN" w:bidi="ar-SA"/>
                    </w:rPr>
                    <w:t>8</w:t>
                  </w:r>
                </w:p>
              </w:tc>
              <w:tc>
                <w:tcPr>
                  <w:tcW w:w="750" w:type="pct"/>
                  <w:tcBorders>
                    <w:top w:val="single" w:color="auto" w:sz="12" w:space="0"/>
                    <w:bottom w:val="single" w:color="auto" w:sz="4" w:space="0"/>
                  </w:tcBorders>
                  <w:shd w:val="clear" w:color="auto" w:fill="auto"/>
                  <w:noWrap w:val="0"/>
                  <w:vAlign w:val="center"/>
                </w:tcPr>
                <w:p w14:paraId="4AD125CC">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lang w:val="en-US" w:eastAsia="zh-CN" w:bidi="ar-SA"/>
                    </w:rPr>
                    <w:t>25L密闭塑料桶</w:t>
                  </w:r>
                </w:p>
              </w:tc>
              <w:tc>
                <w:tcPr>
                  <w:tcW w:w="441" w:type="pct"/>
                  <w:tcBorders>
                    <w:top w:val="single" w:color="auto" w:sz="12" w:space="0"/>
                    <w:bottom w:val="single" w:color="auto" w:sz="4" w:space="0"/>
                  </w:tcBorders>
                  <w:shd w:val="clear" w:color="auto" w:fill="auto"/>
                  <w:noWrap w:val="0"/>
                  <w:vAlign w:val="center"/>
                </w:tcPr>
                <w:p w14:paraId="69769E95">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0.5</w:t>
                  </w:r>
                </w:p>
              </w:tc>
              <w:tc>
                <w:tcPr>
                  <w:tcW w:w="407" w:type="pct"/>
                  <w:tcBorders>
                    <w:top w:val="single" w:color="auto" w:sz="12" w:space="0"/>
                    <w:bottom w:val="single" w:color="auto" w:sz="4" w:space="0"/>
                  </w:tcBorders>
                  <w:shd w:val="clear" w:color="auto" w:fill="auto"/>
                  <w:noWrap w:val="0"/>
                  <w:vAlign w:val="center"/>
                </w:tcPr>
                <w:p w14:paraId="53F67F78">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1年</w:t>
                  </w:r>
                </w:p>
              </w:tc>
            </w:tr>
            <w:tr w14:paraId="47AFA6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301" w:type="pct"/>
                  <w:tcBorders>
                    <w:top w:val="single" w:color="auto" w:sz="4" w:space="0"/>
                    <w:bottom w:val="single" w:color="auto" w:sz="4" w:space="0"/>
                  </w:tcBorders>
                  <w:noWrap w:val="0"/>
                  <w:vAlign w:val="center"/>
                </w:tcPr>
                <w:p w14:paraId="66B66D84">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2</w:t>
                  </w:r>
                </w:p>
              </w:tc>
              <w:tc>
                <w:tcPr>
                  <w:tcW w:w="514" w:type="pct"/>
                  <w:vMerge w:val="continue"/>
                  <w:noWrap w:val="0"/>
                  <w:vAlign w:val="center"/>
                </w:tcPr>
                <w:p w14:paraId="41082B12">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p>
              </w:tc>
              <w:tc>
                <w:tcPr>
                  <w:tcW w:w="514" w:type="pct"/>
                  <w:tcBorders>
                    <w:top w:val="single" w:color="auto" w:sz="4" w:space="0"/>
                    <w:bottom w:val="single" w:color="auto" w:sz="4" w:space="0"/>
                  </w:tcBorders>
                  <w:noWrap w:val="0"/>
                  <w:vAlign w:val="center"/>
                </w:tcPr>
                <w:p w14:paraId="022DA40C">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过期试剂</w:t>
                  </w:r>
                </w:p>
              </w:tc>
              <w:tc>
                <w:tcPr>
                  <w:tcW w:w="538" w:type="pct"/>
                  <w:tcBorders>
                    <w:top w:val="single" w:color="auto" w:sz="4" w:space="0"/>
                    <w:bottom w:val="single" w:color="auto" w:sz="4" w:space="0"/>
                  </w:tcBorders>
                  <w:noWrap w:val="0"/>
                  <w:vAlign w:val="center"/>
                </w:tcPr>
                <w:p w14:paraId="4310E442">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rPr>
                    <w:t>HW49</w:t>
                  </w:r>
                </w:p>
              </w:tc>
              <w:tc>
                <w:tcPr>
                  <w:tcW w:w="495" w:type="pct"/>
                  <w:tcBorders>
                    <w:top w:val="single" w:color="auto" w:sz="4" w:space="0"/>
                    <w:bottom w:val="single" w:color="auto" w:sz="4" w:space="0"/>
                  </w:tcBorders>
                  <w:noWrap w:val="0"/>
                  <w:vAlign w:val="center"/>
                </w:tcPr>
                <w:p w14:paraId="4E0018AE">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rPr>
                    <w:t>900-</w:t>
                  </w:r>
                  <w:r>
                    <w:rPr>
                      <w:rFonts w:hint="eastAsia" w:cs="Times New Roman" w:eastAsiaTheme="minorEastAsia"/>
                      <w:color w:val="auto"/>
                      <w:sz w:val="21"/>
                      <w:szCs w:val="21"/>
                      <w:lang w:val="en-US" w:eastAsia="zh-CN"/>
                    </w:rPr>
                    <w:t>999</w:t>
                  </w:r>
                  <w:r>
                    <w:rPr>
                      <w:rFonts w:hint="default" w:ascii="Times New Roman" w:hAnsi="Times New Roman" w:cs="Times New Roman" w:eastAsiaTheme="minorEastAsia"/>
                      <w:color w:val="auto"/>
                      <w:sz w:val="21"/>
                      <w:szCs w:val="21"/>
                      <w:lang w:val="en-US"/>
                    </w:rPr>
                    <w:t>-49</w:t>
                  </w:r>
                </w:p>
              </w:tc>
              <w:tc>
                <w:tcPr>
                  <w:tcW w:w="588" w:type="pct"/>
                  <w:vMerge w:val="continue"/>
                  <w:shd w:val="clear" w:color="auto" w:fill="auto"/>
                  <w:noWrap w:val="0"/>
                  <w:vAlign w:val="center"/>
                </w:tcPr>
                <w:p w14:paraId="07FE4EDE">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p>
              </w:tc>
              <w:tc>
                <w:tcPr>
                  <w:tcW w:w="449" w:type="pct"/>
                  <w:vMerge w:val="continue"/>
                  <w:shd w:val="clear" w:color="auto" w:fill="auto"/>
                  <w:noWrap w:val="0"/>
                  <w:vAlign w:val="center"/>
                </w:tcPr>
                <w:p w14:paraId="61220B4C">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p>
              </w:tc>
              <w:tc>
                <w:tcPr>
                  <w:tcW w:w="750" w:type="pct"/>
                  <w:tcBorders>
                    <w:top w:val="single" w:color="auto" w:sz="4" w:space="0"/>
                    <w:bottom w:val="single" w:color="auto" w:sz="4" w:space="0"/>
                  </w:tcBorders>
                  <w:shd w:val="clear" w:color="auto" w:fill="auto"/>
                  <w:noWrap w:val="0"/>
                  <w:vAlign w:val="center"/>
                </w:tcPr>
                <w:p w14:paraId="1C760B3F">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lang w:val="en-US" w:eastAsia="zh-CN" w:bidi="ar-SA"/>
                    </w:rPr>
                    <w:t>25L密闭塑料桶</w:t>
                  </w:r>
                </w:p>
              </w:tc>
              <w:tc>
                <w:tcPr>
                  <w:tcW w:w="441" w:type="pct"/>
                  <w:tcBorders>
                    <w:top w:val="single" w:color="auto" w:sz="4" w:space="0"/>
                    <w:bottom w:val="single" w:color="auto" w:sz="4" w:space="0"/>
                  </w:tcBorders>
                  <w:shd w:val="clear" w:color="auto" w:fill="auto"/>
                  <w:noWrap w:val="0"/>
                  <w:vAlign w:val="center"/>
                </w:tcPr>
                <w:p w14:paraId="7FCBF071">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0.1</w:t>
                  </w:r>
                </w:p>
              </w:tc>
              <w:tc>
                <w:tcPr>
                  <w:tcW w:w="407" w:type="pct"/>
                  <w:tcBorders>
                    <w:top w:val="single" w:color="auto" w:sz="4" w:space="0"/>
                    <w:bottom w:val="single" w:color="auto" w:sz="4" w:space="0"/>
                  </w:tcBorders>
                  <w:shd w:val="clear" w:color="auto" w:fill="auto"/>
                  <w:noWrap w:val="0"/>
                  <w:vAlign w:val="center"/>
                </w:tcPr>
                <w:p w14:paraId="7FBD0C1D">
                  <w:pPr>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1年</w:t>
                  </w:r>
                </w:p>
              </w:tc>
            </w:tr>
            <w:tr w14:paraId="38706A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301" w:type="pct"/>
                  <w:tcBorders>
                    <w:top w:val="single" w:color="auto" w:sz="4" w:space="0"/>
                    <w:bottom w:val="single" w:color="auto" w:sz="12" w:space="0"/>
                  </w:tcBorders>
                  <w:noWrap w:val="0"/>
                  <w:vAlign w:val="center"/>
                </w:tcPr>
                <w:p w14:paraId="1A459C37">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3</w:t>
                  </w:r>
                </w:p>
              </w:tc>
              <w:tc>
                <w:tcPr>
                  <w:tcW w:w="514" w:type="pct"/>
                  <w:vMerge w:val="continue"/>
                  <w:tcBorders>
                    <w:bottom w:val="single" w:color="auto" w:sz="12" w:space="0"/>
                  </w:tcBorders>
                  <w:shd w:val="clear" w:color="auto" w:fill="auto"/>
                  <w:noWrap w:val="0"/>
                  <w:vAlign w:val="center"/>
                </w:tcPr>
                <w:p w14:paraId="0293D0A4">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eastAsia="zh-CN"/>
                    </w:rPr>
                  </w:pPr>
                </w:p>
              </w:tc>
              <w:tc>
                <w:tcPr>
                  <w:tcW w:w="514" w:type="pct"/>
                  <w:tcBorders>
                    <w:top w:val="single" w:color="auto" w:sz="4" w:space="0"/>
                    <w:bottom w:val="single" w:color="auto" w:sz="12" w:space="0"/>
                  </w:tcBorders>
                  <w:shd w:val="clear" w:color="auto" w:fill="auto"/>
                  <w:noWrap w:val="0"/>
                  <w:vAlign w:val="center"/>
                </w:tcPr>
                <w:p w14:paraId="022A0A38">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废试剂瓶</w:t>
                  </w:r>
                </w:p>
              </w:tc>
              <w:tc>
                <w:tcPr>
                  <w:tcW w:w="538" w:type="pct"/>
                  <w:tcBorders>
                    <w:top w:val="single" w:color="auto" w:sz="4" w:space="0"/>
                    <w:bottom w:val="single" w:color="auto" w:sz="12" w:space="0"/>
                  </w:tcBorders>
                  <w:shd w:val="clear" w:color="auto" w:fill="auto"/>
                  <w:noWrap w:val="0"/>
                  <w:vAlign w:val="center"/>
                </w:tcPr>
                <w:p w14:paraId="79C690AE">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rPr>
                    <w:t>HW49</w:t>
                  </w:r>
                </w:p>
              </w:tc>
              <w:tc>
                <w:tcPr>
                  <w:tcW w:w="495" w:type="pct"/>
                  <w:tcBorders>
                    <w:top w:val="single" w:color="auto" w:sz="4" w:space="0"/>
                    <w:bottom w:val="single" w:color="auto" w:sz="12" w:space="0"/>
                  </w:tcBorders>
                  <w:shd w:val="clear" w:color="auto" w:fill="auto"/>
                  <w:noWrap w:val="0"/>
                  <w:vAlign w:val="center"/>
                </w:tcPr>
                <w:p w14:paraId="61BB83A8">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jc w:val="center"/>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rPr>
                    <w:t>900-04</w:t>
                  </w:r>
                  <w:r>
                    <w:rPr>
                      <w:rFonts w:hint="default" w:ascii="Times New Roman" w:hAnsi="Times New Roman" w:cs="Times New Roman" w:eastAsiaTheme="minorEastAsia"/>
                      <w:color w:val="auto"/>
                      <w:sz w:val="21"/>
                      <w:szCs w:val="21"/>
                      <w:lang w:val="en-US" w:eastAsia="zh-CN"/>
                    </w:rPr>
                    <w:t>1</w:t>
                  </w:r>
                  <w:r>
                    <w:rPr>
                      <w:rFonts w:hint="default" w:ascii="Times New Roman" w:hAnsi="Times New Roman" w:cs="Times New Roman" w:eastAsiaTheme="minorEastAsia"/>
                      <w:color w:val="auto"/>
                      <w:sz w:val="21"/>
                      <w:szCs w:val="21"/>
                      <w:lang w:val="en-US"/>
                    </w:rPr>
                    <w:t>-49</w:t>
                  </w:r>
                </w:p>
              </w:tc>
              <w:tc>
                <w:tcPr>
                  <w:tcW w:w="588" w:type="pct"/>
                  <w:vMerge w:val="continue"/>
                  <w:tcBorders>
                    <w:bottom w:val="single" w:color="auto" w:sz="12" w:space="0"/>
                  </w:tcBorders>
                  <w:shd w:val="clear" w:color="auto" w:fill="auto"/>
                  <w:noWrap w:val="0"/>
                  <w:vAlign w:val="center"/>
                </w:tcPr>
                <w:p w14:paraId="4524667A">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p>
              </w:tc>
              <w:tc>
                <w:tcPr>
                  <w:tcW w:w="449" w:type="pct"/>
                  <w:vMerge w:val="continue"/>
                  <w:tcBorders>
                    <w:bottom w:val="single" w:color="auto" w:sz="12" w:space="0"/>
                  </w:tcBorders>
                  <w:shd w:val="clear" w:color="auto" w:fill="auto"/>
                  <w:noWrap w:val="0"/>
                  <w:vAlign w:val="center"/>
                </w:tcPr>
                <w:p w14:paraId="45AE004A">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p>
              </w:tc>
              <w:tc>
                <w:tcPr>
                  <w:tcW w:w="750" w:type="pct"/>
                  <w:tcBorders>
                    <w:top w:val="single" w:color="auto" w:sz="4" w:space="0"/>
                    <w:bottom w:val="single" w:color="auto" w:sz="12" w:space="0"/>
                  </w:tcBorders>
                  <w:shd w:val="clear" w:color="auto" w:fill="auto"/>
                  <w:noWrap w:val="0"/>
                  <w:vAlign w:val="center"/>
                </w:tcPr>
                <w:p w14:paraId="5DA0A3AB">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kern w:val="0"/>
                      <w:sz w:val="21"/>
                      <w:szCs w:val="21"/>
                      <w:lang w:val="en-US" w:eastAsia="zh-CN" w:bidi="ar-SA"/>
                    </w:rPr>
                    <w:t>瓶盖拧紧后装入密闭周转箱</w:t>
                  </w:r>
                </w:p>
              </w:tc>
              <w:tc>
                <w:tcPr>
                  <w:tcW w:w="441" w:type="pct"/>
                  <w:tcBorders>
                    <w:top w:val="single" w:color="auto" w:sz="4" w:space="0"/>
                    <w:bottom w:val="single" w:color="auto" w:sz="12" w:space="0"/>
                  </w:tcBorders>
                  <w:shd w:val="clear" w:color="auto" w:fill="auto"/>
                  <w:noWrap w:val="0"/>
                  <w:vAlign w:val="center"/>
                </w:tcPr>
                <w:p w14:paraId="021E44BE">
                  <w:pPr>
                    <w:pStyle w:val="4"/>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0.4</w:t>
                  </w:r>
                </w:p>
              </w:tc>
              <w:tc>
                <w:tcPr>
                  <w:tcW w:w="407" w:type="pct"/>
                  <w:tcBorders>
                    <w:top w:val="single" w:color="auto" w:sz="4" w:space="0"/>
                    <w:bottom w:val="single" w:color="auto" w:sz="12" w:space="0"/>
                  </w:tcBorders>
                  <w:shd w:val="clear" w:color="auto" w:fill="auto"/>
                  <w:noWrap w:val="0"/>
                  <w:vAlign w:val="center"/>
                </w:tcPr>
                <w:p w14:paraId="7DBBE987">
                  <w:pPr>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1年</w:t>
                  </w:r>
                </w:p>
              </w:tc>
            </w:tr>
          </w:tbl>
          <w:p w14:paraId="38D55155">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baseline"/>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昌吉职业技术学院现有工程危险废物年产生量约1.0t，其中实验室废液约0.5t/a、过期废试剂约0.1t/a、废试剂瓶约0.4t/a，危险废物定期委托有资质单位转运处置，贮存周期按1年计，最大贮存量约1.0t。液态危险废物（实验室废液、过期试剂）采用25L密闭塑料桶分装（容量约25kg），满桶量约24桶，每桶含操作间隙占地约0.12m²，合计约</w:t>
            </w:r>
            <w:r>
              <w:rPr>
                <w:rFonts w:hint="eastAsia" w:cs="Times New Roman" w:eastAsiaTheme="minorEastAsia"/>
                <w:color w:val="auto"/>
                <w:sz w:val="24"/>
                <w:lang w:val="en-US" w:eastAsia="zh-CN"/>
              </w:rPr>
              <w:t>3</w:t>
            </w:r>
            <w:r>
              <w:rPr>
                <w:rFonts w:hint="default" w:ascii="Times New Roman" w:hAnsi="Times New Roman" w:cs="Times New Roman" w:eastAsiaTheme="minorEastAsia"/>
                <w:color w:val="auto"/>
                <w:sz w:val="24"/>
                <w:lang w:val="en-US" w:eastAsia="zh-CN"/>
              </w:rPr>
              <w:t>m²；废试剂瓶0.4t采用周转箱分区存放，占地约1.5~2m²；作业通道及门区约2.0m²，</w:t>
            </w:r>
            <w:r>
              <w:rPr>
                <w:rFonts w:hint="eastAsia" w:cs="Times New Roman" w:eastAsiaTheme="minorEastAsia"/>
                <w:color w:val="auto"/>
                <w:sz w:val="24"/>
                <w:lang w:val="en-US" w:eastAsia="zh-CN"/>
              </w:rPr>
              <w:t>贮存库</w:t>
            </w:r>
            <w:r>
              <w:rPr>
                <w:rFonts w:hint="default" w:ascii="Times New Roman" w:hAnsi="Times New Roman" w:cs="Times New Roman" w:eastAsiaTheme="minorEastAsia"/>
                <w:color w:val="auto"/>
                <w:sz w:val="24"/>
                <w:lang w:val="en-US" w:eastAsia="zh-CN"/>
              </w:rPr>
              <w:t>占地约</w:t>
            </w:r>
            <w:r>
              <w:rPr>
                <w:rFonts w:hint="eastAsia" w:cs="Times New Roman" w:eastAsiaTheme="minorEastAsia"/>
                <w:color w:val="auto"/>
                <w:sz w:val="24"/>
                <w:lang w:val="en-US" w:eastAsia="zh-CN"/>
              </w:rPr>
              <w:t>6.5</w:t>
            </w:r>
            <w:r>
              <w:rPr>
                <w:rFonts w:hint="default" w:ascii="Times New Roman" w:hAnsi="Times New Roman" w:cs="Times New Roman" w:eastAsiaTheme="minorEastAsia"/>
                <w:color w:val="auto"/>
                <w:sz w:val="24"/>
                <w:lang w:val="en-US" w:eastAsia="zh-CN"/>
              </w:rPr>
              <w:t>~</w:t>
            </w:r>
            <w:r>
              <w:rPr>
                <w:rFonts w:hint="eastAsia" w:cs="Times New Roman" w:eastAsiaTheme="minorEastAsia"/>
                <w:color w:val="auto"/>
                <w:sz w:val="24"/>
                <w:lang w:val="en-US" w:eastAsia="zh-CN"/>
              </w:rPr>
              <w:t>7</w:t>
            </w:r>
            <w:r>
              <w:rPr>
                <w:rFonts w:hint="default" w:ascii="Times New Roman" w:hAnsi="Times New Roman" w:cs="Times New Roman" w:eastAsiaTheme="minorEastAsia"/>
                <w:color w:val="auto"/>
                <w:sz w:val="24"/>
                <w:lang w:val="en-US" w:eastAsia="zh-CN"/>
              </w:rPr>
              <w:t>m²。本项目集装箱式</w:t>
            </w:r>
            <w:r>
              <w:rPr>
                <w:rFonts w:hint="eastAsia" w:cs="Times New Roman" w:eastAsiaTheme="minorEastAsia"/>
                <w:color w:val="auto"/>
                <w:sz w:val="24"/>
                <w:lang w:val="en-US" w:eastAsia="zh-CN"/>
              </w:rPr>
              <w:t>贮存库</w:t>
            </w:r>
            <w:r>
              <w:rPr>
                <w:rFonts w:hint="default" w:ascii="Times New Roman" w:hAnsi="Times New Roman" w:cs="Times New Roman" w:eastAsiaTheme="minorEastAsia"/>
                <w:color w:val="auto"/>
                <w:sz w:val="24"/>
                <w:lang w:val="en-US" w:eastAsia="zh-CN"/>
              </w:rPr>
              <w:t>尺寸2</w:t>
            </w:r>
            <w:r>
              <w:rPr>
                <w:rFonts w:hint="eastAsia" w:cs="Times New Roman" w:eastAsiaTheme="minorEastAsia"/>
                <w:color w:val="auto"/>
                <w:sz w:val="24"/>
                <w:lang w:val="en-US" w:eastAsia="zh-CN"/>
              </w:rPr>
              <w:t>m</w:t>
            </w:r>
            <w:r>
              <w:rPr>
                <w:rFonts w:hint="default" w:ascii="Times New Roman" w:hAnsi="Times New Roman" w:cs="Times New Roman" w:eastAsiaTheme="minorEastAsia"/>
                <w:color w:val="auto"/>
                <w:sz w:val="24"/>
                <w:lang w:val="en-US" w:eastAsia="zh-CN"/>
              </w:rPr>
              <w:t>×4</w:t>
            </w:r>
            <w:r>
              <w:rPr>
                <w:rFonts w:hint="eastAsia" w:cs="Times New Roman" w:eastAsiaTheme="minorEastAsia"/>
                <w:color w:val="auto"/>
                <w:sz w:val="24"/>
                <w:lang w:val="en-US" w:eastAsia="zh-CN"/>
              </w:rPr>
              <w:t>m</w:t>
            </w:r>
            <w:r>
              <w:rPr>
                <w:rFonts w:hint="default" w:ascii="Times New Roman" w:hAnsi="Times New Roman" w:cs="Times New Roman" w:eastAsiaTheme="minorEastAsia"/>
                <w:color w:val="auto"/>
                <w:sz w:val="24"/>
                <w:lang w:val="en-US" w:eastAsia="zh-CN"/>
              </w:rPr>
              <w:t>，占地约8m²，贮存规模与学院实际危废产生量匹配。</w:t>
            </w:r>
          </w:p>
          <w:p w14:paraId="4FF6A4A7">
            <w:pPr>
              <w:pStyle w:val="26"/>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left="0" w:leftChars="0" w:right="0" w:rightChars="0" w:firstLine="0" w:firstLineChars="0"/>
              <w:textAlignment w:val="auto"/>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bCs/>
                <w:color w:val="auto"/>
                <w:kern w:val="2"/>
                <w:sz w:val="24"/>
                <w:szCs w:val="24"/>
                <w:lang w:val="en-US" w:eastAsia="zh-CN" w:bidi="ar-SA"/>
              </w:rPr>
              <w:t xml:space="preserve">5 </w:t>
            </w:r>
            <w:r>
              <w:rPr>
                <w:rFonts w:hint="default" w:ascii="Times New Roman" w:hAnsi="Times New Roman" w:cs="Times New Roman" w:eastAsiaTheme="minorEastAsia"/>
                <w:b/>
                <w:bCs/>
                <w:color w:val="auto"/>
                <w:sz w:val="24"/>
              </w:rPr>
              <w:t>生产制度及劳动定员</w:t>
            </w:r>
          </w:p>
          <w:p w14:paraId="79BB6263">
            <w:pPr>
              <w:keepNext w:val="0"/>
              <w:keepLines w:val="0"/>
              <w:pageBreakBefore w:val="0"/>
              <w:widowControl w:val="0"/>
              <w:kinsoku/>
              <w:wordWrap/>
              <w:overflowPunct w:val="0"/>
              <w:topLinePunct w:val="0"/>
              <w:autoSpaceDE/>
              <w:autoSpaceDN/>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highlight w:val="none"/>
              </w:rPr>
            </w:pPr>
            <w:r>
              <w:rPr>
                <w:rFonts w:hint="default" w:ascii="Times New Roman" w:hAnsi="Times New Roman" w:cs="Times New Roman" w:eastAsiaTheme="minorEastAsia"/>
                <w:color w:val="auto"/>
                <w:sz w:val="24"/>
                <w:highlight w:val="none"/>
                <w:lang w:val="en-US" w:eastAsia="zh-CN"/>
              </w:rPr>
              <w:t>本次项目管理人员在校区内现有人员进行调配，不再增加员工，</w:t>
            </w:r>
            <w:r>
              <w:rPr>
                <w:rFonts w:hint="default" w:ascii="Times New Roman" w:hAnsi="Times New Roman" w:cs="Times New Roman" w:eastAsiaTheme="minorEastAsia"/>
                <w:color w:val="auto"/>
                <w:sz w:val="24"/>
                <w:highlight w:val="none"/>
              </w:rPr>
              <w:t>年工作</w:t>
            </w:r>
            <w:r>
              <w:rPr>
                <w:rFonts w:hint="default" w:ascii="Times New Roman" w:hAnsi="Times New Roman" w:cs="Times New Roman" w:eastAsiaTheme="minorEastAsia"/>
                <w:color w:val="auto"/>
                <w:sz w:val="24"/>
                <w:highlight w:val="none"/>
                <w:lang w:val="en-US" w:eastAsia="zh-CN"/>
              </w:rPr>
              <w:t>270</w:t>
            </w:r>
            <w:r>
              <w:rPr>
                <w:rFonts w:hint="default" w:ascii="Times New Roman" w:hAnsi="Times New Roman" w:cs="Times New Roman" w:eastAsiaTheme="minorEastAsia"/>
                <w:color w:val="auto"/>
                <w:sz w:val="24"/>
                <w:highlight w:val="none"/>
              </w:rPr>
              <w:t>天，</w:t>
            </w:r>
            <w:r>
              <w:rPr>
                <w:rFonts w:hint="default" w:ascii="Times New Roman" w:hAnsi="Times New Roman" w:cs="Times New Roman" w:eastAsiaTheme="minorEastAsia"/>
                <w:color w:val="auto"/>
                <w:sz w:val="24"/>
                <w:highlight w:val="none"/>
                <w:lang w:val="en-US" w:eastAsia="zh-CN"/>
              </w:rPr>
              <w:t>单班制</w:t>
            </w:r>
            <w:r>
              <w:rPr>
                <w:rFonts w:hint="default" w:ascii="Times New Roman" w:hAnsi="Times New Roman" w:cs="Times New Roman" w:eastAsiaTheme="minorEastAsia"/>
                <w:color w:val="auto"/>
                <w:sz w:val="24"/>
                <w:highlight w:val="none"/>
              </w:rPr>
              <w:t>，每班</w:t>
            </w:r>
            <w:r>
              <w:rPr>
                <w:rFonts w:hint="default" w:ascii="Times New Roman" w:hAnsi="Times New Roman" w:cs="Times New Roman" w:eastAsiaTheme="minorEastAsia"/>
                <w:color w:val="auto"/>
                <w:sz w:val="24"/>
                <w:highlight w:val="none"/>
                <w:lang w:val="en-US" w:eastAsia="zh-CN"/>
              </w:rPr>
              <w:t>8</w:t>
            </w:r>
            <w:r>
              <w:rPr>
                <w:rFonts w:hint="default" w:ascii="Times New Roman" w:hAnsi="Times New Roman" w:cs="Times New Roman" w:eastAsiaTheme="minorEastAsia"/>
                <w:color w:val="auto"/>
                <w:sz w:val="24"/>
                <w:highlight w:val="none"/>
              </w:rPr>
              <w:t>小时，年工作</w:t>
            </w:r>
            <w:r>
              <w:rPr>
                <w:rFonts w:hint="default" w:ascii="Times New Roman" w:hAnsi="Times New Roman" w:cs="Times New Roman" w:eastAsiaTheme="minorEastAsia"/>
                <w:color w:val="auto"/>
                <w:sz w:val="24"/>
                <w:highlight w:val="none"/>
                <w:lang w:val="en-US" w:eastAsia="zh-CN"/>
              </w:rPr>
              <w:t>2160</w:t>
            </w:r>
            <w:r>
              <w:rPr>
                <w:rFonts w:hint="default" w:ascii="Times New Roman" w:hAnsi="Times New Roman" w:cs="Times New Roman" w:eastAsiaTheme="minorEastAsia"/>
                <w:color w:val="auto"/>
                <w:sz w:val="24"/>
                <w:highlight w:val="none"/>
              </w:rPr>
              <w:t>小时。</w:t>
            </w:r>
          </w:p>
          <w:p w14:paraId="179D65B7">
            <w:pPr>
              <w:keepNext w:val="0"/>
              <w:keepLines w:val="0"/>
              <w:pageBreakBefore w:val="0"/>
              <w:widowControl w:val="0"/>
              <w:kinsoku/>
              <w:wordWrap/>
              <w:topLinePunct w:val="0"/>
              <w:autoSpaceDE/>
              <w:autoSpaceDN/>
              <w:bidi w:val="0"/>
              <w:spacing w:beforeAutospacing="0" w:afterAutospacing="0" w:line="360" w:lineRule="auto"/>
              <w:ind w:left="0" w:leftChars="0" w:right="0" w:rightChars="0"/>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6 公用工程</w:t>
            </w:r>
          </w:p>
          <w:p w14:paraId="18746EF9">
            <w:pPr>
              <w:keepNext w:val="0"/>
              <w:keepLines w:val="0"/>
              <w:pageBreakBefore w:val="0"/>
              <w:widowControl w:val="0"/>
              <w:kinsoku/>
              <w:wordWrap/>
              <w:topLinePunct w:val="0"/>
              <w:autoSpaceDE/>
              <w:autoSpaceDN/>
              <w:bidi w:val="0"/>
              <w:spacing w:beforeAutospacing="0" w:afterAutospacing="0" w:line="360" w:lineRule="auto"/>
              <w:ind w:left="0" w:leftChars="0" w:right="0" w:rightChars="0"/>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bCs/>
                <w:color w:val="auto"/>
                <w:sz w:val="24"/>
                <w:lang w:val="en-US" w:eastAsia="zh-CN"/>
              </w:rPr>
              <w:t>6</w:t>
            </w:r>
            <w:r>
              <w:rPr>
                <w:rFonts w:hint="default" w:ascii="Times New Roman" w:hAnsi="Times New Roman" w:cs="Times New Roman" w:eastAsiaTheme="minorEastAsia"/>
                <w:b/>
                <w:bCs/>
                <w:color w:val="auto"/>
                <w:sz w:val="24"/>
              </w:rPr>
              <w:t>.1</w:t>
            </w:r>
            <w:r>
              <w:rPr>
                <w:rFonts w:hint="default" w:ascii="Times New Roman" w:hAnsi="Times New Roman" w:cs="Times New Roman" w:eastAsiaTheme="minorEastAsia"/>
                <w:b/>
                <w:bCs/>
                <w:color w:val="auto"/>
                <w:sz w:val="24"/>
                <w:lang w:val="en-US" w:eastAsia="zh-CN"/>
              </w:rPr>
              <w:t xml:space="preserve"> </w:t>
            </w:r>
            <w:r>
              <w:rPr>
                <w:rFonts w:hint="default" w:ascii="Times New Roman" w:hAnsi="Times New Roman" w:cs="Times New Roman" w:eastAsiaTheme="minorEastAsia"/>
                <w:b/>
                <w:bCs/>
                <w:color w:val="auto"/>
                <w:sz w:val="24"/>
              </w:rPr>
              <w:t>供水</w:t>
            </w:r>
          </w:p>
          <w:p w14:paraId="6EC21DDD">
            <w:pPr>
              <w:keepNext w:val="0"/>
              <w:keepLines w:val="0"/>
              <w:pageBreakBefore w:val="0"/>
              <w:widowControl w:val="0"/>
              <w:kinsoku/>
              <w:wordWrap/>
              <w:overflowPunct w:val="0"/>
              <w:topLinePunct w:val="0"/>
              <w:autoSpaceDE/>
              <w:autoSpaceDN/>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highlight w:val="none"/>
                <w:lang w:val="en-US" w:eastAsia="zh-CN"/>
              </w:rPr>
            </w:pPr>
            <w:r>
              <w:rPr>
                <w:rFonts w:hint="default" w:ascii="Times New Roman" w:hAnsi="Times New Roman" w:cs="Times New Roman" w:eastAsiaTheme="minorEastAsia"/>
                <w:color w:val="auto"/>
                <w:sz w:val="24"/>
                <w:highlight w:val="none"/>
                <w:lang w:val="en-US"/>
              </w:rPr>
              <w:t>项目不涉及生产用水，不新增劳动定员，无生活用水</w:t>
            </w:r>
            <w:r>
              <w:rPr>
                <w:rFonts w:hint="default" w:ascii="Times New Roman" w:hAnsi="Times New Roman" w:cs="Times New Roman" w:eastAsiaTheme="minorEastAsia"/>
                <w:color w:val="auto"/>
                <w:sz w:val="24"/>
                <w:highlight w:val="none"/>
                <w:lang w:val="en-US" w:eastAsia="zh-CN"/>
              </w:rPr>
              <w:t>。</w:t>
            </w:r>
          </w:p>
          <w:p w14:paraId="649FBFF9">
            <w:pPr>
              <w:keepNext w:val="0"/>
              <w:keepLines w:val="0"/>
              <w:pageBreakBefore w:val="0"/>
              <w:widowControl w:val="0"/>
              <w:kinsoku/>
              <w:wordWrap/>
              <w:topLinePunct w:val="0"/>
              <w:autoSpaceDE/>
              <w:autoSpaceDN/>
              <w:bidi w:val="0"/>
              <w:spacing w:beforeAutospacing="0" w:afterAutospacing="0" w:line="360" w:lineRule="auto"/>
              <w:ind w:left="0" w:leftChars="0" w:right="0" w:rightChars="0"/>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6.2 排水</w:t>
            </w:r>
          </w:p>
          <w:p w14:paraId="11CB5325">
            <w:pPr>
              <w:keepNext w:val="0"/>
              <w:keepLines w:val="0"/>
              <w:pageBreakBefore w:val="0"/>
              <w:widowControl w:val="0"/>
              <w:kinsoku/>
              <w:wordWrap/>
              <w:overflowPunct w:val="0"/>
              <w:topLinePunct w:val="0"/>
              <w:autoSpaceDE/>
              <w:autoSpaceDN/>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highlight w:val="none"/>
                <w:lang w:val="en-US" w:eastAsia="zh-CN"/>
              </w:rPr>
            </w:pPr>
            <w:r>
              <w:rPr>
                <w:rFonts w:hint="default" w:ascii="Times New Roman" w:hAnsi="Times New Roman" w:cs="Times New Roman" w:eastAsiaTheme="minorEastAsia"/>
                <w:color w:val="auto"/>
                <w:sz w:val="24"/>
                <w:highlight w:val="none"/>
                <w:lang w:val="en-US" w:eastAsia="zh-CN"/>
              </w:rPr>
              <w:t>项目劳动定员从现有人员中调配，不新增人员，因此本项目无生活污水产生及排放。</w:t>
            </w:r>
          </w:p>
          <w:p w14:paraId="533F8097">
            <w:pPr>
              <w:keepNext w:val="0"/>
              <w:keepLines w:val="0"/>
              <w:pageBreakBefore w:val="0"/>
              <w:widowControl w:val="0"/>
              <w:kinsoku/>
              <w:wordWrap/>
              <w:topLinePunct w:val="0"/>
              <w:autoSpaceDE/>
              <w:autoSpaceDN/>
              <w:bidi w:val="0"/>
              <w:spacing w:beforeAutospacing="0" w:afterAutospacing="0" w:line="360" w:lineRule="auto"/>
              <w:ind w:left="0" w:leftChars="0" w:right="0" w:rightChars="0"/>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6.3供电</w:t>
            </w:r>
          </w:p>
          <w:p w14:paraId="45094113">
            <w:pPr>
              <w:pageBreakBefore w:val="0"/>
              <w:kinsoku/>
              <w:bidi w:val="0"/>
              <w:spacing w:beforeAutospacing="0" w:afterAutospacing="0" w:line="360" w:lineRule="auto"/>
              <w:ind w:left="0" w:leftChars="0" w:right="0" w:rightChars="0" w:firstLine="480" w:firstLineChars="200"/>
              <w:rPr>
                <w:rFonts w:hint="default" w:ascii="Times New Roman" w:hAnsi="Times New Roman" w:cs="Times New Roman" w:eastAsiaTheme="minorEastAsia"/>
                <w:snapToGrid w:val="0"/>
                <w:color w:val="auto"/>
                <w:kern w:val="0"/>
                <w:sz w:val="24"/>
              </w:rPr>
            </w:pPr>
            <w:r>
              <w:rPr>
                <w:rFonts w:hint="default" w:ascii="Times New Roman" w:hAnsi="Times New Roman" w:cs="Times New Roman" w:eastAsiaTheme="minorEastAsia"/>
                <w:snapToGrid w:val="0"/>
                <w:color w:val="auto"/>
                <w:kern w:val="0"/>
                <w:sz w:val="24"/>
              </w:rPr>
              <w:t>项目供电由</w:t>
            </w:r>
            <w:r>
              <w:rPr>
                <w:rFonts w:hint="default" w:ascii="Times New Roman" w:hAnsi="Times New Roman" w:cs="Times New Roman" w:eastAsiaTheme="minorEastAsia"/>
                <w:snapToGrid w:val="0"/>
                <w:color w:val="auto"/>
                <w:kern w:val="0"/>
                <w:sz w:val="24"/>
                <w:lang w:eastAsia="zh-CN"/>
              </w:rPr>
              <w:t>市政</w:t>
            </w:r>
            <w:r>
              <w:rPr>
                <w:rFonts w:hint="default" w:ascii="Times New Roman" w:hAnsi="Times New Roman" w:cs="Times New Roman" w:eastAsiaTheme="minorEastAsia"/>
                <w:snapToGrid w:val="0"/>
                <w:color w:val="auto"/>
                <w:kern w:val="0"/>
                <w:sz w:val="24"/>
              </w:rPr>
              <w:t>供电网供给，可满足项目用电负荷的需求。</w:t>
            </w:r>
          </w:p>
          <w:p w14:paraId="694EF4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textAlignment w:val="auto"/>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6.4供热</w:t>
            </w:r>
          </w:p>
          <w:p w14:paraId="4CF7A1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snapToGrid w:val="0"/>
                <w:color w:val="auto"/>
                <w:kern w:val="0"/>
                <w:sz w:val="24"/>
              </w:rPr>
            </w:pPr>
            <w:r>
              <w:rPr>
                <w:rFonts w:hint="default" w:ascii="Times New Roman" w:hAnsi="Times New Roman" w:cs="Times New Roman" w:eastAsiaTheme="minorEastAsia"/>
                <w:snapToGrid w:val="0"/>
                <w:color w:val="auto"/>
                <w:kern w:val="0"/>
                <w:sz w:val="24"/>
              </w:rPr>
              <w:t>本项目为危险废物</w:t>
            </w:r>
            <w:r>
              <w:rPr>
                <w:rFonts w:hint="default" w:ascii="Times New Roman" w:hAnsi="Times New Roman" w:cs="Times New Roman" w:eastAsiaTheme="minorEastAsia"/>
                <w:snapToGrid w:val="0"/>
                <w:color w:val="auto"/>
                <w:kern w:val="0"/>
                <w:sz w:val="24"/>
                <w:lang w:val="en-US" w:eastAsia="zh-CN"/>
              </w:rPr>
              <w:t>贮存库</w:t>
            </w:r>
            <w:r>
              <w:rPr>
                <w:rFonts w:hint="default" w:ascii="Times New Roman" w:hAnsi="Times New Roman" w:cs="Times New Roman" w:eastAsiaTheme="minorEastAsia"/>
                <w:snapToGrid w:val="0"/>
                <w:color w:val="auto"/>
                <w:kern w:val="0"/>
                <w:sz w:val="24"/>
              </w:rPr>
              <w:t>建设项目，无需供暖。</w:t>
            </w:r>
          </w:p>
          <w:p w14:paraId="71E3C0E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textAlignment w:val="auto"/>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7 总平面布置</w:t>
            </w:r>
          </w:p>
          <w:p w14:paraId="1BA022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snapToGrid w:val="0"/>
                <w:color w:val="auto"/>
                <w:kern w:val="0"/>
                <w:sz w:val="24"/>
                <w:lang w:val="en-US" w:eastAsia="zh-CN"/>
              </w:rPr>
            </w:pPr>
            <w:r>
              <w:rPr>
                <w:rFonts w:hint="default" w:ascii="Times New Roman" w:hAnsi="Times New Roman" w:cs="Times New Roman" w:eastAsiaTheme="minorEastAsia"/>
                <w:snapToGrid w:val="0"/>
                <w:color w:val="auto"/>
                <w:kern w:val="0"/>
                <w:sz w:val="24"/>
                <w:lang w:val="en-US" w:eastAsia="zh-CN"/>
              </w:rPr>
              <w:t>本项目于昌吉职业技术学院内新建1座危险废物贮存库，总占地面积为</w:t>
            </w:r>
            <w:r>
              <w:rPr>
                <w:rFonts w:hint="eastAsia" w:cs="Times New Roman" w:eastAsiaTheme="minorEastAsia"/>
                <w:snapToGrid w:val="0"/>
                <w:color w:val="auto"/>
                <w:kern w:val="0"/>
                <w:sz w:val="24"/>
                <w:lang w:val="en-US" w:eastAsia="zh-CN"/>
              </w:rPr>
              <w:t>8</w:t>
            </w:r>
            <w:r>
              <w:rPr>
                <w:rFonts w:hint="default" w:ascii="Times New Roman" w:hAnsi="Times New Roman" w:cs="Times New Roman" w:eastAsiaTheme="minorEastAsia"/>
                <w:snapToGrid w:val="0"/>
                <w:color w:val="auto"/>
                <w:kern w:val="0"/>
                <w:sz w:val="24"/>
                <w:lang w:val="en-US" w:eastAsia="zh-CN"/>
              </w:rPr>
              <w:t>m</w:t>
            </w:r>
            <w:r>
              <w:rPr>
                <w:rFonts w:hint="default" w:ascii="Times New Roman" w:hAnsi="Times New Roman" w:cs="Times New Roman" w:eastAsiaTheme="minorEastAsia"/>
                <w:snapToGrid w:val="0"/>
                <w:color w:val="auto"/>
                <w:kern w:val="0"/>
                <w:sz w:val="24"/>
                <w:vertAlign w:val="superscript"/>
                <w:lang w:val="en-US" w:eastAsia="zh-CN"/>
              </w:rPr>
              <w:t>2</w:t>
            </w:r>
            <w:r>
              <w:rPr>
                <w:rFonts w:hint="default" w:ascii="Times New Roman" w:hAnsi="Times New Roman" w:cs="Times New Roman" w:eastAsiaTheme="minorEastAsia"/>
                <w:snapToGrid w:val="0"/>
                <w:color w:val="auto"/>
                <w:kern w:val="0"/>
                <w:sz w:val="24"/>
                <w:lang w:val="en-US" w:eastAsia="zh-CN"/>
              </w:rPr>
              <w:t>，建筑面积为</w:t>
            </w:r>
            <w:r>
              <w:rPr>
                <w:rFonts w:hint="eastAsia" w:cs="Times New Roman" w:eastAsiaTheme="minorEastAsia"/>
                <w:snapToGrid w:val="0"/>
                <w:color w:val="auto"/>
                <w:kern w:val="0"/>
                <w:sz w:val="24"/>
                <w:lang w:val="en-US" w:eastAsia="zh-CN"/>
              </w:rPr>
              <w:t>8</w:t>
            </w:r>
            <w:r>
              <w:rPr>
                <w:rFonts w:hint="default" w:ascii="Times New Roman" w:hAnsi="Times New Roman" w:cs="Times New Roman" w:eastAsiaTheme="minorEastAsia"/>
                <w:snapToGrid w:val="0"/>
                <w:color w:val="auto"/>
                <w:kern w:val="0"/>
                <w:sz w:val="24"/>
                <w:lang w:val="en-US" w:eastAsia="zh-CN"/>
              </w:rPr>
              <w:t>m</w:t>
            </w:r>
            <w:r>
              <w:rPr>
                <w:rFonts w:hint="default" w:ascii="Times New Roman" w:hAnsi="Times New Roman" w:cs="Times New Roman" w:eastAsiaTheme="minorEastAsia"/>
                <w:snapToGrid w:val="0"/>
                <w:color w:val="auto"/>
                <w:kern w:val="0"/>
                <w:sz w:val="24"/>
                <w:vertAlign w:val="superscript"/>
                <w:lang w:val="en-US" w:eastAsia="zh-CN"/>
              </w:rPr>
              <w:t>2</w:t>
            </w:r>
            <w:r>
              <w:rPr>
                <w:rFonts w:hint="default" w:ascii="Times New Roman" w:hAnsi="Times New Roman" w:cs="Times New Roman" w:eastAsiaTheme="minorEastAsia"/>
                <w:snapToGrid w:val="0"/>
                <w:color w:val="auto"/>
                <w:kern w:val="0"/>
                <w:sz w:val="24"/>
                <w:lang w:val="en-US" w:eastAsia="zh-CN"/>
              </w:rPr>
              <w:t>，位于昌吉职业技术学院内一号教学</w:t>
            </w:r>
            <w:r>
              <w:rPr>
                <w:rFonts w:hint="eastAsia" w:cs="Times New Roman" w:eastAsiaTheme="minorEastAsia"/>
                <w:snapToGrid w:val="0"/>
                <w:color w:val="auto"/>
                <w:kern w:val="0"/>
                <w:sz w:val="24"/>
                <w:lang w:val="en-US" w:eastAsia="zh-CN"/>
              </w:rPr>
              <w:t>楼B段</w:t>
            </w:r>
            <w:r>
              <w:rPr>
                <w:rFonts w:hint="default" w:ascii="Times New Roman" w:hAnsi="Times New Roman" w:cs="Times New Roman" w:eastAsiaTheme="minorEastAsia"/>
                <w:snapToGrid w:val="0"/>
                <w:color w:val="auto"/>
                <w:kern w:val="0"/>
                <w:sz w:val="24"/>
                <w:lang w:val="en-US" w:eastAsia="zh-CN"/>
              </w:rPr>
              <w:t>西侧，危险废物贮存库东侧为昌吉职业技术学院一号教学</w:t>
            </w:r>
            <w:r>
              <w:rPr>
                <w:rFonts w:hint="eastAsia" w:cs="Times New Roman" w:eastAsiaTheme="minorEastAsia"/>
                <w:snapToGrid w:val="0"/>
                <w:color w:val="auto"/>
                <w:kern w:val="0"/>
                <w:sz w:val="24"/>
                <w:lang w:val="en-US" w:eastAsia="zh-CN"/>
              </w:rPr>
              <w:t>楼B段</w:t>
            </w:r>
            <w:r>
              <w:rPr>
                <w:rFonts w:hint="default" w:ascii="Times New Roman" w:hAnsi="Times New Roman" w:cs="Times New Roman" w:eastAsiaTheme="minorEastAsia"/>
                <w:snapToGrid w:val="0"/>
                <w:color w:val="auto"/>
                <w:kern w:val="0"/>
                <w:sz w:val="24"/>
                <w:lang w:val="en-US" w:eastAsia="zh-CN"/>
              </w:rPr>
              <w:t>，西侧为绿化带，北侧为绿化带，南侧为绿化带，学校内部各区域均有道路连接，物流顺畅。</w:t>
            </w:r>
          </w:p>
          <w:p w14:paraId="0C6F3E61">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baseline"/>
              <w:rPr>
                <w:rFonts w:hint="default" w:ascii="Times New Roman" w:hAnsi="Times New Roman" w:cs="Times New Roman" w:eastAsiaTheme="minorEastAsia"/>
                <w:color w:val="auto"/>
                <w:sz w:val="24"/>
                <w:lang w:val="en-US" w:eastAsia="zh-CN"/>
              </w:rPr>
            </w:pPr>
            <w:r>
              <w:rPr>
                <w:rFonts w:hint="eastAsia" w:cs="Times New Roman" w:eastAsiaTheme="minorEastAsia"/>
                <w:color w:val="auto"/>
                <w:sz w:val="24"/>
                <w:lang w:val="en-US" w:eastAsia="zh-CN"/>
              </w:rPr>
              <w:t>贮存库</w:t>
            </w:r>
            <w:r>
              <w:rPr>
                <w:rFonts w:hint="default" w:ascii="Times New Roman" w:hAnsi="Times New Roman" w:cs="Times New Roman" w:eastAsiaTheme="minorEastAsia"/>
                <w:color w:val="auto"/>
                <w:sz w:val="24"/>
                <w:lang w:val="en-US" w:eastAsia="zh-CN"/>
              </w:rPr>
              <w:t>内部设施按以下要求设置：</w:t>
            </w:r>
          </w:p>
          <w:p w14:paraId="3B73C38E">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baseline"/>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（1）防渗地面：</w:t>
            </w:r>
            <w:r>
              <w:rPr>
                <w:rFonts w:hint="eastAsia" w:cs="Times New Roman" w:eastAsiaTheme="minorEastAsia"/>
                <w:color w:val="auto"/>
                <w:sz w:val="24"/>
                <w:lang w:val="en-US" w:eastAsia="zh-CN"/>
              </w:rPr>
              <w:t>贮存库</w:t>
            </w:r>
            <w:r>
              <w:rPr>
                <w:rFonts w:hint="default" w:ascii="Times New Roman" w:hAnsi="Times New Roman" w:cs="Times New Roman" w:eastAsiaTheme="minorEastAsia"/>
                <w:color w:val="auto"/>
                <w:sz w:val="24"/>
                <w:lang w:val="en-US" w:eastAsia="zh-CN"/>
              </w:rPr>
              <w:t>为成品防爆集装箱，外形尺寸4m（长）×2m（宽）×2.6m（高），占地面积约8m²。地面框架采用100×100mm方管主梁、12号槽钢次梁及4号角铁檩条（间距 400mm），底层涂刷防锈漆，面层做环氧地坪防渗处理；环氧地坪整体无缝、与钢板满焊连接，钢板与墙体连接处室内满焊。整体防渗性能等效于厚度不小于6.0m、渗透系数不大于1.0×10⁻⁷cm/s黏土层的防渗要求。</w:t>
            </w:r>
          </w:p>
          <w:p w14:paraId="44278B29">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baseline"/>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（2）泄漏收集：成品集装箱内部自带导流槽，设置应急收集</w:t>
            </w:r>
            <w:r>
              <w:rPr>
                <w:rFonts w:hint="eastAsia" w:cs="Times New Roman" w:eastAsiaTheme="minorEastAsia"/>
                <w:color w:val="auto"/>
                <w:sz w:val="24"/>
                <w:lang w:val="en-US" w:eastAsia="zh-CN"/>
              </w:rPr>
              <w:t>池</w:t>
            </w:r>
            <w:r>
              <w:rPr>
                <w:rFonts w:hint="default" w:ascii="Times New Roman" w:hAnsi="Times New Roman" w:cs="Times New Roman" w:eastAsiaTheme="minorEastAsia"/>
                <w:color w:val="auto"/>
                <w:sz w:val="24"/>
                <w:lang w:val="en-US" w:eastAsia="zh-CN"/>
              </w:rPr>
              <w:t>（尺寸250mm长×250mm宽×200mm深），作为本项目事故收集设施。液态危险废物（实验室废液、过期试剂）采用25L密闭塑料桶</w:t>
            </w:r>
            <w:r>
              <w:rPr>
                <w:rFonts w:hint="eastAsia" w:cs="Times New Roman" w:eastAsiaTheme="minorEastAsia"/>
                <w:color w:val="auto"/>
                <w:sz w:val="24"/>
                <w:lang w:val="en-US" w:eastAsia="zh-CN"/>
              </w:rPr>
              <w:t>收集</w:t>
            </w:r>
            <w:r>
              <w:rPr>
                <w:rFonts w:hint="default" w:ascii="Times New Roman" w:hAnsi="Times New Roman" w:cs="Times New Roman" w:eastAsiaTheme="minorEastAsia"/>
                <w:color w:val="auto"/>
                <w:sz w:val="24"/>
                <w:lang w:val="en-US" w:eastAsia="zh-CN"/>
              </w:rPr>
              <w:t>，一旦发生桶体渗漏，废液经库内自带导流槽汇入应急收集</w:t>
            </w:r>
            <w:r>
              <w:rPr>
                <w:rFonts w:hint="eastAsia" w:cs="Times New Roman" w:eastAsiaTheme="minorEastAsia"/>
                <w:color w:val="auto"/>
                <w:sz w:val="24"/>
                <w:lang w:val="en-US" w:eastAsia="zh-CN"/>
              </w:rPr>
              <w:t>池</w:t>
            </w:r>
            <w:r>
              <w:rPr>
                <w:rFonts w:hint="default" w:ascii="Times New Roman" w:hAnsi="Times New Roman" w:cs="Times New Roman" w:eastAsiaTheme="minorEastAsia"/>
                <w:color w:val="auto"/>
                <w:sz w:val="24"/>
                <w:lang w:val="en-US" w:eastAsia="zh-CN"/>
              </w:rPr>
              <w:t>，再经排水口流入库外应急收集桶，定期委托有资质单位处置。</w:t>
            </w:r>
          </w:p>
          <w:p w14:paraId="549E7407">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baseline"/>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（3）分区贮存：库内按实验室废液、过期废试剂、废试剂瓶三个贮存分区划线存放，分区之间留有不小于0.8m的作业通道，1扇双开对开门，配套灭火器、防毒面具等防护设施。</w:t>
            </w:r>
          </w:p>
          <w:p w14:paraId="3C97BAAC">
            <w:pPr>
              <w:pStyle w:val="74"/>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baseline"/>
              <w:rPr>
                <w:rFonts w:hint="default" w:ascii="Times New Roman" w:hAnsi="Times New Roman" w:cs="Times New Roman" w:eastAsiaTheme="minorEastAsia"/>
                <w:bCs/>
                <w:color w:val="auto"/>
                <w:spacing w:val="0"/>
                <w:kern w:val="21"/>
                <w:szCs w:val="21"/>
                <w:lang w:val="en-US" w:eastAsia="zh-CN"/>
              </w:rPr>
            </w:pPr>
            <w:r>
              <w:rPr>
                <w:rFonts w:hint="default" w:ascii="Times New Roman" w:hAnsi="Times New Roman" w:cs="Times New Roman" w:eastAsiaTheme="minorEastAsia"/>
                <w:snapToGrid w:val="0"/>
                <w:color w:val="auto"/>
                <w:kern w:val="0"/>
                <w:sz w:val="24"/>
                <w:lang w:val="en-US" w:eastAsia="zh-CN"/>
              </w:rPr>
              <w:t>危废贮存库与学校的位置关系图见附图6。</w:t>
            </w:r>
          </w:p>
        </w:tc>
      </w:tr>
      <w:tr w14:paraId="7B8307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9" w:type="dxa"/>
            <w:noWrap w:val="0"/>
            <w:vAlign w:val="center"/>
          </w:tcPr>
          <w:p w14:paraId="0142EACC">
            <w:pPr>
              <w:pStyle w:val="27"/>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工艺流程和产排污环节</w:t>
            </w:r>
          </w:p>
        </w:tc>
        <w:tc>
          <w:tcPr>
            <w:tcW w:w="8301" w:type="dxa"/>
            <w:noWrap w:val="0"/>
            <w:vAlign w:val="top"/>
          </w:tcPr>
          <w:p w14:paraId="554342E7">
            <w:pPr>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textAlignment w:val="auto"/>
              <w:rPr>
                <w:rFonts w:hint="default" w:ascii="Times New Roman" w:hAnsi="Times New Roman" w:cs="Times New Roman" w:eastAsiaTheme="minorEastAsia"/>
                <w:b/>
                <w:bCs w:val="0"/>
                <w:color w:val="auto"/>
                <w:kern w:val="2"/>
                <w:sz w:val="24"/>
                <w:szCs w:val="24"/>
                <w:lang w:val="en-US" w:eastAsia="zh-CN" w:bidi="ar-SA"/>
              </w:rPr>
            </w:pPr>
            <w:r>
              <w:rPr>
                <w:rFonts w:hint="default" w:ascii="Times New Roman" w:hAnsi="Times New Roman" w:cs="Times New Roman" w:eastAsiaTheme="minorEastAsia"/>
                <w:b/>
                <w:bCs w:val="0"/>
                <w:color w:val="auto"/>
                <w:kern w:val="2"/>
                <w:sz w:val="24"/>
                <w:szCs w:val="24"/>
                <w:lang w:val="en-US" w:eastAsia="zh-CN" w:bidi="ar-SA"/>
              </w:rPr>
              <w:t>1 施工期</w:t>
            </w:r>
          </w:p>
          <w:p w14:paraId="3F741362">
            <w:pPr>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textAlignment w:val="auto"/>
              <w:rPr>
                <w:rFonts w:hint="default" w:ascii="Times New Roman" w:hAnsi="Times New Roman" w:cs="Times New Roman" w:eastAsiaTheme="minorEastAsia"/>
                <w:b/>
                <w:bCs w:val="0"/>
                <w:color w:val="auto"/>
                <w:sz w:val="24"/>
                <w:highlight w:val="none"/>
                <w:lang w:val="en-US" w:eastAsia="zh-CN"/>
              </w:rPr>
            </w:pPr>
            <w:r>
              <w:rPr>
                <w:rFonts w:hint="default" w:ascii="Times New Roman" w:hAnsi="Times New Roman" w:cs="Times New Roman" w:eastAsiaTheme="minorEastAsia"/>
                <w:b/>
                <w:bCs w:val="0"/>
                <w:color w:val="auto"/>
                <w:kern w:val="2"/>
                <w:sz w:val="24"/>
                <w:szCs w:val="24"/>
                <w:lang w:val="en-US" w:eastAsia="zh-CN" w:bidi="ar-SA"/>
              </w:rPr>
              <w:t>1.1</w:t>
            </w:r>
            <w:r>
              <w:rPr>
                <w:rFonts w:hint="default" w:ascii="Times New Roman" w:hAnsi="Times New Roman" w:cs="Times New Roman" w:eastAsiaTheme="minorEastAsia"/>
                <w:b/>
                <w:bCs w:val="0"/>
                <w:color w:val="auto"/>
                <w:sz w:val="24"/>
                <w:highlight w:val="none"/>
                <w:lang w:val="en-US" w:eastAsia="zh-CN"/>
              </w:rPr>
              <w:t>施工期工艺流程简述</w:t>
            </w:r>
          </w:p>
          <w:p w14:paraId="736B1D06">
            <w:pPr>
              <w:pStyle w:val="26"/>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firstLine="480"/>
              <w:jc w:val="left"/>
              <w:textAlignment w:val="auto"/>
              <w:rPr>
                <w:rFonts w:hint="default" w:ascii="Times New Roman" w:hAnsi="Times New Roman" w:cs="Times New Roman" w:eastAsiaTheme="minorEastAsia"/>
                <w:b w:val="0"/>
                <w:bCs w:val="0"/>
                <w:color w:val="auto"/>
                <w:kern w:val="2"/>
                <w:sz w:val="24"/>
                <w:szCs w:val="22"/>
                <w:lang w:val="en-US" w:eastAsia="zh-CN" w:bidi="ar-SA"/>
              </w:rPr>
            </w:pPr>
            <w:r>
              <w:rPr>
                <w:rFonts w:hint="default" w:ascii="Times New Roman" w:hAnsi="Times New Roman" w:cs="Times New Roman" w:eastAsiaTheme="minorEastAsia"/>
                <w:b w:val="0"/>
                <w:bCs w:val="0"/>
                <w:color w:val="auto"/>
                <w:kern w:val="2"/>
                <w:sz w:val="24"/>
                <w:szCs w:val="22"/>
                <w:lang w:val="en-US" w:eastAsia="zh-CN" w:bidi="ar-SA"/>
              </w:rPr>
              <w:t>本项目购买成品集装箱式危废</w:t>
            </w:r>
            <w:r>
              <w:rPr>
                <w:rFonts w:hint="eastAsia" w:ascii="Times New Roman" w:hAnsi="Times New Roman" w:cs="Times New Roman" w:eastAsiaTheme="minorEastAsia"/>
                <w:b w:val="0"/>
                <w:bCs w:val="0"/>
                <w:color w:val="auto"/>
                <w:kern w:val="2"/>
                <w:sz w:val="24"/>
                <w:szCs w:val="22"/>
                <w:lang w:val="en-US" w:eastAsia="zh-CN" w:bidi="ar-SA"/>
              </w:rPr>
              <w:t>贮存库</w:t>
            </w:r>
            <w:r>
              <w:rPr>
                <w:rFonts w:hint="default" w:ascii="Times New Roman" w:hAnsi="Times New Roman" w:cs="Times New Roman" w:eastAsiaTheme="minorEastAsia"/>
                <w:b w:val="0"/>
                <w:bCs w:val="0"/>
                <w:color w:val="auto"/>
                <w:kern w:val="2"/>
                <w:sz w:val="24"/>
                <w:szCs w:val="22"/>
                <w:lang w:val="en-US" w:eastAsia="zh-CN" w:bidi="ar-SA"/>
              </w:rPr>
              <w:t>，主体材料多为集装箱装配式零部件，施工工程量小，且施工周期短，施工期影响随着施工期的结束而消失。</w:t>
            </w:r>
          </w:p>
          <w:p w14:paraId="7FF13A4D">
            <w:pPr>
              <w:pStyle w:val="11"/>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textAlignment w:val="auto"/>
              <w:outlineLvl w:val="2"/>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lang w:val="en-US" w:eastAsia="zh-CN"/>
              </w:rPr>
              <w:t xml:space="preserve">2 </w:t>
            </w:r>
            <w:r>
              <w:rPr>
                <w:rFonts w:hint="default" w:ascii="Times New Roman" w:hAnsi="Times New Roman" w:cs="Times New Roman" w:eastAsiaTheme="minorEastAsia"/>
                <w:color w:val="auto"/>
                <w:sz w:val="24"/>
                <w:szCs w:val="24"/>
              </w:rPr>
              <w:t>运营期</w:t>
            </w:r>
          </w:p>
          <w:p w14:paraId="69847171">
            <w:pPr>
              <w:pageBreakBefore w:val="0"/>
              <w:widowControl w:val="0"/>
              <w:kinsoku/>
              <w:wordWrap/>
              <w:overflowPunct/>
              <w:topLinePunct w:val="0"/>
              <w:autoSpaceDE/>
              <w:autoSpaceDN/>
              <w:bidi w:val="0"/>
              <w:adjustRightInd/>
              <w:snapToGrid/>
              <w:spacing w:beforeAutospacing="0" w:afterAutospacing="0" w:line="360" w:lineRule="auto"/>
              <w:ind w:left="1205" w:leftChars="0" w:right="0" w:rightChars="0" w:hanging="1205" w:hangingChars="500"/>
              <w:jc w:val="left"/>
              <w:textAlignment w:val="auto"/>
              <w:rPr>
                <w:rFonts w:hint="default" w:ascii="Times New Roman" w:hAnsi="Times New Roman" w:cs="Times New Roman" w:eastAsiaTheme="minorEastAsia"/>
                <w:b/>
                <w:bCs/>
                <w:color w:val="auto"/>
                <w:sz w:val="24"/>
                <w:szCs w:val="32"/>
                <w:lang w:val="en-US" w:eastAsia="zh-CN"/>
              </w:rPr>
            </w:pPr>
            <w:r>
              <w:rPr>
                <w:rFonts w:hint="default" w:ascii="Times New Roman" w:hAnsi="Times New Roman" w:cs="Times New Roman" w:eastAsiaTheme="minorEastAsia"/>
                <w:b/>
                <w:bCs/>
                <w:color w:val="auto"/>
                <w:sz w:val="24"/>
                <w:szCs w:val="24"/>
                <w:lang w:val="en-US" w:eastAsia="zh-CN"/>
              </w:rPr>
              <w:t>2.1生产</w:t>
            </w:r>
            <w:r>
              <w:rPr>
                <w:rFonts w:hint="default" w:ascii="Times New Roman" w:hAnsi="Times New Roman" w:cs="Times New Roman" w:eastAsiaTheme="minorEastAsia"/>
                <w:b/>
                <w:bCs/>
                <w:color w:val="auto"/>
                <w:sz w:val="24"/>
                <w:szCs w:val="32"/>
                <w:lang w:val="en-US" w:eastAsia="zh-CN"/>
              </w:rPr>
              <w:t>工艺流程</w:t>
            </w:r>
          </w:p>
          <w:p w14:paraId="4B86724B">
            <w:pPr>
              <w:pageBreakBefore w:val="0"/>
              <w:widowControl w:val="0"/>
              <w:kinsoku/>
              <w:wordWrap/>
              <w:overflowPunct/>
              <w:topLinePunct w:val="0"/>
              <w:autoSpaceDE/>
              <w:autoSpaceDN/>
              <w:bidi w:val="0"/>
              <w:adjustRightInd/>
              <w:snapToGrid/>
              <w:spacing w:beforeAutospacing="0" w:afterAutospacing="0" w:line="360" w:lineRule="auto"/>
              <w:ind w:left="720" w:leftChars="0" w:right="0" w:rightChars="0" w:hanging="720" w:hangingChars="300"/>
              <w:jc w:val="left"/>
              <w:textAlignment w:val="auto"/>
              <w:rPr>
                <w:rFonts w:hint="default" w:ascii="Times New Roman" w:hAnsi="Times New Roman" w:cs="Times New Roman" w:eastAsiaTheme="minorEastAsia"/>
                <w:b w:val="0"/>
                <w:bCs w:val="0"/>
                <w:color w:val="auto"/>
                <w:sz w:val="24"/>
                <w:szCs w:val="32"/>
                <w:lang w:val="en-US" w:eastAsia="zh-CN"/>
              </w:rPr>
            </w:pPr>
            <w:r>
              <w:rPr>
                <w:rFonts w:hint="default" w:ascii="Times New Roman" w:hAnsi="Times New Roman" w:cs="Times New Roman" w:eastAsiaTheme="minorEastAsia"/>
                <w:b w:val="0"/>
                <w:bCs w:val="0"/>
                <w:color w:val="auto"/>
                <w:sz w:val="24"/>
                <w:szCs w:val="32"/>
                <w:lang w:val="en-US" w:eastAsia="zh-CN"/>
              </w:rPr>
              <w:t>本项目运营期生产工艺流程图见图2-</w:t>
            </w:r>
            <w:r>
              <w:rPr>
                <w:rFonts w:hint="eastAsia" w:ascii="Times New Roman" w:hAnsi="Times New Roman" w:cs="Times New Roman" w:eastAsiaTheme="minorEastAsia"/>
                <w:b w:val="0"/>
                <w:bCs w:val="0"/>
                <w:color w:val="auto"/>
                <w:sz w:val="24"/>
                <w:szCs w:val="32"/>
                <w:lang w:val="en-US" w:eastAsia="zh-CN"/>
              </w:rPr>
              <w:t>1</w:t>
            </w:r>
          </w:p>
          <w:p w14:paraId="14411584">
            <w:pPr>
              <w:pStyle w:val="2"/>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b w:val="0"/>
                <w:bCs w:val="0"/>
                <w:color w:val="auto"/>
                <w:sz w:val="24"/>
                <w:szCs w:val="32"/>
                <w:lang w:val="en-US" w:eastAsia="zh-CN"/>
              </w:rPr>
            </w:pPr>
            <w:r>
              <w:rPr>
                <w:rFonts w:hint="default" w:ascii="Times New Roman" w:hAnsi="Times New Roman" w:cs="Times New Roman" w:eastAsiaTheme="minorEastAsia"/>
                <w:b w:val="0"/>
                <w:bCs w:val="0"/>
                <w:color w:val="auto"/>
                <w:sz w:val="24"/>
                <w:szCs w:val="32"/>
                <w:lang w:val="en-US" w:eastAsia="zh-CN"/>
              </w:rPr>
              <w:drawing>
                <wp:inline distT="0" distB="0" distL="114300" distR="114300">
                  <wp:extent cx="2929255" cy="3297555"/>
                  <wp:effectExtent l="0" t="0" r="4445" b="17145"/>
                  <wp:docPr id="38" name="F360BE8B-6686-4F3D-AEAF-501FE73E4058-1" descr="C:/Users/user/AppData/Local/Temp/绘图1.png绘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360BE8B-6686-4F3D-AEAF-501FE73E4058-1" descr="C:/Users/user/AppData/Local/Temp/绘图1.png绘图1"/>
                          <pic:cNvPicPr>
                            <a:picLocks noChangeAspect="1"/>
                          </pic:cNvPicPr>
                        </pic:nvPicPr>
                        <pic:blipFill>
                          <a:blip r:embed="rId10"/>
                          <a:stretch>
                            <a:fillRect/>
                          </a:stretch>
                        </pic:blipFill>
                        <pic:spPr>
                          <a:xfrm>
                            <a:off x="0" y="0"/>
                            <a:ext cx="2929255" cy="3297555"/>
                          </a:xfrm>
                          <a:prstGeom prst="rect">
                            <a:avLst/>
                          </a:prstGeom>
                          <a:noFill/>
                          <a:ln>
                            <a:noFill/>
                          </a:ln>
                        </pic:spPr>
                      </pic:pic>
                    </a:graphicData>
                  </a:graphic>
                </wp:inline>
              </w:drawing>
            </w:r>
          </w:p>
          <w:p w14:paraId="7F083D67">
            <w:pPr>
              <w:pageBreakBefore w:val="0"/>
              <w:kinsoku/>
              <w:bidi w:val="0"/>
              <w:spacing w:beforeAutospacing="0" w:afterAutospacing="0" w:line="360" w:lineRule="auto"/>
              <w:ind w:left="1054" w:leftChars="0" w:right="0" w:rightChars="0" w:hanging="1054" w:hangingChars="500"/>
              <w:jc w:val="center"/>
              <w:rPr>
                <w:rFonts w:hint="default" w:ascii="Times New Roman" w:hAnsi="Times New Roman" w:cs="Times New Roman" w:eastAsiaTheme="minorEastAsia"/>
                <w:b/>
                <w:bCs/>
                <w:color w:val="auto"/>
                <w:lang w:val="en-US" w:eastAsia="zh-CN"/>
              </w:rPr>
            </w:pPr>
            <w:r>
              <w:rPr>
                <w:rFonts w:hint="default" w:ascii="Times New Roman" w:hAnsi="Times New Roman" w:cs="Times New Roman" w:eastAsiaTheme="minorEastAsia"/>
                <w:b/>
                <w:bCs/>
                <w:color w:val="auto"/>
                <w:lang w:val="en-US" w:eastAsia="zh-CN"/>
              </w:rPr>
              <w:t>图2-1   本项目运营期工艺流程及产排污节点图</w:t>
            </w:r>
          </w:p>
          <w:p w14:paraId="41A185D6">
            <w:pPr>
              <w:pageBreakBefore w:val="0"/>
              <w:kinsoku/>
              <w:bidi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工艺流程简述：</w:t>
            </w:r>
          </w:p>
          <w:p w14:paraId="25A4E9EC">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snapToGrid w:val="0"/>
                <w:color w:val="auto"/>
                <w:kern w:val="0"/>
                <w:sz w:val="24"/>
                <w:highlight w:val="none"/>
                <w:lang w:eastAsia="zh-CN"/>
              </w:rPr>
            </w:pPr>
            <w:r>
              <w:rPr>
                <w:rFonts w:hint="default" w:ascii="Times New Roman" w:hAnsi="Times New Roman" w:cs="Times New Roman" w:eastAsiaTheme="minorEastAsia"/>
                <w:snapToGrid w:val="0"/>
                <w:color w:val="auto"/>
                <w:kern w:val="0"/>
                <w:sz w:val="24"/>
                <w:highlight w:val="none"/>
                <w:lang w:eastAsia="zh-CN"/>
              </w:rPr>
              <w:t>本项目危废</w:t>
            </w:r>
            <w:r>
              <w:rPr>
                <w:rFonts w:hint="default" w:ascii="Times New Roman" w:hAnsi="Times New Roman" w:cs="Times New Roman" w:eastAsiaTheme="minorEastAsia"/>
                <w:snapToGrid w:val="0"/>
                <w:color w:val="auto"/>
                <w:kern w:val="0"/>
                <w:sz w:val="24"/>
                <w:highlight w:val="none"/>
                <w:lang w:val="en-US" w:eastAsia="zh-CN"/>
              </w:rPr>
              <w:t>贮存库</w:t>
            </w:r>
            <w:r>
              <w:rPr>
                <w:rFonts w:hint="default" w:ascii="Times New Roman" w:hAnsi="Times New Roman" w:cs="Times New Roman" w:eastAsiaTheme="minorEastAsia"/>
                <w:snapToGrid w:val="0"/>
                <w:color w:val="auto"/>
                <w:kern w:val="0"/>
                <w:sz w:val="24"/>
                <w:highlight w:val="none"/>
                <w:lang w:eastAsia="zh-CN"/>
              </w:rPr>
              <w:t>收集储存</w:t>
            </w:r>
            <w:r>
              <w:rPr>
                <w:rFonts w:hint="default" w:ascii="Times New Roman" w:hAnsi="Times New Roman" w:cs="Times New Roman" w:eastAsiaTheme="minorEastAsia"/>
                <w:snapToGrid w:val="0"/>
                <w:color w:val="auto"/>
                <w:kern w:val="0"/>
                <w:sz w:val="24"/>
                <w:highlight w:val="none"/>
                <w:lang w:val="en-US" w:eastAsia="zh-CN"/>
              </w:rPr>
              <w:t>学校实验室</w:t>
            </w:r>
            <w:r>
              <w:rPr>
                <w:rFonts w:hint="default" w:ascii="Times New Roman" w:hAnsi="Times New Roman" w:cs="Times New Roman" w:eastAsiaTheme="minorEastAsia"/>
                <w:snapToGrid w:val="0"/>
                <w:color w:val="auto"/>
                <w:kern w:val="0"/>
                <w:sz w:val="24"/>
                <w:highlight w:val="none"/>
                <w:lang w:eastAsia="zh-CN"/>
              </w:rPr>
              <w:t>产生的</w:t>
            </w:r>
            <w:r>
              <w:rPr>
                <w:rFonts w:hint="default" w:ascii="Times New Roman" w:hAnsi="Times New Roman" w:cs="Times New Roman" w:eastAsiaTheme="minorEastAsia"/>
                <w:color w:val="auto"/>
                <w:sz w:val="24"/>
              </w:rPr>
              <w:t>实验室废液、过期失效化学试剂、沾染危险化学品的废试剂瓶</w:t>
            </w:r>
            <w:r>
              <w:rPr>
                <w:rFonts w:hint="default" w:ascii="Times New Roman" w:hAnsi="Times New Roman" w:cs="Times New Roman" w:eastAsiaTheme="minorEastAsia"/>
                <w:snapToGrid w:val="0"/>
                <w:color w:val="auto"/>
                <w:kern w:val="0"/>
                <w:sz w:val="24"/>
                <w:highlight w:val="none"/>
                <w:lang w:eastAsia="zh-CN"/>
              </w:rPr>
              <w:t>，具体工艺流程如下：</w:t>
            </w:r>
          </w:p>
          <w:p w14:paraId="44A129A5">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snapToGrid w:val="0"/>
                <w:color w:val="auto"/>
                <w:kern w:val="0"/>
                <w:sz w:val="24"/>
                <w:highlight w:val="none"/>
                <w:lang w:eastAsia="zh-CN"/>
              </w:rPr>
            </w:pPr>
            <w:r>
              <w:rPr>
                <w:rFonts w:hint="default" w:ascii="Times New Roman" w:hAnsi="Times New Roman" w:cs="Times New Roman" w:eastAsiaTheme="minorEastAsia"/>
                <w:snapToGrid w:val="0"/>
                <w:color w:val="auto"/>
                <w:kern w:val="0"/>
                <w:sz w:val="24"/>
                <w:highlight w:val="none"/>
                <w:lang w:eastAsia="zh-CN"/>
              </w:rPr>
              <w:t>（1）收集及专业车辆运输</w:t>
            </w:r>
          </w:p>
          <w:p w14:paraId="20408155">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snapToGrid w:val="0"/>
                <w:color w:val="auto"/>
                <w:kern w:val="0"/>
                <w:sz w:val="24"/>
                <w:highlight w:val="none"/>
                <w:lang w:eastAsia="zh-CN"/>
              </w:rPr>
            </w:pPr>
            <w:r>
              <w:rPr>
                <w:rFonts w:hint="default" w:ascii="Times New Roman" w:hAnsi="Times New Roman" w:cs="Times New Roman" w:eastAsiaTheme="minorEastAsia"/>
                <w:snapToGrid w:val="0"/>
                <w:color w:val="auto"/>
                <w:kern w:val="0"/>
                <w:sz w:val="24"/>
                <w:highlight w:val="none"/>
                <w:lang w:eastAsia="zh-CN"/>
              </w:rPr>
              <w:t>按照《危险废物收集贮存运输技术规范》（HJ2025-2012）中的有关规定：对产生的危险废物进行收集、转运，收集过程中，工作人员先装卸检查废弃物相关情况，危险废物由指定车辆按照预设路线运至危废</w:t>
            </w:r>
            <w:r>
              <w:rPr>
                <w:rFonts w:hint="default" w:ascii="Times New Roman" w:hAnsi="Times New Roman" w:cs="Times New Roman" w:eastAsiaTheme="minorEastAsia"/>
                <w:snapToGrid w:val="0"/>
                <w:color w:val="auto"/>
                <w:kern w:val="0"/>
                <w:sz w:val="24"/>
                <w:highlight w:val="none"/>
                <w:lang w:val="en-US" w:eastAsia="zh-CN"/>
              </w:rPr>
              <w:t>贮存库</w:t>
            </w:r>
            <w:r>
              <w:rPr>
                <w:rFonts w:hint="default" w:ascii="Times New Roman" w:hAnsi="Times New Roman" w:cs="Times New Roman" w:eastAsiaTheme="minorEastAsia"/>
                <w:snapToGrid w:val="0"/>
                <w:color w:val="auto"/>
                <w:kern w:val="0"/>
                <w:sz w:val="24"/>
                <w:highlight w:val="none"/>
                <w:lang w:eastAsia="zh-CN"/>
              </w:rPr>
              <w:t>。车厢内采取防渗防流失措施。</w:t>
            </w:r>
          </w:p>
          <w:p w14:paraId="0145076E">
            <w:pPr>
              <w:keepNext w:val="0"/>
              <w:keepLines w:val="0"/>
              <w:pageBreakBefore w:val="0"/>
              <w:widowControl w:val="0"/>
              <w:shd w:val="clear"/>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snapToGrid w:val="0"/>
                <w:color w:val="auto"/>
                <w:kern w:val="0"/>
                <w:sz w:val="24"/>
                <w:highlight w:val="none"/>
                <w:lang w:eastAsia="zh-CN"/>
              </w:rPr>
            </w:pPr>
            <w:r>
              <w:rPr>
                <w:rFonts w:hint="default" w:ascii="Times New Roman" w:hAnsi="Times New Roman" w:cs="Times New Roman" w:eastAsiaTheme="minorEastAsia"/>
                <w:snapToGrid w:val="0"/>
                <w:color w:val="auto"/>
                <w:kern w:val="0"/>
                <w:sz w:val="24"/>
                <w:highlight w:val="none"/>
                <w:lang w:eastAsia="zh-CN"/>
              </w:rPr>
              <w:t>（2）贮存</w:t>
            </w:r>
          </w:p>
          <w:p w14:paraId="3E75075E">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snapToGrid w:val="0"/>
                <w:color w:val="auto"/>
                <w:kern w:val="0"/>
                <w:sz w:val="24"/>
                <w:highlight w:val="none"/>
                <w:lang w:eastAsia="zh-CN"/>
              </w:rPr>
            </w:pPr>
            <w:r>
              <w:rPr>
                <w:rFonts w:hint="default" w:ascii="Times New Roman" w:hAnsi="Times New Roman" w:cs="Times New Roman" w:eastAsiaTheme="minorEastAsia"/>
                <w:snapToGrid w:val="0"/>
                <w:color w:val="auto"/>
                <w:kern w:val="0"/>
                <w:sz w:val="24"/>
                <w:highlight w:val="none"/>
                <w:lang w:eastAsia="zh-CN"/>
              </w:rPr>
              <w:t>按照《危险废物贮存污染控制标准》（GB18597-2023）、《危险废物转移管理办法》以及《危险废物收集贮存运输技术规范》（HJ2025-2012）中的有关规定妥善储存。各危险废物暂存区地面与裙脚采取防渗、防腐措施，该工序产生的污染物主要为车辆运输产生的噪声；实验室废液主要为</w:t>
            </w:r>
            <w:r>
              <w:rPr>
                <w:rFonts w:hint="default" w:ascii="Times New Roman" w:hAnsi="Times New Roman" w:cs="Times New Roman" w:eastAsiaTheme="minorEastAsia"/>
                <w:snapToGrid w:val="0"/>
                <w:color w:val="auto"/>
                <w:kern w:val="0"/>
                <w:sz w:val="24"/>
                <w:highlight w:val="none"/>
                <w:lang w:val="en-US" w:eastAsia="zh-CN"/>
              </w:rPr>
              <w:t>有机废液、无机废液</w:t>
            </w:r>
            <w:r>
              <w:rPr>
                <w:rFonts w:hint="default" w:ascii="Times New Roman" w:hAnsi="Times New Roman" w:cs="Times New Roman" w:eastAsiaTheme="minorEastAsia"/>
                <w:snapToGrid w:val="0"/>
                <w:color w:val="auto"/>
                <w:kern w:val="0"/>
                <w:sz w:val="24"/>
                <w:highlight w:val="none"/>
                <w:lang w:eastAsia="zh-CN"/>
              </w:rPr>
              <w:t>，暂存于密闭的暂存</w:t>
            </w:r>
            <w:r>
              <w:rPr>
                <w:rFonts w:hint="default" w:ascii="Times New Roman" w:hAnsi="Times New Roman" w:cs="Times New Roman" w:eastAsiaTheme="minorEastAsia"/>
                <w:snapToGrid w:val="0"/>
                <w:color w:val="auto"/>
                <w:kern w:val="0"/>
                <w:sz w:val="24"/>
                <w:highlight w:val="none"/>
                <w:lang w:val="en-US" w:eastAsia="zh-CN"/>
              </w:rPr>
              <w:t>桶</w:t>
            </w:r>
            <w:r>
              <w:rPr>
                <w:rFonts w:hint="default" w:ascii="Times New Roman" w:hAnsi="Times New Roman" w:cs="Times New Roman" w:eastAsiaTheme="minorEastAsia"/>
                <w:snapToGrid w:val="0"/>
                <w:color w:val="auto"/>
                <w:kern w:val="0"/>
                <w:sz w:val="24"/>
                <w:highlight w:val="none"/>
                <w:lang w:eastAsia="zh-CN"/>
              </w:rPr>
              <w:t>内，贮存的全过程不对其进行拆封、倾倒、分装、混装等操作，且贮存量较少，封口密闭，仅产生微量废气，无组织排放。</w:t>
            </w:r>
          </w:p>
          <w:p w14:paraId="6AE851B9">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snapToGrid w:val="0"/>
                <w:color w:val="auto"/>
                <w:kern w:val="0"/>
                <w:sz w:val="24"/>
                <w:highlight w:val="none"/>
                <w:lang w:eastAsia="zh-CN"/>
              </w:rPr>
            </w:pPr>
            <w:r>
              <w:rPr>
                <w:rFonts w:hint="default" w:ascii="Times New Roman" w:hAnsi="Times New Roman" w:cs="Times New Roman" w:eastAsiaTheme="minorEastAsia"/>
                <w:snapToGrid w:val="0"/>
                <w:color w:val="auto"/>
                <w:kern w:val="0"/>
                <w:sz w:val="24"/>
                <w:highlight w:val="none"/>
                <w:lang w:eastAsia="zh-CN"/>
              </w:rPr>
              <w:t>（3）日常管理检查</w:t>
            </w:r>
          </w:p>
          <w:p w14:paraId="5EFF83D5">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snapToGrid w:val="0"/>
                <w:color w:val="auto"/>
                <w:kern w:val="0"/>
                <w:sz w:val="24"/>
                <w:highlight w:val="none"/>
                <w:lang w:eastAsia="zh-CN"/>
              </w:rPr>
            </w:pPr>
            <w:r>
              <w:rPr>
                <w:rFonts w:hint="default" w:ascii="Times New Roman" w:hAnsi="Times New Roman" w:cs="Times New Roman" w:eastAsiaTheme="minorEastAsia"/>
                <w:snapToGrid w:val="0"/>
                <w:color w:val="auto"/>
                <w:kern w:val="0"/>
                <w:sz w:val="24"/>
                <w:highlight w:val="none"/>
                <w:lang w:eastAsia="zh-CN"/>
              </w:rPr>
              <w:t>危废</w:t>
            </w:r>
            <w:r>
              <w:rPr>
                <w:rFonts w:hint="default" w:ascii="Times New Roman" w:hAnsi="Times New Roman" w:cs="Times New Roman" w:eastAsiaTheme="minorEastAsia"/>
                <w:snapToGrid w:val="0"/>
                <w:color w:val="auto"/>
                <w:kern w:val="0"/>
                <w:sz w:val="24"/>
                <w:highlight w:val="none"/>
                <w:lang w:val="en-US" w:eastAsia="zh-CN"/>
              </w:rPr>
              <w:t>贮存库</w:t>
            </w:r>
            <w:r>
              <w:rPr>
                <w:rFonts w:hint="default" w:ascii="Times New Roman" w:hAnsi="Times New Roman" w:cs="Times New Roman" w:eastAsiaTheme="minorEastAsia"/>
                <w:snapToGrid w:val="0"/>
                <w:color w:val="auto"/>
                <w:kern w:val="0"/>
                <w:sz w:val="24"/>
                <w:highlight w:val="none"/>
                <w:lang w:eastAsia="zh-CN"/>
              </w:rPr>
              <w:t>管理人员定期对危废</w:t>
            </w:r>
            <w:r>
              <w:rPr>
                <w:rFonts w:hint="default" w:ascii="Times New Roman" w:hAnsi="Times New Roman" w:cs="Times New Roman" w:eastAsiaTheme="minorEastAsia"/>
                <w:snapToGrid w:val="0"/>
                <w:color w:val="auto"/>
                <w:kern w:val="0"/>
                <w:sz w:val="24"/>
                <w:highlight w:val="none"/>
                <w:lang w:val="en-US" w:eastAsia="zh-CN"/>
              </w:rPr>
              <w:t>贮存库</w:t>
            </w:r>
            <w:r>
              <w:rPr>
                <w:rFonts w:hint="default" w:ascii="Times New Roman" w:hAnsi="Times New Roman" w:cs="Times New Roman" w:eastAsiaTheme="minorEastAsia"/>
                <w:snapToGrid w:val="0"/>
                <w:color w:val="auto"/>
                <w:kern w:val="0"/>
                <w:sz w:val="24"/>
                <w:highlight w:val="none"/>
                <w:lang w:eastAsia="zh-CN"/>
              </w:rPr>
              <w:t>内的危险废物进行检查，如果发现容器破损，应及时更换，对地面进行及时清理。</w:t>
            </w:r>
          </w:p>
          <w:p w14:paraId="1CE5B4AE">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snapToGrid w:val="0"/>
                <w:color w:val="auto"/>
                <w:kern w:val="0"/>
                <w:sz w:val="24"/>
                <w:highlight w:val="none"/>
                <w:lang w:eastAsia="zh-CN"/>
              </w:rPr>
            </w:pPr>
            <w:r>
              <w:rPr>
                <w:rFonts w:hint="default" w:ascii="Times New Roman" w:hAnsi="Times New Roman" w:cs="Times New Roman" w:eastAsiaTheme="minorEastAsia"/>
                <w:snapToGrid w:val="0"/>
                <w:color w:val="auto"/>
                <w:kern w:val="0"/>
                <w:sz w:val="24"/>
                <w:highlight w:val="none"/>
                <w:lang w:eastAsia="zh-CN"/>
              </w:rPr>
              <w:t>（4）由资质单位转运及处置</w:t>
            </w:r>
          </w:p>
          <w:p w14:paraId="004779BF">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snapToGrid w:val="0"/>
                <w:color w:val="auto"/>
                <w:kern w:val="0"/>
                <w:sz w:val="24"/>
                <w:highlight w:val="none"/>
                <w:lang w:eastAsia="zh-CN"/>
              </w:rPr>
            </w:pPr>
            <w:r>
              <w:rPr>
                <w:rFonts w:hint="default" w:ascii="Times New Roman" w:hAnsi="Times New Roman" w:cs="Times New Roman" w:eastAsiaTheme="minorEastAsia"/>
                <w:snapToGrid w:val="0"/>
                <w:color w:val="auto"/>
                <w:kern w:val="0"/>
                <w:sz w:val="24"/>
                <w:highlight w:val="none"/>
                <w:lang w:eastAsia="zh-CN"/>
              </w:rPr>
              <w:t>本项目产生的实验室废液</w:t>
            </w:r>
            <w:r>
              <w:rPr>
                <w:rFonts w:hint="eastAsia" w:cs="Times New Roman" w:eastAsiaTheme="minorEastAsia"/>
                <w:snapToGrid w:val="0"/>
                <w:color w:val="auto"/>
                <w:kern w:val="0"/>
                <w:sz w:val="24"/>
                <w:highlight w:val="none"/>
                <w:lang w:eastAsia="zh-CN"/>
              </w:rPr>
              <w:t>、</w:t>
            </w:r>
            <w:r>
              <w:rPr>
                <w:rFonts w:hint="default" w:ascii="Times New Roman" w:hAnsi="Times New Roman" w:cs="Times New Roman" w:eastAsiaTheme="minorEastAsia"/>
                <w:b w:val="0"/>
                <w:bCs/>
                <w:color w:val="auto"/>
                <w:kern w:val="2"/>
                <w:sz w:val="24"/>
                <w:szCs w:val="24"/>
                <w:lang w:val="en-US" w:eastAsia="zh-CN" w:bidi="ar-SA"/>
              </w:rPr>
              <w:t>过期废试剂</w:t>
            </w:r>
            <w:r>
              <w:rPr>
                <w:rFonts w:hint="default" w:ascii="Times New Roman" w:hAnsi="Times New Roman" w:cs="Times New Roman" w:eastAsiaTheme="minorEastAsia"/>
                <w:snapToGrid w:val="0"/>
                <w:color w:val="auto"/>
                <w:kern w:val="0"/>
                <w:sz w:val="24"/>
                <w:highlight w:val="none"/>
                <w:lang w:eastAsia="zh-CN"/>
              </w:rPr>
              <w:t>、</w:t>
            </w:r>
            <w:r>
              <w:rPr>
                <w:rFonts w:hint="default" w:ascii="Times New Roman" w:hAnsi="Times New Roman" w:cs="Times New Roman" w:eastAsiaTheme="minorEastAsia"/>
                <w:snapToGrid w:val="0"/>
                <w:color w:val="auto"/>
                <w:kern w:val="0"/>
                <w:sz w:val="24"/>
                <w:highlight w:val="none"/>
                <w:lang w:val="en-US" w:eastAsia="zh-CN"/>
              </w:rPr>
              <w:t>废试剂瓶</w:t>
            </w:r>
            <w:r>
              <w:rPr>
                <w:rFonts w:hint="default" w:ascii="Times New Roman" w:hAnsi="Times New Roman" w:cs="Times New Roman" w:eastAsiaTheme="minorEastAsia"/>
                <w:snapToGrid w:val="0"/>
                <w:color w:val="auto"/>
                <w:kern w:val="0"/>
                <w:sz w:val="24"/>
                <w:highlight w:val="none"/>
                <w:lang w:eastAsia="zh-CN"/>
              </w:rPr>
              <w:t>储存达到一定量后，由具备危险废物运输资质的运输单位运送至具有处置资质的单位进行处置。</w:t>
            </w:r>
          </w:p>
          <w:p w14:paraId="43C592AB">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snapToGrid w:val="0"/>
                <w:color w:val="auto"/>
                <w:kern w:val="0"/>
                <w:sz w:val="24"/>
                <w:highlight w:val="none"/>
                <w:lang w:eastAsia="zh-CN"/>
              </w:rPr>
            </w:pPr>
            <w:r>
              <w:rPr>
                <w:rFonts w:hint="default" w:ascii="Times New Roman" w:hAnsi="Times New Roman" w:cs="Times New Roman" w:eastAsiaTheme="minorEastAsia"/>
                <w:snapToGrid w:val="0"/>
                <w:color w:val="auto"/>
                <w:kern w:val="0"/>
                <w:sz w:val="24"/>
                <w:highlight w:val="none"/>
                <w:lang w:eastAsia="zh-CN"/>
              </w:rPr>
              <w:t>本项目仅负责危险废物的厂内收集和临时储存，不做其他处置。</w:t>
            </w:r>
          </w:p>
          <w:p w14:paraId="2B0E1B28">
            <w:pPr>
              <w:pageBreakBefore w:val="0"/>
              <w:kinsoku/>
              <w:bidi w:val="0"/>
              <w:spacing w:beforeAutospacing="0" w:afterAutospacing="0" w:line="360" w:lineRule="auto"/>
              <w:ind w:left="1205" w:leftChars="0" w:right="0" w:rightChars="0" w:hanging="1205" w:hangingChars="500"/>
              <w:jc w:val="left"/>
              <w:rPr>
                <w:rFonts w:hint="default" w:ascii="Times New Roman" w:hAnsi="Times New Roman" w:cs="Times New Roman" w:eastAsiaTheme="minorEastAsia"/>
                <w:b/>
                <w:bCs/>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2.2产排污环节</w:t>
            </w:r>
          </w:p>
          <w:p w14:paraId="4A2F92E3">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snapToGrid w:val="0"/>
                <w:color w:val="auto"/>
                <w:kern w:val="0"/>
                <w:sz w:val="24"/>
                <w:lang w:val="en-US" w:eastAsia="zh-CN"/>
              </w:rPr>
            </w:pPr>
            <w:r>
              <w:rPr>
                <w:rFonts w:hint="default" w:ascii="Times New Roman" w:hAnsi="Times New Roman" w:cs="Times New Roman" w:eastAsiaTheme="minorEastAsia"/>
                <w:snapToGrid w:val="0"/>
                <w:color w:val="auto"/>
                <w:kern w:val="0"/>
                <w:sz w:val="24"/>
                <w:lang w:val="en-US" w:eastAsia="zh-CN"/>
              </w:rPr>
              <w:t>项目产排污环节见表2-</w:t>
            </w:r>
            <w:r>
              <w:rPr>
                <w:rFonts w:hint="eastAsia" w:cs="Times New Roman" w:eastAsiaTheme="minorEastAsia"/>
                <w:snapToGrid w:val="0"/>
                <w:color w:val="auto"/>
                <w:kern w:val="0"/>
                <w:sz w:val="24"/>
                <w:lang w:val="en-US" w:eastAsia="zh-CN"/>
              </w:rPr>
              <w:t>6</w:t>
            </w:r>
            <w:r>
              <w:rPr>
                <w:rFonts w:hint="default" w:ascii="Times New Roman" w:hAnsi="Times New Roman" w:cs="Times New Roman" w:eastAsiaTheme="minorEastAsia"/>
                <w:snapToGrid w:val="0"/>
                <w:color w:val="auto"/>
                <w:kern w:val="0"/>
                <w:sz w:val="24"/>
                <w:lang w:val="en-US" w:eastAsia="zh-CN"/>
              </w:rPr>
              <w:t>。</w:t>
            </w:r>
          </w:p>
          <w:p w14:paraId="6D0033C5">
            <w:pPr>
              <w:pageBreakBefore w:val="0"/>
              <w:widowControl/>
              <w:kinsoku/>
              <w:bidi w:val="0"/>
              <w:spacing w:beforeAutospacing="0" w:afterAutospacing="0" w:line="360" w:lineRule="auto"/>
              <w:ind w:left="0" w:leftChars="0" w:right="0" w:rightChars="0"/>
              <w:jc w:val="center"/>
              <w:rPr>
                <w:rFonts w:hint="default" w:ascii="Times New Roman" w:hAnsi="Times New Roman" w:cs="Times New Roman" w:eastAsiaTheme="minorEastAsia"/>
                <w:b/>
                <w:bCs/>
                <w:color w:val="auto"/>
                <w:kern w:val="0"/>
                <w:szCs w:val="21"/>
                <w:lang w:val="en-US" w:eastAsia="zh-CN" w:bidi="ar"/>
              </w:rPr>
            </w:pPr>
            <w:r>
              <w:rPr>
                <w:rFonts w:hint="default" w:ascii="Times New Roman" w:hAnsi="Times New Roman" w:cs="Times New Roman" w:eastAsiaTheme="minorEastAsia"/>
                <w:b/>
                <w:bCs/>
                <w:color w:val="auto"/>
                <w:kern w:val="0"/>
                <w:szCs w:val="21"/>
                <w:lang w:val="en-US" w:eastAsia="zh-CN" w:bidi="ar"/>
              </w:rPr>
              <w:t>表2-</w:t>
            </w:r>
            <w:r>
              <w:rPr>
                <w:rFonts w:hint="eastAsia" w:cs="Times New Roman" w:eastAsiaTheme="minorEastAsia"/>
                <w:b/>
                <w:bCs/>
                <w:color w:val="auto"/>
                <w:kern w:val="0"/>
                <w:szCs w:val="21"/>
                <w:lang w:val="en-US" w:eastAsia="zh-CN" w:bidi="ar"/>
              </w:rPr>
              <w:t>6</w:t>
            </w:r>
            <w:r>
              <w:rPr>
                <w:rFonts w:hint="default" w:ascii="Times New Roman" w:hAnsi="Times New Roman" w:cs="Times New Roman" w:eastAsiaTheme="minorEastAsia"/>
                <w:b/>
                <w:bCs/>
                <w:color w:val="auto"/>
                <w:kern w:val="0"/>
                <w:szCs w:val="21"/>
                <w:lang w:val="en-US" w:eastAsia="zh-CN" w:bidi="ar"/>
              </w:rPr>
              <w:t xml:space="preserve">   项目产排污环节表</w:t>
            </w:r>
          </w:p>
          <w:tbl>
            <w:tblPr>
              <w:tblStyle w:val="29"/>
              <w:tblW w:w="4962" w:type="pct"/>
              <w:tblInd w:w="5" w:type="dxa"/>
              <w:tblBorders>
                <w:top w:val="single" w:color="000000" w:sz="12" w:space="0"/>
                <w:left w:val="none" w:color="auto" w:sz="0" w:space="0"/>
                <w:bottom w:val="single" w:color="000000" w:sz="12" w:space="0"/>
                <w:right w:val="none" w:color="auto" w:sz="0" w:space="0"/>
                <w:insideH w:val="single" w:color="000000" w:sz="12" w:space="0"/>
                <w:insideV w:val="single" w:color="000000" w:sz="4" w:space="0"/>
              </w:tblBorders>
              <w:tblLayout w:type="fixed"/>
              <w:tblCellMar>
                <w:top w:w="0" w:type="dxa"/>
                <w:left w:w="108" w:type="dxa"/>
                <w:bottom w:w="0" w:type="dxa"/>
                <w:right w:w="108" w:type="dxa"/>
              </w:tblCellMar>
            </w:tblPr>
            <w:tblGrid>
              <w:gridCol w:w="1802"/>
              <w:gridCol w:w="3100"/>
              <w:gridCol w:w="3123"/>
            </w:tblGrid>
            <w:tr w14:paraId="7A81B65F">
              <w:tblPrEx>
                <w:tblBorders>
                  <w:top w:val="single" w:color="000000" w:sz="12" w:space="0"/>
                  <w:left w:val="none" w:color="auto" w:sz="0" w:space="0"/>
                  <w:bottom w:val="single" w:color="000000" w:sz="12" w:space="0"/>
                  <w:right w:val="none" w:color="auto" w:sz="0" w:space="0"/>
                  <w:insideH w:val="single" w:color="000000" w:sz="12" w:space="0"/>
                  <w:insideV w:val="single" w:color="000000" w:sz="4" w:space="0"/>
                </w:tblBorders>
                <w:tblCellMar>
                  <w:top w:w="0" w:type="dxa"/>
                  <w:left w:w="108" w:type="dxa"/>
                  <w:bottom w:w="0" w:type="dxa"/>
                  <w:right w:w="108" w:type="dxa"/>
                </w:tblCellMar>
              </w:tblPrEx>
              <w:trPr>
                <w:trHeight w:val="23" w:hRule="atLeast"/>
              </w:trPr>
              <w:tc>
                <w:tcPr>
                  <w:tcW w:w="1122" w:type="pct"/>
                  <w:tcBorders>
                    <w:tl2br w:val="nil"/>
                    <w:tr2bl w:val="nil"/>
                  </w:tcBorders>
                  <w:shd w:val="clear" w:color="auto" w:fill="CFE7CB"/>
                  <w:noWrap w:val="0"/>
                  <w:vAlign w:val="center"/>
                </w:tcPr>
                <w:p w14:paraId="1DF8D298">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szCs w:val="21"/>
                      <w:lang w:val="en-US" w:eastAsia="zh-CN"/>
                    </w:rPr>
                    <w:t>污染类别</w:t>
                  </w:r>
                </w:p>
              </w:tc>
              <w:tc>
                <w:tcPr>
                  <w:tcW w:w="1931" w:type="pct"/>
                  <w:tcBorders>
                    <w:tl2br w:val="nil"/>
                    <w:tr2bl w:val="nil"/>
                  </w:tcBorders>
                  <w:shd w:val="clear" w:color="auto" w:fill="CEE8CA"/>
                  <w:noWrap w:val="0"/>
                  <w:vAlign w:val="center"/>
                </w:tcPr>
                <w:p w14:paraId="01A54B30">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szCs w:val="21"/>
                      <w:lang w:val="en-US" w:eastAsia="zh-CN"/>
                    </w:rPr>
                    <w:t>污染源/污染工序</w:t>
                  </w:r>
                </w:p>
              </w:tc>
              <w:tc>
                <w:tcPr>
                  <w:tcW w:w="1945" w:type="pct"/>
                  <w:tcBorders>
                    <w:tl2br w:val="nil"/>
                    <w:tr2bl w:val="nil"/>
                  </w:tcBorders>
                  <w:shd w:val="clear" w:color="auto" w:fill="CFE7CB"/>
                  <w:noWrap w:val="0"/>
                  <w:vAlign w:val="center"/>
                </w:tcPr>
                <w:p w14:paraId="31CBD15D">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szCs w:val="21"/>
                      <w:lang w:val="en-US" w:eastAsia="zh-CN"/>
                    </w:rPr>
                    <w:t>污染因子</w:t>
                  </w:r>
                </w:p>
              </w:tc>
            </w:tr>
            <w:tr w14:paraId="0E1CA261">
              <w:tblPrEx>
                <w:tblBorders>
                  <w:top w:val="single" w:color="000000" w:sz="12" w:space="0"/>
                  <w:left w:val="none" w:color="auto" w:sz="0" w:space="0"/>
                  <w:bottom w:val="single" w:color="000000" w:sz="12" w:space="0"/>
                  <w:right w:val="none" w:color="auto" w:sz="0" w:space="0"/>
                  <w:insideH w:val="single" w:color="000000" w:sz="12" w:space="0"/>
                  <w:insideV w:val="single" w:color="000000" w:sz="4" w:space="0"/>
                </w:tblBorders>
                <w:tblCellMar>
                  <w:top w:w="0" w:type="dxa"/>
                  <w:left w:w="108" w:type="dxa"/>
                  <w:bottom w:w="0" w:type="dxa"/>
                  <w:right w:w="108" w:type="dxa"/>
                </w:tblCellMar>
              </w:tblPrEx>
              <w:trPr>
                <w:trHeight w:val="23" w:hRule="atLeast"/>
              </w:trPr>
              <w:tc>
                <w:tcPr>
                  <w:tcW w:w="1122" w:type="pct"/>
                  <w:tcBorders>
                    <w:bottom w:val="single" w:color="000000" w:sz="4" w:space="0"/>
                  </w:tcBorders>
                  <w:shd w:val="clear" w:color="auto" w:fill="CFE7CB"/>
                  <w:noWrap w:val="0"/>
                  <w:vAlign w:val="center"/>
                </w:tcPr>
                <w:p w14:paraId="550F258C">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cs="Times New Roman" w:eastAsiaTheme="minorEastAsia"/>
                      <w:color w:val="auto"/>
                      <w:szCs w:val="21"/>
                      <w:lang w:val="en-US" w:eastAsia="zh-CN"/>
                    </w:rPr>
                    <w:t>废气</w:t>
                  </w:r>
                </w:p>
              </w:tc>
              <w:tc>
                <w:tcPr>
                  <w:tcW w:w="1931" w:type="pct"/>
                  <w:tcBorders>
                    <w:bottom w:val="single" w:color="000000" w:sz="4" w:space="0"/>
                  </w:tcBorders>
                  <w:shd w:val="clear" w:color="auto" w:fill="CEE8CB"/>
                  <w:noWrap w:val="0"/>
                  <w:vAlign w:val="center"/>
                </w:tcPr>
                <w:p w14:paraId="3EA50666">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cs="Times New Roman" w:eastAsiaTheme="minorEastAsia"/>
                      <w:color w:val="auto"/>
                      <w:szCs w:val="21"/>
                      <w:lang w:val="en-US" w:eastAsia="zh-CN"/>
                    </w:rPr>
                    <w:t>危险废物贮存</w:t>
                  </w:r>
                </w:p>
              </w:tc>
              <w:tc>
                <w:tcPr>
                  <w:tcW w:w="1945" w:type="pct"/>
                  <w:tcBorders>
                    <w:bottom w:val="single" w:color="000000" w:sz="4" w:space="0"/>
                  </w:tcBorders>
                  <w:shd w:val="clear" w:color="auto" w:fill="CEE7CA"/>
                  <w:noWrap w:val="0"/>
                  <w:vAlign w:val="center"/>
                </w:tcPr>
                <w:p w14:paraId="585BD066">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cs="Times New Roman" w:eastAsiaTheme="minorEastAsia"/>
                      <w:color w:val="auto"/>
                      <w:szCs w:val="21"/>
                      <w:lang w:val="en-US" w:eastAsia="zh-CN"/>
                    </w:rPr>
                    <w:t>非甲烷总烃</w:t>
                  </w:r>
                </w:p>
              </w:tc>
            </w:tr>
            <w:tr w14:paraId="0E63F427">
              <w:tblPrEx>
                <w:tblBorders>
                  <w:top w:val="single" w:color="000000" w:sz="12" w:space="0"/>
                  <w:left w:val="none" w:color="auto" w:sz="0" w:space="0"/>
                  <w:bottom w:val="single" w:color="000000" w:sz="12" w:space="0"/>
                  <w:right w:val="none" w:color="auto" w:sz="0" w:space="0"/>
                  <w:insideH w:val="single" w:color="000000" w:sz="12" w:space="0"/>
                  <w:insideV w:val="single" w:color="000000" w:sz="4" w:space="0"/>
                </w:tblBorders>
                <w:tblCellMar>
                  <w:top w:w="0" w:type="dxa"/>
                  <w:left w:w="108" w:type="dxa"/>
                  <w:bottom w:w="0" w:type="dxa"/>
                  <w:right w:w="108" w:type="dxa"/>
                </w:tblCellMar>
              </w:tblPrEx>
              <w:trPr>
                <w:trHeight w:val="23" w:hRule="atLeast"/>
              </w:trPr>
              <w:tc>
                <w:tcPr>
                  <w:tcW w:w="1122" w:type="pct"/>
                  <w:tcBorders>
                    <w:top w:val="single" w:color="000000" w:sz="4" w:space="0"/>
                  </w:tcBorders>
                  <w:shd w:val="clear" w:color="auto" w:fill="CFE7CB"/>
                  <w:noWrap w:val="0"/>
                  <w:vAlign w:val="center"/>
                </w:tcPr>
                <w:p w14:paraId="274D2A76">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Cs w:val="21"/>
                      <w:lang w:val="en-US" w:eastAsia="zh-CN"/>
                    </w:rPr>
                    <w:t>噪声</w:t>
                  </w:r>
                </w:p>
              </w:tc>
              <w:tc>
                <w:tcPr>
                  <w:tcW w:w="1931" w:type="pct"/>
                  <w:tcBorders>
                    <w:top w:val="single" w:color="000000" w:sz="4" w:space="0"/>
                  </w:tcBorders>
                  <w:shd w:val="clear" w:color="auto" w:fill="CEE8CB"/>
                  <w:noWrap w:val="0"/>
                  <w:vAlign w:val="center"/>
                </w:tcPr>
                <w:p w14:paraId="18E7B7BF">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Cs w:val="21"/>
                      <w:lang w:val="en-US" w:eastAsia="zh-CN"/>
                    </w:rPr>
                    <w:t>车辆运输</w:t>
                  </w:r>
                </w:p>
              </w:tc>
              <w:tc>
                <w:tcPr>
                  <w:tcW w:w="1945" w:type="pct"/>
                  <w:tcBorders>
                    <w:top w:val="single" w:color="000000" w:sz="4" w:space="0"/>
                  </w:tcBorders>
                  <w:shd w:val="clear" w:color="auto" w:fill="CEE7CA"/>
                  <w:noWrap w:val="0"/>
                  <w:vAlign w:val="center"/>
                </w:tcPr>
                <w:p w14:paraId="3D3B409B">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Cs w:val="21"/>
                      <w:lang w:val="en-US" w:eastAsia="zh-CN"/>
                    </w:rPr>
                    <w:t>等效连续A声级</w:t>
                  </w:r>
                </w:p>
              </w:tc>
            </w:tr>
          </w:tbl>
          <w:p w14:paraId="7157F2CB">
            <w:pPr>
              <w:pStyle w:val="2"/>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eastAsia="zh-CN"/>
              </w:rPr>
            </w:pPr>
          </w:p>
        </w:tc>
      </w:tr>
      <w:tr w14:paraId="471662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9" w:type="dxa"/>
            <w:noWrap w:val="0"/>
            <w:vAlign w:val="center"/>
          </w:tcPr>
          <w:p w14:paraId="40C98B24">
            <w:pPr>
              <w:pStyle w:val="27"/>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4"/>
                <w:szCs w:val="24"/>
              </w:rPr>
              <w:t>与项目有关的原有环境污染问题</w:t>
            </w:r>
          </w:p>
        </w:tc>
        <w:tc>
          <w:tcPr>
            <w:tcW w:w="8301" w:type="dxa"/>
            <w:noWrap w:val="0"/>
            <w:vAlign w:val="center"/>
          </w:tcPr>
          <w:p w14:paraId="13D171C8">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b w:val="0"/>
                <w:bCs/>
                <w:color w:val="auto"/>
                <w:kern w:val="2"/>
                <w:sz w:val="24"/>
                <w:szCs w:val="24"/>
                <w:lang w:val="en-US" w:eastAsia="zh-CN" w:bidi="ar-SA"/>
              </w:rPr>
            </w:pPr>
          </w:p>
          <w:p w14:paraId="47425B2F">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b w:val="0"/>
                <w:bCs/>
                <w:color w:val="auto"/>
                <w:kern w:val="2"/>
                <w:sz w:val="24"/>
                <w:szCs w:val="24"/>
                <w:lang w:val="en-US" w:eastAsia="zh-CN" w:bidi="ar-SA"/>
              </w:rPr>
            </w:pPr>
            <w:r>
              <w:rPr>
                <w:rFonts w:hint="default" w:ascii="Times New Roman" w:hAnsi="Times New Roman" w:cs="Times New Roman" w:eastAsiaTheme="minorEastAsia"/>
                <w:b w:val="0"/>
                <w:bCs/>
                <w:color w:val="auto"/>
                <w:kern w:val="2"/>
                <w:sz w:val="24"/>
                <w:szCs w:val="24"/>
                <w:lang w:val="en-US" w:eastAsia="zh-CN" w:bidi="ar-SA"/>
              </w:rPr>
              <w:t>本项目为新建项目。根据学院教学实验室实际运行情况，与本项目有关的原有环境污染问题主要为：学院现有教学科研实验室在开展实验教学过程中持续产生危险废物，主要包括实验室废液（有机废液、无机废液）、过期失效化学试剂、沾染危险化学品的废试剂瓶等。经统计，现有工程危险废物年产生量约1.0t，其中实验室废液约0.5t、过期废试剂约0.1t、废试剂瓶约0.4t。</w:t>
            </w:r>
          </w:p>
          <w:p w14:paraId="36FE25D4">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b w:val="0"/>
                <w:bCs/>
                <w:color w:val="auto"/>
                <w:kern w:val="2"/>
                <w:sz w:val="24"/>
                <w:szCs w:val="24"/>
                <w:lang w:val="en-US" w:eastAsia="zh-CN" w:bidi="ar-SA"/>
              </w:rPr>
            </w:pPr>
            <w:r>
              <w:rPr>
                <w:rFonts w:hint="default" w:ascii="Times New Roman" w:hAnsi="Times New Roman" w:cs="Times New Roman" w:eastAsiaTheme="minorEastAsia"/>
                <w:b w:val="0"/>
                <w:bCs/>
                <w:color w:val="auto"/>
                <w:kern w:val="2"/>
                <w:sz w:val="24"/>
                <w:szCs w:val="24"/>
                <w:lang w:val="en-US" w:eastAsia="zh-CN" w:bidi="ar-SA"/>
              </w:rPr>
              <w:t>目前，上述危险废物均采用密闭容器分类收集，定期交由具有危险废物经营许可证的资质单位拉运处置，处置渠道规范，未发生随意倾倒、堆放及环境污染事故。</w:t>
            </w:r>
          </w:p>
          <w:p w14:paraId="0EA8ED86">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ascii="Times New Roman" w:hAnsi="Times New Roman" w:cs="Times New Roman" w:eastAsiaTheme="minorEastAsia"/>
                <w:b w:val="0"/>
                <w:bCs/>
                <w:color w:val="auto"/>
                <w:kern w:val="2"/>
                <w:sz w:val="24"/>
                <w:szCs w:val="24"/>
                <w:lang w:val="en-US" w:eastAsia="zh-CN" w:bidi="ar-SA"/>
              </w:rPr>
            </w:pPr>
            <w:r>
              <w:rPr>
                <w:rFonts w:hint="default" w:ascii="Times New Roman" w:hAnsi="Times New Roman" w:cs="Times New Roman" w:eastAsiaTheme="minorEastAsia"/>
                <w:b w:val="0"/>
                <w:bCs/>
                <w:color w:val="auto"/>
                <w:kern w:val="2"/>
                <w:sz w:val="24"/>
                <w:szCs w:val="24"/>
                <w:lang w:val="en-US" w:eastAsia="zh-CN" w:bidi="ar-SA"/>
              </w:rPr>
              <w:t>但由于学院尚未建设规范的危险废物贮存库，危险废物在收集暂存与转运衔接期间缺乏符合《危险废物贮存污染控制标准》（GB 18597—2023）要求的规范化贮存场所，存在危废贮存不规范、暂存环节环境安全隐患等原有环境问题。本项目的建设即为解决上述原有环境问题：学院拟购置一座防爆型成品集装箱式危险废物贮存</w:t>
            </w:r>
            <w:r>
              <w:rPr>
                <w:rFonts w:hint="eastAsia" w:cs="Times New Roman" w:eastAsiaTheme="minorEastAsia"/>
                <w:b w:val="0"/>
                <w:bCs/>
                <w:color w:val="auto"/>
                <w:kern w:val="2"/>
                <w:sz w:val="24"/>
                <w:szCs w:val="24"/>
                <w:lang w:val="en-US" w:eastAsia="zh-CN" w:bidi="ar-SA"/>
              </w:rPr>
              <w:t>库</w:t>
            </w:r>
            <w:r>
              <w:rPr>
                <w:rFonts w:hint="default" w:ascii="Times New Roman" w:hAnsi="Times New Roman" w:cs="Times New Roman" w:eastAsiaTheme="minorEastAsia"/>
                <w:b w:val="0"/>
                <w:bCs/>
                <w:color w:val="auto"/>
                <w:kern w:val="2"/>
                <w:sz w:val="24"/>
                <w:szCs w:val="24"/>
                <w:lang w:val="en-US" w:eastAsia="zh-CN" w:bidi="ar-SA"/>
              </w:rPr>
              <w:t>（外形尺寸约 4m×2m×2.6m，占地面积约 8m²，地面环氧地坪防渗，库内设</w:t>
            </w:r>
            <w:r>
              <w:rPr>
                <w:rFonts w:hint="eastAsia" w:cs="Times New Roman" w:eastAsiaTheme="minorEastAsia"/>
                <w:b w:val="0"/>
                <w:bCs/>
                <w:color w:val="auto"/>
                <w:kern w:val="2"/>
                <w:sz w:val="24"/>
                <w:szCs w:val="24"/>
                <w:lang w:val="en-US" w:eastAsia="zh-CN" w:bidi="ar-SA"/>
              </w:rPr>
              <w:t>导流槽、应急事故池</w:t>
            </w:r>
            <w:r>
              <w:rPr>
                <w:rFonts w:hint="default" w:ascii="Times New Roman" w:hAnsi="Times New Roman" w:cs="Times New Roman" w:eastAsiaTheme="minorEastAsia"/>
                <w:b w:val="0"/>
                <w:bCs/>
                <w:color w:val="auto"/>
                <w:kern w:val="2"/>
                <w:sz w:val="24"/>
                <w:szCs w:val="24"/>
                <w:lang w:val="en-US" w:eastAsia="zh-CN" w:bidi="ar-SA"/>
              </w:rPr>
              <w:t>及防爆排风、消防、标识设施），对实验产生的危险废物进行规范化分类收集、集中贮存、规范管控，并继续委托有资质单位定期转运处置，消除危废暂存环节的环境安全隐患，保障校园及周边环境安全。</w:t>
            </w:r>
          </w:p>
          <w:p w14:paraId="7894710B">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07BC9CD3">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19DCF449">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6A8E2A27">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56FE7B11">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5971F6BA">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7DA63F41">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2770BD85">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0D112455">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2B81D586">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524D4C6A">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0F5A63BB">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26F28381">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502CBA6C">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2C6E1AF5">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23E6CDED">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eastAsia" w:cs="Times New Roman" w:eastAsiaTheme="minorEastAsia"/>
                <w:b w:val="0"/>
                <w:bCs/>
                <w:color w:val="auto"/>
                <w:kern w:val="2"/>
                <w:sz w:val="24"/>
                <w:szCs w:val="24"/>
                <w:lang w:val="en-US" w:eastAsia="zh-CN" w:bidi="ar-SA"/>
              </w:rPr>
            </w:pPr>
          </w:p>
          <w:p w14:paraId="0A39A834">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both"/>
              <w:textAlignment w:val="auto"/>
              <w:outlineLvl w:val="9"/>
              <w:rPr>
                <w:rFonts w:hint="default" w:cs="Times New Roman" w:eastAsiaTheme="minorEastAsia"/>
                <w:b w:val="0"/>
                <w:bCs/>
                <w:color w:val="auto"/>
                <w:kern w:val="2"/>
                <w:sz w:val="24"/>
                <w:szCs w:val="24"/>
                <w:lang w:val="en-US" w:eastAsia="zh-CN" w:bidi="ar-SA"/>
              </w:rPr>
            </w:pPr>
          </w:p>
        </w:tc>
      </w:tr>
    </w:tbl>
    <w:p w14:paraId="180320E1">
      <w:pPr>
        <w:pStyle w:val="27"/>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snapToGrid w:val="0"/>
          <w:color w:val="auto"/>
          <w:sz w:val="36"/>
          <w:szCs w:val="36"/>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3E850349">
      <w:pPr>
        <w:pStyle w:val="27"/>
        <w:pageBreakBefore w:val="0"/>
        <w:kinsoku/>
        <w:bidi w:val="0"/>
        <w:spacing w:beforeAutospacing="0" w:afterAutospacing="0" w:line="360" w:lineRule="auto"/>
        <w:ind w:left="0" w:leftChars="0" w:right="0" w:rightChars="0"/>
        <w:jc w:val="center"/>
        <w:outlineLvl w:val="0"/>
        <w:rPr>
          <w:rFonts w:hint="default" w:ascii="Times New Roman" w:hAnsi="Times New Roman" w:cs="Times New Roman" w:eastAsiaTheme="minorEastAsia"/>
          <w:b/>
          <w:bCs/>
          <w:snapToGrid w:val="0"/>
          <w:color w:val="auto"/>
          <w:sz w:val="30"/>
          <w:szCs w:val="30"/>
        </w:rPr>
      </w:pPr>
      <w:r>
        <w:rPr>
          <w:rFonts w:hint="default" w:ascii="Times New Roman" w:hAnsi="Times New Roman" w:cs="Times New Roman" w:eastAsiaTheme="minorEastAsia"/>
          <w:b/>
          <w:bCs/>
          <w:snapToGrid w:val="0"/>
          <w:color w:val="auto"/>
          <w:sz w:val="30"/>
          <w:szCs w:val="30"/>
        </w:rPr>
        <w:t>三、区域环境质量现状、环境保护目标及评价标准</w: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5"/>
        <w:gridCol w:w="8606"/>
      </w:tblGrid>
      <w:tr w14:paraId="68E81B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615" w:type="dxa"/>
            <w:noWrap w:val="0"/>
            <w:vAlign w:val="center"/>
          </w:tcPr>
          <w:p w14:paraId="7FDAF3A1">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区域</w:t>
            </w:r>
          </w:p>
          <w:p w14:paraId="2A8EEBF1">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环境</w:t>
            </w:r>
          </w:p>
          <w:p w14:paraId="490CD98C">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质量</w:t>
            </w:r>
          </w:p>
          <w:p w14:paraId="4BBC9320">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Cs w:val="21"/>
              </w:rPr>
            </w:pPr>
            <w:r>
              <w:rPr>
                <w:rFonts w:hint="default" w:ascii="Times New Roman" w:hAnsi="Times New Roman" w:cs="Times New Roman" w:eastAsiaTheme="minorEastAsia"/>
                <w:color w:val="auto"/>
                <w:kern w:val="0"/>
                <w:sz w:val="24"/>
                <w:szCs w:val="24"/>
              </w:rPr>
              <w:t>现状</w:t>
            </w:r>
          </w:p>
        </w:tc>
        <w:tc>
          <w:tcPr>
            <w:tcW w:w="8375" w:type="dxa"/>
            <w:noWrap w:val="0"/>
            <w:vAlign w:val="center"/>
          </w:tcPr>
          <w:p w14:paraId="1417E047">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ind w:left="0" w:leftChars="0" w:right="0" w:rightChars="0"/>
              <w:textAlignment w:val="auto"/>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color w:val="auto"/>
                <w:sz w:val="24"/>
                <w:lang w:val="en-US" w:eastAsia="zh-CN"/>
              </w:rPr>
              <w:t xml:space="preserve">1 </w:t>
            </w:r>
            <w:r>
              <w:rPr>
                <w:rFonts w:hint="default" w:ascii="Times New Roman" w:hAnsi="Times New Roman" w:cs="Times New Roman" w:eastAsiaTheme="minorEastAsia"/>
                <w:b/>
                <w:color w:val="auto"/>
                <w:sz w:val="24"/>
                <w:lang w:eastAsia="zh-CN"/>
              </w:rPr>
              <w:t>大气环境</w:t>
            </w:r>
            <w:r>
              <w:rPr>
                <w:rFonts w:hint="default" w:ascii="Times New Roman" w:hAnsi="Times New Roman" w:cs="Times New Roman" w:eastAsiaTheme="minorEastAsia"/>
                <w:b/>
                <w:color w:val="auto"/>
                <w:sz w:val="24"/>
              </w:rPr>
              <w:t>质量现状</w:t>
            </w:r>
          </w:p>
          <w:p w14:paraId="04D5CAF0">
            <w:pPr>
              <w:pStyle w:val="74"/>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jc w:val="both"/>
              <w:rPr>
                <w:rFonts w:hint="default" w:ascii="Times New Roman" w:hAnsi="Times New Roman" w:cs="Times New Roman" w:eastAsiaTheme="minorEastAsia"/>
                <w:color w:val="auto"/>
                <w:kern w:val="0"/>
                <w:sz w:val="24"/>
                <w:lang w:eastAsia="zh-CN"/>
              </w:rPr>
            </w:pPr>
            <w:r>
              <w:rPr>
                <w:rFonts w:hint="default" w:ascii="Times New Roman" w:hAnsi="Times New Roman" w:cs="Times New Roman" w:eastAsiaTheme="minorEastAsia"/>
                <w:color w:val="auto"/>
                <w:kern w:val="0"/>
                <w:sz w:val="24"/>
                <w:lang w:val="en-US" w:eastAsia="zh-CN"/>
              </w:rPr>
              <w:t>（1）大气环境质量现状</w:t>
            </w:r>
          </w:p>
          <w:p w14:paraId="53052C44">
            <w:pPr>
              <w:pStyle w:val="74"/>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jc w:val="both"/>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kern w:val="0"/>
                <w:sz w:val="24"/>
                <w:lang w:val="en-US" w:eastAsia="zh-CN"/>
              </w:rPr>
              <w:t>根据《建设项目环境影响报告表编制技术指南》（污染影响类）（试行），本次评价选择昌吉市新区政务中心空气监测站点202</w:t>
            </w:r>
            <w:r>
              <w:rPr>
                <w:rFonts w:hint="eastAsia" w:ascii="Times New Roman" w:hAnsi="Times New Roman" w:cs="Times New Roman" w:eastAsiaTheme="minorEastAsia"/>
                <w:color w:val="auto"/>
                <w:kern w:val="0"/>
                <w:sz w:val="24"/>
                <w:lang w:val="en-US" w:eastAsia="zh-CN"/>
              </w:rPr>
              <w:t>5</w:t>
            </w:r>
            <w:r>
              <w:rPr>
                <w:rFonts w:hint="default" w:ascii="Times New Roman" w:hAnsi="Times New Roman" w:cs="Times New Roman" w:eastAsiaTheme="minorEastAsia"/>
                <w:color w:val="auto"/>
                <w:kern w:val="0"/>
                <w:sz w:val="24"/>
                <w:lang w:val="en-US" w:eastAsia="zh-CN"/>
              </w:rPr>
              <w:t>年的监测数据作为本项目环境空气现状评价基本污染物 SO</w:t>
            </w:r>
            <w:r>
              <w:rPr>
                <w:rFonts w:hint="default" w:ascii="Times New Roman" w:hAnsi="Times New Roman" w:cs="Times New Roman" w:eastAsiaTheme="minorEastAsia"/>
                <w:color w:val="auto"/>
                <w:kern w:val="0"/>
                <w:sz w:val="24"/>
                <w:vertAlign w:val="subscript"/>
                <w:lang w:val="en-US" w:eastAsia="zh-CN"/>
              </w:rPr>
              <w:t>2</w:t>
            </w:r>
            <w:r>
              <w:rPr>
                <w:rFonts w:hint="default" w:ascii="Times New Roman" w:hAnsi="Times New Roman" w:cs="Times New Roman" w:eastAsiaTheme="minorEastAsia"/>
                <w:color w:val="auto"/>
                <w:kern w:val="0"/>
                <w:sz w:val="24"/>
                <w:lang w:val="en-US" w:eastAsia="zh-CN"/>
              </w:rPr>
              <w:t>、NO</w:t>
            </w:r>
            <w:r>
              <w:rPr>
                <w:rFonts w:hint="default" w:ascii="Times New Roman" w:hAnsi="Times New Roman" w:cs="Times New Roman" w:eastAsiaTheme="minorEastAsia"/>
                <w:color w:val="auto"/>
                <w:kern w:val="0"/>
                <w:sz w:val="24"/>
                <w:vertAlign w:val="subscript"/>
                <w:lang w:val="en-US" w:eastAsia="zh-CN"/>
              </w:rPr>
              <w:t>2</w:t>
            </w:r>
            <w:r>
              <w:rPr>
                <w:rFonts w:hint="default" w:ascii="Times New Roman" w:hAnsi="Times New Roman" w:cs="Times New Roman" w:eastAsiaTheme="minorEastAsia"/>
                <w:color w:val="auto"/>
                <w:kern w:val="0"/>
                <w:sz w:val="24"/>
                <w:lang w:val="en-US" w:eastAsia="zh-CN"/>
              </w:rPr>
              <w:t>、PM</w:t>
            </w:r>
            <w:r>
              <w:rPr>
                <w:rFonts w:hint="default" w:ascii="Times New Roman" w:hAnsi="Times New Roman" w:cs="Times New Roman" w:eastAsiaTheme="minorEastAsia"/>
                <w:color w:val="auto"/>
                <w:kern w:val="0"/>
                <w:sz w:val="24"/>
                <w:vertAlign w:val="subscript"/>
                <w:lang w:val="en-US" w:eastAsia="zh-CN"/>
              </w:rPr>
              <w:t>10</w:t>
            </w:r>
            <w:r>
              <w:rPr>
                <w:rFonts w:hint="default" w:ascii="Times New Roman" w:hAnsi="Times New Roman" w:cs="Times New Roman" w:eastAsiaTheme="minorEastAsia"/>
                <w:color w:val="auto"/>
                <w:kern w:val="0"/>
                <w:sz w:val="24"/>
                <w:lang w:val="en-US" w:eastAsia="zh-CN"/>
              </w:rPr>
              <w:t>、PM</w:t>
            </w:r>
            <w:r>
              <w:rPr>
                <w:rFonts w:hint="default" w:ascii="Times New Roman" w:hAnsi="Times New Roman" w:cs="Times New Roman" w:eastAsiaTheme="minorEastAsia"/>
                <w:color w:val="auto"/>
                <w:kern w:val="0"/>
                <w:sz w:val="24"/>
                <w:vertAlign w:val="subscript"/>
                <w:lang w:val="en-US" w:eastAsia="zh-CN"/>
              </w:rPr>
              <w:t>2.5</w:t>
            </w:r>
            <w:r>
              <w:rPr>
                <w:rFonts w:hint="default" w:ascii="Times New Roman" w:hAnsi="Times New Roman" w:cs="Times New Roman" w:eastAsiaTheme="minorEastAsia"/>
                <w:color w:val="auto"/>
                <w:kern w:val="0"/>
                <w:sz w:val="24"/>
                <w:lang w:val="en-US" w:eastAsia="zh-CN"/>
              </w:rPr>
              <w:t>、CO和O</w:t>
            </w:r>
            <w:r>
              <w:rPr>
                <w:rFonts w:hint="default" w:ascii="Times New Roman" w:hAnsi="Times New Roman" w:cs="Times New Roman" w:eastAsiaTheme="minorEastAsia"/>
                <w:color w:val="auto"/>
                <w:kern w:val="0"/>
                <w:sz w:val="24"/>
                <w:vertAlign w:val="subscript"/>
                <w:lang w:val="en-US" w:eastAsia="zh-CN"/>
              </w:rPr>
              <w:t>3</w:t>
            </w:r>
            <w:r>
              <w:rPr>
                <w:rFonts w:hint="default" w:ascii="Times New Roman" w:hAnsi="Times New Roman" w:cs="Times New Roman" w:eastAsiaTheme="minorEastAsia"/>
                <w:color w:val="auto"/>
                <w:kern w:val="0"/>
                <w:sz w:val="24"/>
                <w:lang w:val="en-US" w:eastAsia="zh-CN"/>
              </w:rPr>
              <w:t>的数据来源空气质量现状评价见表3-1。</w:t>
            </w:r>
          </w:p>
          <w:p w14:paraId="2A267A82">
            <w:pPr>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 xml:space="preserve">表3-1 </w:t>
            </w:r>
            <w:r>
              <w:rPr>
                <w:rFonts w:hint="eastAsia" w:ascii="Times New Roman" w:hAnsi="Times New Roman" w:cs="Times New Roman" w:eastAsiaTheme="minorEastAsia"/>
                <w:b/>
                <w:bCs/>
                <w:color w:val="auto"/>
                <w:szCs w:val="21"/>
                <w:lang w:val="en-US" w:eastAsia="zh-CN"/>
              </w:rPr>
              <w:t xml:space="preserve"> </w:t>
            </w:r>
            <w:r>
              <w:rPr>
                <w:rFonts w:hint="default" w:ascii="Times New Roman" w:hAnsi="Times New Roman" w:cs="Times New Roman" w:eastAsiaTheme="minorEastAsia"/>
                <w:b/>
                <w:bCs/>
                <w:color w:val="auto"/>
                <w:szCs w:val="21"/>
                <w:lang w:val="en-US" w:eastAsia="zh-CN"/>
              </w:rPr>
              <w:t xml:space="preserve"> </w:t>
            </w:r>
            <w:r>
              <w:rPr>
                <w:rFonts w:hint="default" w:ascii="Times New Roman" w:hAnsi="Times New Roman" w:cs="Times New Roman" w:eastAsiaTheme="minorEastAsia"/>
                <w:b/>
                <w:bCs/>
                <w:color w:val="auto"/>
                <w:sz w:val="21"/>
                <w:szCs w:val="21"/>
              </w:rPr>
              <w:t>大气环境质量及评价结果</w:t>
            </w:r>
            <w:r>
              <w:rPr>
                <w:rFonts w:hint="default" w:ascii="Times New Roman" w:hAnsi="Times New Roman" w:cs="Times New Roman" w:eastAsiaTheme="minorEastAsia"/>
                <w:b/>
                <w:bCs/>
                <w:color w:val="auto"/>
                <w:szCs w:val="21"/>
                <w:lang w:val="en-US" w:eastAsia="zh-CN"/>
              </w:rPr>
              <w:t>一览表</w:t>
            </w:r>
          </w:p>
          <w:tbl>
            <w:tblPr>
              <w:tblStyle w:val="29"/>
              <w:tblW w:w="8277"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1195"/>
              <w:gridCol w:w="2016"/>
              <w:gridCol w:w="1356"/>
              <w:gridCol w:w="1414"/>
              <w:gridCol w:w="1157"/>
              <w:gridCol w:w="1139"/>
            </w:tblGrid>
            <w:tr w14:paraId="65A2A6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95" w:type="dxa"/>
                  <w:tcBorders>
                    <w:bottom w:val="single" w:color="000000" w:sz="12" w:space="0"/>
                  </w:tcBorders>
                  <w:noWrap w:val="0"/>
                  <w:vAlign w:val="center"/>
                </w:tcPr>
                <w:p w14:paraId="5BCD52B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评价因子</w:t>
                  </w:r>
                </w:p>
              </w:tc>
              <w:tc>
                <w:tcPr>
                  <w:tcW w:w="2016" w:type="dxa"/>
                  <w:tcBorders>
                    <w:bottom w:val="single" w:color="000000" w:sz="12" w:space="0"/>
                  </w:tcBorders>
                  <w:noWrap w:val="0"/>
                  <w:vAlign w:val="center"/>
                </w:tcPr>
                <w:p w14:paraId="7528F36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评价指标</w:t>
                  </w:r>
                </w:p>
              </w:tc>
              <w:tc>
                <w:tcPr>
                  <w:tcW w:w="1356" w:type="dxa"/>
                  <w:tcBorders>
                    <w:bottom w:val="single" w:color="000000" w:sz="12" w:space="0"/>
                  </w:tcBorders>
                  <w:noWrap w:val="0"/>
                  <w:vAlign w:val="center"/>
                </w:tcPr>
                <w:p w14:paraId="38DF6D3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现状浓度（μg/m</w:t>
                  </w:r>
                  <w:r>
                    <w:rPr>
                      <w:rFonts w:hint="default" w:ascii="Times New Roman" w:hAnsi="Times New Roman" w:cs="Times New Roman" w:eastAsiaTheme="minorEastAsia"/>
                      <w:b/>
                      <w:bCs/>
                      <w:color w:val="auto"/>
                      <w:szCs w:val="21"/>
                      <w:vertAlign w:val="superscript"/>
                      <w:lang w:val="en-US" w:eastAsia="zh-CN"/>
                    </w:rPr>
                    <w:t>3</w:t>
                  </w:r>
                  <w:r>
                    <w:rPr>
                      <w:rFonts w:hint="default" w:ascii="Times New Roman" w:hAnsi="Times New Roman" w:cs="Times New Roman" w:eastAsiaTheme="minorEastAsia"/>
                      <w:b/>
                      <w:bCs/>
                      <w:color w:val="auto"/>
                      <w:szCs w:val="21"/>
                      <w:lang w:val="en-US" w:eastAsia="zh-CN"/>
                    </w:rPr>
                    <w:t>）</w:t>
                  </w:r>
                </w:p>
              </w:tc>
              <w:tc>
                <w:tcPr>
                  <w:tcW w:w="1414" w:type="dxa"/>
                  <w:tcBorders>
                    <w:bottom w:val="single" w:color="000000" w:sz="12" w:space="0"/>
                  </w:tcBorders>
                  <w:noWrap w:val="0"/>
                  <w:vAlign w:val="center"/>
                </w:tcPr>
                <w:p w14:paraId="5C85406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评价标准（μg/m</w:t>
                  </w:r>
                  <w:r>
                    <w:rPr>
                      <w:rFonts w:hint="default" w:ascii="Times New Roman" w:hAnsi="Times New Roman" w:cs="Times New Roman" w:eastAsiaTheme="minorEastAsia"/>
                      <w:b/>
                      <w:bCs/>
                      <w:color w:val="auto"/>
                      <w:szCs w:val="21"/>
                      <w:vertAlign w:val="superscript"/>
                      <w:lang w:val="en-US" w:eastAsia="zh-CN"/>
                    </w:rPr>
                    <w:t>3</w:t>
                  </w:r>
                  <w:r>
                    <w:rPr>
                      <w:rFonts w:hint="default" w:ascii="Times New Roman" w:hAnsi="Times New Roman" w:cs="Times New Roman" w:eastAsiaTheme="minorEastAsia"/>
                      <w:b/>
                      <w:bCs/>
                      <w:color w:val="auto"/>
                      <w:szCs w:val="21"/>
                      <w:lang w:val="en-US" w:eastAsia="zh-CN"/>
                    </w:rPr>
                    <w:t>）</w:t>
                  </w:r>
                </w:p>
              </w:tc>
              <w:tc>
                <w:tcPr>
                  <w:tcW w:w="1157" w:type="dxa"/>
                  <w:tcBorders>
                    <w:bottom w:val="single" w:color="000000" w:sz="12" w:space="0"/>
                  </w:tcBorders>
                  <w:noWrap w:val="0"/>
                  <w:vAlign w:val="center"/>
                </w:tcPr>
                <w:p w14:paraId="708A5D5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占标率（%）</w:t>
                  </w:r>
                </w:p>
              </w:tc>
              <w:tc>
                <w:tcPr>
                  <w:tcW w:w="1139" w:type="dxa"/>
                  <w:tcBorders>
                    <w:bottom w:val="single" w:color="000000" w:sz="12" w:space="0"/>
                  </w:tcBorders>
                  <w:noWrap w:val="0"/>
                  <w:vAlign w:val="center"/>
                </w:tcPr>
                <w:p w14:paraId="5EE1283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达标情况</w:t>
                  </w:r>
                </w:p>
              </w:tc>
            </w:tr>
            <w:tr w14:paraId="2C6E222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95" w:type="dxa"/>
                  <w:tcBorders>
                    <w:top w:val="single" w:color="000000" w:sz="12" w:space="0"/>
                    <w:tl2br w:val="nil"/>
                    <w:tr2bl w:val="nil"/>
                  </w:tcBorders>
                  <w:noWrap w:val="0"/>
                  <w:vAlign w:val="center"/>
                </w:tcPr>
                <w:p w14:paraId="4749497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SO</w:t>
                  </w:r>
                  <w:r>
                    <w:rPr>
                      <w:rFonts w:hint="default" w:ascii="Times New Roman" w:hAnsi="Times New Roman" w:cs="Times New Roman" w:eastAsiaTheme="minorEastAsia"/>
                      <w:color w:val="auto"/>
                      <w:szCs w:val="21"/>
                      <w:vertAlign w:val="subscript"/>
                      <w:lang w:val="en-US" w:eastAsia="zh-CN"/>
                    </w:rPr>
                    <w:t>2</w:t>
                  </w:r>
                </w:p>
              </w:tc>
              <w:tc>
                <w:tcPr>
                  <w:tcW w:w="2016" w:type="dxa"/>
                  <w:tcBorders>
                    <w:top w:val="single" w:color="000000" w:sz="12" w:space="0"/>
                    <w:tl2br w:val="nil"/>
                    <w:tr2bl w:val="nil"/>
                  </w:tcBorders>
                  <w:noWrap w:val="0"/>
                  <w:vAlign w:val="center"/>
                </w:tcPr>
                <w:p w14:paraId="702D615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年平均</w:t>
                  </w:r>
                </w:p>
              </w:tc>
              <w:tc>
                <w:tcPr>
                  <w:tcW w:w="1356" w:type="dxa"/>
                  <w:tcBorders>
                    <w:top w:val="single" w:color="000000" w:sz="12" w:space="0"/>
                    <w:tl2br w:val="nil"/>
                    <w:tr2bl w:val="nil"/>
                  </w:tcBorders>
                  <w:noWrap w:val="0"/>
                  <w:vAlign w:val="center"/>
                </w:tcPr>
                <w:p w14:paraId="57F2023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7</w:t>
                  </w:r>
                </w:p>
              </w:tc>
              <w:tc>
                <w:tcPr>
                  <w:tcW w:w="1414" w:type="dxa"/>
                  <w:tcBorders>
                    <w:top w:val="single" w:color="000000" w:sz="12" w:space="0"/>
                    <w:tl2br w:val="nil"/>
                    <w:tr2bl w:val="nil"/>
                  </w:tcBorders>
                  <w:shd w:val="clear" w:color="auto" w:fill="auto"/>
                  <w:noWrap w:val="0"/>
                  <w:vAlign w:val="center"/>
                </w:tcPr>
                <w:p w14:paraId="341D139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Cs w:val="21"/>
                      <w:lang w:val="en-US" w:eastAsia="zh-CN"/>
                    </w:rPr>
                    <w:t>60</w:t>
                  </w:r>
                </w:p>
              </w:tc>
              <w:tc>
                <w:tcPr>
                  <w:tcW w:w="1157" w:type="dxa"/>
                  <w:tcBorders>
                    <w:top w:val="single" w:color="000000" w:sz="12" w:space="0"/>
                    <w:tl2br w:val="nil"/>
                    <w:tr2bl w:val="nil"/>
                  </w:tcBorders>
                  <w:noWrap w:val="0"/>
                  <w:vAlign w:val="center"/>
                </w:tcPr>
                <w:p w14:paraId="5A10751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11.7</w:t>
                  </w:r>
                </w:p>
              </w:tc>
              <w:tc>
                <w:tcPr>
                  <w:tcW w:w="1139" w:type="dxa"/>
                  <w:tcBorders>
                    <w:top w:val="single" w:color="000000" w:sz="12" w:space="0"/>
                    <w:tl2br w:val="nil"/>
                    <w:tr2bl w:val="nil"/>
                  </w:tcBorders>
                  <w:noWrap w:val="0"/>
                  <w:vAlign w:val="center"/>
                </w:tcPr>
                <w:p w14:paraId="4614EAA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达标</w:t>
                  </w:r>
                </w:p>
              </w:tc>
            </w:tr>
            <w:tr w14:paraId="4C16D39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95" w:type="dxa"/>
                  <w:tcBorders>
                    <w:tl2br w:val="nil"/>
                    <w:tr2bl w:val="nil"/>
                  </w:tcBorders>
                  <w:noWrap w:val="0"/>
                  <w:vAlign w:val="center"/>
                </w:tcPr>
                <w:p w14:paraId="41D43B3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NO</w:t>
                  </w:r>
                  <w:r>
                    <w:rPr>
                      <w:rFonts w:hint="default" w:ascii="Times New Roman" w:hAnsi="Times New Roman" w:cs="Times New Roman" w:eastAsiaTheme="minorEastAsia"/>
                      <w:color w:val="auto"/>
                      <w:szCs w:val="21"/>
                      <w:vertAlign w:val="subscript"/>
                      <w:lang w:val="en-US" w:eastAsia="zh-CN"/>
                    </w:rPr>
                    <w:t>2</w:t>
                  </w:r>
                </w:p>
              </w:tc>
              <w:tc>
                <w:tcPr>
                  <w:tcW w:w="2016" w:type="dxa"/>
                  <w:tcBorders>
                    <w:tl2br w:val="nil"/>
                    <w:tr2bl w:val="nil"/>
                  </w:tcBorders>
                  <w:noWrap w:val="0"/>
                  <w:vAlign w:val="center"/>
                </w:tcPr>
                <w:p w14:paraId="3E13AFC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年平均</w:t>
                  </w:r>
                </w:p>
              </w:tc>
              <w:tc>
                <w:tcPr>
                  <w:tcW w:w="1356" w:type="dxa"/>
                  <w:tcBorders>
                    <w:tl2br w:val="nil"/>
                    <w:tr2bl w:val="nil"/>
                  </w:tcBorders>
                  <w:noWrap w:val="0"/>
                  <w:vAlign w:val="center"/>
                </w:tcPr>
                <w:p w14:paraId="02E44F4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ascii="Times New Roman" w:hAnsi="Times New Roman" w:cs="Times New Roman" w:eastAsiaTheme="minorEastAsia"/>
                      <w:color w:val="auto"/>
                      <w:szCs w:val="21"/>
                      <w:lang w:val="en-US" w:eastAsia="zh-CN"/>
                    </w:rPr>
                    <w:t>25</w:t>
                  </w:r>
                </w:p>
              </w:tc>
              <w:tc>
                <w:tcPr>
                  <w:tcW w:w="1414" w:type="dxa"/>
                  <w:tcBorders>
                    <w:tl2br w:val="nil"/>
                    <w:tr2bl w:val="nil"/>
                  </w:tcBorders>
                  <w:shd w:val="clear" w:color="auto" w:fill="auto"/>
                  <w:noWrap w:val="0"/>
                  <w:vAlign w:val="center"/>
                </w:tcPr>
                <w:p w14:paraId="30D205E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Cs w:val="21"/>
                      <w:lang w:val="en-US" w:eastAsia="zh-CN"/>
                    </w:rPr>
                    <w:t>40</w:t>
                  </w:r>
                </w:p>
              </w:tc>
              <w:tc>
                <w:tcPr>
                  <w:tcW w:w="1157" w:type="dxa"/>
                  <w:tcBorders>
                    <w:tl2br w:val="nil"/>
                    <w:tr2bl w:val="nil"/>
                  </w:tcBorders>
                  <w:noWrap w:val="0"/>
                  <w:vAlign w:val="center"/>
                </w:tcPr>
                <w:p w14:paraId="685CF8D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ascii="Times New Roman" w:hAnsi="Times New Roman" w:cs="Times New Roman" w:eastAsiaTheme="minorEastAsia"/>
                      <w:color w:val="auto"/>
                      <w:szCs w:val="21"/>
                      <w:lang w:val="en-US" w:eastAsia="zh-CN"/>
                    </w:rPr>
                    <w:t>62.5</w:t>
                  </w:r>
                </w:p>
              </w:tc>
              <w:tc>
                <w:tcPr>
                  <w:tcW w:w="1139" w:type="dxa"/>
                  <w:tcBorders>
                    <w:tl2br w:val="nil"/>
                    <w:tr2bl w:val="nil"/>
                  </w:tcBorders>
                  <w:noWrap w:val="0"/>
                  <w:vAlign w:val="center"/>
                </w:tcPr>
                <w:p w14:paraId="364BED6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达标</w:t>
                  </w:r>
                </w:p>
              </w:tc>
            </w:tr>
            <w:tr w14:paraId="494AEC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95" w:type="dxa"/>
                  <w:tcBorders>
                    <w:tl2br w:val="nil"/>
                    <w:tr2bl w:val="nil"/>
                  </w:tcBorders>
                  <w:noWrap w:val="0"/>
                  <w:vAlign w:val="center"/>
                </w:tcPr>
                <w:p w14:paraId="2E46EFD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PM</w:t>
                  </w:r>
                  <w:r>
                    <w:rPr>
                      <w:rFonts w:hint="default" w:ascii="Times New Roman" w:hAnsi="Times New Roman" w:cs="Times New Roman" w:eastAsiaTheme="minorEastAsia"/>
                      <w:color w:val="auto"/>
                      <w:szCs w:val="21"/>
                      <w:vertAlign w:val="subscript"/>
                      <w:lang w:val="en-US" w:eastAsia="zh-CN"/>
                    </w:rPr>
                    <w:t>10</w:t>
                  </w:r>
                </w:p>
              </w:tc>
              <w:tc>
                <w:tcPr>
                  <w:tcW w:w="2016" w:type="dxa"/>
                  <w:tcBorders>
                    <w:tl2br w:val="nil"/>
                    <w:tr2bl w:val="nil"/>
                  </w:tcBorders>
                  <w:noWrap w:val="0"/>
                  <w:vAlign w:val="center"/>
                </w:tcPr>
                <w:p w14:paraId="2DE2678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年平均</w:t>
                  </w:r>
                </w:p>
              </w:tc>
              <w:tc>
                <w:tcPr>
                  <w:tcW w:w="1356" w:type="dxa"/>
                  <w:tcBorders>
                    <w:tl2br w:val="nil"/>
                    <w:tr2bl w:val="nil"/>
                  </w:tcBorders>
                  <w:noWrap w:val="0"/>
                  <w:vAlign w:val="center"/>
                </w:tcPr>
                <w:p w14:paraId="3676DCB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ascii="Times New Roman" w:hAnsi="Times New Roman" w:cs="Times New Roman" w:eastAsiaTheme="minorEastAsia"/>
                      <w:color w:val="auto"/>
                      <w:szCs w:val="21"/>
                      <w:lang w:val="en-US" w:eastAsia="zh-CN"/>
                    </w:rPr>
                    <w:t>67</w:t>
                  </w:r>
                </w:p>
              </w:tc>
              <w:tc>
                <w:tcPr>
                  <w:tcW w:w="1414" w:type="dxa"/>
                  <w:tcBorders>
                    <w:tl2br w:val="nil"/>
                    <w:tr2bl w:val="nil"/>
                  </w:tcBorders>
                  <w:shd w:val="clear" w:color="auto" w:fill="auto"/>
                  <w:noWrap w:val="0"/>
                  <w:vAlign w:val="center"/>
                </w:tcPr>
                <w:p w14:paraId="21B23D7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eastAsia" w:ascii="Times New Roman" w:hAnsi="Times New Roman" w:cs="Times New Roman" w:eastAsiaTheme="minorEastAsia"/>
                      <w:color w:val="auto"/>
                      <w:szCs w:val="21"/>
                      <w:lang w:val="en-US" w:eastAsia="zh-CN"/>
                    </w:rPr>
                    <w:t>60</w:t>
                  </w:r>
                </w:p>
              </w:tc>
              <w:tc>
                <w:tcPr>
                  <w:tcW w:w="1157" w:type="dxa"/>
                  <w:tcBorders>
                    <w:tl2br w:val="nil"/>
                    <w:tr2bl w:val="nil"/>
                  </w:tcBorders>
                  <w:noWrap w:val="0"/>
                  <w:vAlign w:val="center"/>
                </w:tcPr>
                <w:p w14:paraId="376CBB1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ascii="Times New Roman" w:hAnsi="Times New Roman" w:cs="Times New Roman" w:eastAsiaTheme="minorEastAsia"/>
                      <w:color w:val="auto"/>
                      <w:szCs w:val="21"/>
                      <w:lang w:val="en-US" w:eastAsia="zh-CN"/>
                    </w:rPr>
                    <w:t>111.67</w:t>
                  </w:r>
                </w:p>
              </w:tc>
              <w:tc>
                <w:tcPr>
                  <w:tcW w:w="1139" w:type="dxa"/>
                  <w:tcBorders>
                    <w:tl2br w:val="nil"/>
                    <w:tr2bl w:val="nil"/>
                  </w:tcBorders>
                  <w:noWrap w:val="0"/>
                  <w:vAlign w:val="center"/>
                </w:tcPr>
                <w:p w14:paraId="7D89AA2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超标</w:t>
                  </w:r>
                </w:p>
              </w:tc>
            </w:tr>
            <w:tr w14:paraId="68B499D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95" w:type="dxa"/>
                  <w:tcBorders>
                    <w:tl2br w:val="nil"/>
                    <w:tr2bl w:val="nil"/>
                  </w:tcBorders>
                  <w:noWrap w:val="0"/>
                  <w:vAlign w:val="center"/>
                </w:tcPr>
                <w:p w14:paraId="47EC0CF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PM</w:t>
                  </w:r>
                  <w:r>
                    <w:rPr>
                      <w:rFonts w:hint="default" w:ascii="Times New Roman" w:hAnsi="Times New Roman" w:cs="Times New Roman" w:eastAsiaTheme="minorEastAsia"/>
                      <w:color w:val="auto"/>
                      <w:szCs w:val="21"/>
                      <w:vertAlign w:val="subscript"/>
                      <w:lang w:val="en-US" w:eastAsia="zh-CN"/>
                    </w:rPr>
                    <w:t>2.5</w:t>
                  </w:r>
                </w:p>
              </w:tc>
              <w:tc>
                <w:tcPr>
                  <w:tcW w:w="2016" w:type="dxa"/>
                  <w:tcBorders>
                    <w:tl2br w:val="nil"/>
                    <w:tr2bl w:val="nil"/>
                  </w:tcBorders>
                  <w:noWrap w:val="0"/>
                  <w:vAlign w:val="center"/>
                </w:tcPr>
                <w:p w14:paraId="61455F2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年平均</w:t>
                  </w:r>
                </w:p>
              </w:tc>
              <w:tc>
                <w:tcPr>
                  <w:tcW w:w="1356" w:type="dxa"/>
                  <w:tcBorders>
                    <w:tl2br w:val="nil"/>
                    <w:tr2bl w:val="nil"/>
                  </w:tcBorders>
                  <w:noWrap w:val="0"/>
                  <w:vAlign w:val="center"/>
                </w:tcPr>
                <w:p w14:paraId="679BFEB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ascii="Times New Roman" w:hAnsi="Times New Roman" w:cs="Times New Roman" w:eastAsiaTheme="minorEastAsia"/>
                      <w:color w:val="auto"/>
                      <w:szCs w:val="21"/>
                      <w:lang w:val="en-US" w:eastAsia="zh-CN"/>
                    </w:rPr>
                    <w:t>37</w:t>
                  </w:r>
                </w:p>
              </w:tc>
              <w:tc>
                <w:tcPr>
                  <w:tcW w:w="1414" w:type="dxa"/>
                  <w:tcBorders>
                    <w:tl2br w:val="nil"/>
                    <w:tr2bl w:val="nil"/>
                  </w:tcBorders>
                  <w:shd w:val="clear" w:color="auto" w:fill="auto"/>
                  <w:noWrap w:val="0"/>
                  <w:vAlign w:val="center"/>
                </w:tcPr>
                <w:p w14:paraId="5D1486E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eastAsia" w:ascii="Times New Roman" w:hAnsi="Times New Roman" w:cs="Times New Roman" w:eastAsiaTheme="minorEastAsia"/>
                      <w:color w:val="auto"/>
                      <w:szCs w:val="21"/>
                      <w:lang w:val="en-US" w:eastAsia="zh-CN"/>
                    </w:rPr>
                    <w:t>30</w:t>
                  </w:r>
                </w:p>
              </w:tc>
              <w:tc>
                <w:tcPr>
                  <w:tcW w:w="1157" w:type="dxa"/>
                  <w:tcBorders>
                    <w:tl2br w:val="nil"/>
                    <w:tr2bl w:val="nil"/>
                  </w:tcBorders>
                  <w:noWrap w:val="0"/>
                  <w:vAlign w:val="center"/>
                </w:tcPr>
                <w:p w14:paraId="7A40F6E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ascii="Times New Roman" w:hAnsi="Times New Roman" w:cs="Times New Roman" w:eastAsiaTheme="minorEastAsia"/>
                      <w:color w:val="auto"/>
                      <w:szCs w:val="21"/>
                      <w:lang w:val="en-US" w:eastAsia="zh-CN"/>
                    </w:rPr>
                    <w:t>123.33</w:t>
                  </w:r>
                </w:p>
              </w:tc>
              <w:tc>
                <w:tcPr>
                  <w:tcW w:w="1139" w:type="dxa"/>
                  <w:tcBorders>
                    <w:tl2br w:val="nil"/>
                    <w:tr2bl w:val="nil"/>
                  </w:tcBorders>
                  <w:noWrap w:val="0"/>
                  <w:vAlign w:val="center"/>
                </w:tcPr>
                <w:p w14:paraId="656D989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超标</w:t>
                  </w:r>
                </w:p>
              </w:tc>
            </w:tr>
            <w:tr w14:paraId="2EB8EB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95" w:type="dxa"/>
                  <w:tcBorders>
                    <w:tl2br w:val="nil"/>
                    <w:tr2bl w:val="nil"/>
                  </w:tcBorders>
                  <w:noWrap w:val="0"/>
                  <w:vAlign w:val="center"/>
                </w:tcPr>
                <w:p w14:paraId="70D256C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CO</w:t>
                  </w:r>
                </w:p>
              </w:tc>
              <w:tc>
                <w:tcPr>
                  <w:tcW w:w="2016" w:type="dxa"/>
                  <w:tcBorders>
                    <w:tl2br w:val="nil"/>
                    <w:tr2bl w:val="nil"/>
                  </w:tcBorders>
                  <w:noWrap w:val="0"/>
                  <w:vAlign w:val="center"/>
                </w:tcPr>
                <w:p w14:paraId="2CB10FC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24小时平均第95百分位数</w:t>
                  </w:r>
                </w:p>
              </w:tc>
              <w:tc>
                <w:tcPr>
                  <w:tcW w:w="1356" w:type="dxa"/>
                  <w:tcBorders>
                    <w:tl2br w:val="nil"/>
                    <w:tr2bl w:val="nil"/>
                  </w:tcBorders>
                  <w:noWrap w:val="0"/>
                  <w:vAlign w:val="center"/>
                </w:tcPr>
                <w:p w14:paraId="3717421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ascii="Times New Roman" w:hAnsi="Times New Roman" w:cs="Times New Roman" w:eastAsiaTheme="minorEastAsia"/>
                      <w:color w:val="auto"/>
                      <w:szCs w:val="21"/>
                      <w:lang w:val="en-US" w:eastAsia="zh-CN"/>
                    </w:rPr>
                    <w:t>1600</w:t>
                  </w:r>
                </w:p>
              </w:tc>
              <w:tc>
                <w:tcPr>
                  <w:tcW w:w="1414" w:type="dxa"/>
                  <w:tcBorders>
                    <w:tl2br w:val="nil"/>
                    <w:tr2bl w:val="nil"/>
                  </w:tcBorders>
                  <w:shd w:val="clear" w:color="auto" w:fill="auto"/>
                  <w:noWrap w:val="0"/>
                  <w:vAlign w:val="center"/>
                </w:tcPr>
                <w:p w14:paraId="2CF000E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Cs w:val="21"/>
                      <w:lang w:val="en-US" w:eastAsia="zh-CN"/>
                    </w:rPr>
                    <w:t>4000</w:t>
                  </w:r>
                </w:p>
              </w:tc>
              <w:tc>
                <w:tcPr>
                  <w:tcW w:w="1157" w:type="dxa"/>
                  <w:tcBorders>
                    <w:tl2br w:val="nil"/>
                    <w:tr2bl w:val="nil"/>
                  </w:tcBorders>
                  <w:noWrap w:val="0"/>
                  <w:vAlign w:val="center"/>
                </w:tcPr>
                <w:p w14:paraId="76A4F9F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ascii="Times New Roman" w:hAnsi="Times New Roman" w:cs="Times New Roman" w:eastAsiaTheme="minorEastAsia"/>
                      <w:color w:val="auto"/>
                      <w:szCs w:val="21"/>
                      <w:lang w:val="en-US" w:eastAsia="zh-CN"/>
                    </w:rPr>
                    <w:t>40</w:t>
                  </w:r>
                </w:p>
              </w:tc>
              <w:tc>
                <w:tcPr>
                  <w:tcW w:w="1139" w:type="dxa"/>
                  <w:tcBorders>
                    <w:tl2br w:val="nil"/>
                    <w:tr2bl w:val="nil"/>
                  </w:tcBorders>
                  <w:noWrap w:val="0"/>
                  <w:vAlign w:val="center"/>
                </w:tcPr>
                <w:p w14:paraId="00FE404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达标</w:t>
                  </w:r>
                </w:p>
              </w:tc>
            </w:tr>
            <w:tr w14:paraId="2F83272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195" w:type="dxa"/>
                  <w:tcBorders>
                    <w:tl2br w:val="nil"/>
                    <w:tr2bl w:val="nil"/>
                  </w:tcBorders>
                  <w:noWrap w:val="0"/>
                  <w:vAlign w:val="center"/>
                </w:tcPr>
                <w:p w14:paraId="0BABD73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O</w:t>
                  </w:r>
                  <w:r>
                    <w:rPr>
                      <w:rFonts w:hint="default" w:ascii="Times New Roman" w:hAnsi="Times New Roman" w:cs="Times New Roman" w:eastAsiaTheme="minorEastAsia"/>
                      <w:color w:val="auto"/>
                      <w:szCs w:val="21"/>
                      <w:vertAlign w:val="subscript"/>
                      <w:lang w:val="en-US" w:eastAsia="zh-CN"/>
                    </w:rPr>
                    <w:t>3</w:t>
                  </w:r>
                </w:p>
              </w:tc>
              <w:tc>
                <w:tcPr>
                  <w:tcW w:w="2016" w:type="dxa"/>
                  <w:tcBorders>
                    <w:tl2br w:val="nil"/>
                    <w:tr2bl w:val="nil"/>
                  </w:tcBorders>
                  <w:noWrap w:val="0"/>
                  <w:vAlign w:val="center"/>
                </w:tcPr>
                <w:p w14:paraId="4036A6C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日最大8小时平均第90百分位数</w:t>
                  </w:r>
                </w:p>
              </w:tc>
              <w:tc>
                <w:tcPr>
                  <w:tcW w:w="1356" w:type="dxa"/>
                  <w:tcBorders>
                    <w:tl2br w:val="nil"/>
                    <w:tr2bl w:val="nil"/>
                  </w:tcBorders>
                  <w:noWrap w:val="0"/>
                  <w:vAlign w:val="center"/>
                </w:tcPr>
                <w:p w14:paraId="69275BE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ascii="Times New Roman" w:hAnsi="Times New Roman" w:cs="Times New Roman" w:eastAsiaTheme="minorEastAsia"/>
                      <w:color w:val="auto"/>
                      <w:szCs w:val="21"/>
                      <w:lang w:val="en-US" w:eastAsia="zh-CN"/>
                    </w:rPr>
                    <w:t>131</w:t>
                  </w:r>
                </w:p>
              </w:tc>
              <w:tc>
                <w:tcPr>
                  <w:tcW w:w="1414" w:type="dxa"/>
                  <w:tcBorders>
                    <w:tl2br w:val="nil"/>
                    <w:tr2bl w:val="nil"/>
                  </w:tcBorders>
                  <w:shd w:val="clear" w:color="auto" w:fill="auto"/>
                  <w:noWrap w:val="0"/>
                  <w:vAlign w:val="center"/>
                </w:tcPr>
                <w:p w14:paraId="449F154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Cs w:val="21"/>
                      <w:lang w:val="en-US" w:eastAsia="zh-CN"/>
                    </w:rPr>
                    <w:t>160</w:t>
                  </w:r>
                </w:p>
              </w:tc>
              <w:tc>
                <w:tcPr>
                  <w:tcW w:w="1157" w:type="dxa"/>
                  <w:tcBorders>
                    <w:tl2br w:val="nil"/>
                    <w:tr2bl w:val="nil"/>
                  </w:tcBorders>
                  <w:noWrap w:val="0"/>
                  <w:vAlign w:val="center"/>
                </w:tcPr>
                <w:p w14:paraId="081293D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ascii="Times New Roman" w:hAnsi="Times New Roman" w:cs="Times New Roman" w:eastAsiaTheme="minorEastAsia"/>
                      <w:color w:val="auto"/>
                      <w:szCs w:val="21"/>
                      <w:lang w:val="en-US" w:eastAsia="zh-CN"/>
                    </w:rPr>
                    <w:t>81.9</w:t>
                  </w:r>
                </w:p>
              </w:tc>
              <w:tc>
                <w:tcPr>
                  <w:tcW w:w="1139" w:type="dxa"/>
                  <w:tcBorders>
                    <w:tl2br w:val="nil"/>
                    <w:tr2bl w:val="nil"/>
                  </w:tcBorders>
                  <w:noWrap w:val="0"/>
                  <w:vAlign w:val="center"/>
                </w:tcPr>
                <w:p w14:paraId="0163963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达标</w:t>
                  </w:r>
                </w:p>
              </w:tc>
            </w:tr>
          </w:tbl>
          <w:p w14:paraId="264B379B">
            <w:pPr>
              <w:pStyle w:val="74"/>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jc w:val="both"/>
              <w:rPr>
                <w:rFonts w:hint="default" w:ascii="Times New Roman" w:hAnsi="Times New Roman" w:cs="Times New Roman" w:eastAsiaTheme="minorEastAsia"/>
                <w:color w:val="auto"/>
                <w:kern w:val="0"/>
                <w:sz w:val="24"/>
                <w:lang w:val="en-US" w:eastAsia="zh-CN"/>
              </w:rPr>
            </w:pPr>
            <w:r>
              <w:rPr>
                <w:rFonts w:hint="default" w:ascii="Times New Roman" w:hAnsi="Times New Roman" w:cs="Times New Roman" w:eastAsiaTheme="minorEastAsia"/>
                <w:color w:val="auto"/>
                <w:kern w:val="0"/>
                <w:sz w:val="24"/>
                <w:lang w:val="en-US" w:eastAsia="zh-CN"/>
              </w:rPr>
              <w:t>根据上表评价结果可知，202</w:t>
            </w:r>
            <w:r>
              <w:rPr>
                <w:rFonts w:hint="eastAsia" w:ascii="Times New Roman" w:hAnsi="Times New Roman" w:cs="Times New Roman" w:eastAsiaTheme="minorEastAsia"/>
                <w:color w:val="auto"/>
                <w:kern w:val="0"/>
                <w:sz w:val="24"/>
                <w:lang w:val="en-US" w:eastAsia="zh-CN"/>
              </w:rPr>
              <w:t>5</w:t>
            </w:r>
            <w:r>
              <w:rPr>
                <w:rFonts w:hint="default" w:ascii="Times New Roman" w:hAnsi="Times New Roman" w:cs="Times New Roman" w:eastAsiaTheme="minorEastAsia"/>
                <w:color w:val="auto"/>
                <w:kern w:val="0"/>
                <w:sz w:val="24"/>
                <w:lang w:val="en-US" w:eastAsia="zh-CN"/>
              </w:rPr>
              <w:t>年昌吉市PM</w:t>
            </w:r>
            <w:r>
              <w:rPr>
                <w:rFonts w:hint="default" w:ascii="Times New Roman" w:hAnsi="Times New Roman" w:cs="Times New Roman" w:eastAsiaTheme="minorEastAsia"/>
                <w:color w:val="auto"/>
                <w:kern w:val="0"/>
                <w:sz w:val="24"/>
                <w:vertAlign w:val="subscript"/>
                <w:lang w:val="en-US" w:eastAsia="zh-CN"/>
              </w:rPr>
              <w:t>2.5</w:t>
            </w:r>
            <w:r>
              <w:rPr>
                <w:rFonts w:hint="default" w:ascii="Times New Roman" w:hAnsi="Times New Roman" w:cs="Times New Roman" w:eastAsiaTheme="minorEastAsia"/>
                <w:color w:val="auto"/>
                <w:kern w:val="0"/>
                <w:sz w:val="24"/>
                <w:lang w:val="en-US" w:eastAsia="zh-CN"/>
              </w:rPr>
              <w:t>、PM</w:t>
            </w:r>
            <w:r>
              <w:rPr>
                <w:rFonts w:hint="default" w:ascii="Times New Roman" w:hAnsi="Times New Roman" w:cs="Times New Roman" w:eastAsiaTheme="minorEastAsia"/>
                <w:color w:val="auto"/>
                <w:kern w:val="0"/>
                <w:sz w:val="24"/>
                <w:vertAlign w:val="subscript"/>
                <w:lang w:val="en-US" w:eastAsia="zh-CN"/>
              </w:rPr>
              <w:t>10</w:t>
            </w:r>
            <w:r>
              <w:rPr>
                <w:rFonts w:hint="default" w:ascii="Times New Roman" w:hAnsi="Times New Roman" w:cs="Times New Roman" w:eastAsiaTheme="minorEastAsia"/>
                <w:color w:val="auto"/>
                <w:kern w:val="0"/>
                <w:sz w:val="24"/>
                <w:lang w:val="en-US" w:eastAsia="zh-CN"/>
              </w:rPr>
              <w:t>不能满足《环境空气质量标准》（GB3095-2026）</w:t>
            </w:r>
            <w:r>
              <w:rPr>
                <w:rFonts w:hint="default" w:ascii="Times New Roman" w:hAnsi="Times New Roman" w:cs="Times New Roman" w:eastAsiaTheme="minorEastAsia"/>
                <w:color w:val="auto"/>
                <w:highlight w:val="none"/>
                <w:lang w:val="en-US" w:eastAsia="zh-CN"/>
              </w:rPr>
              <w:t>中过渡阶段二级浓度限值</w:t>
            </w:r>
            <w:r>
              <w:rPr>
                <w:rFonts w:hint="default" w:ascii="Times New Roman" w:hAnsi="Times New Roman" w:cs="Times New Roman" w:eastAsiaTheme="minorEastAsia"/>
                <w:color w:val="auto"/>
                <w:kern w:val="0"/>
                <w:sz w:val="24"/>
                <w:lang w:val="en-US" w:eastAsia="zh-CN"/>
              </w:rPr>
              <w:t>，NO</w:t>
            </w:r>
            <w:r>
              <w:rPr>
                <w:rFonts w:hint="default" w:ascii="Times New Roman" w:hAnsi="Times New Roman" w:cs="Times New Roman" w:eastAsiaTheme="minorEastAsia"/>
                <w:color w:val="auto"/>
                <w:kern w:val="0"/>
                <w:sz w:val="24"/>
                <w:vertAlign w:val="subscript"/>
                <w:lang w:val="en-US" w:eastAsia="zh-CN"/>
              </w:rPr>
              <w:t>2</w:t>
            </w:r>
            <w:r>
              <w:rPr>
                <w:rFonts w:hint="default" w:ascii="Times New Roman" w:hAnsi="Times New Roman" w:cs="Times New Roman" w:eastAsiaTheme="minorEastAsia"/>
                <w:color w:val="auto"/>
                <w:kern w:val="0"/>
                <w:sz w:val="24"/>
                <w:lang w:val="en-US" w:eastAsia="zh-CN"/>
              </w:rPr>
              <w:t>、O</w:t>
            </w:r>
            <w:r>
              <w:rPr>
                <w:rFonts w:hint="default" w:ascii="Times New Roman" w:hAnsi="Times New Roman" w:cs="Times New Roman" w:eastAsiaTheme="minorEastAsia"/>
                <w:color w:val="auto"/>
                <w:kern w:val="0"/>
                <w:sz w:val="24"/>
                <w:vertAlign w:val="subscript"/>
                <w:lang w:val="en-US" w:eastAsia="zh-CN"/>
              </w:rPr>
              <w:t>3</w:t>
            </w:r>
            <w:r>
              <w:rPr>
                <w:rFonts w:hint="default" w:ascii="Times New Roman" w:hAnsi="Times New Roman" w:cs="Times New Roman" w:eastAsiaTheme="minorEastAsia"/>
                <w:color w:val="auto"/>
                <w:kern w:val="0"/>
                <w:sz w:val="24"/>
                <w:lang w:val="en-US" w:eastAsia="zh-CN"/>
              </w:rPr>
              <w:t>、CO、SO</w:t>
            </w:r>
            <w:r>
              <w:rPr>
                <w:rFonts w:hint="default" w:ascii="Times New Roman" w:hAnsi="Times New Roman" w:cs="Times New Roman" w:eastAsiaTheme="minorEastAsia"/>
                <w:color w:val="auto"/>
                <w:kern w:val="0"/>
                <w:sz w:val="24"/>
                <w:vertAlign w:val="subscript"/>
                <w:lang w:val="en-US" w:eastAsia="zh-CN"/>
              </w:rPr>
              <w:t>2</w:t>
            </w:r>
            <w:r>
              <w:rPr>
                <w:rFonts w:hint="default" w:ascii="Times New Roman" w:hAnsi="Times New Roman" w:cs="Times New Roman" w:eastAsiaTheme="minorEastAsia"/>
                <w:color w:val="auto"/>
                <w:kern w:val="0"/>
                <w:sz w:val="24"/>
                <w:lang w:val="en-US" w:eastAsia="zh-CN"/>
              </w:rPr>
              <w:t>指标均符合《环境空气质量标准》（GB3095-2026）</w:t>
            </w:r>
            <w:r>
              <w:rPr>
                <w:rFonts w:hint="default" w:ascii="Times New Roman" w:hAnsi="Times New Roman" w:cs="Times New Roman" w:eastAsiaTheme="minorEastAsia"/>
                <w:color w:val="auto"/>
                <w:highlight w:val="none"/>
                <w:lang w:val="en-US" w:eastAsia="zh-CN"/>
              </w:rPr>
              <w:t>中过渡阶段二级浓度限值</w:t>
            </w:r>
            <w:r>
              <w:rPr>
                <w:rFonts w:hint="default" w:ascii="Times New Roman" w:hAnsi="Times New Roman" w:cs="Times New Roman" w:eastAsiaTheme="minorEastAsia"/>
                <w:color w:val="auto"/>
                <w:kern w:val="0"/>
                <w:sz w:val="24"/>
                <w:lang w:val="en-US" w:eastAsia="zh-CN"/>
              </w:rPr>
              <w:t>。根据《环境影响评价技术导则 大气环境》（HJ2.2-2018），判定评价区域环境空气质量不达标。PM</w:t>
            </w:r>
            <w:r>
              <w:rPr>
                <w:rFonts w:hint="default" w:ascii="Times New Roman" w:hAnsi="Times New Roman" w:cs="Times New Roman" w:eastAsiaTheme="minorEastAsia"/>
                <w:color w:val="auto"/>
                <w:kern w:val="0"/>
                <w:sz w:val="24"/>
                <w:vertAlign w:val="subscript"/>
                <w:lang w:val="en-US" w:eastAsia="zh-CN"/>
              </w:rPr>
              <w:t>10</w:t>
            </w:r>
            <w:r>
              <w:rPr>
                <w:rFonts w:hint="default" w:ascii="Times New Roman" w:hAnsi="Times New Roman" w:cs="Times New Roman" w:eastAsiaTheme="minorEastAsia"/>
                <w:color w:val="auto"/>
                <w:kern w:val="0"/>
                <w:sz w:val="24"/>
                <w:lang w:val="en-US" w:eastAsia="zh-CN"/>
              </w:rPr>
              <w:t>、PM</w:t>
            </w:r>
            <w:r>
              <w:rPr>
                <w:rFonts w:hint="default" w:ascii="Times New Roman" w:hAnsi="Times New Roman" w:cs="Times New Roman" w:eastAsiaTheme="minorEastAsia"/>
                <w:color w:val="auto"/>
                <w:kern w:val="0"/>
                <w:sz w:val="24"/>
                <w:vertAlign w:val="subscript"/>
                <w:lang w:val="en-US" w:eastAsia="zh-CN"/>
              </w:rPr>
              <w:t>2.5</w:t>
            </w:r>
            <w:r>
              <w:rPr>
                <w:rFonts w:hint="default" w:ascii="Times New Roman" w:hAnsi="Times New Roman" w:cs="Times New Roman" w:eastAsiaTheme="minorEastAsia"/>
                <w:color w:val="auto"/>
                <w:kern w:val="0"/>
                <w:sz w:val="24"/>
                <w:lang w:val="en-US" w:eastAsia="zh-CN"/>
              </w:rPr>
              <w:t>超标原因主要是因为工业污染和冬季逆温。</w:t>
            </w:r>
          </w:p>
          <w:p w14:paraId="4699A188">
            <w:pPr>
              <w:pStyle w:val="74"/>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jc w:val="both"/>
              <w:rPr>
                <w:rFonts w:hint="default" w:ascii="Times New Roman" w:hAnsi="Times New Roman" w:cs="Times New Roman" w:eastAsiaTheme="minorEastAsia"/>
                <w:color w:val="auto"/>
                <w:kern w:val="0"/>
                <w:sz w:val="24"/>
                <w:lang w:val="en-US" w:eastAsia="zh-CN"/>
              </w:rPr>
            </w:pPr>
            <w:r>
              <w:rPr>
                <w:rFonts w:hint="default" w:ascii="Times New Roman" w:hAnsi="Times New Roman" w:cs="Times New Roman" w:eastAsiaTheme="minorEastAsia"/>
                <w:color w:val="auto"/>
                <w:kern w:val="0"/>
                <w:sz w:val="24"/>
                <w:lang w:eastAsia="zh-CN"/>
              </w:rPr>
              <w:t>（</w:t>
            </w:r>
            <w:r>
              <w:rPr>
                <w:rFonts w:hint="default" w:ascii="Times New Roman" w:hAnsi="Times New Roman" w:cs="Times New Roman" w:eastAsiaTheme="minorEastAsia"/>
                <w:color w:val="auto"/>
                <w:kern w:val="0"/>
                <w:sz w:val="24"/>
                <w:lang w:val="en-US" w:eastAsia="zh-CN"/>
              </w:rPr>
              <w:t>2</w:t>
            </w:r>
            <w:r>
              <w:rPr>
                <w:rFonts w:hint="default" w:ascii="Times New Roman" w:hAnsi="Times New Roman" w:cs="Times New Roman" w:eastAsiaTheme="minorEastAsia"/>
                <w:color w:val="auto"/>
                <w:kern w:val="0"/>
                <w:sz w:val="24"/>
                <w:lang w:eastAsia="zh-CN"/>
              </w:rPr>
              <w:t>）</w:t>
            </w:r>
            <w:r>
              <w:rPr>
                <w:rFonts w:hint="default" w:ascii="Times New Roman" w:hAnsi="Times New Roman" w:cs="Times New Roman" w:eastAsiaTheme="minorEastAsia"/>
                <w:color w:val="auto"/>
                <w:kern w:val="0"/>
                <w:sz w:val="24"/>
                <w:lang w:val="en-US" w:eastAsia="zh-CN"/>
              </w:rPr>
              <w:t>特征污染物环境质量现状</w:t>
            </w:r>
          </w:p>
          <w:p w14:paraId="2F795DEC">
            <w:pPr>
              <w:pStyle w:val="74"/>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jc w:val="both"/>
              <w:rPr>
                <w:rFonts w:hint="default" w:ascii="Times New Roman" w:hAnsi="Times New Roman" w:cs="Times New Roman" w:eastAsiaTheme="minorEastAsia"/>
                <w:color w:val="auto"/>
                <w:kern w:val="0"/>
                <w:sz w:val="24"/>
                <w:lang w:val="en-US" w:eastAsia="zh-CN"/>
              </w:rPr>
            </w:pPr>
            <w:r>
              <w:rPr>
                <w:rFonts w:hint="default" w:ascii="Times New Roman" w:hAnsi="Times New Roman" w:cs="Times New Roman" w:eastAsiaTheme="minorEastAsia"/>
                <w:color w:val="auto"/>
                <w:kern w:val="0"/>
                <w:sz w:val="24"/>
                <w:lang w:val="en-US" w:eastAsia="zh-CN"/>
              </w:rPr>
              <w:t>根据《建设项目环境影响报告表编制技术指南》（污染影响类）（试行），“排放国家、地方环境空气质量标准中有标准限值要求的特征污染物时引用建设项目周边5千米范围内近3年的现有监测数据，无相关数据的选择当季主导风向下风向1个点位补充不少于3天的监测数据”，本项目不涉及排放特征污染物，故不进行现状评价。</w:t>
            </w:r>
          </w:p>
          <w:p w14:paraId="6872FC30">
            <w:pPr>
              <w:keepNext/>
              <w:keepLines/>
              <w:pageBreakBefore w:val="0"/>
              <w:numPr>
                <w:ilvl w:val="0"/>
                <w:numId w:val="0"/>
              </w:numPr>
              <w:kinsoku/>
              <w:wordWrap/>
              <w:topLinePunct w:val="0"/>
              <w:autoSpaceDE/>
              <w:autoSpaceDN/>
              <w:bidi w:val="0"/>
              <w:adjustRightInd w:val="0"/>
              <w:snapToGrid w:val="0"/>
              <w:spacing w:beforeAutospacing="0" w:afterAutospacing="0" w:line="360" w:lineRule="auto"/>
              <w:ind w:left="0" w:leftChars="0" w:right="0" w:rightChars="0" w:firstLine="0" w:firstLineChars="0"/>
              <w:textAlignment w:val="auto"/>
              <w:outlineLvl w:val="1"/>
              <w:rPr>
                <w:rFonts w:hint="default" w:ascii="Times New Roman" w:hAnsi="Times New Roman" w:cs="Times New Roman" w:eastAsiaTheme="minorEastAsia"/>
                <w:b/>
                <w:color w:val="auto"/>
                <w:sz w:val="24"/>
              </w:rPr>
            </w:pPr>
            <w:r>
              <w:rPr>
                <w:rFonts w:hint="default" w:ascii="Times New Roman" w:hAnsi="Times New Roman" w:cs="Times New Roman" w:eastAsiaTheme="minorEastAsia"/>
                <w:b/>
                <w:color w:val="auto"/>
                <w:kern w:val="2"/>
                <w:sz w:val="24"/>
                <w:szCs w:val="24"/>
                <w:lang w:val="en-US" w:eastAsia="zh-CN" w:bidi="ar-SA"/>
              </w:rPr>
              <w:t xml:space="preserve">2 </w:t>
            </w:r>
            <w:r>
              <w:rPr>
                <w:rFonts w:hint="default" w:ascii="Times New Roman" w:hAnsi="Times New Roman" w:cs="Times New Roman" w:eastAsiaTheme="minorEastAsia"/>
                <w:b/>
                <w:color w:val="auto"/>
                <w:sz w:val="24"/>
              </w:rPr>
              <w:t>地表水环境质量现状</w:t>
            </w:r>
          </w:p>
          <w:p w14:paraId="0AA16B1A">
            <w:pPr>
              <w:pStyle w:val="74"/>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jc w:val="both"/>
              <w:rPr>
                <w:rFonts w:hint="default" w:ascii="Times New Roman" w:hAnsi="Times New Roman" w:cs="Times New Roman" w:eastAsiaTheme="minorEastAsia"/>
                <w:color w:val="auto"/>
                <w:kern w:val="0"/>
                <w:sz w:val="24"/>
                <w:lang w:val="en-US" w:eastAsia="zh-CN"/>
              </w:rPr>
            </w:pPr>
            <w:r>
              <w:rPr>
                <w:rFonts w:hint="default" w:ascii="Times New Roman" w:hAnsi="Times New Roman" w:cs="Times New Roman" w:eastAsiaTheme="minorEastAsia"/>
                <w:color w:val="auto"/>
                <w:kern w:val="0"/>
                <w:sz w:val="24"/>
                <w:lang w:val="en-US" w:eastAsia="zh-CN"/>
              </w:rPr>
              <w:t>经现场调查，本项目无生产废水产生及排放，且不新增劳动定员，无生活污水产生及排放，因此本次环评对地表水环境质量现状不做评价。</w:t>
            </w:r>
          </w:p>
          <w:p w14:paraId="58573BBD">
            <w:pPr>
              <w:pStyle w:val="9"/>
              <w:keepLines w:val="0"/>
              <w:pageBreakBefore w:val="0"/>
              <w:widowControl w:val="0"/>
              <w:numPr>
                <w:ilvl w:val="0"/>
                <w:numId w:val="0"/>
              </w:numPr>
              <w:kinsoku/>
              <w:wordWrap/>
              <w:topLinePunct w:val="0"/>
              <w:autoSpaceDE/>
              <w:autoSpaceDN/>
              <w:bidi w:val="0"/>
              <w:adjustRightInd w:val="0"/>
              <w:spacing w:before="0" w:beforeAutospacing="0" w:after="0" w:afterAutospacing="0" w:line="360" w:lineRule="auto"/>
              <w:ind w:left="0" w:leftChars="0" w:right="0" w:rightChars="0" w:firstLine="0" w:firstLineChars="0"/>
              <w:textAlignment w:val="auto"/>
              <w:rPr>
                <w:rFonts w:hint="default" w:ascii="Times New Roman" w:hAnsi="Times New Roman" w:cs="Times New Roman" w:eastAsiaTheme="minorEastAsia"/>
                <w:b/>
                <w:bCs/>
                <w:color w:val="auto"/>
                <w:kern w:val="44"/>
                <w:sz w:val="24"/>
                <w:szCs w:val="24"/>
                <w:lang w:val="en-US" w:eastAsia="zh-CN" w:bidi="ar-SA"/>
              </w:rPr>
            </w:pPr>
            <w:r>
              <w:rPr>
                <w:rFonts w:hint="default" w:ascii="Times New Roman" w:hAnsi="Times New Roman" w:cs="Times New Roman" w:eastAsiaTheme="minorEastAsia"/>
                <w:b/>
                <w:bCs/>
                <w:color w:val="auto"/>
                <w:kern w:val="44"/>
                <w:sz w:val="24"/>
                <w:szCs w:val="24"/>
                <w:lang w:val="en-US" w:eastAsia="zh-CN" w:bidi="ar-SA"/>
              </w:rPr>
              <w:t>3 声环境质量现状及分析</w:t>
            </w:r>
          </w:p>
          <w:p w14:paraId="788A03C2">
            <w:pPr>
              <w:keepLines w:val="0"/>
              <w:pageBreakBefore w:val="0"/>
              <w:widowControl w:val="0"/>
              <w:kinsoku/>
              <w:wordWrap/>
              <w:topLinePunct w:val="0"/>
              <w:autoSpaceDE/>
              <w:autoSpaceDN/>
              <w:bidi w:val="0"/>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eastAsia="zh-CN"/>
              </w:rPr>
              <w:t>本项目</w:t>
            </w:r>
            <w:r>
              <w:rPr>
                <w:rFonts w:hint="default" w:ascii="Times New Roman" w:hAnsi="Times New Roman" w:cs="Times New Roman" w:eastAsiaTheme="minorEastAsia"/>
                <w:snapToGrid w:val="0"/>
                <w:color w:val="auto"/>
                <w:kern w:val="0"/>
                <w:sz w:val="24"/>
                <w:lang w:val="en-US" w:eastAsia="zh-CN"/>
              </w:rPr>
              <w:t>位于昌吉职业技术学院一号教学</w:t>
            </w:r>
            <w:r>
              <w:rPr>
                <w:rFonts w:hint="eastAsia" w:ascii="Times New Roman" w:hAnsi="Times New Roman" w:cs="Times New Roman" w:eastAsiaTheme="minorEastAsia"/>
                <w:snapToGrid w:val="0"/>
                <w:color w:val="auto"/>
                <w:kern w:val="0"/>
                <w:sz w:val="24"/>
                <w:lang w:val="en-US" w:eastAsia="zh-CN"/>
              </w:rPr>
              <w:t>楼B段</w:t>
            </w:r>
            <w:r>
              <w:rPr>
                <w:rFonts w:hint="default" w:ascii="Times New Roman" w:hAnsi="Times New Roman" w:cs="Times New Roman" w:eastAsiaTheme="minorEastAsia"/>
                <w:snapToGrid w:val="0"/>
                <w:color w:val="auto"/>
                <w:kern w:val="0"/>
                <w:sz w:val="24"/>
                <w:lang w:val="en-US" w:eastAsia="zh-CN"/>
              </w:rPr>
              <w:t>西侧，危险废物贮存库东侧为一号教学</w:t>
            </w:r>
            <w:r>
              <w:rPr>
                <w:rFonts w:hint="eastAsia" w:ascii="Times New Roman" w:hAnsi="Times New Roman" w:cs="Times New Roman" w:eastAsiaTheme="minorEastAsia"/>
                <w:snapToGrid w:val="0"/>
                <w:color w:val="auto"/>
                <w:kern w:val="0"/>
                <w:sz w:val="24"/>
                <w:lang w:val="en-US" w:eastAsia="zh-CN"/>
              </w:rPr>
              <w:t>楼B段</w:t>
            </w:r>
            <w:r>
              <w:rPr>
                <w:rFonts w:hint="default" w:ascii="Times New Roman" w:hAnsi="Times New Roman" w:cs="Times New Roman" w:eastAsiaTheme="minorEastAsia"/>
                <w:snapToGrid w:val="0"/>
                <w:color w:val="auto"/>
                <w:kern w:val="0"/>
                <w:sz w:val="24"/>
                <w:lang w:val="en-US" w:eastAsia="zh-CN"/>
              </w:rPr>
              <w:t>，西侧为绿化带，北侧为一号教学</w:t>
            </w:r>
            <w:r>
              <w:rPr>
                <w:rFonts w:hint="eastAsia" w:ascii="Times New Roman" w:hAnsi="Times New Roman" w:cs="Times New Roman" w:eastAsiaTheme="minorEastAsia"/>
                <w:snapToGrid w:val="0"/>
                <w:color w:val="auto"/>
                <w:kern w:val="0"/>
                <w:sz w:val="24"/>
                <w:lang w:val="en-US" w:eastAsia="zh-CN"/>
              </w:rPr>
              <w:t>楼A段</w:t>
            </w:r>
            <w:r>
              <w:rPr>
                <w:rFonts w:hint="default" w:ascii="Times New Roman" w:hAnsi="Times New Roman" w:cs="Times New Roman" w:eastAsiaTheme="minorEastAsia"/>
                <w:snapToGrid w:val="0"/>
                <w:color w:val="auto"/>
                <w:kern w:val="0"/>
                <w:sz w:val="24"/>
                <w:lang w:val="en-US" w:eastAsia="zh-CN"/>
              </w:rPr>
              <w:t>，南侧为一号教学</w:t>
            </w:r>
            <w:r>
              <w:rPr>
                <w:rFonts w:hint="eastAsia" w:ascii="Times New Roman" w:hAnsi="Times New Roman" w:cs="Times New Roman" w:eastAsiaTheme="minorEastAsia"/>
                <w:snapToGrid w:val="0"/>
                <w:color w:val="auto"/>
                <w:kern w:val="0"/>
                <w:sz w:val="24"/>
                <w:lang w:val="en-US" w:eastAsia="zh-CN"/>
              </w:rPr>
              <w:t>楼C段</w:t>
            </w:r>
            <w:r>
              <w:rPr>
                <w:rFonts w:hint="default" w:ascii="Times New Roman" w:hAnsi="Times New Roman" w:cs="Times New Roman" w:eastAsiaTheme="minorEastAsia"/>
                <w:color w:val="auto"/>
                <w:sz w:val="24"/>
                <w:lang w:val="en-US" w:eastAsia="zh-CN"/>
              </w:rPr>
              <w:t>，依据《建设项目环境影响报告表编制技术指南（污染影响类）</w:t>
            </w:r>
            <w:r>
              <w:rPr>
                <w:rFonts w:hint="eastAsia" w:cs="Times New Roman" w:eastAsiaTheme="minorEastAsia"/>
                <w:color w:val="auto"/>
                <w:sz w:val="24"/>
                <w:lang w:val="en-US" w:eastAsia="zh-CN"/>
              </w:rPr>
              <w:t>（试行）》</w:t>
            </w:r>
            <w:r>
              <w:rPr>
                <w:rFonts w:hint="default" w:ascii="Times New Roman" w:hAnsi="Times New Roman" w:cs="Times New Roman" w:eastAsiaTheme="minorEastAsia"/>
                <w:color w:val="auto"/>
                <w:sz w:val="24"/>
                <w:lang w:val="en-US" w:eastAsia="zh-CN"/>
              </w:rPr>
              <w:t>中区域环境质量现状评价要求：厂界外周边50m范围内存在声环境保护目标的建设项目，应监测保护目标声环境质量现状并评价达标情况。项目区东、南、西、</w:t>
            </w:r>
            <w:r>
              <w:rPr>
                <w:rFonts w:hint="eastAsia" w:ascii="Times New Roman" w:hAnsi="Times New Roman" w:cs="Times New Roman" w:eastAsiaTheme="minorEastAsia"/>
                <w:color w:val="auto"/>
                <w:sz w:val="24"/>
                <w:lang w:val="en-US" w:eastAsia="zh-CN"/>
              </w:rPr>
              <w:t>北</w:t>
            </w:r>
            <w:r>
              <w:rPr>
                <w:rFonts w:hint="default" w:ascii="Times New Roman" w:hAnsi="Times New Roman" w:cs="Times New Roman" w:eastAsiaTheme="minorEastAsia"/>
                <w:color w:val="auto"/>
                <w:sz w:val="24"/>
                <w:lang w:val="en-US" w:eastAsia="zh-CN"/>
              </w:rPr>
              <w:t>侧需满足</w:t>
            </w:r>
            <w:r>
              <w:rPr>
                <w:rFonts w:hint="default" w:ascii="Times New Roman" w:hAnsi="Times New Roman" w:cs="Times New Roman" w:eastAsiaTheme="minorEastAsia"/>
                <w:color w:val="auto"/>
                <w:sz w:val="24"/>
                <w:lang w:eastAsia="zh-CN"/>
              </w:rPr>
              <w:t>《声环境质量标准》（GB3096-2008）</w:t>
            </w:r>
            <w:r>
              <w:rPr>
                <w:rFonts w:hint="default" w:ascii="Times New Roman" w:hAnsi="Times New Roman" w:cs="Times New Roman" w:eastAsiaTheme="minorEastAsia"/>
                <w:color w:val="auto"/>
                <w:sz w:val="24"/>
                <w:lang w:val="en-US" w:eastAsia="zh-CN"/>
              </w:rPr>
              <w:t>中</w:t>
            </w:r>
            <w:r>
              <w:rPr>
                <w:rFonts w:hint="eastAsia" w:ascii="Times New Roman" w:hAnsi="Times New Roman" w:cs="Times New Roman" w:eastAsiaTheme="minorEastAsia"/>
                <w:color w:val="auto"/>
                <w:sz w:val="24"/>
                <w:lang w:val="en-US" w:eastAsia="zh-CN"/>
              </w:rPr>
              <w:t>1</w:t>
            </w:r>
            <w:r>
              <w:rPr>
                <w:rFonts w:hint="default" w:ascii="Times New Roman" w:hAnsi="Times New Roman" w:cs="Times New Roman" w:eastAsiaTheme="minorEastAsia"/>
                <w:color w:val="auto"/>
                <w:sz w:val="24"/>
                <w:lang w:eastAsia="zh-CN"/>
              </w:rPr>
              <w:t>类声环境</w:t>
            </w:r>
            <w:r>
              <w:rPr>
                <w:rFonts w:hint="default" w:ascii="Times New Roman" w:hAnsi="Times New Roman" w:cs="Times New Roman" w:eastAsiaTheme="minorEastAsia"/>
                <w:color w:val="auto"/>
                <w:sz w:val="24"/>
                <w:lang w:val="en-US" w:eastAsia="zh-CN"/>
              </w:rPr>
              <w:t>标准</w:t>
            </w:r>
            <w:r>
              <w:rPr>
                <w:rFonts w:hint="default" w:ascii="Times New Roman" w:hAnsi="Times New Roman" w:cs="Times New Roman" w:eastAsiaTheme="minorEastAsia"/>
                <w:color w:val="auto"/>
                <w:sz w:val="24"/>
                <w:lang w:eastAsia="zh-CN"/>
              </w:rPr>
              <w:t>。</w:t>
            </w:r>
          </w:p>
          <w:p w14:paraId="0D3B5819">
            <w:pPr>
              <w:pStyle w:val="23"/>
              <w:keepLines w:val="0"/>
              <w:pageBreakBefore w:val="0"/>
              <w:widowControl w:val="0"/>
              <w:kinsoku/>
              <w:wordWrap/>
              <w:topLinePunct w:val="0"/>
              <w:autoSpaceDE/>
              <w:autoSpaceDN/>
              <w:bidi w:val="0"/>
              <w:spacing w:beforeAutospacing="0" w:afterAutospacing="0" w:line="360" w:lineRule="auto"/>
              <w:ind w:left="0" w:leftChars="0" w:right="0" w:rightChars="0" w:firstLine="0" w:firstLineChars="0"/>
              <w:textAlignment w:val="auto"/>
              <w:rPr>
                <w:rFonts w:hint="default" w:ascii="Times New Roman" w:hAnsi="Times New Roman" w:cs="Times New Roman" w:eastAsiaTheme="minorEastAsia"/>
                <w:b/>
                <w:bCs/>
                <w:color w:val="auto"/>
                <w:sz w:val="24"/>
                <w:szCs w:val="24"/>
                <w:highlight w:val="none"/>
                <w:lang w:val="en-US" w:eastAsia="zh-CN"/>
              </w:rPr>
            </w:pPr>
            <w:r>
              <w:rPr>
                <w:rFonts w:hint="default" w:ascii="Times New Roman" w:hAnsi="Times New Roman" w:cs="Times New Roman" w:eastAsiaTheme="minorEastAsia"/>
                <w:b/>
                <w:bCs/>
                <w:color w:val="auto"/>
                <w:sz w:val="24"/>
                <w:szCs w:val="24"/>
                <w:highlight w:val="none"/>
                <w:lang w:val="en-US" w:eastAsia="zh-CN"/>
              </w:rPr>
              <w:t>3.1 监测点位及监测时间</w:t>
            </w:r>
          </w:p>
          <w:p w14:paraId="57146804">
            <w:pPr>
              <w:keepLines w:val="0"/>
              <w:pageBreakBefore w:val="0"/>
              <w:widowControl w:val="0"/>
              <w:kinsoku/>
              <w:wordWrap/>
              <w:topLinePunct w:val="0"/>
              <w:autoSpaceDE/>
              <w:autoSpaceDN/>
              <w:bidi w:val="0"/>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本项目声环境质量数据委托</w:t>
            </w:r>
            <w:r>
              <w:rPr>
                <w:rFonts w:hint="eastAsia" w:cs="Times New Roman" w:eastAsiaTheme="minorEastAsia"/>
                <w:color w:val="auto"/>
                <w:sz w:val="24"/>
                <w:lang w:val="en-US" w:eastAsia="zh-CN"/>
              </w:rPr>
              <w:t>新疆优测检测技术有限公司</w:t>
            </w:r>
            <w:r>
              <w:rPr>
                <w:rFonts w:hint="default" w:ascii="Times New Roman" w:hAnsi="Times New Roman" w:cs="Times New Roman" w:eastAsiaTheme="minorEastAsia"/>
                <w:color w:val="auto"/>
                <w:sz w:val="24"/>
                <w:lang w:val="en-US" w:eastAsia="zh-CN"/>
              </w:rPr>
              <w:t>于202</w:t>
            </w:r>
            <w:r>
              <w:rPr>
                <w:rFonts w:hint="eastAsia" w:cs="Times New Roman" w:eastAsiaTheme="minorEastAsia"/>
                <w:color w:val="auto"/>
                <w:sz w:val="24"/>
                <w:lang w:val="en-US" w:eastAsia="zh-CN"/>
              </w:rPr>
              <w:t>6</w:t>
            </w:r>
            <w:r>
              <w:rPr>
                <w:rFonts w:hint="default" w:ascii="Times New Roman" w:hAnsi="Times New Roman" w:cs="Times New Roman" w:eastAsiaTheme="minorEastAsia"/>
                <w:color w:val="auto"/>
                <w:sz w:val="24"/>
                <w:lang w:val="en-US" w:eastAsia="zh-CN"/>
              </w:rPr>
              <w:t>年1</w:t>
            </w:r>
            <w:r>
              <w:rPr>
                <w:rFonts w:hint="eastAsia" w:cs="Times New Roman" w:eastAsiaTheme="minorEastAsia"/>
                <w:color w:val="auto"/>
                <w:sz w:val="24"/>
                <w:lang w:val="en-US" w:eastAsia="zh-CN"/>
              </w:rPr>
              <w:t>0</w:t>
            </w:r>
            <w:r>
              <w:rPr>
                <w:rFonts w:hint="default" w:ascii="Times New Roman" w:hAnsi="Times New Roman" w:cs="Times New Roman" w:eastAsiaTheme="minorEastAsia"/>
                <w:color w:val="auto"/>
                <w:sz w:val="24"/>
                <w:lang w:val="en-US" w:eastAsia="zh-CN"/>
              </w:rPr>
              <w:t>月1</w:t>
            </w:r>
            <w:r>
              <w:rPr>
                <w:rFonts w:hint="eastAsia" w:cs="Times New Roman" w:eastAsiaTheme="minorEastAsia"/>
                <w:color w:val="auto"/>
                <w:sz w:val="24"/>
                <w:lang w:val="en-US" w:eastAsia="zh-CN"/>
              </w:rPr>
              <w:t>4</w:t>
            </w:r>
            <w:r>
              <w:rPr>
                <w:rFonts w:hint="default" w:ascii="Times New Roman" w:hAnsi="Times New Roman" w:cs="Times New Roman" w:eastAsiaTheme="minorEastAsia"/>
                <w:color w:val="auto"/>
                <w:sz w:val="24"/>
                <w:lang w:val="en-US" w:eastAsia="zh-CN"/>
              </w:rPr>
              <w:t>日对</w:t>
            </w:r>
            <w:r>
              <w:rPr>
                <w:rFonts w:hint="default" w:ascii="Times New Roman" w:hAnsi="Times New Roman" w:cs="Times New Roman" w:eastAsiaTheme="minorEastAsia"/>
                <w:snapToGrid w:val="0"/>
                <w:color w:val="auto"/>
                <w:kern w:val="0"/>
                <w:sz w:val="24"/>
                <w:lang w:val="en-US" w:eastAsia="zh-CN"/>
              </w:rPr>
              <w:t>昌吉职业技术学院</w:t>
            </w:r>
            <w:r>
              <w:rPr>
                <w:rFonts w:hint="eastAsia" w:ascii="Times New Roman" w:hAnsi="Times New Roman" w:cs="Times New Roman" w:eastAsiaTheme="minorEastAsia"/>
                <w:snapToGrid w:val="0"/>
                <w:color w:val="auto"/>
                <w:kern w:val="0"/>
                <w:sz w:val="24"/>
                <w:lang w:val="en-US" w:eastAsia="zh-CN"/>
              </w:rPr>
              <w:t>危废贮存库</w:t>
            </w:r>
            <w:r>
              <w:rPr>
                <w:rFonts w:hint="default" w:ascii="Times New Roman" w:hAnsi="Times New Roman" w:cs="Times New Roman" w:eastAsiaTheme="minorEastAsia"/>
                <w:color w:val="auto"/>
                <w:sz w:val="24"/>
                <w:lang w:val="en-US" w:eastAsia="zh-CN"/>
              </w:rPr>
              <w:t>进行噪声监测。</w:t>
            </w:r>
          </w:p>
          <w:p w14:paraId="0F78364C">
            <w:pPr>
              <w:keepLines w:val="0"/>
              <w:pageBreakBefore w:val="0"/>
              <w:widowControl w:val="0"/>
              <w:kinsoku/>
              <w:wordWrap/>
              <w:topLinePunct w:val="0"/>
              <w:autoSpaceDE/>
              <w:autoSpaceDN/>
              <w:bidi w:val="0"/>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本项目将一号教学</w:t>
            </w:r>
            <w:r>
              <w:rPr>
                <w:rFonts w:hint="eastAsia" w:ascii="Times New Roman" w:hAnsi="Times New Roman" w:cs="Times New Roman" w:eastAsiaTheme="minorEastAsia"/>
                <w:snapToGrid w:val="0"/>
                <w:color w:val="auto"/>
                <w:kern w:val="0"/>
                <w:sz w:val="24"/>
                <w:lang w:val="en-US" w:eastAsia="zh-CN"/>
              </w:rPr>
              <w:t>楼A段、B段、C段</w:t>
            </w:r>
            <w:r>
              <w:rPr>
                <w:rFonts w:hint="default" w:ascii="Times New Roman" w:hAnsi="Times New Roman" w:cs="Times New Roman" w:eastAsiaTheme="minorEastAsia"/>
                <w:color w:val="auto"/>
                <w:sz w:val="24"/>
                <w:lang w:val="en-US" w:eastAsia="zh-CN"/>
              </w:rPr>
              <w:t>作为本项目敏感目标，故在</w:t>
            </w:r>
            <w:r>
              <w:rPr>
                <w:rFonts w:hint="eastAsia" w:ascii="Times New Roman" w:hAnsi="Times New Roman" w:cs="Times New Roman" w:eastAsiaTheme="minorEastAsia"/>
                <w:color w:val="auto"/>
                <w:sz w:val="24"/>
                <w:lang w:val="en-US" w:eastAsia="zh-CN"/>
              </w:rPr>
              <w:t>一号教学</w:t>
            </w:r>
            <w:r>
              <w:rPr>
                <w:rFonts w:hint="eastAsia" w:ascii="Times New Roman" w:hAnsi="Times New Roman" w:cs="Times New Roman" w:eastAsiaTheme="minorEastAsia"/>
                <w:snapToGrid w:val="0"/>
                <w:color w:val="auto"/>
                <w:kern w:val="0"/>
                <w:sz w:val="24"/>
                <w:lang w:val="en-US" w:eastAsia="zh-CN"/>
              </w:rPr>
              <w:t>楼A段、B段、C段</w:t>
            </w:r>
            <w:r>
              <w:rPr>
                <w:rFonts w:hint="default" w:ascii="Times New Roman" w:hAnsi="Times New Roman" w:cs="Times New Roman" w:eastAsiaTheme="minorEastAsia"/>
                <w:color w:val="auto"/>
                <w:sz w:val="24"/>
                <w:lang w:val="en-US" w:eastAsia="zh-CN"/>
              </w:rPr>
              <w:t>各设置一个监测点，进行昼间噪声监测，符合《环境影响评价技术导则 声环境》（HJ2.4-2021）的要求，监测方法按照《环境监测技术规范》中有关规定进行。</w:t>
            </w:r>
          </w:p>
          <w:p w14:paraId="4F665304">
            <w:pPr>
              <w:pStyle w:val="23"/>
              <w:keepLines w:val="0"/>
              <w:pageBreakBefore w:val="0"/>
              <w:widowControl w:val="0"/>
              <w:kinsoku/>
              <w:wordWrap/>
              <w:topLinePunct w:val="0"/>
              <w:autoSpaceDE/>
              <w:autoSpaceDN/>
              <w:bidi w:val="0"/>
              <w:spacing w:beforeAutospacing="0" w:afterAutospacing="0" w:line="360" w:lineRule="auto"/>
              <w:ind w:left="0" w:leftChars="0" w:right="0" w:rightChars="0" w:firstLine="0" w:firstLineChars="0"/>
              <w:textAlignment w:val="auto"/>
              <w:rPr>
                <w:rFonts w:hint="default" w:ascii="Times New Roman" w:hAnsi="Times New Roman" w:cs="Times New Roman" w:eastAsiaTheme="minorEastAsia"/>
                <w:b/>
                <w:bCs/>
                <w:color w:val="auto"/>
                <w:sz w:val="24"/>
                <w:szCs w:val="24"/>
                <w:highlight w:val="none"/>
                <w:lang w:val="en-US" w:eastAsia="zh-CN"/>
              </w:rPr>
            </w:pPr>
            <w:r>
              <w:rPr>
                <w:rFonts w:hint="default" w:ascii="Times New Roman" w:hAnsi="Times New Roman" w:cs="Times New Roman" w:eastAsiaTheme="minorEastAsia"/>
                <w:b/>
                <w:bCs/>
                <w:color w:val="auto"/>
                <w:sz w:val="24"/>
                <w:szCs w:val="24"/>
                <w:highlight w:val="none"/>
                <w:lang w:val="en-US" w:eastAsia="zh-CN"/>
              </w:rPr>
              <w:t>3.2 监测方法</w:t>
            </w:r>
          </w:p>
          <w:p w14:paraId="689B2F1B">
            <w:pPr>
              <w:keepLines w:val="0"/>
              <w:pageBreakBefore w:val="0"/>
              <w:widowControl w:val="0"/>
              <w:kinsoku/>
              <w:wordWrap/>
              <w:topLinePunct w:val="0"/>
              <w:autoSpaceDE/>
              <w:autoSpaceDN/>
              <w:bidi w:val="0"/>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噪声监测依照《环境监测技术规范》进行噪声监测，监测仪器使用AWA5688型噪声级计，监测前用声级校准器进行校准，测量时传声器距地面1.2米，传声器戴风罩。</w:t>
            </w:r>
          </w:p>
          <w:p w14:paraId="17EACA45">
            <w:pPr>
              <w:pStyle w:val="23"/>
              <w:keepLines w:val="0"/>
              <w:pageBreakBefore w:val="0"/>
              <w:widowControl w:val="0"/>
              <w:kinsoku/>
              <w:wordWrap/>
              <w:topLinePunct w:val="0"/>
              <w:autoSpaceDE/>
              <w:autoSpaceDN/>
              <w:bidi w:val="0"/>
              <w:spacing w:beforeAutospacing="0" w:afterAutospacing="0" w:line="360" w:lineRule="auto"/>
              <w:ind w:left="0" w:leftChars="0" w:right="0" w:rightChars="0" w:firstLine="0" w:firstLineChars="0"/>
              <w:textAlignment w:val="auto"/>
              <w:rPr>
                <w:rFonts w:hint="default" w:ascii="Times New Roman" w:hAnsi="Times New Roman" w:cs="Times New Roman" w:eastAsiaTheme="minorEastAsia"/>
                <w:b/>
                <w:bCs/>
                <w:color w:val="auto"/>
                <w:sz w:val="24"/>
                <w:szCs w:val="24"/>
                <w:highlight w:val="none"/>
                <w:lang w:val="en-US" w:eastAsia="zh-CN"/>
              </w:rPr>
            </w:pPr>
            <w:r>
              <w:rPr>
                <w:rFonts w:hint="default" w:ascii="Times New Roman" w:hAnsi="Times New Roman" w:cs="Times New Roman" w:eastAsiaTheme="minorEastAsia"/>
                <w:b/>
                <w:bCs/>
                <w:color w:val="auto"/>
                <w:sz w:val="24"/>
                <w:szCs w:val="24"/>
                <w:highlight w:val="none"/>
                <w:lang w:val="en-US" w:eastAsia="zh-CN"/>
              </w:rPr>
              <w:t>3.3 评价标准</w:t>
            </w:r>
          </w:p>
          <w:p w14:paraId="29C8FDA1">
            <w:pPr>
              <w:keepLines w:val="0"/>
              <w:pageBreakBefore w:val="0"/>
              <w:widowControl w:val="0"/>
              <w:kinsoku/>
              <w:wordWrap/>
              <w:topLinePunct w:val="0"/>
              <w:autoSpaceDE/>
              <w:autoSpaceDN/>
              <w:bidi w:val="0"/>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本项目执行《声环境质量标准》（GB3096-2008）1类标准具体限值见表3-2。</w:t>
            </w:r>
          </w:p>
          <w:p w14:paraId="08E7AA97">
            <w:pPr>
              <w:keepLines w:val="0"/>
              <w:pageBreakBefore w:val="0"/>
              <w:widowControl w:val="0"/>
              <w:kinsoku/>
              <w:wordWrap/>
              <w:topLinePunct w:val="0"/>
              <w:autoSpaceDE/>
              <w:autoSpaceDN/>
              <w:bidi w:val="0"/>
              <w:spacing w:beforeAutospacing="0" w:afterAutospacing="0" w:line="36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表3-2   声环境质量标准限值（摘录）   单位：dB（A）</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62"/>
              <w:gridCol w:w="3369"/>
              <w:gridCol w:w="3256"/>
            </w:tblGrid>
            <w:tr w14:paraId="26405E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50" w:type="pct"/>
                  <w:tcBorders>
                    <w:bottom w:val="single" w:color="auto" w:sz="12" w:space="0"/>
                  </w:tcBorders>
                  <w:vAlign w:val="center"/>
                </w:tcPr>
                <w:p w14:paraId="2AEFEE9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类别</w:t>
                  </w:r>
                </w:p>
              </w:tc>
              <w:tc>
                <w:tcPr>
                  <w:tcW w:w="2008" w:type="pct"/>
                  <w:tcBorders>
                    <w:bottom w:val="single" w:color="auto" w:sz="12" w:space="0"/>
                  </w:tcBorders>
                  <w:vAlign w:val="center"/>
                </w:tcPr>
                <w:p w14:paraId="1B5AC99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昼间</w:t>
                  </w:r>
                </w:p>
              </w:tc>
              <w:tc>
                <w:tcPr>
                  <w:tcW w:w="1940" w:type="pct"/>
                  <w:tcBorders>
                    <w:bottom w:val="single" w:color="auto" w:sz="12" w:space="0"/>
                  </w:tcBorders>
                  <w:vAlign w:val="center"/>
                </w:tcPr>
                <w:p w14:paraId="7BCD650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夜间</w:t>
                  </w:r>
                </w:p>
              </w:tc>
            </w:tr>
            <w:tr w14:paraId="08FD7F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50" w:type="pct"/>
                  <w:tcBorders>
                    <w:top w:val="single" w:color="auto" w:sz="12" w:space="0"/>
                    <w:bottom w:val="single" w:color="auto" w:sz="12" w:space="0"/>
                  </w:tcBorders>
                  <w:vAlign w:val="center"/>
                </w:tcPr>
                <w:p w14:paraId="553253B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1类</w:t>
                  </w:r>
                </w:p>
              </w:tc>
              <w:tc>
                <w:tcPr>
                  <w:tcW w:w="2008" w:type="pct"/>
                  <w:tcBorders>
                    <w:top w:val="single" w:color="auto" w:sz="12" w:space="0"/>
                    <w:bottom w:val="single" w:color="auto" w:sz="12" w:space="0"/>
                  </w:tcBorders>
                  <w:vAlign w:val="center"/>
                </w:tcPr>
                <w:p w14:paraId="44C9510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55</w:t>
                  </w:r>
                </w:p>
              </w:tc>
              <w:tc>
                <w:tcPr>
                  <w:tcW w:w="1940" w:type="pct"/>
                  <w:tcBorders>
                    <w:top w:val="single" w:color="auto" w:sz="12" w:space="0"/>
                    <w:bottom w:val="single" w:color="auto" w:sz="12" w:space="0"/>
                  </w:tcBorders>
                  <w:vAlign w:val="center"/>
                </w:tcPr>
                <w:p w14:paraId="626EBB5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45</w:t>
                  </w:r>
                </w:p>
              </w:tc>
            </w:tr>
          </w:tbl>
          <w:p w14:paraId="6BFE5398">
            <w:pPr>
              <w:pStyle w:val="23"/>
              <w:keepLines w:val="0"/>
              <w:pageBreakBefore w:val="0"/>
              <w:widowControl w:val="0"/>
              <w:kinsoku/>
              <w:wordWrap/>
              <w:topLinePunct w:val="0"/>
              <w:autoSpaceDE/>
              <w:autoSpaceDN/>
              <w:bidi w:val="0"/>
              <w:spacing w:beforeAutospacing="0" w:afterAutospacing="0" w:line="360" w:lineRule="auto"/>
              <w:ind w:left="0" w:leftChars="0" w:right="0" w:rightChars="0" w:firstLine="0" w:firstLineChars="0"/>
              <w:textAlignment w:val="auto"/>
              <w:rPr>
                <w:rFonts w:hint="default" w:ascii="Times New Roman" w:hAnsi="Times New Roman" w:cs="Times New Roman" w:eastAsiaTheme="minorEastAsia"/>
                <w:b/>
                <w:bCs/>
                <w:color w:val="auto"/>
                <w:sz w:val="24"/>
                <w:szCs w:val="24"/>
                <w:highlight w:val="none"/>
                <w:lang w:val="en-US" w:eastAsia="zh-CN"/>
              </w:rPr>
            </w:pPr>
            <w:r>
              <w:rPr>
                <w:rFonts w:hint="default" w:ascii="Times New Roman" w:hAnsi="Times New Roman" w:cs="Times New Roman" w:eastAsiaTheme="minorEastAsia"/>
                <w:b/>
                <w:bCs/>
                <w:color w:val="auto"/>
                <w:sz w:val="24"/>
                <w:szCs w:val="24"/>
                <w:highlight w:val="none"/>
                <w:lang w:val="en-US" w:eastAsia="zh-CN"/>
              </w:rPr>
              <w:t>3.4 监测结果</w:t>
            </w:r>
          </w:p>
          <w:p w14:paraId="6D640FF5">
            <w:pPr>
              <w:keepLines w:val="0"/>
              <w:pageBreakBefore w:val="0"/>
              <w:widowControl w:val="0"/>
              <w:kinsoku/>
              <w:wordWrap/>
              <w:topLinePunct w:val="0"/>
              <w:autoSpaceDE/>
              <w:autoSpaceDN/>
              <w:bidi w:val="0"/>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本项目区噪声监测结果见表3-3。</w:t>
            </w:r>
          </w:p>
          <w:p w14:paraId="30A8614E">
            <w:pPr>
              <w:keepLines w:val="0"/>
              <w:pageBreakBefore w:val="0"/>
              <w:widowControl w:val="0"/>
              <w:kinsoku/>
              <w:wordWrap/>
              <w:topLinePunct w:val="0"/>
              <w:autoSpaceDE/>
              <w:autoSpaceDN/>
              <w:bidi w:val="0"/>
              <w:spacing w:beforeAutospacing="0" w:afterAutospacing="0" w:line="36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表3-3   噪声监测结果   单位：dB（A）</w:t>
            </w:r>
          </w:p>
          <w:tbl>
            <w:tblPr>
              <w:tblStyle w:val="30"/>
              <w:tblW w:w="841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601"/>
              <w:gridCol w:w="2324"/>
              <w:gridCol w:w="2493"/>
            </w:tblGrid>
            <w:tr w14:paraId="2C2725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8" w:type="pct"/>
                  <w:tcBorders>
                    <w:bottom w:val="single" w:color="auto" w:sz="12" w:space="0"/>
                  </w:tcBorders>
                  <w:vAlign w:val="center"/>
                </w:tcPr>
                <w:p w14:paraId="3A28C19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监测点位</w:t>
                  </w:r>
                </w:p>
              </w:tc>
              <w:tc>
                <w:tcPr>
                  <w:tcW w:w="1380" w:type="pct"/>
                  <w:tcBorders>
                    <w:bottom w:val="single" w:color="auto" w:sz="12" w:space="0"/>
                  </w:tcBorders>
                  <w:vAlign w:val="center"/>
                </w:tcPr>
                <w:p w14:paraId="6909BDC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昼间</w:t>
                  </w:r>
                </w:p>
              </w:tc>
              <w:tc>
                <w:tcPr>
                  <w:tcW w:w="1480" w:type="pct"/>
                  <w:tcBorders>
                    <w:bottom w:val="single" w:color="auto" w:sz="12" w:space="0"/>
                  </w:tcBorders>
                  <w:vAlign w:val="center"/>
                </w:tcPr>
                <w:p w14:paraId="0257F9F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标准值</w:t>
                  </w:r>
                </w:p>
              </w:tc>
            </w:tr>
            <w:tr w14:paraId="6E2C62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8" w:type="pct"/>
                  <w:tcBorders>
                    <w:top w:val="single" w:color="auto" w:sz="4" w:space="0"/>
                    <w:bottom w:val="single" w:color="auto" w:sz="4" w:space="0"/>
                  </w:tcBorders>
                  <w:vAlign w:val="center"/>
                </w:tcPr>
                <w:p w14:paraId="74C441A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cs="Times New Roman" w:eastAsiaTheme="minorEastAsia"/>
                      <w:color w:val="auto"/>
                      <w:szCs w:val="21"/>
                      <w:lang w:val="en-US" w:eastAsia="zh-CN"/>
                    </w:rPr>
                    <w:t>北侧楼（</w:t>
                  </w:r>
                  <w:r>
                    <w:rPr>
                      <w:rFonts w:hint="eastAsia" w:ascii="Times New Roman" w:hAnsi="Times New Roman" w:cs="Times New Roman" w:eastAsiaTheme="minorEastAsia"/>
                      <w:color w:val="auto"/>
                      <w:szCs w:val="21"/>
                      <w:lang w:val="en-US" w:eastAsia="zh-CN"/>
                    </w:rPr>
                    <w:t>一号教学</w:t>
                  </w:r>
                  <w:r>
                    <w:rPr>
                      <w:rFonts w:hint="default" w:ascii="Times New Roman" w:hAnsi="Times New Roman" w:cs="Times New Roman" w:eastAsiaTheme="minorEastAsia"/>
                      <w:color w:val="auto"/>
                      <w:szCs w:val="21"/>
                      <w:lang w:val="en-US" w:eastAsia="zh-CN"/>
                    </w:rPr>
                    <w:t>楼A段</w:t>
                  </w:r>
                  <w:r>
                    <w:rPr>
                      <w:rFonts w:hint="eastAsia" w:cs="Times New Roman" w:eastAsiaTheme="minorEastAsia"/>
                      <w:color w:val="auto"/>
                      <w:szCs w:val="21"/>
                      <w:lang w:val="en-US" w:eastAsia="zh-CN"/>
                    </w:rPr>
                    <w:t>）</w:t>
                  </w:r>
                </w:p>
              </w:tc>
              <w:tc>
                <w:tcPr>
                  <w:tcW w:w="1380" w:type="pct"/>
                  <w:tcBorders>
                    <w:top w:val="single" w:color="auto" w:sz="4" w:space="0"/>
                    <w:bottom w:val="single" w:color="auto" w:sz="4" w:space="0"/>
                  </w:tcBorders>
                  <w:vAlign w:val="center"/>
                </w:tcPr>
                <w:p w14:paraId="7A455FB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cs="Times New Roman" w:eastAsiaTheme="minorEastAsia"/>
                      <w:color w:val="auto"/>
                      <w:szCs w:val="21"/>
                      <w:lang w:val="en-US" w:eastAsia="zh-CN"/>
                    </w:rPr>
                    <w:t>48</w:t>
                  </w:r>
                </w:p>
              </w:tc>
              <w:tc>
                <w:tcPr>
                  <w:tcW w:w="1480" w:type="pct"/>
                  <w:vMerge w:val="restart"/>
                  <w:tcBorders>
                    <w:top w:val="single" w:color="auto" w:sz="4" w:space="0"/>
                  </w:tcBorders>
                  <w:vAlign w:val="center"/>
                </w:tcPr>
                <w:p w14:paraId="57AE576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55</w:t>
                  </w:r>
                </w:p>
              </w:tc>
            </w:tr>
            <w:tr w14:paraId="7FB096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8" w:type="pct"/>
                  <w:tcBorders>
                    <w:top w:val="single" w:color="auto" w:sz="4" w:space="0"/>
                    <w:bottom w:val="single" w:color="auto" w:sz="4" w:space="0"/>
                  </w:tcBorders>
                  <w:vAlign w:val="center"/>
                </w:tcPr>
                <w:p w14:paraId="0622B8D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cs="Times New Roman" w:eastAsiaTheme="minorEastAsia"/>
                      <w:color w:val="auto"/>
                      <w:szCs w:val="21"/>
                      <w:lang w:val="en-US" w:eastAsia="zh-CN"/>
                    </w:rPr>
                    <w:t>中间楼（</w:t>
                  </w:r>
                  <w:r>
                    <w:rPr>
                      <w:rFonts w:hint="eastAsia" w:ascii="Times New Roman" w:hAnsi="Times New Roman" w:cs="Times New Roman" w:eastAsiaTheme="minorEastAsia"/>
                      <w:color w:val="auto"/>
                      <w:szCs w:val="21"/>
                      <w:lang w:val="en-US" w:eastAsia="zh-CN"/>
                    </w:rPr>
                    <w:t>一号教学</w:t>
                  </w:r>
                  <w:r>
                    <w:rPr>
                      <w:rFonts w:hint="default" w:ascii="Times New Roman" w:hAnsi="Times New Roman" w:cs="Times New Roman" w:eastAsiaTheme="minorEastAsia"/>
                      <w:color w:val="auto"/>
                      <w:szCs w:val="21"/>
                      <w:lang w:val="en-US" w:eastAsia="zh-CN"/>
                    </w:rPr>
                    <w:t>楼</w:t>
                  </w:r>
                  <w:r>
                    <w:rPr>
                      <w:rFonts w:hint="eastAsia" w:ascii="Times New Roman" w:hAnsi="Times New Roman" w:cs="Times New Roman" w:eastAsiaTheme="minorEastAsia"/>
                      <w:color w:val="auto"/>
                      <w:szCs w:val="21"/>
                      <w:lang w:val="en-US" w:eastAsia="zh-CN"/>
                    </w:rPr>
                    <w:t>B</w:t>
                  </w:r>
                  <w:r>
                    <w:rPr>
                      <w:rFonts w:hint="default" w:ascii="Times New Roman" w:hAnsi="Times New Roman" w:cs="Times New Roman" w:eastAsiaTheme="minorEastAsia"/>
                      <w:color w:val="auto"/>
                      <w:szCs w:val="21"/>
                      <w:lang w:val="en-US" w:eastAsia="zh-CN"/>
                    </w:rPr>
                    <w:t>段</w:t>
                  </w:r>
                  <w:r>
                    <w:rPr>
                      <w:rFonts w:hint="eastAsia" w:cs="Times New Roman" w:eastAsiaTheme="minorEastAsia"/>
                      <w:color w:val="auto"/>
                      <w:szCs w:val="21"/>
                      <w:lang w:val="en-US" w:eastAsia="zh-CN"/>
                    </w:rPr>
                    <w:t>）</w:t>
                  </w:r>
                </w:p>
              </w:tc>
              <w:tc>
                <w:tcPr>
                  <w:tcW w:w="1380" w:type="pct"/>
                  <w:tcBorders>
                    <w:top w:val="single" w:color="auto" w:sz="4" w:space="0"/>
                    <w:bottom w:val="single" w:color="auto" w:sz="4" w:space="0"/>
                  </w:tcBorders>
                  <w:shd w:val="clear" w:color="auto" w:fill="auto"/>
                  <w:vAlign w:val="center"/>
                </w:tcPr>
                <w:p w14:paraId="48B598E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cs="Times New Roman" w:eastAsiaTheme="minorEastAsia"/>
                      <w:color w:val="auto"/>
                      <w:szCs w:val="21"/>
                      <w:lang w:val="en-US" w:eastAsia="zh-CN"/>
                    </w:rPr>
                    <w:t>50</w:t>
                  </w:r>
                </w:p>
              </w:tc>
              <w:tc>
                <w:tcPr>
                  <w:tcW w:w="1480" w:type="pct"/>
                  <w:vMerge w:val="continue"/>
                  <w:shd w:val="clear" w:color="auto" w:fill="auto"/>
                  <w:vAlign w:val="center"/>
                </w:tcPr>
                <w:p w14:paraId="38533D3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p>
              </w:tc>
            </w:tr>
            <w:tr w14:paraId="250C71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8" w:type="pct"/>
                  <w:tcBorders>
                    <w:top w:val="single" w:color="auto" w:sz="4" w:space="0"/>
                    <w:bottom w:val="single" w:color="auto" w:sz="12" w:space="0"/>
                  </w:tcBorders>
                  <w:vAlign w:val="center"/>
                </w:tcPr>
                <w:p w14:paraId="69D4FF4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cs="Times New Roman" w:eastAsiaTheme="minorEastAsia"/>
                      <w:color w:val="auto"/>
                      <w:szCs w:val="21"/>
                      <w:lang w:val="en-US" w:eastAsia="zh-CN"/>
                    </w:rPr>
                    <w:t>南侧楼（</w:t>
                  </w:r>
                  <w:r>
                    <w:rPr>
                      <w:rFonts w:hint="eastAsia" w:ascii="Times New Roman" w:hAnsi="Times New Roman" w:cs="Times New Roman" w:eastAsiaTheme="minorEastAsia"/>
                      <w:color w:val="auto"/>
                      <w:szCs w:val="21"/>
                      <w:lang w:val="en-US" w:eastAsia="zh-CN"/>
                    </w:rPr>
                    <w:t>一号教学</w:t>
                  </w:r>
                  <w:r>
                    <w:rPr>
                      <w:rFonts w:hint="default" w:ascii="Times New Roman" w:hAnsi="Times New Roman" w:cs="Times New Roman" w:eastAsiaTheme="minorEastAsia"/>
                      <w:color w:val="auto"/>
                      <w:szCs w:val="21"/>
                      <w:lang w:val="en-US" w:eastAsia="zh-CN"/>
                    </w:rPr>
                    <w:t>楼</w:t>
                  </w:r>
                  <w:r>
                    <w:rPr>
                      <w:rFonts w:hint="eastAsia" w:ascii="Times New Roman" w:hAnsi="Times New Roman" w:cs="Times New Roman" w:eastAsiaTheme="minorEastAsia"/>
                      <w:color w:val="auto"/>
                      <w:szCs w:val="21"/>
                      <w:lang w:val="en-US" w:eastAsia="zh-CN"/>
                    </w:rPr>
                    <w:t>C</w:t>
                  </w:r>
                  <w:r>
                    <w:rPr>
                      <w:rFonts w:hint="default" w:ascii="Times New Roman" w:hAnsi="Times New Roman" w:cs="Times New Roman" w:eastAsiaTheme="minorEastAsia"/>
                      <w:color w:val="auto"/>
                      <w:szCs w:val="21"/>
                      <w:lang w:val="en-US" w:eastAsia="zh-CN"/>
                    </w:rPr>
                    <w:t>段</w:t>
                  </w:r>
                  <w:r>
                    <w:rPr>
                      <w:rFonts w:hint="eastAsia" w:cs="Times New Roman" w:eastAsiaTheme="minorEastAsia"/>
                      <w:color w:val="auto"/>
                      <w:szCs w:val="21"/>
                      <w:lang w:val="en-US" w:eastAsia="zh-CN"/>
                    </w:rPr>
                    <w:t>）</w:t>
                  </w:r>
                </w:p>
              </w:tc>
              <w:tc>
                <w:tcPr>
                  <w:tcW w:w="1380" w:type="pct"/>
                  <w:tcBorders>
                    <w:top w:val="single" w:color="auto" w:sz="4" w:space="0"/>
                    <w:bottom w:val="single" w:color="auto" w:sz="12" w:space="0"/>
                  </w:tcBorders>
                  <w:shd w:val="clear" w:color="auto" w:fill="auto"/>
                  <w:vAlign w:val="center"/>
                </w:tcPr>
                <w:p w14:paraId="67B997C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eastAsia" w:cs="Times New Roman" w:eastAsiaTheme="minorEastAsia"/>
                      <w:color w:val="auto"/>
                      <w:szCs w:val="21"/>
                      <w:lang w:val="en-US" w:eastAsia="zh-CN"/>
                    </w:rPr>
                    <w:t>51</w:t>
                  </w:r>
                </w:p>
              </w:tc>
              <w:tc>
                <w:tcPr>
                  <w:tcW w:w="1480" w:type="pct"/>
                  <w:vMerge w:val="continue"/>
                  <w:tcBorders>
                    <w:bottom w:val="single" w:color="auto" w:sz="12" w:space="0"/>
                  </w:tcBorders>
                  <w:shd w:val="clear" w:color="auto" w:fill="auto"/>
                  <w:vAlign w:val="center"/>
                </w:tcPr>
                <w:p w14:paraId="79CE99B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p>
              </w:tc>
            </w:tr>
          </w:tbl>
          <w:p w14:paraId="5D4416B7">
            <w:pPr>
              <w:keepLines w:val="0"/>
              <w:pageBreakBefore w:val="0"/>
              <w:widowControl w:val="0"/>
              <w:kinsoku/>
              <w:wordWrap/>
              <w:topLinePunct w:val="0"/>
              <w:autoSpaceDE/>
              <w:autoSpaceDN/>
              <w:bidi w:val="0"/>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根据噪声监测结果对照标准可知，监测结果均符合《声环境质量标准》（GB3096-2008）中1类区标准。</w:t>
            </w:r>
          </w:p>
          <w:p w14:paraId="33574867">
            <w:pPr>
              <w:pStyle w:val="9"/>
              <w:pageBreakBefore w:val="0"/>
              <w:numPr>
                <w:ilvl w:val="0"/>
                <w:numId w:val="0"/>
              </w:numPr>
              <w:kinsoku/>
              <w:wordWrap/>
              <w:topLinePunct w:val="0"/>
              <w:autoSpaceDE/>
              <w:autoSpaceDN/>
              <w:bidi w:val="0"/>
              <w:adjustRightInd w:val="0"/>
              <w:spacing w:before="0" w:beforeAutospacing="0" w:after="0" w:afterAutospacing="0" w:line="360" w:lineRule="auto"/>
              <w:ind w:left="0" w:leftChars="0" w:right="0" w:rightChars="0" w:firstLine="0" w:firstLineChars="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b/>
                <w:bCs/>
                <w:color w:val="auto"/>
                <w:kern w:val="44"/>
                <w:sz w:val="24"/>
                <w:szCs w:val="24"/>
                <w:lang w:val="en-US" w:eastAsia="zh-CN" w:bidi="ar-SA"/>
              </w:rPr>
              <w:t xml:space="preserve">4 </w:t>
            </w:r>
            <w:r>
              <w:rPr>
                <w:rFonts w:hint="default" w:ascii="Times New Roman" w:hAnsi="Times New Roman" w:cs="Times New Roman" w:eastAsiaTheme="minorEastAsia"/>
                <w:color w:val="auto"/>
                <w:sz w:val="24"/>
                <w:szCs w:val="24"/>
              </w:rPr>
              <w:t>生态环境</w:t>
            </w:r>
          </w:p>
          <w:p w14:paraId="1296B665">
            <w:pPr>
              <w:keepNext w:val="0"/>
              <w:keepLines w:val="0"/>
              <w:pageBreakBefore w:val="0"/>
              <w:widowControl w:val="0"/>
              <w:kinsoku/>
              <w:wordWrap/>
              <w:overflowPunct/>
              <w:topLinePunct w:val="0"/>
              <w:autoSpaceDE/>
              <w:autoSpaceDN/>
              <w:bidi w:val="0"/>
              <w:adjustRightInd w:val="0"/>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color w:val="auto"/>
                <w:sz w:val="24"/>
                <w:lang w:val="en-US" w:eastAsia="zh-CN"/>
              </w:rPr>
              <w:t>根据</w:t>
            </w:r>
            <w:r>
              <w:rPr>
                <w:rFonts w:hint="default" w:ascii="Times New Roman" w:hAnsi="Times New Roman" w:cs="Times New Roman" w:eastAsiaTheme="minorEastAsia"/>
                <w:color w:val="auto"/>
                <w:sz w:val="24"/>
              </w:rPr>
              <w:t>《建设项目环境影响报告表编制技术指南（污染影响类）</w:t>
            </w:r>
            <w:r>
              <w:rPr>
                <w:rFonts w:hint="default" w:ascii="Times New Roman" w:hAnsi="Times New Roman" w:cs="Times New Roman" w:eastAsiaTheme="minorEastAsia"/>
                <w:color w:val="auto"/>
                <w:sz w:val="24"/>
                <w:lang w:eastAsia="zh-CN"/>
              </w:rPr>
              <w:t>（试行）》，产业园区外建设项目新增用地且用地范围内含有生态环境保护目标时，应进行生态现状调查。</w:t>
            </w:r>
            <w:r>
              <w:rPr>
                <w:rFonts w:hint="default" w:ascii="Times New Roman" w:hAnsi="Times New Roman" w:cs="Times New Roman" w:eastAsiaTheme="minorEastAsia"/>
                <w:color w:val="auto"/>
                <w:sz w:val="24"/>
              </w:rPr>
              <w:t>根据现场勘查，</w:t>
            </w:r>
            <w:r>
              <w:rPr>
                <w:rFonts w:hint="default" w:ascii="Times New Roman" w:hAnsi="Times New Roman" w:cs="Times New Roman" w:eastAsiaTheme="minorEastAsia"/>
                <w:color w:val="auto"/>
                <w:sz w:val="24"/>
                <w:lang w:eastAsia="zh-CN"/>
              </w:rPr>
              <w:t>本项目位于昌吉职业技术学院校区内，不新增用地</w:t>
            </w:r>
            <w:r>
              <w:rPr>
                <w:rFonts w:hint="default" w:ascii="Times New Roman" w:hAnsi="Times New Roman" w:cs="Times New Roman" w:eastAsiaTheme="minorEastAsia"/>
                <w:color w:val="auto"/>
                <w:sz w:val="24"/>
                <w:lang w:val="en-US" w:eastAsia="zh-CN"/>
              </w:rPr>
              <w:t>，用地范围内不含生态环境保护目标，可不进行生态现状调查</w:t>
            </w:r>
            <w:r>
              <w:rPr>
                <w:rFonts w:hint="default" w:ascii="Times New Roman" w:hAnsi="Times New Roman" w:cs="Times New Roman" w:eastAsiaTheme="minorEastAsia"/>
                <w:color w:val="auto"/>
                <w:sz w:val="24"/>
              </w:rPr>
              <w:t>。</w:t>
            </w:r>
          </w:p>
          <w:p w14:paraId="635F0185">
            <w:pPr>
              <w:keepNext/>
              <w:keepLines/>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0" w:firstLineChars="0"/>
              <w:textAlignment w:val="auto"/>
              <w:outlineLvl w:val="1"/>
              <w:rPr>
                <w:rFonts w:hint="default" w:ascii="Times New Roman" w:hAnsi="Times New Roman" w:cs="Times New Roman" w:eastAsiaTheme="minorEastAsia"/>
                <w:b/>
                <w:color w:val="auto"/>
                <w:sz w:val="24"/>
              </w:rPr>
            </w:pPr>
            <w:r>
              <w:rPr>
                <w:rFonts w:hint="default" w:ascii="Times New Roman" w:hAnsi="Times New Roman" w:cs="Times New Roman" w:eastAsiaTheme="minorEastAsia"/>
                <w:b/>
                <w:color w:val="auto"/>
                <w:kern w:val="2"/>
                <w:sz w:val="24"/>
                <w:szCs w:val="24"/>
                <w:lang w:val="en-US" w:eastAsia="zh-CN" w:bidi="ar-SA"/>
              </w:rPr>
              <w:t xml:space="preserve">5 </w:t>
            </w:r>
            <w:r>
              <w:rPr>
                <w:rFonts w:hint="default" w:ascii="Times New Roman" w:hAnsi="Times New Roman" w:cs="Times New Roman" w:eastAsiaTheme="minorEastAsia"/>
                <w:b/>
                <w:color w:val="auto"/>
                <w:sz w:val="24"/>
              </w:rPr>
              <w:t>地下水</w:t>
            </w:r>
            <w:r>
              <w:rPr>
                <w:rFonts w:hint="default" w:ascii="Times New Roman" w:hAnsi="Times New Roman" w:cs="Times New Roman" w:eastAsiaTheme="minorEastAsia"/>
                <w:b/>
                <w:color w:val="auto"/>
                <w:sz w:val="24"/>
                <w:lang w:eastAsia="zh-CN"/>
              </w:rPr>
              <w:t>、</w:t>
            </w:r>
            <w:r>
              <w:rPr>
                <w:rFonts w:hint="default" w:ascii="Times New Roman" w:hAnsi="Times New Roman" w:cs="Times New Roman" w:eastAsiaTheme="minorEastAsia"/>
                <w:b/>
                <w:color w:val="auto"/>
                <w:sz w:val="24"/>
                <w:lang w:val="en-US" w:eastAsia="zh-CN"/>
              </w:rPr>
              <w:t>土壤</w:t>
            </w:r>
            <w:r>
              <w:rPr>
                <w:rFonts w:hint="default" w:ascii="Times New Roman" w:hAnsi="Times New Roman" w:cs="Times New Roman" w:eastAsiaTheme="minorEastAsia"/>
                <w:b/>
                <w:color w:val="auto"/>
                <w:sz w:val="24"/>
              </w:rPr>
              <w:t>环境质量现状</w:t>
            </w:r>
          </w:p>
          <w:p w14:paraId="39637A8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pacing w:val="0"/>
                <w:kern w:val="21"/>
                <w:sz w:val="24"/>
                <w:szCs w:val="24"/>
                <w:lang w:val="en-US" w:eastAsia="zh-CN"/>
              </w:rPr>
            </w:pPr>
            <w:r>
              <w:rPr>
                <w:rFonts w:hint="default" w:ascii="Times New Roman" w:hAnsi="Times New Roman" w:cs="Times New Roman" w:eastAsiaTheme="minorEastAsia"/>
                <w:color w:val="auto"/>
                <w:spacing w:val="0"/>
                <w:kern w:val="21"/>
                <w:sz w:val="24"/>
                <w:szCs w:val="24"/>
                <w:lang w:val="en-US" w:eastAsia="zh-CN"/>
              </w:rPr>
              <w:t>依据《建设项目环境影响报告表编制技术指南（污染影响类）（试行）》：原则上不开展环境质量现状调查。建设项目存在地下水、土壤环境污染途径的，应结合污染源、保护目标分布情况开展现状调查以留作背景值。</w:t>
            </w:r>
          </w:p>
          <w:p w14:paraId="71087EB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pacing w:val="0"/>
                <w:kern w:val="21"/>
                <w:sz w:val="24"/>
                <w:szCs w:val="24"/>
                <w:lang w:val="en-US" w:eastAsia="zh-CN"/>
              </w:rPr>
            </w:pPr>
            <w:r>
              <w:rPr>
                <w:rFonts w:hint="default" w:ascii="Times New Roman" w:hAnsi="Times New Roman" w:cs="Times New Roman" w:eastAsiaTheme="minorEastAsia"/>
                <w:color w:val="auto"/>
                <w:spacing w:val="0"/>
                <w:kern w:val="21"/>
                <w:sz w:val="24"/>
                <w:szCs w:val="24"/>
                <w:lang w:val="en-US" w:eastAsia="zh-CN"/>
              </w:rPr>
              <w:t>本项目危险废物贮存库采取了有效的防腐、防渗、防漏措施，与地下水及土壤环境有物理隔离，可有效防止危险废物发生泄漏污染地下水的情况，因此本项目正常情况下不存在地下水、土壤环境污染途径，同时本项目位于昌吉职业技术学院内，周边无地下水、土壤环境保护目标分布，因此本次评价不进行地下水、土壤环境质量现状调查。</w:t>
            </w:r>
          </w:p>
        </w:tc>
      </w:tr>
      <w:tr w14:paraId="6207EB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15" w:type="dxa"/>
            <w:noWrap w:val="0"/>
            <w:vAlign w:val="center"/>
          </w:tcPr>
          <w:p w14:paraId="28744B91">
            <w:pPr>
              <w:pageBreakBefore w:val="0"/>
              <w:kinsoku/>
              <w:bidi w:val="0"/>
              <w:adjustRightInd w:val="0"/>
              <w:snapToGrid w:val="0"/>
              <w:spacing w:beforeAutospacing="0" w:afterAutospacing="0" w:line="360" w:lineRule="auto"/>
              <w:ind w:left="0" w:leftChars="0" w:right="0" w:rightChars="0"/>
              <w:jc w:val="both"/>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环境保护</w:t>
            </w:r>
          </w:p>
          <w:p w14:paraId="317A6067">
            <w:pPr>
              <w:pageBreakBefore w:val="0"/>
              <w:kinsoku/>
              <w:bidi w:val="0"/>
              <w:adjustRightInd w:val="0"/>
              <w:snapToGrid w:val="0"/>
              <w:spacing w:beforeAutospacing="0" w:afterAutospacing="0" w:line="360" w:lineRule="auto"/>
              <w:ind w:left="0" w:leftChars="0" w:right="0" w:rightChars="0"/>
              <w:jc w:val="both"/>
              <w:rPr>
                <w:rFonts w:hint="default" w:ascii="Times New Roman" w:hAnsi="Times New Roman" w:cs="Times New Roman" w:eastAsiaTheme="minorEastAsia"/>
                <w:color w:val="auto"/>
                <w:kern w:val="0"/>
                <w:szCs w:val="21"/>
              </w:rPr>
            </w:pPr>
            <w:r>
              <w:rPr>
                <w:rFonts w:hint="default" w:ascii="Times New Roman" w:hAnsi="Times New Roman" w:cs="Times New Roman" w:eastAsiaTheme="minorEastAsia"/>
                <w:color w:val="auto"/>
                <w:kern w:val="0"/>
                <w:sz w:val="24"/>
                <w:szCs w:val="24"/>
              </w:rPr>
              <w:t>目标</w:t>
            </w:r>
          </w:p>
        </w:tc>
        <w:tc>
          <w:tcPr>
            <w:tcW w:w="8375" w:type="dxa"/>
            <w:noWrap w:val="0"/>
            <w:vAlign w:val="center"/>
          </w:tcPr>
          <w:p w14:paraId="6CABC071">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bCs/>
                <w:color w:val="auto"/>
                <w:sz w:val="24"/>
                <w:lang w:val="en-US" w:eastAsia="zh-CN"/>
              </w:rPr>
              <w:t xml:space="preserve">1 </w:t>
            </w:r>
            <w:r>
              <w:rPr>
                <w:rFonts w:hint="default" w:ascii="Times New Roman" w:hAnsi="Times New Roman" w:cs="Times New Roman" w:eastAsiaTheme="minorEastAsia"/>
                <w:b/>
                <w:bCs/>
                <w:color w:val="auto"/>
                <w:sz w:val="24"/>
              </w:rPr>
              <w:t>大气环境</w:t>
            </w:r>
          </w:p>
          <w:p w14:paraId="0702135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pacing w:val="0"/>
                <w:kern w:val="21"/>
                <w:sz w:val="24"/>
                <w:szCs w:val="24"/>
                <w:lang w:val="en-US" w:eastAsia="zh-CN"/>
              </w:rPr>
            </w:pPr>
            <w:r>
              <w:rPr>
                <w:rFonts w:hint="default" w:ascii="Times New Roman" w:hAnsi="Times New Roman" w:cs="Times New Roman" w:eastAsiaTheme="minorEastAsia"/>
                <w:color w:val="auto"/>
                <w:spacing w:val="0"/>
                <w:kern w:val="21"/>
                <w:sz w:val="24"/>
                <w:szCs w:val="24"/>
                <w:lang w:val="en-US" w:eastAsia="zh-CN"/>
              </w:rPr>
              <w:t>本项目周边500米范围内大气环境保护目标主要为大学城商业中心。</w:t>
            </w:r>
          </w:p>
          <w:p w14:paraId="0D1093A7">
            <w:pPr>
              <w:pStyle w:val="73"/>
              <w:pageBreakBefore w:val="0"/>
              <w:kinsoku/>
              <w:bidi w:val="0"/>
              <w:spacing w:beforeAutospacing="0" w:afterAutospacing="0" w:line="360" w:lineRule="auto"/>
              <w:ind w:left="0" w:leftChars="0" w:right="0" w:rightChars="0"/>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表3-</w:t>
            </w:r>
            <w:r>
              <w:rPr>
                <w:rFonts w:hint="eastAsia" w:cs="Times New Roman" w:eastAsiaTheme="minorEastAsia"/>
                <w:b/>
                <w:bCs/>
                <w:color w:val="auto"/>
                <w:sz w:val="21"/>
                <w:szCs w:val="21"/>
                <w:lang w:val="en-US" w:eastAsia="zh-CN"/>
              </w:rPr>
              <w:t>4</w:t>
            </w:r>
            <w:r>
              <w:rPr>
                <w:rFonts w:hint="default" w:ascii="Times New Roman" w:hAnsi="Times New Roman" w:cs="Times New Roman" w:eastAsiaTheme="minorEastAsia"/>
                <w:b/>
                <w:bCs/>
                <w:color w:val="auto"/>
                <w:sz w:val="21"/>
                <w:szCs w:val="21"/>
              </w:rPr>
              <w:t xml:space="preserve">   </w:t>
            </w:r>
            <w:r>
              <w:rPr>
                <w:rFonts w:hint="default" w:ascii="Times New Roman" w:hAnsi="Times New Roman" w:cs="Times New Roman" w:eastAsiaTheme="minorEastAsia"/>
                <w:b/>
                <w:bCs/>
                <w:color w:val="auto"/>
                <w:sz w:val="21"/>
                <w:szCs w:val="21"/>
                <w:lang w:val="en-US" w:eastAsia="zh-CN"/>
              </w:rPr>
              <w:t>本项目大气环境保护目标及保护级别一览表</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Layout w:type="autofit"/>
              <w:tblCellMar>
                <w:top w:w="0" w:type="dxa"/>
                <w:left w:w="108" w:type="dxa"/>
                <w:bottom w:w="0" w:type="dxa"/>
                <w:right w:w="108" w:type="dxa"/>
              </w:tblCellMar>
            </w:tblPr>
            <w:tblGrid>
              <w:gridCol w:w="653"/>
              <w:gridCol w:w="1739"/>
              <w:gridCol w:w="1381"/>
              <w:gridCol w:w="1212"/>
              <w:gridCol w:w="1188"/>
              <w:gridCol w:w="2214"/>
            </w:tblGrid>
            <w:tr w14:paraId="19D02052">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108" w:type="dxa"/>
                  <w:bottom w:w="0" w:type="dxa"/>
                  <w:right w:w="108" w:type="dxa"/>
                </w:tblCellMar>
              </w:tblPrEx>
              <w:trPr>
                <w:trHeight w:val="23" w:hRule="atLeast"/>
                <w:jc w:val="center"/>
              </w:trPr>
              <w:tc>
                <w:tcPr>
                  <w:tcW w:w="389" w:type="pct"/>
                  <w:tcBorders>
                    <w:tl2br w:val="nil"/>
                    <w:tr2bl w:val="nil"/>
                  </w:tcBorders>
                  <w:vAlign w:val="center"/>
                </w:tcPr>
                <w:p w14:paraId="7EAB5066">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环境要素</w:t>
                  </w:r>
                </w:p>
              </w:tc>
              <w:tc>
                <w:tcPr>
                  <w:tcW w:w="1036" w:type="pct"/>
                  <w:tcBorders>
                    <w:tl2br w:val="nil"/>
                    <w:tr2bl w:val="nil"/>
                  </w:tcBorders>
                  <w:vAlign w:val="center"/>
                </w:tcPr>
                <w:p w14:paraId="48EE6378">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保护目标</w:t>
                  </w:r>
                </w:p>
              </w:tc>
              <w:tc>
                <w:tcPr>
                  <w:tcW w:w="823" w:type="pct"/>
                  <w:tcBorders>
                    <w:tl2br w:val="nil"/>
                    <w:tr2bl w:val="nil"/>
                  </w:tcBorders>
                  <w:vAlign w:val="center"/>
                </w:tcPr>
                <w:p w14:paraId="03C5036B">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保护对象</w:t>
                  </w:r>
                </w:p>
              </w:tc>
              <w:tc>
                <w:tcPr>
                  <w:tcW w:w="722" w:type="pct"/>
                  <w:tcBorders>
                    <w:tl2br w:val="nil"/>
                    <w:tr2bl w:val="nil"/>
                  </w:tcBorders>
                  <w:vAlign w:val="center"/>
                </w:tcPr>
                <w:p w14:paraId="606BA29D">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相对厂址位置</w:t>
                  </w:r>
                </w:p>
              </w:tc>
              <w:tc>
                <w:tcPr>
                  <w:tcW w:w="708" w:type="pct"/>
                  <w:tcBorders>
                    <w:tl2br w:val="nil"/>
                    <w:tr2bl w:val="nil"/>
                  </w:tcBorders>
                  <w:vAlign w:val="center"/>
                </w:tcPr>
                <w:p w14:paraId="04E5AB35">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相对厂址距离/米</w:t>
                  </w:r>
                </w:p>
              </w:tc>
              <w:tc>
                <w:tcPr>
                  <w:tcW w:w="1319" w:type="pct"/>
                  <w:tcBorders>
                    <w:tl2br w:val="nil"/>
                    <w:tr2bl w:val="nil"/>
                  </w:tcBorders>
                  <w:vAlign w:val="center"/>
                </w:tcPr>
                <w:p w14:paraId="2DD26AFF">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保护级别</w:t>
                  </w:r>
                </w:p>
              </w:tc>
            </w:tr>
            <w:tr w14:paraId="197A99D8">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108" w:type="dxa"/>
                  <w:bottom w:w="0" w:type="dxa"/>
                  <w:right w:w="108" w:type="dxa"/>
                </w:tblCellMar>
              </w:tblPrEx>
              <w:trPr>
                <w:trHeight w:val="23" w:hRule="atLeast"/>
                <w:jc w:val="center"/>
              </w:trPr>
              <w:tc>
                <w:tcPr>
                  <w:tcW w:w="389" w:type="pct"/>
                  <w:tcBorders>
                    <w:tl2br w:val="nil"/>
                    <w:tr2bl w:val="nil"/>
                  </w:tcBorders>
                  <w:vAlign w:val="center"/>
                </w:tcPr>
                <w:p w14:paraId="046AC8FE">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大气环境</w:t>
                  </w:r>
                </w:p>
              </w:tc>
              <w:tc>
                <w:tcPr>
                  <w:tcW w:w="1036" w:type="pct"/>
                  <w:tcBorders>
                    <w:tl2br w:val="nil"/>
                    <w:tr2bl w:val="nil"/>
                  </w:tcBorders>
                  <w:vAlign w:val="center"/>
                </w:tcPr>
                <w:p w14:paraId="5B95B597">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大学城商业中心</w:t>
                  </w:r>
                </w:p>
              </w:tc>
              <w:tc>
                <w:tcPr>
                  <w:tcW w:w="823" w:type="pct"/>
                  <w:tcBorders>
                    <w:tl2br w:val="nil"/>
                    <w:tr2bl w:val="nil"/>
                  </w:tcBorders>
                  <w:vAlign w:val="center"/>
                </w:tcPr>
                <w:p w14:paraId="57A0A724">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商业从业人员、学校师生</w:t>
                  </w:r>
                </w:p>
              </w:tc>
              <w:tc>
                <w:tcPr>
                  <w:tcW w:w="722" w:type="pct"/>
                  <w:tcBorders>
                    <w:tl2br w:val="nil"/>
                    <w:tr2bl w:val="nil"/>
                  </w:tcBorders>
                  <w:vAlign w:val="center"/>
                </w:tcPr>
                <w:p w14:paraId="00289AE4">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南侧</w:t>
                  </w:r>
                </w:p>
              </w:tc>
              <w:tc>
                <w:tcPr>
                  <w:tcW w:w="708" w:type="pct"/>
                  <w:tcBorders>
                    <w:tl2br w:val="nil"/>
                    <w:tr2bl w:val="nil"/>
                  </w:tcBorders>
                  <w:vAlign w:val="center"/>
                </w:tcPr>
                <w:p w14:paraId="00BF4210">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150</w:t>
                  </w:r>
                </w:p>
              </w:tc>
              <w:tc>
                <w:tcPr>
                  <w:tcW w:w="1319" w:type="pct"/>
                  <w:tcBorders>
                    <w:tl2br w:val="nil"/>
                    <w:tr2bl w:val="nil"/>
                  </w:tcBorders>
                  <w:vAlign w:val="center"/>
                </w:tcPr>
                <w:p w14:paraId="6B69784F">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《环境空气质量标准》（GB3095-2026）</w:t>
                  </w:r>
                </w:p>
              </w:tc>
            </w:tr>
          </w:tbl>
          <w:p w14:paraId="2A14E1C0">
            <w:pPr>
              <w:keepNext w:val="0"/>
              <w:keepLines w:val="0"/>
              <w:pageBreakBefore w:val="0"/>
              <w:widowControl w:val="0"/>
              <w:kinsoku/>
              <w:wordWrap/>
              <w:overflowPunct/>
              <w:topLinePunct w:val="0"/>
              <w:autoSpaceDE/>
              <w:autoSpaceDN/>
              <w:bidi w:val="0"/>
              <w:spacing w:beforeAutospacing="0" w:afterAutospacing="0" w:line="360" w:lineRule="auto"/>
              <w:ind w:right="0" w:rightChars="0"/>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bCs/>
                <w:color w:val="auto"/>
                <w:sz w:val="24"/>
                <w:lang w:val="en-US" w:eastAsia="zh-CN"/>
              </w:rPr>
              <w:t xml:space="preserve">2 </w:t>
            </w:r>
            <w:r>
              <w:rPr>
                <w:rFonts w:hint="default" w:ascii="Times New Roman" w:hAnsi="Times New Roman" w:cs="Times New Roman" w:eastAsiaTheme="minorEastAsia"/>
                <w:b/>
                <w:bCs/>
                <w:color w:val="auto"/>
                <w:sz w:val="24"/>
              </w:rPr>
              <w:t>声环境</w:t>
            </w:r>
          </w:p>
          <w:p w14:paraId="71D631E2">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本项目厂界外50m范围内声环境保护目标主要为一号教学</w:t>
            </w:r>
            <w:r>
              <w:rPr>
                <w:rFonts w:hint="eastAsia" w:ascii="Times New Roman" w:hAnsi="Times New Roman" w:cs="Times New Roman" w:eastAsiaTheme="minorEastAsia"/>
                <w:snapToGrid w:val="0"/>
                <w:color w:val="auto"/>
                <w:kern w:val="0"/>
                <w:sz w:val="24"/>
                <w:lang w:val="en-US" w:eastAsia="zh-CN"/>
              </w:rPr>
              <w:t>楼A段、B段、C段</w:t>
            </w:r>
            <w:r>
              <w:rPr>
                <w:rFonts w:hint="default" w:ascii="Times New Roman" w:hAnsi="Times New Roman" w:cs="Times New Roman" w:eastAsiaTheme="minorEastAsia"/>
                <w:color w:val="auto"/>
                <w:sz w:val="24"/>
              </w:rPr>
              <w:t>。</w:t>
            </w:r>
          </w:p>
          <w:p w14:paraId="0D2CC686">
            <w:pPr>
              <w:pStyle w:val="73"/>
              <w:pageBreakBefore w:val="0"/>
              <w:kinsoku/>
              <w:bidi w:val="0"/>
              <w:spacing w:beforeAutospacing="0" w:afterAutospacing="0" w:line="360" w:lineRule="auto"/>
              <w:ind w:left="0" w:leftChars="0" w:right="0" w:rightChars="0"/>
              <w:rPr>
                <w:rFonts w:hint="eastAsia" w:ascii="Times New Roman" w:hAnsi="Times New Roman" w:cs="Times New Roman" w:eastAsiaTheme="minorEastAsia"/>
                <w:b/>
                <w:bCs/>
                <w:color w:val="auto"/>
                <w:sz w:val="21"/>
                <w:szCs w:val="21"/>
              </w:rPr>
            </w:pPr>
            <w:r>
              <w:rPr>
                <w:rFonts w:hint="eastAsia" w:ascii="Times New Roman" w:hAnsi="Times New Roman" w:cs="Times New Roman" w:eastAsiaTheme="minorEastAsia"/>
                <w:b/>
                <w:bCs/>
                <w:color w:val="auto"/>
                <w:sz w:val="21"/>
                <w:szCs w:val="21"/>
              </w:rPr>
              <w:t>表3-</w:t>
            </w:r>
            <w:r>
              <w:rPr>
                <w:rFonts w:hint="eastAsia" w:ascii="Times New Roman" w:hAnsi="Times New Roman" w:cs="Times New Roman" w:eastAsiaTheme="minorEastAsia"/>
                <w:b/>
                <w:bCs/>
                <w:color w:val="auto"/>
                <w:sz w:val="21"/>
                <w:szCs w:val="21"/>
                <w:lang w:val="en-US" w:eastAsia="zh-CN"/>
              </w:rPr>
              <w:t>5</w:t>
            </w:r>
            <w:r>
              <w:rPr>
                <w:rFonts w:hint="eastAsia" w:ascii="Times New Roman" w:hAnsi="Times New Roman" w:cs="Times New Roman" w:eastAsiaTheme="minorEastAsia"/>
                <w:b/>
                <w:bCs/>
                <w:color w:val="auto"/>
                <w:sz w:val="21"/>
                <w:szCs w:val="21"/>
              </w:rPr>
              <w:t xml:space="preserve">   </w:t>
            </w:r>
            <w:r>
              <w:rPr>
                <w:rFonts w:hint="eastAsia" w:ascii="Times New Roman" w:hAnsi="Times New Roman" w:cs="Times New Roman" w:eastAsiaTheme="minorEastAsia"/>
                <w:b/>
                <w:bCs/>
                <w:color w:val="auto"/>
                <w:sz w:val="21"/>
                <w:szCs w:val="21"/>
                <w:lang w:val="en-US" w:eastAsia="zh-CN"/>
              </w:rPr>
              <w:t>本项目声环境保护目标一览表</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84"/>
              <w:gridCol w:w="1376"/>
              <w:gridCol w:w="1312"/>
              <w:gridCol w:w="1099"/>
              <w:gridCol w:w="1193"/>
              <w:gridCol w:w="2323"/>
            </w:tblGrid>
            <w:tr w14:paraId="0D33E5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6" w:type="pct"/>
                  <w:tcBorders>
                    <w:bottom w:val="single" w:color="auto" w:sz="12" w:space="0"/>
                  </w:tcBorders>
                  <w:vAlign w:val="center"/>
                </w:tcPr>
                <w:p w14:paraId="582C3120">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环境要素</w:t>
                  </w:r>
                </w:p>
              </w:tc>
              <w:tc>
                <w:tcPr>
                  <w:tcW w:w="820" w:type="pct"/>
                  <w:tcBorders>
                    <w:bottom w:val="single" w:color="auto" w:sz="12" w:space="0"/>
                  </w:tcBorders>
                  <w:vAlign w:val="center"/>
                </w:tcPr>
                <w:p w14:paraId="1D7133CC">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保护目标</w:t>
                  </w:r>
                </w:p>
              </w:tc>
              <w:tc>
                <w:tcPr>
                  <w:tcW w:w="782" w:type="pct"/>
                  <w:tcBorders>
                    <w:bottom w:val="single" w:color="auto" w:sz="12" w:space="0"/>
                  </w:tcBorders>
                  <w:vAlign w:val="center"/>
                </w:tcPr>
                <w:p w14:paraId="022A5B57">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保护对象</w:t>
                  </w:r>
                </w:p>
              </w:tc>
              <w:tc>
                <w:tcPr>
                  <w:tcW w:w="655" w:type="pct"/>
                  <w:tcBorders>
                    <w:bottom w:val="single" w:color="auto" w:sz="12" w:space="0"/>
                  </w:tcBorders>
                  <w:vAlign w:val="center"/>
                </w:tcPr>
                <w:p w14:paraId="5FE97AA6">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相对厂址位置</w:t>
                  </w:r>
                </w:p>
              </w:tc>
              <w:tc>
                <w:tcPr>
                  <w:tcW w:w="711" w:type="pct"/>
                  <w:tcBorders>
                    <w:bottom w:val="single" w:color="auto" w:sz="12" w:space="0"/>
                  </w:tcBorders>
                  <w:vAlign w:val="center"/>
                </w:tcPr>
                <w:p w14:paraId="78B8F492">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相对厂址距离/米</w:t>
                  </w:r>
                </w:p>
              </w:tc>
              <w:tc>
                <w:tcPr>
                  <w:tcW w:w="1384" w:type="pct"/>
                  <w:tcBorders>
                    <w:bottom w:val="single" w:color="auto" w:sz="12" w:space="0"/>
                  </w:tcBorders>
                  <w:vAlign w:val="center"/>
                </w:tcPr>
                <w:p w14:paraId="7AA758BC">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保护级别</w:t>
                  </w:r>
                </w:p>
              </w:tc>
            </w:tr>
            <w:tr w14:paraId="52F10C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6" w:type="pct"/>
                  <w:vMerge w:val="restart"/>
                  <w:tcBorders>
                    <w:top w:val="single" w:color="auto" w:sz="12" w:space="0"/>
                    <w:tl2br w:val="nil"/>
                    <w:tr2bl w:val="nil"/>
                  </w:tcBorders>
                  <w:vAlign w:val="center"/>
                </w:tcPr>
                <w:p w14:paraId="3C996966">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声环境</w:t>
                  </w:r>
                </w:p>
              </w:tc>
              <w:tc>
                <w:tcPr>
                  <w:tcW w:w="820" w:type="pct"/>
                  <w:tcBorders>
                    <w:top w:val="single" w:color="auto" w:sz="12" w:space="0"/>
                    <w:tl2br w:val="nil"/>
                    <w:tr2bl w:val="nil"/>
                  </w:tcBorders>
                  <w:shd w:val="clear" w:color="auto" w:fill="auto"/>
                  <w:vAlign w:val="center"/>
                </w:tcPr>
                <w:p w14:paraId="6FF04A1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eastAsia" w:ascii="Times New Roman" w:hAnsi="Times New Roman" w:cs="Times New Roman" w:eastAsiaTheme="minorEastAsia"/>
                      <w:color w:val="auto"/>
                      <w:szCs w:val="21"/>
                      <w:lang w:val="en-US" w:eastAsia="zh-CN"/>
                    </w:rPr>
                    <w:t>一号教学</w:t>
                  </w:r>
                  <w:r>
                    <w:rPr>
                      <w:rFonts w:hint="default" w:ascii="Times New Roman" w:hAnsi="Times New Roman" w:cs="Times New Roman" w:eastAsiaTheme="minorEastAsia"/>
                      <w:color w:val="auto"/>
                      <w:szCs w:val="21"/>
                      <w:lang w:val="en-US" w:eastAsia="zh-CN"/>
                    </w:rPr>
                    <w:t>楼A段</w:t>
                  </w:r>
                </w:p>
              </w:tc>
              <w:tc>
                <w:tcPr>
                  <w:tcW w:w="782" w:type="pct"/>
                  <w:tcBorders>
                    <w:top w:val="single" w:color="auto" w:sz="12" w:space="0"/>
                    <w:tl2br w:val="nil"/>
                    <w:tr2bl w:val="nil"/>
                  </w:tcBorders>
                  <w:vAlign w:val="center"/>
                </w:tcPr>
                <w:p w14:paraId="2F5244EA">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heme="minorBidi"/>
                      <w:b w:val="0"/>
                      <w:color w:val="auto"/>
                      <w:kern w:val="2"/>
                      <w:sz w:val="21"/>
                      <w:szCs w:val="21"/>
                      <w:vertAlign w:val="baseline"/>
                      <w:lang w:val="en-US" w:eastAsia="zh-CN" w:bidi="ar-SA"/>
                    </w:rPr>
                  </w:pPr>
                  <w:r>
                    <w:rPr>
                      <w:rFonts w:hint="eastAsia"/>
                      <w:b w:val="0"/>
                      <w:bCs w:val="0"/>
                      <w:color w:val="auto"/>
                      <w:sz w:val="21"/>
                      <w:szCs w:val="21"/>
                      <w:vertAlign w:val="baseline"/>
                      <w:lang w:val="en-US" w:eastAsia="zh-CN"/>
                    </w:rPr>
                    <w:t>学校师生</w:t>
                  </w:r>
                </w:p>
              </w:tc>
              <w:tc>
                <w:tcPr>
                  <w:tcW w:w="655" w:type="pct"/>
                  <w:tcBorders>
                    <w:top w:val="single" w:color="auto" w:sz="12" w:space="0"/>
                    <w:tl2br w:val="nil"/>
                    <w:tr2bl w:val="nil"/>
                  </w:tcBorders>
                  <w:vAlign w:val="center"/>
                </w:tcPr>
                <w:p w14:paraId="4055A3BC">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heme="minorBidi"/>
                      <w:b w:val="0"/>
                      <w:color w:val="auto"/>
                      <w:kern w:val="2"/>
                      <w:sz w:val="21"/>
                      <w:szCs w:val="21"/>
                      <w:vertAlign w:val="baseline"/>
                      <w:lang w:val="en-US" w:eastAsia="zh-CN" w:bidi="ar-SA"/>
                    </w:rPr>
                  </w:pPr>
                  <w:r>
                    <w:rPr>
                      <w:rFonts w:hint="eastAsia" w:cstheme="minorBidi"/>
                      <w:b w:val="0"/>
                      <w:color w:val="auto"/>
                      <w:kern w:val="2"/>
                      <w:sz w:val="21"/>
                      <w:szCs w:val="21"/>
                      <w:vertAlign w:val="baseline"/>
                      <w:lang w:val="en-US" w:eastAsia="zh-CN" w:bidi="ar-SA"/>
                    </w:rPr>
                    <w:t>北侧</w:t>
                  </w:r>
                </w:p>
              </w:tc>
              <w:tc>
                <w:tcPr>
                  <w:tcW w:w="711" w:type="pct"/>
                  <w:tcBorders>
                    <w:top w:val="single" w:color="auto" w:sz="12" w:space="0"/>
                    <w:tl2br w:val="nil"/>
                    <w:tr2bl w:val="nil"/>
                  </w:tcBorders>
                  <w:vAlign w:val="center"/>
                </w:tcPr>
                <w:p w14:paraId="404B78C1">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heme="minorBidi"/>
                      <w:b w:val="0"/>
                      <w:color w:val="auto"/>
                      <w:kern w:val="2"/>
                      <w:sz w:val="21"/>
                      <w:szCs w:val="21"/>
                      <w:vertAlign w:val="baseline"/>
                      <w:lang w:val="en-US" w:eastAsia="zh-CN" w:bidi="ar-SA"/>
                    </w:rPr>
                  </w:pPr>
                  <w:r>
                    <w:rPr>
                      <w:rFonts w:hint="eastAsia" w:cstheme="minorBidi"/>
                      <w:b w:val="0"/>
                      <w:color w:val="auto"/>
                      <w:kern w:val="2"/>
                      <w:sz w:val="21"/>
                      <w:szCs w:val="21"/>
                      <w:vertAlign w:val="baseline"/>
                      <w:lang w:val="en-US" w:eastAsia="zh-CN" w:bidi="ar-SA"/>
                    </w:rPr>
                    <w:t>42</w:t>
                  </w:r>
                </w:p>
              </w:tc>
              <w:tc>
                <w:tcPr>
                  <w:tcW w:w="1384" w:type="pct"/>
                  <w:vMerge w:val="restart"/>
                  <w:tcBorders>
                    <w:top w:val="single" w:color="auto" w:sz="12" w:space="0"/>
                    <w:tl2br w:val="nil"/>
                    <w:tr2bl w:val="nil"/>
                  </w:tcBorders>
                  <w:vAlign w:val="center"/>
                </w:tcPr>
                <w:p w14:paraId="23F5B354">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《声环境质量标准》 （GB3096-2008）中 1类</w:t>
                  </w:r>
                </w:p>
              </w:tc>
            </w:tr>
            <w:tr w14:paraId="3B2807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6" w:type="pct"/>
                  <w:vMerge w:val="continue"/>
                  <w:tcBorders>
                    <w:tl2br w:val="nil"/>
                    <w:tr2bl w:val="nil"/>
                  </w:tcBorders>
                  <w:vAlign w:val="center"/>
                </w:tcPr>
                <w:p w14:paraId="2F8A2903">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color w:val="auto"/>
                      <w:sz w:val="21"/>
                      <w:szCs w:val="21"/>
                      <w:vertAlign w:val="baseline"/>
                      <w:lang w:val="en-US" w:eastAsia="zh-CN"/>
                    </w:rPr>
                  </w:pPr>
                </w:p>
              </w:tc>
              <w:tc>
                <w:tcPr>
                  <w:tcW w:w="820" w:type="pct"/>
                  <w:tcBorders>
                    <w:tl2br w:val="nil"/>
                    <w:tr2bl w:val="nil"/>
                  </w:tcBorders>
                  <w:shd w:val="clear" w:color="auto" w:fill="auto"/>
                  <w:vAlign w:val="center"/>
                </w:tcPr>
                <w:p w14:paraId="5ADD51F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eastAsia" w:ascii="Times New Roman" w:hAnsi="Times New Roman" w:cs="Times New Roman" w:eastAsiaTheme="minorEastAsia"/>
                      <w:color w:val="auto"/>
                      <w:kern w:val="2"/>
                      <w:sz w:val="21"/>
                      <w:szCs w:val="21"/>
                      <w:lang w:val="en-US" w:eastAsia="zh-CN" w:bidi="ar-SA"/>
                    </w:rPr>
                  </w:pPr>
                  <w:r>
                    <w:rPr>
                      <w:rFonts w:hint="eastAsia" w:ascii="Times New Roman" w:hAnsi="Times New Roman" w:cs="Times New Roman" w:eastAsiaTheme="minorEastAsia"/>
                      <w:color w:val="auto"/>
                      <w:szCs w:val="21"/>
                      <w:lang w:val="en-US" w:eastAsia="zh-CN"/>
                    </w:rPr>
                    <w:t>一号教学</w:t>
                  </w:r>
                  <w:r>
                    <w:rPr>
                      <w:rFonts w:hint="default" w:ascii="Times New Roman" w:hAnsi="Times New Roman" w:cs="Times New Roman" w:eastAsiaTheme="minorEastAsia"/>
                      <w:color w:val="auto"/>
                      <w:szCs w:val="21"/>
                      <w:lang w:val="en-US" w:eastAsia="zh-CN"/>
                    </w:rPr>
                    <w:t>楼</w:t>
                  </w:r>
                  <w:r>
                    <w:rPr>
                      <w:rFonts w:hint="eastAsia" w:ascii="Times New Roman" w:hAnsi="Times New Roman" w:cs="Times New Roman" w:eastAsiaTheme="minorEastAsia"/>
                      <w:color w:val="auto"/>
                      <w:szCs w:val="21"/>
                      <w:lang w:val="en-US" w:eastAsia="zh-CN"/>
                    </w:rPr>
                    <w:t>B</w:t>
                  </w:r>
                  <w:r>
                    <w:rPr>
                      <w:rFonts w:hint="default" w:ascii="Times New Roman" w:hAnsi="Times New Roman" w:cs="Times New Roman" w:eastAsiaTheme="minorEastAsia"/>
                      <w:color w:val="auto"/>
                      <w:szCs w:val="21"/>
                      <w:lang w:val="en-US" w:eastAsia="zh-CN"/>
                    </w:rPr>
                    <w:t>段</w:t>
                  </w:r>
                </w:p>
              </w:tc>
              <w:tc>
                <w:tcPr>
                  <w:tcW w:w="782" w:type="pct"/>
                  <w:tcBorders>
                    <w:tl2br w:val="nil"/>
                    <w:tr2bl w:val="nil"/>
                  </w:tcBorders>
                  <w:vAlign w:val="center"/>
                </w:tcPr>
                <w:p w14:paraId="4E87F5E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b w:val="0"/>
                      <w:bCs w:val="0"/>
                      <w:color w:val="auto"/>
                      <w:sz w:val="21"/>
                      <w:szCs w:val="21"/>
                      <w:vertAlign w:val="baseline"/>
                      <w:lang w:val="en-US" w:eastAsia="zh-CN"/>
                    </w:rPr>
                  </w:pPr>
                  <w:r>
                    <w:rPr>
                      <w:rFonts w:hint="eastAsia"/>
                      <w:b w:val="0"/>
                      <w:bCs w:val="0"/>
                      <w:color w:val="auto"/>
                      <w:sz w:val="21"/>
                      <w:szCs w:val="21"/>
                      <w:vertAlign w:val="baseline"/>
                      <w:lang w:val="en-US" w:eastAsia="zh-CN"/>
                    </w:rPr>
                    <w:t>学校师生</w:t>
                  </w:r>
                </w:p>
              </w:tc>
              <w:tc>
                <w:tcPr>
                  <w:tcW w:w="655" w:type="pct"/>
                  <w:tcBorders>
                    <w:tl2br w:val="nil"/>
                    <w:tr2bl w:val="nil"/>
                  </w:tcBorders>
                  <w:vAlign w:val="center"/>
                </w:tcPr>
                <w:p w14:paraId="0B0A9DBA">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cstheme="minorBidi"/>
                      <w:b w:val="0"/>
                      <w:color w:val="auto"/>
                      <w:kern w:val="2"/>
                      <w:sz w:val="21"/>
                      <w:szCs w:val="21"/>
                      <w:vertAlign w:val="baseline"/>
                      <w:lang w:val="en-US" w:eastAsia="zh-CN" w:bidi="ar-SA"/>
                    </w:rPr>
                  </w:pPr>
                  <w:r>
                    <w:rPr>
                      <w:rFonts w:hint="eastAsia" w:cstheme="minorBidi"/>
                      <w:b w:val="0"/>
                      <w:color w:val="auto"/>
                      <w:kern w:val="2"/>
                      <w:sz w:val="21"/>
                      <w:szCs w:val="21"/>
                      <w:vertAlign w:val="baseline"/>
                      <w:lang w:val="en-US" w:eastAsia="zh-CN" w:bidi="ar-SA"/>
                    </w:rPr>
                    <w:t>东侧</w:t>
                  </w:r>
                </w:p>
              </w:tc>
              <w:tc>
                <w:tcPr>
                  <w:tcW w:w="711" w:type="pct"/>
                  <w:tcBorders>
                    <w:tl2br w:val="nil"/>
                    <w:tr2bl w:val="nil"/>
                  </w:tcBorders>
                  <w:vAlign w:val="center"/>
                </w:tcPr>
                <w:p w14:paraId="69E2EE6D">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cstheme="minorBidi"/>
                      <w:b w:val="0"/>
                      <w:color w:val="auto"/>
                      <w:kern w:val="2"/>
                      <w:sz w:val="21"/>
                      <w:szCs w:val="21"/>
                      <w:vertAlign w:val="baseline"/>
                      <w:lang w:val="en-US" w:eastAsia="zh-CN" w:bidi="ar-SA"/>
                    </w:rPr>
                  </w:pPr>
                  <w:r>
                    <w:rPr>
                      <w:rFonts w:hint="eastAsia" w:cstheme="minorBidi"/>
                      <w:b w:val="0"/>
                      <w:color w:val="auto"/>
                      <w:kern w:val="2"/>
                      <w:sz w:val="21"/>
                      <w:szCs w:val="21"/>
                      <w:vertAlign w:val="baseline"/>
                      <w:lang w:val="en-US" w:eastAsia="zh-CN" w:bidi="ar-SA"/>
                    </w:rPr>
                    <w:t>5</w:t>
                  </w:r>
                </w:p>
              </w:tc>
              <w:tc>
                <w:tcPr>
                  <w:tcW w:w="1384" w:type="pct"/>
                  <w:vMerge w:val="continue"/>
                  <w:tcBorders>
                    <w:tl2br w:val="nil"/>
                    <w:tr2bl w:val="nil"/>
                  </w:tcBorders>
                  <w:vAlign w:val="center"/>
                </w:tcPr>
                <w:p w14:paraId="2FF3CDB0">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color w:val="auto"/>
                      <w:sz w:val="21"/>
                      <w:szCs w:val="21"/>
                      <w:vertAlign w:val="baseline"/>
                      <w:lang w:val="en-US" w:eastAsia="zh-CN"/>
                    </w:rPr>
                  </w:pPr>
                </w:p>
              </w:tc>
            </w:tr>
            <w:tr w14:paraId="5FC2A7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6" w:type="pct"/>
                  <w:vMerge w:val="continue"/>
                  <w:tcBorders>
                    <w:tl2br w:val="nil"/>
                    <w:tr2bl w:val="nil"/>
                  </w:tcBorders>
                  <w:vAlign w:val="center"/>
                </w:tcPr>
                <w:p w14:paraId="3573E8E0">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color w:val="auto"/>
                      <w:sz w:val="21"/>
                      <w:szCs w:val="21"/>
                      <w:vertAlign w:val="baseline"/>
                      <w:lang w:val="en-US" w:eastAsia="zh-CN"/>
                    </w:rPr>
                  </w:pPr>
                </w:p>
              </w:tc>
              <w:tc>
                <w:tcPr>
                  <w:tcW w:w="820" w:type="pct"/>
                  <w:tcBorders>
                    <w:tl2br w:val="nil"/>
                    <w:tr2bl w:val="nil"/>
                  </w:tcBorders>
                  <w:shd w:val="clear" w:color="auto" w:fill="auto"/>
                  <w:vAlign w:val="center"/>
                </w:tcPr>
                <w:p w14:paraId="4068751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eastAsia" w:ascii="Times New Roman" w:hAnsi="Times New Roman" w:cs="Times New Roman" w:eastAsiaTheme="minorEastAsia"/>
                      <w:color w:val="auto"/>
                      <w:kern w:val="2"/>
                      <w:sz w:val="21"/>
                      <w:szCs w:val="21"/>
                      <w:lang w:val="en-US" w:eastAsia="zh-CN" w:bidi="ar-SA"/>
                    </w:rPr>
                  </w:pPr>
                  <w:r>
                    <w:rPr>
                      <w:rFonts w:hint="eastAsia" w:ascii="Times New Roman" w:hAnsi="Times New Roman" w:cs="Times New Roman" w:eastAsiaTheme="minorEastAsia"/>
                      <w:color w:val="auto"/>
                      <w:szCs w:val="21"/>
                      <w:lang w:val="en-US" w:eastAsia="zh-CN"/>
                    </w:rPr>
                    <w:t>一号教学</w:t>
                  </w:r>
                  <w:r>
                    <w:rPr>
                      <w:rFonts w:hint="default" w:ascii="Times New Roman" w:hAnsi="Times New Roman" w:cs="Times New Roman" w:eastAsiaTheme="minorEastAsia"/>
                      <w:color w:val="auto"/>
                      <w:szCs w:val="21"/>
                      <w:lang w:val="en-US" w:eastAsia="zh-CN"/>
                    </w:rPr>
                    <w:t>楼</w:t>
                  </w:r>
                  <w:r>
                    <w:rPr>
                      <w:rFonts w:hint="eastAsia" w:ascii="Times New Roman" w:hAnsi="Times New Roman" w:cs="Times New Roman" w:eastAsiaTheme="minorEastAsia"/>
                      <w:color w:val="auto"/>
                      <w:szCs w:val="21"/>
                      <w:lang w:val="en-US" w:eastAsia="zh-CN"/>
                    </w:rPr>
                    <w:t>C</w:t>
                  </w:r>
                  <w:r>
                    <w:rPr>
                      <w:rFonts w:hint="default" w:ascii="Times New Roman" w:hAnsi="Times New Roman" w:cs="Times New Roman" w:eastAsiaTheme="minorEastAsia"/>
                      <w:color w:val="auto"/>
                      <w:szCs w:val="21"/>
                      <w:lang w:val="en-US" w:eastAsia="zh-CN"/>
                    </w:rPr>
                    <w:t>段</w:t>
                  </w:r>
                </w:p>
              </w:tc>
              <w:tc>
                <w:tcPr>
                  <w:tcW w:w="782" w:type="pct"/>
                  <w:tcBorders>
                    <w:tl2br w:val="nil"/>
                    <w:tr2bl w:val="nil"/>
                  </w:tcBorders>
                  <w:vAlign w:val="center"/>
                </w:tcPr>
                <w:p w14:paraId="1A65AD6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b w:val="0"/>
                      <w:bCs w:val="0"/>
                      <w:color w:val="auto"/>
                      <w:sz w:val="21"/>
                      <w:szCs w:val="21"/>
                      <w:vertAlign w:val="baseline"/>
                      <w:lang w:val="en-US" w:eastAsia="zh-CN"/>
                    </w:rPr>
                  </w:pPr>
                  <w:r>
                    <w:rPr>
                      <w:rFonts w:hint="eastAsia"/>
                      <w:b w:val="0"/>
                      <w:bCs w:val="0"/>
                      <w:color w:val="auto"/>
                      <w:sz w:val="21"/>
                      <w:szCs w:val="21"/>
                      <w:vertAlign w:val="baseline"/>
                      <w:lang w:val="en-US" w:eastAsia="zh-CN"/>
                    </w:rPr>
                    <w:t>学校师生</w:t>
                  </w:r>
                </w:p>
              </w:tc>
              <w:tc>
                <w:tcPr>
                  <w:tcW w:w="655" w:type="pct"/>
                  <w:tcBorders>
                    <w:tl2br w:val="nil"/>
                    <w:tr2bl w:val="nil"/>
                  </w:tcBorders>
                  <w:vAlign w:val="center"/>
                </w:tcPr>
                <w:p w14:paraId="5A5E55BD">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cstheme="minorBidi"/>
                      <w:b w:val="0"/>
                      <w:color w:val="auto"/>
                      <w:kern w:val="2"/>
                      <w:sz w:val="21"/>
                      <w:szCs w:val="21"/>
                      <w:vertAlign w:val="baseline"/>
                      <w:lang w:val="en-US" w:eastAsia="zh-CN" w:bidi="ar-SA"/>
                    </w:rPr>
                  </w:pPr>
                  <w:r>
                    <w:rPr>
                      <w:rFonts w:hint="eastAsia" w:cstheme="minorBidi"/>
                      <w:b w:val="0"/>
                      <w:color w:val="auto"/>
                      <w:kern w:val="2"/>
                      <w:sz w:val="21"/>
                      <w:szCs w:val="21"/>
                      <w:vertAlign w:val="baseline"/>
                      <w:lang w:val="en-US" w:eastAsia="zh-CN" w:bidi="ar-SA"/>
                    </w:rPr>
                    <w:t>南侧</w:t>
                  </w:r>
                </w:p>
              </w:tc>
              <w:tc>
                <w:tcPr>
                  <w:tcW w:w="711" w:type="pct"/>
                  <w:tcBorders>
                    <w:tl2br w:val="nil"/>
                    <w:tr2bl w:val="nil"/>
                  </w:tcBorders>
                  <w:vAlign w:val="center"/>
                </w:tcPr>
                <w:p w14:paraId="7DF4AE08">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cstheme="minorBidi"/>
                      <w:b w:val="0"/>
                      <w:color w:val="auto"/>
                      <w:kern w:val="2"/>
                      <w:sz w:val="21"/>
                      <w:szCs w:val="21"/>
                      <w:vertAlign w:val="baseline"/>
                      <w:lang w:val="en-US" w:eastAsia="zh-CN" w:bidi="ar-SA"/>
                    </w:rPr>
                  </w:pPr>
                  <w:r>
                    <w:rPr>
                      <w:rFonts w:hint="eastAsia" w:cstheme="minorBidi"/>
                      <w:b w:val="0"/>
                      <w:color w:val="auto"/>
                      <w:kern w:val="2"/>
                      <w:sz w:val="21"/>
                      <w:szCs w:val="21"/>
                      <w:vertAlign w:val="baseline"/>
                      <w:lang w:val="en-US" w:eastAsia="zh-CN" w:bidi="ar-SA"/>
                    </w:rPr>
                    <w:t>42</w:t>
                  </w:r>
                </w:p>
              </w:tc>
              <w:tc>
                <w:tcPr>
                  <w:tcW w:w="1384" w:type="pct"/>
                  <w:vMerge w:val="continue"/>
                  <w:tcBorders>
                    <w:tl2br w:val="nil"/>
                    <w:tr2bl w:val="nil"/>
                  </w:tcBorders>
                  <w:vAlign w:val="center"/>
                </w:tcPr>
                <w:p w14:paraId="3EEAC62F">
                  <w:pPr>
                    <w:pStyle w:val="26"/>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color w:val="auto"/>
                      <w:sz w:val="21"/>
                      <w:szCs w:val="21"/>
                      <w:vertAlign w:val="baseline"/>
                      <w:lang w:val="en-US" w:eastAsia="zh-CN"/>
                    </w:rPr>
                  </w:pPr>
                </w:p>
              </w:tc>
            </w:tr>
          </w:tbl>
          <w:p w14:paraId="5B03046B">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bCs/>
                <w:color w:val="auto"/>
                <w:sz w:val="24"/>
                <w:lang w:val="en-US" w:eastAsia="zh-CN"/>
              </w:rPr>
              <w:t xml:space="preserve">3 </w:t>
            </w:r>
            <w:r>
              <w:rPr>
                <w:rFonts w:hint="default" w:ascii="Times New Roman" w:hAnsi="Times New Roman" w:cs="Times New Roman" w:eastAsiaTheme="minorEastAsia"/>
                <w:b/>
                <w:bCs/>
                <w:color w:val="auto"/>
                <w:sz w:val="24"/>
              </w:rPr>
              <w:t>地下水环境</w:t>
            </w:r>
          </w:p>
          <w:p w14:paraId="3CF78E89">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本项目厂界外500m范围内无地下水集中式饮用水水源和热水、矿泉水、温泉等特殊地下水资源。</w:t>
            </w:r>
          </w:p>
          <w:p w14:paraId="352BD9A5">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bCs/>
                <w:color w:val="auto"/>
                <w:sz w:val="24"/>
                <w:lang w:val="en-US" w:eastAsia="zh-CN"/>
              </w:rPr>
              <w:t xml:space="preserve">4 </w:t>
            </w:r>
            <w:r>
              <w:rPr>
                <w:rFonts w:hint="default" w:ascii="Times New Roman" w:hAnsi="Times New Roman" w:cs="Times New Roman" w:eastAsiaTheme="minorEastAsia"/>
                <w:b/>
                <w:bCs/>
                <w:color w:val="auto"/>
                <w:sz w:val="24"/>
              </w:rPr>
              <w:t>生态环境</w:t>
            </w:r>
          </w:p>
          <w:p w14:paraId="0FF60B98">
            <w:pPr>
              <w:pStyle w:val="66"/>
              <w:pageBreakBefore w:val="0"/>
              <w:kinsoku/>
              <w:bidi w:val="0"/>
              <w:spacing w:beforeAutospacing="0" w:afterAutospacing="0" w:line="360" w:lineRule="auto"/>
              <w:ind w:left="0" w:leftChars="0" w:right="0" w:rightChars="0" w:firstLine="480" w:firstLineChars="200"/>
              <w:rPr>
                <w:rFonts w:hint="default" w:ascii="Times New Roman" w:hAnsi="Times New Roman" w:cs="Times New Roman" w:eastAsiaTheme="minorEastAsia"/>
                <w:snapToGrid w:val="0"/>
                <w:color w:val="auto"/>
                <w:kern w:val="0"/>
                <w:sz w:val="24"/>
                <w:szCs w:val="28"/>
                <w:lang w:val="en-US" w:eastAsia="zh-CN" w:bidi="ar-SA"/>
              </w:rPr>
            </w:pPr>
            <w:r>
              <w:rPr>
                <w:rFonts w:hint="default" w:ascii="Times New Roman" w:hAnsi="Times New Roman" w:cs="Times New Roman" w:eastAsiaTheme="minorEastAsia"/>
                <w:color w:val="auto"/>
                <w:sz w:val="24"/>
                <w:lang w:eastAsia="zh-CN"/>
              </w:rPr>
              <w:t>本项目位于产业园区内，</w:t>
            </w:r>
            <w:r>
              <w:rPr>
                <w:rFonts w:hint="default" w:ascii="Times New Roman" w:hAnsi="Times New Roman" w:cs="Times New Roman" w:eastAsiaTheme="minorEastAsia"/>
                <w:color w:val="auto"/>
                <w:sz w:val="24"/>
                <w:lang w:val="en-US" w:eastAsia="zh-CN"/>
              </w:rPr>
              <w:t>且</w:t>
            </w:r>
            <w:r>
              <w:rPr>
                <w:rFonts w:hint="default" w:ascii="Times New Roman" w:hAnsi="Times New Roman" w:cs="Times New Roman" w:eastAsiaTheme="minorEastAsia"/>
                <w:color w:val="auto"/>
                <w:sz w:val="24"/>
                <w:lang w:eastAsia="zh-CN"/>
              </w:rPr>
              <w:t>不新增用地，用地范围内无生态环境保护目标。</w:t>
            </w:r>
          </w:p>
        </w:tc>
      </w:tr>
      <w:tr w14:paraId="4B511D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15" w:type="dxa"/>
            <w:noWrap w:val="0"/>
            <w:tcMar>
              <w:left w:w="28" w:type="dxa"/>
              <w:right w:w="28" w:type="dxa"/>
            </w:tcMar>
            <w:vAlign w:val="center"/>
          </w:tcPr>
          <w:p w14:paraId="202C1E4A">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污染</w:t>
            </w:r>
          </w:p>
          <w:p w14:paraId="431B04B7">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物排</w:t>
            </w:r>
          </w:p>
          <w:p w14:paraId="68540D4A">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放控</w:t>
            </w:r>
          </w:p>
          <w:p w14:paraId="65731D8D">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制标</w:t>
            </w:r>
          </w:p>
          <w:p w14:paraId="1E253342">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准</w:t>
            </w:r>
          </w:p>
        </w:tc>
        <w:tc>
          <w:tcPr>
            <w:tcW w:w="8375" w:type="dxa"/>
            <w:noWrap w:val="0"/>
            <w:vAlign w:val="center"/>
          </w:tcPr>
          <w:p w14:paraId="2D02519E">
            <w:pPr>
              <w:pStyle w:val="9"/>
              <w:keepNext/>
              <w:keepLines w:val="0"/>
              <w:pageBreakBefore w:val="0"/>
              <w:widowControl w:val="0"/>
              <w:numPr>
                <w:ilvl w:val="0"/>
                <w:numId w:val="0"/>
              </w:numPr>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textAlignment w:val="auto"/>
              <w:rPr>
                <w:rFonts w:hint="eastAsia" w:ascii="Times New Roman" w:hAnsi="Times New Roman" w:cs="Times New Roman" w:eastAsiaTheme="minorEastAsia"/>
                <w:b/>
                <w:bCs/>
                <w:color w:val="auto"/>
                <w:kern w:val="44"/>
                <w:sz w:val="24"/>
                <w:szCs w:val="24"/>
                <w:lang w:val="en-US" w:eastAsia="zh-CN" w:bidi="ar-SA"/>
              </w:rPr>
            </w:pPr>
            <w:r>
              <w:rPr>
                <w:rFonts w:hint="eastAsia" w:ascii="Times New Roman" w:hAnsi="Times New Roman" w:cs="Times New Roman" w:eastAsiaTheme="minorEastAsia"/>
                <w:b/>
                <w:bCs/>
                <w:color w:val="auto"/>
                <w:kern w:val="44"/>
                <w:sz w:val="24"/>
                <w:szCs w:val="24"/>
                <w:lang w:val="en-US" w:eastAsia="zh-CN" w:bidi="ar-SA"/>
              </w:rPr>
              <w:t>1 大气污染物排放标准</w:t>
            </w:r>
          </w:p>
          <w:p w14:paraId="5C4FE598">
            <w:pPr>
              <w:pStyle w:val="85"/>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left"/>
              <w:textAlignment w:val="auto"/>
              <w:rPr>
                <w:rFonts w:hint="eastAsia"/>
                <w:color w:val="auto"/>
              </w:rPr>
            </w:pPr>
            <w:r>
              <w:rPr>
                <w:rFonts w:hint="default" w:ascii="Times New Roman" w:hAnsi="Times New Roman" w:cs="Times New Roman" w:eastAsiaTheme="minorEastAsia"/>
                <w:color w:val="auto"/>
                <w:kern w:val="0"/>
                <w:sz w:val="24"/>
                <w:lang w:val="en-US" w:eastAsia="zh-CN"/>
              </w:rPr>
              <w:t>本项目产生微量废气，无组织排放。运营期</w:t>
            </w:r>
            <w:r>
              <w:rPr>
                <w:rFonts w:hint="eastAsia" w:ascii="Times New Roman" w:hAnsi="Times New Roman" w:cs="Times New Roman" w:eastAsiaTheme="minorEastAsia"/>
                <w:color w:val="auto"/>
                <w:kern w:val="0"/>
                <w:sz w:val="24"/>
                <w:lang w:val="en-US" w:eastAsia="zh-CN"/>
              </w:rPr>
              <w:t>无组织废气</w:t>
            </w:r>
            <w:r>
              <w:rPr>
                <w:rFonts w:hint="default" w:ascii="Times New Roman" w:hAnsi="Times New Roman" w:cs="Times New Roman" w:eastAsiaTheme="minorEastAsia"/>
                <w:color w:val="auto"/>
                <w:kern w:val="0"/>
                <w:sz w:val="24"/>
                <w:lang w:val="en-US" w:eastAsia="zh-CN"/>
              </w:rPr>
              <w:t>执行</w:t>
            </w:r>
            <w:r>
              <w:rPr>
                <w:rFonts w:hint="eastAsia"/>
                <w:color w:val="auto"/>
              </w:rPr>
              <w:t>《挥发性有机物无组织排放控制标准》（GB37822-2019）中 A.1 厂区内 VOCs 无组织排放限值。</w:t>
            </w:r>
          </w:p>
          <w:p w14:paraId="02EDB02A">
            <w:pPr>
              <w:pStyle w:val="73"/>
              <w:pageBreakBefore w:val="0"/>
              <w:kinsoku/>
              <w:bidi w:val="0"/>
              <w:spacing w:beforeAutospacing="0" w:afterAutospacing="0" w:line="360" w:lineRule="auto"/>
              <w:ind w:left="0" w:leftChars="0" w:right="0" w:rightChars="0"/>
              <w:rPr>
                <w:rFonts w:hint="eastAsia" w:ascii="Times New Roman" w:hAnsi="Times New Roman" w:cs="Times New Roman" w:eastAsiaTheme="minorEastAsia"/>
                <w:b/>
                <w:bCs/>
                <w:color w:val="auto"/>
                <w:sz w:val="21"/>
                <w:szCs w:val="21"/>
              </w:rPr>
            </w:pPr>
            <w:r>
              <w:rPr>
                <w:rFonts w:hint="eastAsia" w:ascii="Times New Roman" w:hAnsi="Times New Roman" w:cs="Times New Roman" w:eastAsiaTheme="minorEastAsia"/>
                <w:b/>
                <w:bCs/>
                <w:color w:val="auto"/>
                <w:sz w:val="21"/>
                <w:szCs w:val="21"/>
              </w:rPr>
              <w:t>表3-</w:t>
            </w:r>
            <w:r>
              <w:rPr>
                <w:rFonts w:hint="eastAsia" w:ascii="Times New Roman" w:hAnsi="Times New Roman" w:cs="Times New Roman" w:eastAsiaTheme="minorEastAsia"/>
                <w:b/>
                <w:bCs/>
                <w:color w:val="auto"/>
                <w:sz w:val="21"/>
                <w:szCs w:val="21"/>
                <w:lang w:val="en-US" w:eastAsia="zh-CN"/>
              </w:rPr>
              <w:t>6</w:t>
            </w:r>
            <w:r>
              <w:rPr>
                <w:rFonts w:hint="eastAsia" w:ascii="Times New Roman" w:hAnsi="Times New Roman" w:cs="Times New Roman" w:eastAsiaTheme="minorEastAsia"/>
                <w:b/>
                <w:bCs/>
                <w:color w:val="auto"/>
                <w:sz w:val="21"/>
                <w:szCs w:val="21"/>
              </w:rPr>
              <w:t xml:space="preserve">   《挥发性有机物无组织排放控制标准》（GB37822-2019）单位 mg/m</w:t>
            </w:r>
            <w:r>
              <w:rPr>
                <w:rFonts w:hint="eastAsia" w:ascii="Times New Roman" w:hAnsi="Times New Roman" w:cs="Times New Roman" w:eastAsiaTheme="minorEastAsia"/>
                <w:b/>
                <w:bCs/>
                <w:color w:val="auto"/>
                <w:sz w:val="21"/>
                <w:szCs w:val="21"/>
                <w:vertAlign w:val="superscript"/>
              </w:rPr>
              <w:t>3</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Layout w:type="autofit"/>
              <w:tblCellMar>
                <w:top w:w="0" w:type="dxa"/>
                <w:left w:w="108" w:type="dxa"/>
                <w:bottom w:w="0" w:type="dxa"/>
                <w:right w:w="108" w:type="dxa"/>
              </w:tblCellMar>
            </w:tblPr>
            <w:tblGrid>
              <w:gridCol w:w="512"/>
              <w:gridCol w:w="1272"/>
              <w:gridCol w:w="1089"/>
              <w:gridCol w:w="2187"/>
              <w:gridCol w:w="1287"/>
              <w:gridCol w:w="2040"/>
            </w:tblGrid>
            <w:tr w14:paraId="247DD591">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108" w:type="dxa"/>
                  <w:bottom w:w="0" w:type="dxa"/>
                  <w:right w:w="108" w:type="dxa"/>
                </w:tblCellMar>
              </w:tblPrEx>
              <w:trPr>
                <w:trHeight w:val="397" w:hRule="atLeast"/>
                <w:jc w:val="center"/>
              </w:trPr>
              <w:tc>
                <w:tcPr>
                  <w:tcW w:w="305" w:type="pct"/>
                  <w:tcBorders>
                    <w:tl2br w:val="nil"/>
                    <w:tr2bl w:val="nil"/>
                  </w:tcBorders>
                  <w:vAlign w:val="center"/>
                </w:tcPr>
                <w:p w14:paraId="4E16A82C">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eastAsia" w:ascii="Times New Roman" w:hAnsi="Times New Roman" w:cs="Times New Roman" w:eastAsiaTheme="minorEastAsia"/>
                      <w:b/>
                      <w:bCs/>
                      <w:color w:val="auto"/>
                      <w:sz w:val="21"/>
                      <w:szCs w:val="21"/>
                      <w:vertAlign w:val="baseline"/>
                      <w:lang w:val="en-US" w:eastAsia="zh-CN"/>
                    </w:rPr>
                    <w:t>序号</w:t>
                  </w:r>
                </w:p>
              </w:tc>
              <w:tc>
                <w:tcPr>
                  <w:tcW w:w="758" w:type="pct"/>
                  <w:tcBorders>
                    <w:tl2br w:val="nil"/>
                    <w:tr2bl w:val="nil"/>
                  </w:tcBorders>
                  <w:vAlign w:val="center"/>
                </w:tcPr>
                <w:p w14:paraId="673931D8">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eastAsia" w:ascii="Times New Roman" w:hAnsi="Times New Roman" w:cs="Times New Roman" w:eastAsiaTheme="minorEastAsia"/>
                      <w:b/>
                      <w:bCs/>
                      <w:color w:val="auto"/>
                      <w:sz w:val="21"/>
                      <w:szCs w:val="21"/>
                      <w:vertAlign w:val="baseline"/>
                      <w:lang w:val="en-US" w:eastAsia="zh-CN"/>
                    </w:rPr>
                    <w:t>污染物</w:t>
                  </w:r>
                </w:p>
              </w:tc>
              <w:tc>
                <w:tcPr>
                  <w:tcW w:w="649" w:type="pct"/>
                  <w:tcBorders>
                    <w:tl2br w:val="nil"/>
                    <w:tr2bl w:val="nil"/>
                  </w:tcBorders>
                  <w:vAlign w:val="center"/>
                </w:tcPr>
                <w:p w14:paraId="4DEBDA2B">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eastAsia" w:ascii="Times New Roman" w:hAnsi="Times New Roman" w:cs="Times New Roman" w:eastAsiaTheme="minorEastAsia"/>
                      <w:b/>
                      <w:bCs/>
                      <w:color w:val="auto"/>
                      <w:sz w:val="21"/>
                      <w:szCs w:val="21"/>
                      <w:vertAlign w:val="baseline"/>
                      <w:lang w:val="en-US" w:eastAsia="zh-CN"/>
                    </w:rPr>
                    <w:t>排放形式</w:t>
                  </w:r>
                </w:p>
              </w:tc>
              <w:tc>
                <w:tcPr>
                  <w:tcW w:w="1303" w:type="pct"/>
                  <w:tcBorders>
                    <w:tl2br w:val="nil"/>
                    <w:tr2bl w:val="nil"/>
                  </w:tcBorders>
                  <w:vAlign w:val="center"/>
                </w:tcPr>
                <w:p w14:paraId="4E9AAA07">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排放浓度</w:t>
                  </w:r>
                  <w:r>
                    <w:rPr>
                      <w:rFonts w:hint="eastAsia" w:ascii="Times New Roman" w:hAnsi="Times New Roman" w:cs="Times New Roman" w:eastAsiaTheme="minorEastAsia"/>
                      <w:b/>
                      <w:bCs/>
                      <w:color w:val="auto"/>
                      <w:sz w:val="21"/>
                      <w:szCs w:val="21"/>
                      <w:vertAlign w:val="baseline"/>
                      <w:lang w:val="en-US" w:eastAsia="zh-CN"/>
                    </w:rPr>
                    <w:t>限值</w:t>
                  </w:r>
                </w:p>
              </w:tc>
              <w:tc>
                <w:tcPr>
                  <w:tcW w:w="767" w:type="pct"/>
                  <w:tcBorders>
                    <w:tl2br w:val="nil"/>
                    <w:tr2bl w:val="nil"/>
                  </w:tcBorders>
                  <w:vAlign w:val="center"/>
                </w:tcPr>
                <w:p w14:paraId="46D10781">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eastAsia" w:ascii="Times New Roman" w:hAnsi="Times New Roman" w:cs="Times New Roman" w:eastAsiaTheme="minorEastAsia"/>
                      <w:b/>
                      <w:bCs/>
                      <w:color w:val="auto"/>
                      <w:sz w:val="21"/>
                      <w:szCs w:val="21"/>
                      <w:vertAlign w:val="baseline"/>
                      <w:lang w:val="en-US" w:eastAsia="zh-CN"/>
                    </w:rPr>
                    <w:t>监控位置</w:t>
                  </w:r>
                </w:p>
              </w:tc>
              <w:tc>
                <w:tcPr>
                  <w:tcW w:w="1215" w:type="pct"/>
                  <w:tcBorders>
                    <w:tl2br w:val="nil"/>
                    <w:tr2bl w:val="nil"/>
                  </w:tcBorders>
                  <w:vAlign w:val="center"/>
                </w:tcPr>
                <w:p w14:paraId="3764348F">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执行标准</w:t>
                  </w:r>
                </w:p>
              </w:tc>
            </w:tr>
            <w:tr w14:paraId="4041AEEE">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108" w:type="dxa"/>
                  <w:bottom w:w="0" w:type="dxa"/>
                  <w:right w:w="108" w:type="dxa"/>
                </w:tblCellMar>
              </w:tblPrEx>
              <w:trPr>
                <w:trHeight w:val="397" w:hRule="atLeast"/>
                <w:jc w:val="center"/>
              </w:trPr>
              <w:tc>
                <w:tcPr>
                  <w:tcW w:w="305" w:type="pct"/>
                  <w:vMerge w:val="restart"/>
                  <w:tcBorders>
                    <w:tl2br w:val="nil"/>
                    <w:tr2bl w:val="nil"/>
                  </w:tcBorders>
                  <w:vAlign w:val="center"/>
                </w:tcPr>
                <w:p w14:paraId="1A6200D4">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1</w:t>
                  </w:r>
                </w:p>
              </w:tc>
              <w:tc>
                <w:tcPr>
                  <w:tcW w:w="758" w:type="pct"/>
                  <w:vMerge w:val="restart"/>
                  <w:tcBorders>
                    <w:tl2br w:val="nil"/>
                    <w:tr2bl w:val="nil"/>
                  </w:tcBorders>
                  <w:vAlign w:val="center"/>
                </w:tcPr>
                <w:p w14:paraId="0C031C10">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非甲烷总烃</w:t>
                  </w:r>
                </w:p>
              </w:tc>
              <w:tc>
                <w:tcPr>
                  <w:tcW w:w="649" w:type="pct"/>
                  <w:vMerge w:val="restart"/>
                  <w:tcBorders>
                    <w:tl2br w:val="nil"/>
                    <w:tr2bl w:val="nil"/>
                  </w:tcBorders>
                  <w:vAlign w:val="center"/>
                </w:tcPr>
                <w:p w14:paraId="6F047629">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无组织</w:t>
                  </w:r>
                </w:p>
              </w:tc>
              <w:tc>
                <w:tcPr>
                  <w:tcW w:w="1303" w:type="pct"/>
                  <w:tcBorders>
                    <w:bottom w:val="single" w:color="auto" w:sz="4" w:space="0"/>
                  </w:tcBorders>
                  <w:vAlign w:val="center"/>
                </w:tcPr>
                <w:p w14:paraId="68DAB791">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6（监控点处1小时平均浓度）</w:t>
                  </w:r>
                </w:p>
              </w:tc>
              <w:tc>
                <w:tcPr>
                  <w:tcW w:w="767" w:type="pct"/>
                  <w:vMerge w:val="restart"/>
                  <w:tcBorders>
                    <w:tl2br w:val="nil"/>
                    <w:tr2bl w:val="nil"/>
                  </w:tcBorders>
                  <w:vAlign w:val="center"/>
                </w:tcPr>
                <w:p w14:paraId="220B24E1">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在厂房外设置监控点</w:t>
                  </w:r>
                </w:p>
              </w:tc>
              <w:tc>
                <w:tcPr>
                  <w:tcW w:w="1215" w:type="pct"/>
                  <w:vMerge w:val="restart"/>
                  <w:tcBorders>
                    <w:tl2br w:val="nil"/>
                    <w:tr2bl w:val="nil"/>
                  </w:tcBorders>
                  <w:vAlign w:val="center"/>
                </w:tcPr>
                <w:p w14:paraId="58B8E4B8">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color w:val="auto"/>
                    </w:rPr>
                    <w:t>《挥发性有机物无组织排放控制标准》（GB37822-2019）</w:t>
                  </w:r>
                </w:p>
              </w:tc>
            </w:tr>
            <w:tr w14:paraId="78CC8586">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108" w:type="dxa"/>
                  <w:bottom w:w="0" w:type="dxa"/>
                  <w:right w:w="108" w:type="dxa"/>
                </w:tblCellMar>
              </w:tblPrEx>
              <w:trPr>
                <w:trHeight w:val="397" w:hRule="atLeast"/>
                <w:jc w:val="center"/>
              </w:trPr>
              <w:tc>
                <w:tcPr>
                  <w:tcW w:w="305" w:type="pct"/>
                  <w:vMerge w:val="continue"/>
                  <w:tcBorders>
                    <w:tl2br w:val="nil"/>
                    <w:tr2bl w:val="nil"/>
                  </w:tcBorders>
                  <w:vAlign w:val="center"/>
                </w:tcPr>
                <w:p w14:paraId="607666AE">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p>
              </w:tc>
              <w:tc>
                <w:tcPr>
                  <w:tcW w:w="758" w:type="pct"/>
                  <w:vMerge w:val="continue"/>
                  <w:tcBorders>
                    <w:tl2br w:val="nil"/>
                    <w:tr2bl w:val="nil"/>
                  </w:tcBorders>
                  <w:vAlign w:val="center"/>
                </w:tcPr>
                <w:p w14:paraId="2B7274D0">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p>
              </w:tc>
              <w:tc>
                <w:tcPr>
                  <w:tcW w:w="649" w:type="pct"/>
                  <w:vMerge w:val="continue"/>
                  <w:tcBorders>
                    <w:tl2br w:val="nil"/>
                    <w:tr2bl w:val="nil"/>
                  </w:tcBorders>
                  <w:vAlign w:val="center"/>
                </w:tcPr>
                <w:p w14:paraId="5495E19D">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eastAsia" w:ascii="Times New Roman" w:hAnsi="Times New Roman" w:cs="Times New Roman" w:eastAsiaTheme="minorEastAsia"/>
                      <w:color w:val="auto"/>
                      <w:sz w:val="21"/>
                      <w:szCs w:val="21"/>
                      <w:vertAlign w:val="baseline"/>
                      <w:lang w:val="en-US" w:eastAsia="zh-CN"/>
                    </w:rPr>
                  </w:pPr>
                </w:p>
              </w:tc>
              <w:tc>
                <w:tcPr>
                  <w:tcW w:w="1303" w:type="pct"/>
                  <w:tcBorders>
                    <w:top w:val="single" w:color="auto" w:sz="4" w:space="0"/>
                  </w:tcBorders>
                  <w:vAlign w:val="center"/>
                </w:tcPr>
                <w:p w14:paraId="0A745137">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ascii="Times New Roman" w:hAnsi="Times New Roman" w:cs="Times New Roman" w:eastAsiaTheme="minorEastAsia"/>
                      <w:color w:val="auto"/>
                      <w:sz w:val="21"/>
                      <w:szCs w:val="21"/>
                      <w:vertAlign w:val="baseline"/>
                      <w:lang w:val="en-US" w:eastAsia="zh-CN"/>
                    </w:rPr>
                    <w:t>20（监控点处任意一次浓度值）</w:t>
                  </w:r>
                </w:p>
              </w:tc>
              <w:tc>
                <w:tcPr>
                  <w:tcW w:w="767" w:type="pct"/>
                  <w:vMerge w:val="continue"/>
                  <w:tcBorders>
                    <w:tl2br w:val="nil"/>
                    <w:tr2bl w:val="nil"/>
                  </w:tcBorders>
                  <w:vAlign w:val="center"/>
                </w:tcPr>
                <w:p w14:paraId="77167BE7">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eastAsia" w:ascii="Times New Roman" w:hAnsi="Times New Roman" w:cs="Times New Roman" w:eastAsiaTheme="minorEastAsia"/>
                      <w:color w:val="auto"/>
                      <w:sz w:val="21"/>
                      <w:szCs w:val="21"/>
                      <w:vertAlign w:val="baseline"/>
                      <w:lang w:val="en-US" w:eastAsia="zh-CN"/>
                    </w:rPr>
                  </w:pPr>
                </w:p>
              </w:tc>
              <w:tc>
                <w:tcPr>
                  <w:tcW w:w="1215" w:type="pct"/>
                  <w:vMerge w:val="continue"/>
                  <w:tcBorders>
                    <w:tl2br w:val="nil"/>
                    <w:tr2bl w:val="nil"/>
                  </w:tcBorders>
                  <w:vAlign w:val="center"/>
                </w:tcPr>
                <w:p w14:paraId="6C2800E4">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eastAsia"/>
                      <w:color w:val="auto"/>
                    </w:rPr>
                  </w:pPr>
                </w:p>
              </w:tc>
            </w:tr>
          </w:tbl>
          <w:p w14:paraId="1DE46D20">
            <w:pPr>
              <w:pStyle w:val="9"/>
              <w:keepNext/>
              <w:keepLines w:val="0"/>
              <w:pageBreakBefore w:val="0"/>
              <w:widowControl w:val="0"/>
              <w:numPr>
                <w:ilvl w:val="0"/>
                <w:numId w:val="0"/>
              </w:numPr>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textAlignment w:val="auto"/>
              <w:rPr>
                <w:rFonts w:hint="default" w:ascii="Times New Roman" w:hAnsi="Times New Roman" w:cs="Times New Roman" w:eastAsiaTheme="minorEastAsia"/>
                <w:b/>
                <w:bCs/>
                <w:color w:val="auto"/>
                <w:kern w:val="44"/>
                <w:sz w:val="24"/>
                <w:szCs w:val="24"/>
                <w:lang w:val="en-US" w:eastAsia="zh-CN" w:bidi="ar-SA"/>
              </w:rPr>
            </w:pPr>
            <w:r>
              <w:rPr>
                <w:rFonts w:hint="default" w:ascii="Times New Roman" w:hAnsi="Times New Roman" w:cs="Times New Roman" w:eastAsiaTheme="minorEastAsia"/>
                <w:b/>
                <w:bCs/>
                <w:color w:val="auto"/>
                <w:kern w:val="44"/>
                <w:sz w:val="24"/>
                <w:szCs w:val="24"/>
                <w:lang w:val="en-US" w:eastAsia="zh-CN" w:bidi="ar-SA"/>
              </w:rPr>
              <w:t>1噪声排放标准</w:t>
            </w:r>
          </w:p>
          <w:p w14:paraId="01D353C9">
            <w:pPr>
              <w:pStyle w:val="85"/>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kern w:val="0"/>
                <w:sz w:val="24"/>
                <w:lang w:val="en-US" w:eastAsia="zh-CN"/>
              </w:rPr>
            </w:pPr>
            <w:r>
              <w:rPr>
                <w:rFonts w:hint="default" w:ascii="Times New Roman" w:hAnsi="Times New Roman" w:cs="Times New Roman" w:eastAsiaTheme="minorEastAsia"/>
                <w:color w:val="auto"/>
                <w:kern w:val="0"/>
                <w:sz w:val="24"/>
                <w:lang w:val="en-US" w:eastAsia="zh-CN"/>
              </w:rPr>
              <w:t>施工期噪声执行《建设施工噪声排放标准》(GB12523-202</w:t>
            </w:r>
            <w:r>
              <w:rPr>
                <w:rFonts w:hint="eastAsia" w:cs="Times New Roman" w:eastAsiaTheme="minorEastAsia"/>
                <w:color w:val="auto"/>
                <w:kern w:val="0"/>
                <w:sz w:val="24"/>
                <w:lang w:val="en-US" w:eastAsia="zh-CN"/>
              </w:rPr>
              <w:t>5</w:t>
            </w:r>
            <w:r>
              <w:rPr>
                <w:rFonts w:hint="default" w:ascii="Times New Roman" w:hAnsi="Times New Roman" w:cs="Times New Roman" w:eastAsiaTheme="minorEastAsia"/>
                <w:color w:val="auto"/>
                <w:kern w:val="0"/>
                <w:sz w:val="24"/>
                <w:lang w:val="en-US" w:eastAsia="zh-CN"/>
              </w:rPr>
              <w:t>)，运营期噪声执行《工业企业厂界环境噪声排放标准》（GB12348-2008）1类标准。</w:t>
            </w:r>
          </w:p>
          <w:p w14:paraId="42A87828">
            <w:pPr>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表3-</w:t>
            </w:r>
            <w:r>
              <w:rPr>
                <w:rFonts w:hint="eastAsia" w:cs="Times New Roman" w:eastAsiaTheme="minorEastAsia"/>
                <w:b/>
                <w:bCs/>
                <w:color w:val="auto"/>
                <w:szCs w:val="21"/>
                <w:lang w:val="en-US" w:eastAsia="zh-CN"/>
              </w:rPr>
              <w:t>7</w:t>
            </w:r>
            <w:r>
              <w:rPr>
                <w:rFonts w:hint="default" w:ascii="Times New Roman" w:hAnsi="Times New Roman" w:cs="Times New Roman" w:eastAsiaTheme="minorEastAsia"/>
                <w:b/>
                <w:bCs/>
                <w:color w:val="auto"/>
                <w:szCs w:val="21"/>
                <w:lang w:val="en-US" w:eastAsia="zh-CN"/>
              </w:rPr>
              <w:t xml:space="preserve">   运营期噪声排放限值  单位：dB（A）</w:t>
            </w:r>
          </w:p>
          <w:tbl>
            <w:tblPr>
              <w:tblStyle w:val="29"/>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434"/>
              <w:gridCol w:w="2158"/>
              <w:gridCol w:w="2798"/>
            </w:tblGrid>
            <w:tr w14:paraId="5D6EFE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046" w:type="pct"/>
                  <w:vMerge w:val="restart"/>
                  <w:noWrap w:val="0"/>
                  <w:vAlign w:val="center"/>
                </w:tcPr>
                <w:p w14:paraId="5C061BD4">
                  <w:pPr>
                    <w:keepNext w:val="0"/>
                    <w:keepLines w:val="0"/>
                    <w:pageBreakBefore w:val="0"/>
                    <w:widowControl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eastAsia="zh-CN"/>
                    </w:rPr>
                  </w:pPr>
                  <w:r>
                    <w:rPr>
                      <w:rFonts w:hint="default" w:ascii="Times New Roman" w:hAnsi="Times New Roman" w:cs="Times New Roman" w:eastAsiaTheme="minorEastAsia"/>
                      <w:b/>
                      <w:bCs/>
                      <w:color w:val="auto"/>
                      <w:szCs w:val="21"/>
                      <w:lang w:val="en-US" w:eastAsia="zh-CN"/>
                    </w:rPr>
                    <w:t>执行标准</w:t>
                  </w:r>
                </w:p>
              </w:tc>
              <w:tc>
                <w:tcPr>
                  <w:tcW w:w="2953" w:type="pct"/>
                  <w:gridSpan w:val="2"/>
                  <w:noWrap w:val="0"/>
                  <w:vAlign w:val="center"/>
                </w:tcPr>
                <w:p w14:paraId="2879CAC1">
                  <w:pPr>
                    <w:keepNext w:val="0"/>
                    <w:keepLines w:val="0"/>
                    <w:pageBreakBefore w:val="0"/>
                    <w:widowControl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时段</w:t>
                  </w:r>
                </w:p>
              </w:tc>
            </w:tr>
            <w:tr w14:paraId="699FF1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046" w:type="pct"/>
                  <w:vMerge w:val="continue"/>
                  <w:noWrap w:val="0"/>
                  <w:vAlign w:val="center"/>
                </w:tcPr>
                <w:p w14:paraId="1B64B371">
                  <w:pPr>
                    <w:keepNext w:val="0"/>
                    <w:keepLines w:val="0"/>
                    <w:pageBreakBefore w:val="0"/>
                    <w:widowControl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p>
              </w:tc>
              <w:tc>
                <w:tcPr>
                  <w:tcW w:w="1286" w:type="pct"/>
                  <w:noWrap w:val="0"/>
                  <w:vAlign w:val="center"/>
                </w:tcPr>
                <w:p w14:paraId="116F6C5C">
                  <w:pPr>
                    <w:keepNext w:val="0"/>
                    <w:keepLines w:val="0"/>
                    <w:pageBreakBefore w:val="0"/>
                    <w:widowControl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昼间</w:t>
                  </w:r>
                </w:p>
              </w:tc>
              <w:tc>
                <w:tcPr>
                  <w:tcW w:w="1667" w:type="pct"/>
                  <w:noWrap w:val="0"/>
                  <w:vAlign w:val="center"/>
                </w:tcPr>
                <w:p w14:paraId="4E0A87FD">
                  <w:pPr>
                    <w:keepNext w:val="0"/>
                    <w:keepLines w:val="0"/>
                    <w:pageBreakBefore w:val="0"/>
                    <w:widowControl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夜间</w:t>
                  </w:r>
                </w:p>
              </w:tc>
            </w:tr>
            <w:tr w14:paraId="7A7BE4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046" w:type="pct"/>
                  <w:noWrap w:val="0"/>
                  <w:vAlign w:val="center"/>
                </w:tcPr>
                <w:p w14:paraId="25379272">
                  <w:pPr>
                    <w:keepNext w:val="0"/>
                    <w:keepLines w:val="0"/>
                    <w:pageBreakBefore w:val="0"/>
                    <w:widowControl w:val="0"/>
                    <w:kinsoku/>
                    <w:wordWrap w:val="0"/>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 w:val="21"/>
                      <w:szCs w:val="21"/>
                      <w:vertAlign w:val="baseline"/>
                      <w:lang w:val="en-US" w:eastAsia="zh-CN"/>
                    </w:rPr>
                    <w:t>《工业企业厂界环境噪声排放标准》（GB12348-2008）</w:t>
                  </w:r>
                  <w:r>
                    <w:rPr>
                      <w:rFonts w:hint="eastAsia" w:ascii="Times New Roman" w:hAnsi="Times New Roman" w:cs="Times New Roman" w:eastAsiaTheme="minorEastAsia"/>
                      <w:color w:val="auto"/>
                      <w:sz w:val="21"/>
                      <w:szCs w:val="21"/>
                      <w:vertAlign w:val="baseline"/>
                      <w:lang w:val="en-US" w:eastAsia="zh-CN"/>
                    </w:rPr>
                    <w:t>1</w:t>
                  </w:r>
                  <w:r>
                    <w:rPr>
                      <w:rFonts w:hint="default" w:ascii="Times New Roman" w:hAnsi="Times New Roman" w:cs="Times New Roman" w:eastAsiaTheme="minorEastAsia"/>
                      <w:color w:val="auto"/>
                      <w:sz w:val="21"/>
                      <w:szCs w:val="21"/>
                      <w:vertAlign w:val="baseline"/>
                      <w:lang w:val="en-US" w:eastAsia="zh-CN"/>
                    </w:rPr>
                    <w:t>类标准</w:t>
                  </w:r>
                </w:p>
              </w:tc>
              <w:tc>
                <w:tcPr>
                  <w:tcW w:w="1286" w:type="pct"/>
                  <w:noWrap w:val="0"/>
                  <w:vAlign w:val="center"/>
                </w:tcPr>
                <w:p w14:paraId="77867BD4">
                  <w:pPr>
                    <w:keepNext w:val="0"/>
                    <w:keepLines w:val="0"/>
                    <w:pageBreakBefore w:val="0"/>
                    <w:widowControl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55</w:t>
                  </w:r>
                </w:p>
              </w:tc>
              <w:tc>
                <w:tcPr>
                  <w:tcW w:w="1667" w:type="pct"/>
                  <w:noWrap w:val="0"/>
                  <w:vAlign w:val="center"/>
                </w:tcPr>
                <w:p w14:paraId="4263B439">
                  <w:pPr>
                    <w:keepNext w:val="0"/>
                    <w:keepLines w:val="0"/>
                    <w:pageBreakBefore w:val="0"/>
                    <w:widowControl w:val="0"/>
                    <w:kinsoku/>
                    <w:overflowPunct/>
                    <w:topLinePunct w:val="0"/>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45</w:t>
                  </w:r>
                </w:p>
              </w:tc>
            </w:tr>
          </w:tbl>
          <w:p w14:paraId="26231344">
            <w:pPr>
              <w:pStyle w:val="9"/>
              <w:keepNext/>
              <w:keepLines w:val="0"/>
              <w:pageBreakBefore w:val="0"/>
              <w:widowControl w:val="0"/>
              <w:numPr>
                <w:ilvl w:val="0"/>
                <w:numId w:val="0"/>
              </w:numPr>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textAlignment w:val="auto"/>
              <w:rPr>
                <w:rFonts w:hint="default" w:ascii="Times New Roman" w:hAnsi="Times New Roman" w:cs="Times New Roman" w:eastAsiaTheme="minorEastAsia"/>
                <w:b/>
                <w:bCs/>
                <w:color w:val="auto"/>
                <w:kern w:val="44"/>
                <w:sz w:val="24"/>
                <w:szCs w:val="24"/>
                <w:lang w:val="en-US" w:eastAsia="zh-CN" w:bidi="ar-SA"/>
              </w:rPr>
            </w:pPr>
          </w:p>
          <w:p w14:paraId="38E6F3C5">
            <w:pPr>
              <w:pStyle w:val="9"/>
              <w:keepNext/>
              <w:keepLines w:val="0"/>
              <w:pageBreakBefore w:val="0"/>
              <w:widowControl w:val="0"/>
              <w:numPr>
                <w:ilvl w:val="0"/>
                <w:numId w:val="0"/>
              </w:numPr>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textAlignment w:val="auto"/>
              <w:rPr>
                <w:rFonts w:hint="default" w:ascii="Times New Roman" w:hAnsi="Times New Roman" w:cs="Times New Roman" w:eastAsiaTheme="minorEastAsia"/>
                <w:b/>
                <w:bCs/>
                <w:color w:val="auto"/>
                <w:kern w:val="44"/>
                <w:sz w:val="24"/>
                <w:szCs w:val="24"/>
                <w:lang w:val="en-US" w:eastAsia="zh-CN" w:bidi="ar-SA"/>
              </w:rPr>
            </w:pPr>
          </w:p>
          <w:p w14:paraId="5BC8C0E8">
            <w:pPr>
              <w:pStyle w:val="9"/>
              <w:keepNext/>
              <w:keepLines w:val="0"/>
              <w:pageBreakBefore w:val="0"/>
              <w:widowControl w:val="0"/>
              <w:numPr>
                <w:ilvl w:val="0"/>
                <w:numId w:val="0"/>
              </w:numPr>
              <w:kinsoku/>
              <w:wordWrap/>
              <w:overflowPunct w:val="0"/>
              <w:topLinePunct w:val="0"/>
              <w:autoSpaceDE/>
              <w:autoSpaceDN/>
              <w:bidi w:val="0"/>
              <w:adjustRightInd/>
              <w:snapToGrid/>
              <w:spacing w:before="0" w:beforeAutospacing="0" w:after="0" w:afterAutospacing="0" w:line="360" w:lineRule="auto"/>
              <w:ind w:left="0" w:leftChars="0" w:right="0" w:rightChars="0" w:firstLine="0" w:firstLineChars="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b/>
                <w:bCs/>
                <w:color w:val="auto"/>
                <w:kern w:val="44"/>
                <w:sz w:val="24"/>
                <w:szCs w:val="24"/>
                <w:lang w:val="en-US" w:eastAsia="zh-CN" w:bidi="ar-SA"/>
              </w:rPr>
              <w:t xml:space="preserve">2 </w:t>
            </w:r>
            <w:r>
              <w:rPr>
                <w:rFonts w:hint="default" w:ascii="Times New Roman" w:hAnsi="Times New Roman" w:cs="Times New Roman" w:eastAsiaTheme="minorEastAsia"/>
                <w:color w:val="auto"/>
                <w:sz w:val="24"/>
                <w:szCs w:val="24"/>
              </w:rPr>
              <w:t>固体废物</w:t>
            </w:r>
          </w:p>
          <w:p w14:paraId="33873D10">
            <w:pPr>
              <w:pStyle w:val="7"/>
              <w:keepNext w:val="0"/>
              <w:keepLines w:val="0"/>
              <w:pageBreakBefore w:val="0"/>
              <w:kinsoku/>
              <w:wordWrap/>
              <w:overflowPunct/>
              <w:topLinePunct w:val="0"/>
              <w:autoSpaceDE/>
              <w:autoSpaceDN/>
              <w:bidi w:val="0"/>
              <w:snapToGrid/>
              <w:spacing w:before="0" w:beforeAutospacing="0" w:after="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pacing w:val="0"/>
                <w:kern w:val="21"/>
                <w:sz w:val="24"/>
                <w:szCs w:val="24"/>
                <w:lang w:eastAsia="zh-CN"/>
              </w:rPr>
            </w:pPr>
            <w:r>
              <w:rPr>
                <w:rFonts w:hint="default" w:ascii="Times New Roman" w:hAnsi="Times New Roman" w:cs="Times New Roman" w:eastAsiaTheme="minorEastAsia"/>
                <w:color w:val="auto"/>
                <w:spacing w:val="0"/>
                <w:kern w:val="21"/>
                <w:sz w:val="24"/>
                <w:szCs w:val="24"/>
                <w:lang w:eastAsia="zh-CN"/>
              </w:rPr>
              <w:t>危险废物执行《危险废物贮存污染控制标准》（GB18597-2023）、《危险废物收集贮存运输技术规范》（HJ2025-2012）、《危险废物识别标志设置技术规范》（HJ1276-2022）、《危险废物污染防治技术政策》、和《危险废物转移管理办法》（生态环境部</w:t>
            </w:r>
            <w:r>
              <w:rPr>
                <w:rFonts w:hint="eastAsia" w:cs="Times New Roman" w:eastAsiaTheme="minorEastAsia"/>
                <w:color w:val="auto"/>
                <w:spacing w:val="0"/>
                <w:kern w:val="21"/>
                <w:sz w:val="24"/>
                <w:szCs w:val="24"/>
                <w:lang w:eastAsia="zh-CN"/>
              </w:rPr>
              <w:t>、</w:t>
            </w:r>
            <w:r>
              <w:rPr>
                <w:rFonts w:hint="default" w:ascii="Times New Roman" w:hAnsi="Times New Roman" w:cs="Times New Roman" w:eastAsiaTheme="minorEastAsia"/>
                <w:color w:val="auto"/>
                <w:spacing w:val="0"/>
                <w:kern w:val="21"/>
                <w:sz w:val="24"/>
                <w:szCs w:val="24"/>
                <w:lang w:eastAsia="zh-CN"/>
              </w:rPr>
              <w:t>公安部</w:t>
            </w:r>
            <w:r>
              <w:rPr>
                <w:rFonts w:hint="eastAsia" w:cs="Times New Roman" w:eastAsiaTheme="minorEastAsia"/>
                <w:color w:val="auto"/>
                <w:spacing w:val="0"/>
                <w:kern w:val="21"/>
                <w:sz w:val="24"/>
                <w:szCs w:val="24"/>
                <w:lang w:eastAsia="zh-CN"/>
              </w:rPr>
              <w:t>、</w:t>
            </w:r>
            <w:r>
              <w:rPr>
                <w:rFonts w:hint="default" w:ascii="Times New Roman" w:hAnsi="Times New Roman" w:cs="Times New Roman" w:eastAsiaTheme="minorEastAsia"/>
                <w:color w:val="auto"/>
                <w:spacing w:val="0"/>
                <w:kern w:val="21"/>
                <w:sz w:val="24"/>
                <w:szCs w:val="24"/>
                <w:lang w:eastAsia="zh-CN"/>
              </w:rPr>
              <w:t>交通运输部令第23号，自2022年1月1日起施行）相关要求中的有关规定。</w:t>
            </w:r>
          </w:p>
        </w:tc>
      </w:tr>
      <w:tr w14:paraId="269C0D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3" w:hRule="atLeast"/>
          <w:jc w:val="center"/>
        </w:trPr>
        <w:tc>
          <w:tcPr>
            <w:tcW w:w="615" w:type="dxa"/>
            <w:noWrap w:val="0"/>
            <w:vAlign w:val="center"/>
          </w:tcPr>
          <w:p w14:paraId="048D53E3">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总量</w:t>
            </w:r>
          </w:p>
          <w:p w14:paraId="1E5C0B23">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控制</w:t>
            </w:r>
          </w:p>
          <w:p w14:paraId="2422625E">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指标</w:t>
            </w:r>
          </w:p>
        </w:tc>
        <w:tc>
          <w:tcPr>
            <w:tcW w:w="8375" w:type="dxa"/>
            <w:noWrap w:val="0"/>
            <w:vAlign w:val="center"/>
          </w:tcPr>
          <w:p w14:paraId="5C5D084C">
            <w:pPr>
              <w:keepNext w:val="0"/>
              <w:keepLines w:val="0"/>
              <w:pageBreakBefore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kern w:val="2"/>
                <w:sz w:val="24"/>
                <w:szCs w:val="24"/>
                <w:lang w:val="en-US" w:eastAsia="zh-CN"/>
              </w:rPr>
            </w:pPr>
            <w:r>
              <w:rPr>
                <w:rFonts w:hint="default" w:ascii="Times New Roman" w:hAnsi="Times New Roman" w:cs="Times New Roman" w:eastAsiaTheme="minorEastAsia"/>
                <w:color w:val="auto"/>
                <w:kern w:val="2"/>
                <w:sz w:val="24"/>
                <w:szCs w:val="24"/>
                <w:lang w:val="en-US" w:eastAsia="zh-CN"/>
              </w:rPr>
              <w:t>本项目无总量控制指标。</w:t>
            </w:r>
          </w:p>
        </w:tc>
      </w:tr>
    </w:tbl>
    <w:p w14:paraId="2FB94BD4">
      <w:pPr>
        <w:pStyle w:val="27"/>
        <w:pageBreakBefore w:val="0"/>
        <w:kinsoku/>
        <w:bidi w:val="0"/>
        <w:spacing w:beforeAutospacing="0" w:afterAutospacing="0" w:line="360" w:lineRule="auto"/>
        <w:ind w:left="0" w:leftChars="0" w:right="0" w:rightChars="0"/>
        <w:jc w:val="center"/>
        <w:outlineLvl w:val="0"/>
        <w:rPr>
          <w:rFonts w:hint="default" w:ascii="Times New Roman" w:hAnsi="Times New Roman" w:cs="Times New Roman" w:eastAsiaTheme="minorEastAsia"/>
          <w:b/>
          <w:bCs/>
          <w:snapToGrid w:val="0"/>
          <w:color w:val="auto"/>
          <w:sz w:val="30"/>
          <w:szCs w:val="30"/>
        </w:rPr>
      </w:pPr>
      <w:r>
        <w:rPr>
          <w:rFonts w:hint="default" w:ascii="Times New Roman" w:hAnsi="Times New Roman" w:cs="Times New Roman" w:eastAsiaTheme="minorEastAsia"/>
          <w:snapToGrid w:val="0"/>
          <w:color w:val="auto"/>
          <w:sz w:val="36"/>
          <w:szCs w:val="36"/>
        </w:rPr>
        <w:br w:type="page"/>
      </w:r>
      <w:r>
        <w:rPr>
          <w:rFonts w:hint="default" w:ascii="Times New Roman" w:hAnsi="Times New Roman" w:cs="Times New Roman" w:eastAsiaTheme="minorEastAsia"/>
          <w:b/>
          <w:bCs/>
          <w:snapToGrid w:val="0"/>
          <w:color w:val="auto"/>
          <w:sz w:val="30"/>
          <w:szCs w:val="30"/>
        </w:rPr>
        <w:t>四、主要环境影响和保护措施</w:t>
      </w:r>
    </w:p>
    <w:tbl>
      <w:tblPr>
        <w:tblStyle w:val="29"/>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95"/>
        <w:gridCol w:w="8686"/>
      </w:tblGrid>
      <w:tr w14:paraId="26897D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0" w:hRule="atLeast"/>
          <w:jc w:val="center"/>
        </w:trPr>
        <w:tc>
          <w:tcPr>
            <w:tcW w:w="610" w:type="dxa"/>
            <w:noWrap w:val="0"/>
            <w:tcMar>
              <w:left w:w="28" w:type="dxa"/>
              <w:right w:w="28" w:type="dxa"/>
            </w:tcMar>
            <w:vAlign w:val="center"/>
          </w:tcPr>
          <w:p w14:paraId="73FCB00F">
            <w:pPr>
              <w:pStyle w:val="27"/>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2"/>
                <w:sz w:val="24"/>
                <w:szCs w:val="24"/>
              </w:rPr>
            </w:pPr>
            <w:r>
              <w:rPr>
                <w:rFonts w:hint="default" w:ascii="Times New Roman" w:hAnsi="Times New Roman" w:cs="Times New Roman" w:eastAsiaTheme="minorEastAsia"/>
                <w:color w:val="auto"/>
                <w:kern w:val="2"/>
                <w:sz w:val="24"/>
                <w:szCs w:val="24"/>
              </w:rPr>
              <w:t>施工</w:t>
            </w:r>
          </w:p>
          <w:p w14:paraId="05C54D06">
            <w:pPr>
              <w:pStyle w:val="27"/>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2"/>
                <w:sz w:val="24"/>
                <w:szCs w:val="24"/>
              </w:rPr>
            </w:pPr>
            <w:r>
              <w:rPr>
                <w:rFonts w:hint="default" w:ascii="Times New Roman" w:hAnsi="Times New Roman" w:cs="Times New Roman" w:eastAsiaTheme="minorEastAsia"/>
                <w:color w:val="auto"/>
                <w:kern w:val="2"/>
                <w:sz w:val="24"/>
                <w:szCs w:val="24"/>
              </w:rPr>
              <w:t>期环</w:t>
            </w:r>
          </w:p>
          <w:p w14:paraId="42D088BA">
            <w:pPr>
              <w:pStyle w:val="27"/>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2"/>
                <w:sz w:val="24"/>
                <w:szCs w:val="24"/>
              </w:rPr>
            </w:pPr>
            <w:r>
              <w:rPr>
                <w:rFonts w:hint="default" w:ascii="Times New Roman" w:hAnsi="Times New Roman" w:cs="Times New Roman" w:eastAsiaTheme="minorEastAsia"/>
                <w:color w:val="auto"/>
                <w:kern w:val="2"/>
                <w:sz w:val="24"/>
                <w:szCs w:val="24"/>
              </w:rPr>
              <w:t>境保</w:t>
            </w:r>
          </w:p>
          <w:p w14:paraId="322157C2">
            <w:pPr>
              <w:pStyle w:val="27"/>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2"/>
                <w:sz w:val="24"/>
                <w:szCs w:val="24"/>
              </w:rPr>
            </w:pPr>
            <w:r>
              <w:rPr>
                <w:rFonts w:hint="default" w:ascii="Times New Roman" w:hAnsi="Times New Roman" w:cs="Times New Roman" w:eastAsiaTheme="minorEastAsia"/>
                <w:color w:val="auto"/>
                <w:kern w:val="2"/>
                <w:sz w:val="24"/>
                <w:szCs w:val="24"/>
              </w:rPr>
              <w:t>护措</w:t>
            </w:r>
          </w:p>
          <w:p w14:paraId="12813949">
            <w:pPr>
              <w:pStyle w:val="27"/>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bCs/>
                <w:color w:val="auto"/>
                <w:kern w:val="2"/>
                <w:sz w:val="24"/>
                <w:szCs w:val="24"/>
              </w:rPr>
            </w:pPr>
            <w:r>
              <w:rPr>
                <w:rFonts w:hint="default" w:ascii="Times New Roman" w:hAnsi="Times New Roman" w:cs="Times New Roman" w:eastAsiaTheme="minorEastAsia"/>
                <w:color w:val="auto"/>
                <w:kern w:val="2"/>
                <w:sz w:val="24"/>
                <w:szCs w:val="24"/>
              </w:rPr>
              <w:t>施</w:t>
            </w:r>
          </w:p>
        </w:tc>
        <w:tc>
          <w:tcPr>
            <w:tcW w:w="8371" w:type="dxa"/>
            <w:noWrap w:val="0"/>
            <w:vAlign w:val="center"/>
          </w:tcPr>
          <w:p w14:paraId="063B2ABC">
            <w:pPr>
              <w:pageBreakBefore w:val="0"/>
              <w:kinsoku/>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本项目位于昌吉职业技术学院内，购买成品集装箱式危险废物贮存库，施工工序仅需吊装及简易的设备安装，项目整体施工工程量较小，在施工期间，可采取以下措施：</w:t>
            </w:r>
          </w:p>
          <w:p w14:paraId="6A95F506">
            <w:pPr>
              <w:pageBreakBefore w:val="0"/>
              <w:kinsoku/>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施工期产生少量的车辆运输扬尘，可采取洒水降尘；施工噪声及车辆噪声具有局部性、流动性、短时性等特点，可采取对运输车辆进出施工场地时要做到减速慢行，禁止鸣笛；施工期内施工场地内产生的固体废物主要为废弃包装材料，废弃包装材料可集中收集后与厂内生活垃圾一同由市政环卫部门统一处理。</w:t>
            </w:r>
          </w:p>
          <w:p w14:paraId="67D8D4C1">
            <w:pPr>
              <w:pageBreakBefore w:val="0"/>
              <w:kinsoku/>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总之，施工期各要素对环境的影响是暂时的、局部的，采取有效的控制措施，可将影响降至最低，施工结束后基本可消除。</w:t>
            </w:r>
          </w:p>
        </w:tc>
      </w:tr>
      <w:tr w14:paraId="676579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0" w:type="dxa"/>
            <w:noWrap w:val="0"/>
            <w:tcMar>
              <w:left w:w="28" w:type="dxa"/>
              <w:right w:w="28" w:type="dxa"/>
            </w:tcMar>
            <w:vAlign w:val="center"/>
          </w:tcPr>
          <w:p w14:paraId="19266F51">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运营</w:t>
            </w:r>
          </w:p>
          <w:p w14:paraId="43EC68F4">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期环</w:t>
            </w:r>
          </w:p>
          <w:p w14:paraId="05A3E3A0">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境影</w:t>
            </w:r>
          </w:p>
          <w:p w14:paraId="273ED0B4">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响和</w:t>
            </w:r>
          </w:p>
          <w:p w14:paraId="1B40AEE5">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保护</w:t>
            </w:r>
          </w:p>
          <w:p w14:paraId="47E144E5">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bCs/>
                <w:color w:val="auto"/>
                <w:sz w:val="24"/>
                <w:szCs w:val="24"/>
              </w:rPr>
            </w:pPr>
            <w:r>
              <w:rPr>
                <w:rFonts w:hint="default" w:ascii="Times New Roman" w:hAnsi="Times New Roman" w:cs="Times New Roman" w:eastAsiaTheme="minorEastAsia"/>
                <w:bCs/>
                <w:color w:val="auto"/>
                <w:sz w:val="24"/>
                <w:szCs w:val="24"/>
              </w:rPr>
              <w:t>措施</w:t>
            </w:r>
          </w:p>
        </w:tc>
        <w:tc>
          <w:tcPr>
            <w:tcW w:w="8371" w:type="dxa"/>
            <w:noWrap w:val="0"/>
            <w:vAlign w:val="center"/>
          </w:tcPr>
          <w:p w14:paraId="78F073E8">
            <w:pPr>
              <w:pStyle w:val="11"/>
              <w:pageBreakBefore w:val="0"/>
              <w:kinsoku/>
              <w:bidi w:val="0"/>
              <w:spacing w:beforeAutospacing="0" w:afterAutospacing="0" w:line="360" w:lineRule="auto"/>
              <w:ind w:left="0" w:leftChars="0" w:right="0" w:rightChars="0"/>
              <w:outlineLvl w:val="2"/>
              <w:rPr>
                <w:rFonts w:hint="default" w:ascii="Times New Roman" w:hAnsi="Times New Roman" w:cs="Times New Roman" w:eastAsiaTheme="minorEastAsia"/>
                <w:color w:val="auto"/>
                <w:sz w:val="24"/>
                <w:szCs w:val="32"/>
                <w:lang w:val="en-US" w:eastAsia="zh-CN"/>
              </w:rPr>
            </w:pPr>
            <w:r>
              <w:rPr>
                <w:rFonts w:hint="default" w:ascii="Times New Roman" w:hAnsi="Times New Roman" w:cs="Times New Roman" w:eastAsiaTheme="minorEastAsia"/>
                <w:color w:val="auto"/>
                <w:sz w:val="24"/>
                <w:szCs w:val="32"/>
                <w:lang w:val="en-US" w:eastAsia="zh-CN"/>
              </w:rPr>
              <w:t xml:space="preserve">1 </w:t>
            </w:r>
            <w:r>
              <w:rPr>
                <w:rFonts w:hint="default" w:ascii="Times New Roman" w:hAnsi="Times New Roman" w:cs="Times New Roman" w:eastAsiaTheme="minorEastAsia"/>
                <w:color w:val="auto"/>
                <w:sz w:val="24"/>
                <w:szCs w:val="32"/>
              </w:rPr>
              <w:t>废气</w:t>
            </w:r>
            <w:r>
              <w:rPr>
                <w:rFonts w:hint="default" w:ascii="Times New Roman" w:hAnsi="Times New Roman" w:cs="Times New Roman" w:eastAsiaTheme="minorEastAsia"/>
                <w:color w:val="auto"/>
                <w:sz w:val="24"/>
                <w:szCs w:val="32"/>
                <w:lang w:val="en-US" w:eastAsia="zh-CN"/>
              </w:rPr>
              <w:t>环境</w:t>
            </w:r>
            <w:r>
              <w:rPr>
                <w:rFonts w:hint="default" w:ascii="Times New Roman" w:hAnsi="Times New Roman" w:cs="Times New Roman" w:eastAsiaTheme="minorEastAsia"/>
                <w:color w:val="auto"/>
                <w:sz w:val="24"/>
                <w:szCs w:val="32"/>
              </w:rPr>
              <w:t>影响</w:t>
            </w:r>
            <w:r>
              <w:rPr>
                <w:rFonts w:hint="default" w:ascii="Times New Roman" w:hAnsi="Times New Roman" w:cs="Times New Roman" w:eastAsiaTheme="minorEastAsia"/>
                <w:color w:val="auto"/>
                <w:sz w:val="24"/>
                <w:szCs w:val="32"/>
                <w:lang w:val="en-US" w:eastAsia="zh-CN"/>
              </w:rPr>
              <w:t>和保护措施</w:t>
            </w:r>
          </w:p>
          <w:p w14:paraId="57882A7E">
            <w:pPr>
              <w:pStyle w:val="23"/>
              <w:pageBreakBefore w:val="0"/>
              <w:kinsoku/>
              <w:bidi w:val="0"/>
              <w:spacing w:beforeAutospacing="0" w:afterAutospacing="0" w:line="360" w:lineRule="auto"/>
              <w:ind w:left="0" w:leftChars="0" w:right="0" w:rightChars="0" w:firstLine="0" w:firstLineChars="0"/>
              <w:rPr>
                <w:rFonts w:hint="default" w:ascii="Times New Roman" w:hAnsi="Times New Roman" w:cs="Times New Roman" w:eastAsiaTheme="minorEastAsia"/>
                <w:b/>
                <w:bCs/>
                <w:color w:val="auto"/>
                <w:sz w:val="24"/>
                <w:szCs w:val="24"/>
                <w:highlight w:val="none"/>
                <w:lang w:val="en-US" w:eastAsia="zh-CN"/>
              </w:rPr>
            </w:pPr>
            <w:r>
              <w:rPr>
                <w:rFonts w:hint="eastAsia" w:ascii="Times New Roman" w:hAnsi="Times New Roman" w:cs="Times New Roman" w:eastAsiaTheme="minorEastAsia"/>
                <w:b/>
                <w:bCs/>
                <w:color w:val="auto"/>
                <w:sz w:val="24"/>
                <w:szCs w:val="24"/>
                <w:highlight w:val="none"/>
                <w:lang w:val="en-US" w:eastAsia="zh-CN"/>
              </w:rPr>
              <w:t>1.</w:t>
            </w:r>
            <w:r>
              <w:rPr>
                <w:rFonts w:hint="eastAsia" w:hAnsi="Times New Roman" w:cs="Times New Roman" w:eastAsiaTheme="minorEastAsia"/>
                <w:b/>
                <w:bCs/>
                <w:color w:val="auto"/>
                <w:sz w:val="24"/>
                <w:szCs w:val="24"/>
                <w:highlight w:val="none"/>
                <w:lang w:val="en-US" w:eastAsia="zh-CN"/>
              </w:rPr>
              <w:t>1废气产生及排放情况</w:t>
            </w:r>
          </w:p>
          <w:p w14:paraId="4D28C7AC">
            <w:pPr>
              <w:keepNext w:val="0"/>
              <w:keepLines w:val="0"/>
              <w:pageBreakBefore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outlineLvl w:val="9"/>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w:t>
            </w:r>
            <w:r>
              <w:rPr>
                <w:rFonts w:hint="default" w:ascii="Times New Roman" w:hAnsi="Times New Roman" w:eastAsia="宋体" w:cs="Times New Roman"/>
                <w:color w:val="auto"/>
                <w:sz w:val="24"/>
                <w:szCs w:val="24"/>
              </w:rPr>
              <w:t>运营期废气主要来自危险废物贮存过程中液态危险废物（实验室废液、过期废试剂）桶盖密封处的微量呼吸逸散，以及废试剂瓶内残液的缓慢挥发。由于贮存全过程不对密闭桶进行拆封、倾倒、分装、混装等操作，不存在敞开液面挥发、转移卸料逸散等强排放环节，仅为桶口密封缝隙的微量无组织逸散</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实验室废液主要为有机废液（含醇类、酮类、酯类等有机溶剂）和少量无机废液，过期废试剂以有机试剂为主，其挥发产生的污染物以非甲烷总烃为主。</w:t>
            </w:r>
          </w:p>
          <w:p w14:paraId="448E7D84">
            <w:pPr>
              <w:keepNext w:val="0"/>
              <w:keepLines w:val="0"/>
              <w:pageBreakBefore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outlineLvl w:val="9"/>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由于《排污许可证申请与核发技术规范工业固体废物和危险废物治理》(HJ1033-2019)中，仅给出行业许可排放浓度，无许可排放量指导算法，故根据《污染源源强核算技术指南准则》(HJ884-2018)中要求，本项目采用产污系数法，根据行业相关文献资料计算产污量。</w:t>
            </w:r>
          </w:p>
          <w:p w14:paraId="11AE55ED">
            <w:pPr>
              <w:keepNext w:val="0"/>
              <w:keepLines w:val="0"/>
              <w:pageBreakBefore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根据《污染源源强核算技术指南准则》中源强核算方法的产污系数法，《大气环境影响评价实用技术》(王栋成主编)中介绍，排放比例为0.05</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0.5</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，本项目取0.5%计算</w:t>
            </w:r>
            <w:r>
              <w:rPr>
                <w:rFonts w:hint="default" w:ascii="Times New Roman" w:hAnsi="Times New Roman" w:eastAsia="宋体" w:cs="Times New Roman"/>
                <w:color w:val="auto"/>
                <w:sz w:val="24"/>
                <w:szCs w:val="24"/>
              </w:rPr>
              <w:t>，本项目实验室废液、过期废试剂</w:t>
            </w:r>
            <w:r>
              <w:rPr>
                <w:rFonts w:hint="default" w:ascii="Times New Roman" w:hAnsi="Times New Roman" w:eastAsia="宋体" w:cs="Times New Roman"/>
                <w:color w:val="auto"/>
                <w:sz w:val="24"/>
                <w:szCs w:val="24"/>
                <w:lang w:val="en-US" w:eastAsia="zh-CN"/>
              </w:rPr>
              <w:t>累计</w:t>
            </w:r>
            <w:r>
              <w:rPr>
                <w:rFonts w:hint="default" w:ascii="Times New Roman" w:hAnsi="Times New Roman" w:eastAsia="宋体" w:cs="Times New Roman"/>
                <w:color w:val="auto"/>
                <w:sz w:val="24"/>
                <w:szCs w:val="24"/>
              </w:rPr>
              <w:t>暂存量</w:t>
            </w:r>
            <w:r>
              <w:rPr>
                <w:rFonts w:hint="default" w:ascii="Times New Roman" w:hAnsi="Times New Roman" w:eastAsia="宋体" w:cs="Times New Roman"/>
                <w:color w:val="auto"/>
                <w:sz w:val="24"/>
                <w:szCs w:val="24"/>
                <w:lang w:val="en-US" w:eastAsia="zh-CN"/>
              </w:rPr>
              <w:t>0.6</w:t>
            </w:r>
            <w:r>
              <w:rPr>
                <w:rFonts w:hint="default" w:ascii="Times New Roman" w:hAnsi="Times New Roman" w:eastAsia="宋体" w:cs="Times New Roman"/>
                <w:color w:val="auto"/>
                <w:sz w:val="24"/>
                <w:szCs w:val="24"/>
              </w:rPr>
              <w:t>t，则非甲烷总烃产生量为0.00</w:t>
            </w:r>
            <w:r>
              <w:rPr>
                <w:rFonts w:hint="default" w:ascii="Times New Roman" w:hAnsi="Times New Roman" w:eastAsia="宋体" w:cs="Times New Roman"/>
                <w:color w:val="auto"/>
                <w:sz w:val="24"/>
                <w:szCs w:val="24"/>
                <w:lang w:val="en-US" w:eastAsia="zh-CN"/>
              </w:rPr>
              <w:t>03</w:t>
            </w:r>
            <w:r>
              <w:rPr>
                <w:rFonts w:hint="default" w:ascii="Times New Roman" w:hAnsi="Times New Roman" w:eastAsia="宋体" w:cs="Times New Roman"/>
                <w:color w:val="auto"/>
                <w:sz w:val="24"/>
                <w:szCs w:val="24"/>
              </w:rPr>
              <w:t>t/a。</w:t>
            </w:r>
          </w:p>
          <w:p w14:paraId="4B3925AA">
            <w:pPr>
              <w:pStyle w:val="7"/>
              <w:rPr>
                <w:rFonts w:hint="default"/>
                <w:color w:val="auto"/>
                <w:lang w:val="en-US" w:eastAsia="zh-CN"/>
              </w:rPr>
            </w:pPr>
          </w:p>
          <w:p w14:paraId="5E3AECB6">
            <w:pPr>
              <w:pStyle w:val="23"/>
              <w:pageBreakBefore w:val="0"/>
              <w:kinsoku/>
              <w:bidi w:val="0"/>
              <w:spacing w:beforeAutospacing="0" w:afterAutospacing="0" w:line="360" w:lineRule="auto"/>
              <w:ind w:left="0" w:leftChars="0" w:right="0" w:rightChars="0" w:firstLine="0" w:firstLineChars="0"/>
              <w:rPr>
                <w:rFonts w:hint="default" w:ascii="Times New Roman" w:hAnsi="Times New Roman" w:cs="Times New Roman" w:eastAsiaTheme="minorEastAsia"/>
                <w:b/>
                <w:bCs/>
                <w:color w:val="auto"/>
                <w:sz w:val="24"/>
                <w:szCs w:val="24"/>
                <w:highlight w:val="none"/>
                <w:lang w:val="en-US" w:eastAsia="zh-CN"/>
              </w:rPr>
            </w:pPr>
            <w:r>
              <w:rPr>
                <w:rFonts w:hint="eastAsia" w:ascii="Times New Roman" w:hAnsi="Times New Roman" w:cs="Times New Roman" w:eastAsiaTheme="minorEastAsia"/>
                <w:b/>
                <w:bCs/>
                <w:color w:val="auto"/>
                <w:sz w:val="24"/>
                <w:szCs w:val="24"/>
                <w:highlight w:val="none"/>
                <w:lang w:val="en-US" w:eastAsia="zh-CN"/>
              </w:rPr>
              <w:t>1.</w:t>
            </w:r>
            <w:r>
              <w:rPr>
                <w:rFonts w:hint="eastAsia" w:hAnsi="Times New Roman" w:cs="Times New Roman" w:eastAsiaTheme="minorEastAsia"/>
                <w:b/>
                <w:bCs/>
                <w:color w:val="auto"/>
                <w:sz w:val="24"/>
                <w:szCs w:val="24"/>
                <w:highlight w:val="none"/>
                <w:lang w:val="en-US" w:eastAsia="zh-CN"/>
              </w:rPr>
              <w:t>2控制措施</w:t>
            </w:r>
          </w:p>
          <w:p w14:paraId="469F9D3A">
            <w:pPr>
              <w:keepNext w:val="0"/>
              <w:keepLines w:val="0"/>
              <w:pageBreakBefore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outlineLvl w:val="9"/>
              <w:rPr>
                <w:rFonts w:ascii="宋体" w:hAnsi="宋体" w:eastAsia="宋体" w:cs="宋体"/>
                <w:color w:val="auto"/>
                <w:sz w:val="24"/>
                <w:szCs w:val="24"/>
              </w:rPr>
            </w:pPr>
            <w:r>
              <w:rPr>
                <w:rFonts w:ascii="宋体" w:hAnsi="宋体" w:eastAsia="宋体" w:cs="宋体"/>
                <w:color w:val="auto"/>
                <w:sz w:val="24"/>
                <w:szCs w:val="24"/>
              </w:rPr>
              <w:t>针对贮存过程可能产生的微量无组织废气，采取以下控制措施：</w:t>
            </w:r>
          </w:p>
          <w:p w14:paraId="7DD6F378">
            <w:pPr>
              <w:keepNext w:val="0"/>
              <w:keepLines w:val="0"/>
              <w:pageBreakBefore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outlineLvl w:val="9"/>
              <w:rPr>
                <w:rFonts w:ascii="宋体" w:hAnsi="宋体" w:eastAsia="宋体" w:cs="宋体"/>
                <w:color w:val="auto"/>
                <w:sz w:val="24"/>
                <w:szCs w:val="24"/>
              </w:rPr>
            </w:pPr>
            <w:r>
              <w:rPr>
                <w:rFonts w:ascii="宋体" w:hAnsi="宋体" w:eastAsia="宋体" w:cs="宋体"/>
                <w:color w:val="auto"/>
                <w:sz w:val="24"/>
                <w:szCs w:val="24"/>
              </w:rPr>
              <w:t>①液态危险废物采用密闭桶盛装，桶盖拧紧密封，直立存放，严禁倒置、挤压；</w:t>
            </w:r>
          </w:p>
          <w:p w14:paraId="216B1CC2">
            <w:pPr>
              <w:keepNext w:val="0"/>
              <w:keepLines w:val="0"/>
              <w:pageBreakBefore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outlineLvl w:val="9"/>
              <w:rPr>
                <w:rFonts w:ascii="宋体" w:hAnsi="宋体" w:eastAsia="宋体" w:cs="宋体"/>
                <w:color w:val="auto"/>
                <w:sz w:val="24"/>
                <w:szCs w:val="24"/>
              </w:rPr>
            </w:pPr>
            <w:r>
              <w:rPr>
                <w:rFonts w:ascii="宋体" w:hAnsi="宋体" w:eastAsia="宋体" w:cs="宋体"/>
                <w:color w:val="auto"/>
                <w:sz w:val="24"/>
                <w:szCs w:val="24"/>
              </w:rPr>
              <w:t>②</w:t>
            </w:r>
            <w:r>
              <w:rPr>
                <w:rFonts w:hint="eastAsia" w:ascii="宋体" w:hAnsi="宋体" w:eastAsia="宋体" w:cs="宋体"/>
                <w:color w:val="auto"/>
                <w:sz w:val="24"/>
                <w:szCs w:val="24"/>
              </w:rPr>
              <w:t>废试剂瓶保持瓶盖拧紧封口、不倾倒瓶内残液，装入密闭周转箱分区存放</w:t>
            </w:r>
            <w:r>
              <w:rPr>
                <w:rFonts w:ascii="宋体" w:hAnsi="宋体" w:eastAsia="宋体" w:cs="宋体"/>
                <w:color w:val="auto"/>
                <w:sz w:val="24"/>
                <w:szCs w:val="24"/>
              </w:rPr>
              <w:t>；</w:t>
            </w:r>
          </w:p>
          <w:p w14:paraId="0252BA72">
            <w:pPr>
              <w:keepNext w:val="0"/>
              <w:keepLines w:val="0"/>
              <w:pageBreakBefore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outlineLvl w:val="9"/>
              <w:rPr>
                <w:rFonts w:ascii="宋体" w:hAnsi="宋体" w:eastAsia="宋体" w:cs="宋体"/>
                <w:color w:val="auto"/>
                <w:sz w:val="24"/>
                <w:szCs w:val="24"/>
              </w:rPr>
            </w:pPr>
            <w:r>
              <w:rPr>
                <w:rFonts w:ascii="宋体" w:hAnsi="宋体" w:eastAsia="宋体" w:cs="宋体"/>
                <w:color w:val="auto"/>
                <w:sz w:val="24"/>
                <w:szCs w:val="24"/>
              </w:rPr>
              <w:t>③贮存库常态保持关闭，减少库内气体外溢；</w:t>
            </w:r>
          </w:p>
          <w:p w14:paraId="773BE8DE">
            <w:pPr>
              <w:keepNext w:val="0"/>
              <w:keepLines w:val="0"/>
              <w:pageBreakBefore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outlineLvl w:val="9"/>
              <w:rPr>
                <w:rFonts w:ascii="宋体" w:hAnsi="宋体" w:eastAsia="宋体" w:cs="宋体"/>
                <w:color w:val="auto"/>
                <w:sz w:val="24"/>
                <w:szCs w:val="24"/>
              </w:rPr>
            </w:pPr>
            <w:r>
              <w:rPr>
                <w:rFonts w:ascii="宋体" w:hAnsi="宋体" w:eastAsia="宋体" w:cs="宋体"/>
                <w:color w:val="auto"/>
                <w:sz w:val="24"/>
                <w:szCs w:val="24"/>
              </w:rPr>
              <w:t>④每月定期检查容器完整性，发现桶体变形、渗漏、标签脱落及时更换、补贴；</w:t>
            </w:r>
          </w:p>
          <w:p w14:paraId="770A175F">
            <w:pPr>
              <w:keepNext w:val="0"/>
              <w:keepLines w:val="0"/>
              <w:pageBreakBefore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outlineLvl w:val="9"/>
              <w:rPr>
                <w:rFonts w:ascii="宋体" w:hAnsi="宋体" w:eastAsia="宋体" w:cs="宋体"/>
                <w:color w:val="auto"/>
                <w:sz w:val="24"/>
                <w:szCs w:val="24"/>
              </w:rPr>
            </w:pPr>
            <w:r>
              <w:rPr>
                <w:rFonts w:ascii="宋体" w:hAnsi="宋体" w:eastAsia="宋体" w:cs="宋体"/>
                <w:color w:val="auto"/>
                <w:sz w:val="24"/>
                <w:szCs w:val="24"/>
              </w:rPr>
              <w:t>⑤夏季高温时段避免阳光直射库房，必要时开窗通风，防止桶内温度升高、压力增大。</w:t>
            </w:r>
          </w:p>
          <w:p w14:paraId="20FD68B8">
            <w:pPr>
              <w:keepNext w:val="0"/>
              <w:keepLines w:val="0"/>
              <w:pageBreakBefore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outlineLvl w:val="9"/>
              <w:rPr>
                <w:rFonts w:ascii="宋体" w:hAnsi="宋体" w:eastAsia="宋体" w:cs="宋体"/>
                <w:color w:val="auto"/>
                <w:sz w:val="24"/>
                <w:szCs w:val="24"/>
              </w:rPr>
            </w:pPr>
            <w:r>
              <w:rPr>
                <w:rFonts w:ascii="宋体" w:hAnsi="宋体" w:eastAsia="宋体" w:cs="宋体"/>
                <w:color w:val="auto"/>
                <w:sz w:val="24"/>
                <w:szCs w:val="24"/>
              </w:rPr>
              <w:t>通过上述措施，厂界无组织排放可满足</w:t>
            </w:r>
            <w:r>
              <w:rPr>
                <w:rFonts w:hint="eastAsia" w:ascii="宋体" w:hAnsi="宋体" w:eastAsia="宋体" w:cs="宋体"/>
                <w:color w:val="auto"/>
                <w:sz w:val="24"/>
                <w:szCs w:val="24"/>
              </w:rPr>
              <w:t>《挥发性有机物无组织排放控制标准》（GB37822-2019）</w:t>
            </w:r>
            <w:r>
              <w:rPr>
                <w:rFonts w:hint="eastAsia" w:ascii="宋体" w:hAnsi="宋体" w:cs="宋体"/>
                <w:color w:val="auto"/>
                <w:sz w:val="24"/>
                <w:szCs w:val="24"/>
                <w:lang w:val="en-US" w:eastAsia="zh-CN"/>
              </w:rPr>
              <w:t>中</w:t>
            </w:r>
            <w:r>
              <w:rPr>
                <w:rFonts w:ascii="宋体" w:hAnsi="宋体" w:eastAsia="宋体" w:cs="宋体"/>
                <w:color w:val="auto"/>
                <w:sz w:val="24"/>
                <w:szCs w:val="24"/>
              </w:rPr>
              <w:t>排放监控浓度限值要求。</w:t>
            </w:r>
          </w:p>
          <w:p w14:paraId="020CAD49">
            <w:pPr>
              <w:pStyle w:val="23"/>
              <w:pageBreakBefore w:val="0"/>
              <w:kinsoku/>
              <w:bidi w:val="0"/>
              <w:spacing w:beforeAutospacing="0" w:afterAutospacing="0" w:line="360" w:lineRule="auto"/>
              <w:ind w:left="0" w:leftChars="0" w:right="0" w:rightChars="0" w:firstLine="0" w:firstLineChars="0"/>
              <w:rPr>
                <w:rFonts w:hint="default" w:ascii="Times New Roman" w:hAnsi="Times New Roman" w:cs="Times New Roman" w:eastAsiaTheme="minorEastAsia"/>
                <w:b/>
                <w:bCs/>
                <w:color w:val="auto"/>
                <w:sz w:val="24"/>
                <w:szCs w:val="24"/>
                <w:highlight w:val="none"/>
                <w:lang w:val="en-US" w:eastAsia="zh-CN"/>
              </w:rPr>
            </w:pPr>
            <w:r>
              <w:rPr>
                <w:rFonts w:hint="default" w:ascii="Times New Roman" w:hAnsi="Times New Roman" w:cs="Times New Roman" w:eastAsiaTheme="minorEastAsia"/>
                <w:b/>
                <w:bCs/>
                <w:color w:val="auto"/>
                <w:sz w:val="24"/>
                <w:szCs w:val="24"/>
                <w:highlight w:val="none"/>
                <w:lang w:val="en-US" w:eastAsia="zh-CN"/>
              </w:rPr>
              <w:t>1</w:t>
            </w:r>
            <w:r>
              <w:rPr>
                <w:rFonts w:hint="default" w:ascii="Times New Roman" w:hAnsi="Times New Roman" w:cs="Times New Roman" w:eastAsiaTheme="minorEastAsia"/>
                <w:b/>
                <w:bCs/>
                <w:color w:val="auto"/>
                <w:sz w:val="24"/>
                <w:szCs w:val="24"/>
                <w:highlight w:val="none"/>
                <w:lang w:val="en-US" w:eastAsia="zh-Hans"/>
              </w:rPr>
              <w:t>.</w:t>
            </w:r>
            <w:r>
              <w:rPr>
                <w:rFonts w:hint="eastAsia" w:hAnsi="Times New Roman" w:cs="Times New Roman" w:eastAsiaTheme="minorEastAsia"/>
                <w:b/>
                <w:bCs/>
                <w:color w:val="auto"/>
                <w:sz w:val="24"/>
                <w:szCs w:val="24"/>
                <w:highlight w:val="none"/>
                <w:lang w:val="en-US" w:eastAsia="zh-CN"/>
              </w:rPr>
              <w:t>3</w:t>
            </w:r>
            <w:r>
              <w:rPr>
                <w:rFonts w:hint="default" w:ascii="Times New Roman" w:hAnsi="Times New Roman" w:cs="Times New Roman" w:eastAsiaTheme="minorEastAsia"/>
                <w:b/>
                <w:bCs/>
                <w:color w:val="auto"/>
                <w:sz w:val="24"/>
                <w:szCs w:val="24"/>
                <w:highlight w:val="none"/>
                <w:lang w:val="en-US" w:eastAsia="zh-Hans"/>
              </w:rPr>
              <w:t xml:space="preserve"> </w:t>
            </w:r>
            <w:r>
              <w:rPr>
                <w:rFonts w:hint="eastAsia" w:ascii="Times New Roman" w:hAnsi="Times New Roman" w:cs="Times New Roman" w:eastAsiaTheme="minorEastAsia"/>
                <w:b/>
                <w:bCs/>
                <w:color w:val="auto"/>
                <w:sz w:val="24"/>
                <w:szCs w:val="24"/>
                <w:highlight w:val="none"/>
                <w:lang w:val="en-US" w:eastAsia="zh-CN"/>
              </w:rPr>
              <w:t>废气</w:t>
            </w:r>
            <w:r>
              <w:rPr>
                <w:rFonts w:hint="default" w:ascii="Times New Roman" w:hAnsi="Times New Roman" w:cs="Times New Roman" w:eastAsiaTheme="minorEastAsia"/>
                <w:b/>
                <w:bCs/>
                <w:color w:val="auto"/>
                <w:sz w:val="24"/>
                <w:szCs w:val="24"/>
                <w:highlight w:val="none"/>
                <w:lang w:val="en-US" w:eastAsia="zh-CN"/>
              </w:rPr>
              <w:t>监测</w:t>
            </w:r>
            <w:r>
              <w:rPr>
                <w:rFonts w:hint="eastAsia" w:hAnsi="Times New Roman" w:cs="Times New Roman" w:eastAsiaTheme="minorEastAsia"/>
                <w:b/>
                <w:bCs/>
                <w:color w:val="auto"/>
                <w:sz w:val="24"/>
                <w:szCs w:val="24"/>
                <w:highlight w:val="none"/>
                <w:lang w:val="en-US" w:eastAsia="zh-CN"/>
              </w:rPr>
              <w:t>计划</w:t>
            </w:r>
          </w:p>
          <w:p w14:paraId="08C755E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根据</w:t>
            </w:r>
            <w:r>
              <w:rPr>
                <w:rFonts w:hint="eastAsia" w:cs="Times New Roman"/>
                <w:color w:val="auto"/>
                <w:sz w:val="24"/>
                <w:lang w:val="en-US" w:eastAsia="zh-CN"/>
              </w:rPr>
              <w:t>《排污单位自行监测技术指南 总则》（HJ819-2017），</w:t>
            </w:r>
            <w:r>
              <w:rPr>
                <w:rFonts w:hint="default" w:ascii="Times New Roman" w:hAnsi="Times New Roman" w:eastAsia="宋体" w:cs="Times New Roman"/>
                <w:color w:val="auto"/>
                <w:sz w:val="24"/>
                <w:lang w:val="en-US" w:eastAsia="zh-CN"/>
              </w:rPr>
              <w:t>确定本项目的废气</w:t>
            </w:r>
            <w:r>
              <w:rPr>
                <w:rFonts w:hint="eastAsia" w:eastAsia="宋体" w:cs="Times New Roman"/>
                <w:color w:val="auto"/>
                <w:sz w:val="24"/>
                <w:lang w:val="en-US" w:eastAsia="zh-CN"/>
              </w:rPr>
              <w:t>自行</w:t>
            </w:r>
            <w:r>
              <w:rPr>
                <w:rFonts w:hint="default" w:ascii="Times New Roman" w:hAnsi="Times New Roman" w:eastAsia="宋体" w:cs="Times New Roman"/>
                <w:color w:val="auto"/>
                <w:sz w:val="24"/>
                <w:lang w:val="en-US" w:eastAsia="zh-CN"/>
              </w:rPr>
              <w:t>监测要求见表</w:t>
            </w:r>
            <w:r>
              <w:rPr>
                <w:rFonts w:hint="eastAsia" w:eastAsia="宋体" w:cs="Times New Roman"/>
                <w:color w:val="auto"/>
                <w:sz w:val="24"/>
                <w:lang w:val="en-US" w:eastAsia="zh-CN"/>
              </w:rPr>
              <w:t>4-</w:t>
            </w:r>
            <w:r>
              <w:rPr>
                <w:rFonts w:hint="eastAsia" w:cs="Times New Roman"/>
                <w:color w:val="auto"/>
                <w:sz w:val="24"/>
                <w:lang w:val="en-US" w:eastAsia="zh-CN"/>
              </w:rPr>
              <w:t>1</w:t>
            </w:r>
            <w:r>
              <w:rPr>
                <w:rFonts w:hint="default" w:ascii="Times New Roman" w:hAnsi="Times New Roman" w:eastAsia="宋体" w:cs="Times New Roman"/>
                <w:color w:val="auto"/>
                <w:sz w:val="24"/>
                <w:lang w:val="en-US" w:eastAsia="zh-CN"/>
              </w:rPr>
              <w:t>。</w:t>
            </w:r>
          </w:p>
          <w:p w14:paraId="5B31C046">
            <w:pPr>
              <w:pStyle w:val="85"/>
              <w:keepNext w:val="0"/>
              <w:keepLines w:val="0"/>
              <w:pageBreakBefore w:val="0"/>
              <w:widowControl w:val="0"/>
              <w:kinsoku/>
              <w:wordWrap/>
              <w:overflowPunct/>
              <w:topLinePunct w:val="0"/>
              <w:autoSpaceDE/>
              <w:autoSpaceDN/>
              <w:bidi w:val="0"/>
              <w:adjustRightInd w:val="0"/>
              <w:snapToGrid w:val="0"/>
              <w:spacing w:before="157" w:beforeLines="50" w:after="157" w:afterLines="50" w:line="240" w:lineRule="auto"/>
              <w:ind w:left="0" w:leftChars="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w:t>
            </w:r>
            <w:r>
              <w:rPr>
                <w:rFonts w:hint="eastAsia" w:hAnsi="Times New Roman" w:eastAsia="宋体" w:cs="Times New Roman"/>
                <w:b/>
                <w:bCs/>
                <w:color w:val="auto"/>
                <w:sz w:val="21"/>
                <w:szCs w:val="21"/>
                <w:lang w:val="en-US" w:eastAsia="zh-CN"/>
              </w:rPr>
              <w:t>4-</w:t>
            </w:r>
            <w:r>
              <w:rPr>
                <w:rFonts w:hint="eastAsia" w:cs="Times New Roman"/>
                <w:b/>
                <w:bCs/>
                <w:color w:val="auto"/>
                <w:sz w:val="21"/>
                <w:szCs w:val="21"/>
                <w:lang w:val="en-US" w:eastAsia="zh-CN"/>
              </w:rPr>
              <w:t>1</w:t>
            </w:r>
            <w:r>
              <w:rPr>
                <w:rFonts w:hint="eastAsia" w:hAnsi="Times New Roman"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lang w:val="en-US" w:eastAsia="zh-CN"/>
              </w:rPr>
              <w:t>废气监测要求一览表</w:t>
            </w:r>
          </w:p>
          <w:tbl>
            <w:tblPr>
              <w:tblStyle w:val="29"/>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30"/>
              <w:gridCol w:w="1474"/>
              <w:gridCol w:w="1249"/>
              <w:gridCol w:w="3917"/>
            </w:tblGrid>
            <w:tr w14:paraId="274CD9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0" w:type="pct"/>
                  <w:tcBorders>
                    <w:tl2br w:val="nil"/>
                    <w:tr2bl w:val="nil"/>
                  </w:tcBorders>
                  <w:noWrap w:val="0"/>
                  <w:vAlign w:val="center"/>
                </w:tcPr>
                <w:p w14:paraId="0A0CE11D">
                  <w:pPr>
                    <w:pageBreakBefore w:val="0"/>
                    <w:kinsoku/>
                    <w:overflowPunct/>
                    <w:autoSpaceDE/>
                    <w:autoSpaceDN/>
                    <w:bidi w:val="0"/>
                    <w:spacing w:line="240" w:lineRule="auto"/>
                    <w:ind w:left="0" w:leftChars="0" w:right="0" w:rightChars="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监测点位</w:t>
                  </w:r>
                </w:p>
              </w:tc>
              <w:tc>
                <w:tcPr>
                  <w:tcW w:w="870" w:type="pct"/>
                  <w:tcBorders>
                    <w:tl2br w:val="nil"/>
                    <w:tr2bl w:val="nil"/>
                  </w:tcBorders>
                  <w:noWrap w:val="0"/>
                  <w:vAlign w:val="center"/>
                </w:tcPr>
                <w:p w14:paraId="3E6CB07B">
                  <w:pPr>
                    <w:pageBreakBefore w:val="0"/>
                    <w:kinsoku/>
                    <w:overflowPunct/>
                    <w:autoSpaceDE/>
                    <w:autoSpaceDN/>
                    <w:bidi w:val="0"/>
                    <w:spacing w:line="240" w:lineRule="auto"/>
                    <w:ind w:left="0" w:leftChars="0" w:right="0" w:rightChars="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监测指标</w:t>
                  </w:r>
                </w:p>
              </w:tc>
              <w:tc>
                <w:tcPr>
                  <w:tcW w:w="737" w:type="pct"/>
                  <w:tcBorders>
                    <w:tl2br w:val="nil"/>
                    <w:tr2bl w:val="nil"/>
                  </w:tcBorders>
                  <w:noWrap w:val="0"/>
                  <w:vAlign w:val="center"/>
                </w:tcPr>
                <w:p w14:paraId="0573292F">
                  <w:pPr>
                    <w:pageBreakBefore w:val="0"/>
                    <w:kinsoku/>
                    <w:overflowPunct/>
                    <w:autoSpaceDE/>
                    <w:autoSpaceDN/>
                    <w:bidi w:val="0"/>
                    <w:spacing w:line="240" w:lineRule="auto"/>
                    <w:ind w:left="0" w:leftChars="0" w:right="0" w:rightChars="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监测频次</w:t>
                  </w:r>
                </w:p>
              </w:tc>
              <w:tc>
                <w:tcPr>
                  <w:tcW w:w="2311" w:type="pct"/>
                  <w:tcBorders>
                    <w:tl2br w:val="nil"/>
                    <w:tr2bl w:val="nil"/>
                  </w:tcBorders>
                  <w:noWrap w:val="0"/>
                  <w:vAlign w:val="center"/>
                </w:tcPr>
                <w:p w14:paraId="7FDE9A65">
                  <w:pPr>
                    <w:pageBreakBefore w:val="0"/>
                    <w:kinsoku/>
                    <w:overflowPunct/>
                    <w:autoSpaceDE/>
                    <w:autoSpaceDN/>
                    <w:bidi w:val="0"/>
                    <w:spacing w:line="240" w:lineRule="auto"/>
                    <w:ind w:left="0" w:leftChars="0" w:right="0" w:rightChars="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执行标准</w:t>
                  </w:r>
                </w:p>
              </w:tc>
            </w:tr>
            <w:tr w14:paraId="3846E1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0" w:type="pct"/>
                  <w:tcBorders>
                    <w:tl2br w:val="nil"/>
                    <w:tr2bl w:val="nil"/>
                  </w:tcBorders>
                  <w:noWrap w:val="0"/>
                  <w:vAlign w:val="center"/>
                </w:tcPr>
                <w:p w14:paraId="64AD671A">
                  <w:pPr>
                    <w:pStyle w:val="2"/>
                    <w:tabs>
                      <w:tab w:val="left" w:pos="315"/>
                      <w:tab w:val="left" w:pos="360"/>
                    </w:tabs>
                    <w:spacing w:line="240" w:lineRule="auto"/>
                    <w:ind w:firstLine="0" w:firstLineChars="0"/>
                    <w:jc w:val="center"/>
                    <w:rPr>
                      <w:rFonts w:hint="default" w:cs="Times New Roman"/>
                      <w:b w:val="0"/>
                      <w:bCs w:val="0"/>
                      <w:color w:val="auto"/>
                      <w:sz w:val="21"/>
                      <w:szCs w:val="21"/>
                      <w:vertAlign w:val="baseline"/>
                      <w:lang w:val="en-US" w:eastAsia="zh-CN"/>
                    </w:rPr>
                  </w:pPr>
                  <w:r>
                    <w:rPr>
                      <w:rFonts w:hint="eastAsia" w:cs="Times New Roman"/>
                      <w:b w:val="0"/>
                      <w:bCs w:val="0"/>
                      <w:color w:val="auto"/>
                      <w:sz w:val="21"/>
                      <w:szCs w:val="21"/>
                      <w:vertAlign w:val="baseline"/>
                      <w:lang w:val="en-US" w:eastAsia="zh-CN"/>
                    </w:rPr>
                    <w:t>危废贮存库</w:t>
                  </w:r>
                  <w:r>
                    <w:rPr>
                      <w:rFonts w:hint="default" w:cs="Times New Roman"/>
                      <w:b w:val="0"/>
                      <w:bCs w:val="0"/>
                      <w:color w:val="auto"/>
                      <w:sz w:val="21"/>
                      <w:szCs w:val="21"/>
                      <w:vertAlign w:val="baseline"/>
                      <w:lang w:val="en-US" w:eastAsia="zh-CN"/>
                    </w:rPr>
                    <w:t>厂房外1m处</w:t>
                  </w:r>
                </w:p>
              </w:tc>
              <w:tc>
                <w:tcPr>
                  <w:tcW w:w="870" w:type="pct"/>
                  <w:tcBorders>
                    <w:tl2br w:val="nil"/>
                    <w:tr2bl w:val="nil"/>
                  </w:tcBorders>
                  <w:shd w:val="clear" w:color="auto" w:fill="auto"/>
                  <w:noWrap w:val="0"/>
                  <w:vAlign w:val="center"/>
                </w:tcPr>
                <w:p w14:paraId="725EB833">
                  <w:pPr>
                    <w:pageBreakBefore w:val="0"/>
                    <w:kinsoku/>
                    <w:overflowPunct/>
                    <w:autoSpaceDE/>
                    <w:autoSpaceDN/>
                    <w:bidi w:val="0"/>
                    <w:adjustRightInd w:val="0"/>
                    <w:snapToGrid w:val="0"/>
                    <w:spacing w:line="240" w:lineRule="auto"/>
                    <w:ind w:firstLine="0" w:firstLineChars="0"/>
                    <w:jc w:val="center"/>
                    <w:rPr>
                      <w:rFonts w:hint="eastAsia" w:ascii="Times New Roman" w:hAnsi="Times New Roman" w:eastAsia="宋体" w:cs="Times New Roman"/>
                      <w:bCs/>
                      <w:color w:val="auto"/>
                      <w:spacing w:val="0"/>
                      <w:kern w:val="2"/>
                      <w:sz w:val="21"/>
                      <w:szCs w:val="21"/>
                      <w:highlight w:val="none"/>
                      <w:vertAlign w:val="baseline"/>
                      <w:lang w:val="en-US" w:eastAsia="zh-CN" w:bidi="ar-SA"/>
                    </w:rPr>
                  </w:pPr>
                  <w:r>
                    <w:rPr>
                      <w:rFonts w:hint="eastAsia" w:ascii="Times New Roman" w:hAnsi="Times New Roman" w:eastAsia="宋体" w:cs="Times New Roman"/>
                      <w:bCs/>
                      <w:color w:val="auto"/>
                      <w:spacing w:val="0"/>
                      <w:kern w:val="2"/>
                      <w:sz w:val="21"/>
                      <w:szCs w:val="21"/>
                      <w:highlight w:val="none"/>
                      <w:vertAlign w:val="baseline"/>
                      <w:lang w:val="en-US" w:eastAsia="zh-CN" w:bidi="ar-SA"/>
                    </w:rPr>
                    <w:t>非甲烷总烃</w:t>
                  </w:r>
                </w:p>
              </w:tc>
              <w:tc>
                <w:tcPr>
                  <w:tcW w:w="737" w:type="pct"/>
                  <w:tcBorders>
                    <w:tl2br w:val="nil"/>
                    <w:tr2bl w:val="nil"/>
                  </w:tcBorders>
                  <w:shd w:val="clear" w:color="auto" w:fill="auto"/>
                  <w:noWrap w:val="0"/>
                  <w:vAlign w:val="center"/>
                </w:tcPr>
                <w:p w14:paraId="6A19D0E2">
                  <w:pPr>
                    <w:pageBreakBefore w:val="0"/>
                    <w:kinsoku/>
                    <w:overflowPunct/>
                    <w:autoSpaceDE/>
                    <w:autoSpaceDN/>
                    <w:bidi w:val="0"/>
                    <w:spacing w:line="240" w:lineRule="auto"/>
                    <w:ind w:left="0" w:leftChars="0" w:right="0" w:righ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Regular" w:hAnsi="Times New Roman Regular" w:eastAsia="宋体" w:cs="Times New Roman Regular"/>
                      <w:color w:val="auto"/>
                      <w:kern w:val="0"/>
                      <w:szCs w:val="21"/>
                    </w:rPr>
                    <w:t>1次/</w:t>
                  </w:r>
                  <w:r>
                    <w:rPr>
                      <w:rFonts w:hint="default" w:ascii="Times New Roman Regular" w:hAnsi="Times New Roman Regular" w:eastAsia="宋体" w:cs="Times New Roman Regular"/>
                      <w:color w:val="auto"/>
                      <w:kern w:val="0"/>
                      <w:szCs w:val="21"/>
                      <w:lang w:eastAsia="zh-CN"/>
                    </w:rPr>
                    <w:t>半</w:t>
                  </w:r>
                  <w:r>
                    <w:rPr>
                      <w:rFonts w:hint="default" w:ascii="Times New Roman Regular" w:hAnsi="Times New Roman Regular" w:eastAsia="宋体" w:cs="Times New Roman Regular"/>
                      <w:color w:val="auto"/>
                      <w:kern w:val="0"/>
                      <w:szCs w:val="21"/>
                    </w:rPr>
                    <w:t>年</w:t>
                  </w:r>
                </w:p>
              </w:tc>
              <w:tc>
                <w:tcPr>
                  <w:tcW w:w="2311" w:type="pct"/>
                  <w:tcBorders>
                    <w:tl2br w:val="nil"/>
                    <w:tr2bl w:val="nil"/>
                  </w:tcBorders>
                  <w:shd w:val="clear" w:color="auto" w:fill="auto"/>
                  <w:noWrap w:val="0"/>
                  <w:vAlign w:val="center"/>
                </w:tcPr>
                <w:p w14:paraId="7384A10E">
                  <w:pPr>
                    <w:pageBreakBefore w:val="0"/>
                    <w:kinsoku/>
                    <w:overflowPunct/>
                    <w:autoSpaceDE/>
                    <w:autoSpaceDN/>
                    <w:bidi w:val="0"/>
                    <w:spacing w:line="240" w:lineRule="auto"/>
                    <w:ind w:left="0" w:leftChars="0" w:right="0" w:rightChars="0" w:firstLine="0" w:firstLineChars="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Regular" w:hAnsi="Times New Roman Regular" w:eastAsia="宋体" w:cs="Times New Roman Regular"/>
                      <w:color w:val="auto"/>
                      <w:kern w:val="0"/>
                      <w:szCs w:val="21"/>
                    </w:rPr>
                    <w:t>执行</w:t>
                  </w:r>
                  <w:r>
                    <w:rPr>
                      <w:rFonts w:hint="default" w:ascii="Times New Roman Regular" w:hAnsi="Times New Roman Regular" w:eastAsia="宋体" w:cs="Times New Roman Regular"/>
                      <w:color w:val="auto"/>
                      <w:szCs w:val="21"/>
                    </w:rPr>
                    <w:t>《挥发性有机物无组织排放控制标准》（GB37822-2019）中厂区内VOCs无组织排放限值监控点处1h平均浓度值6mg/m³的要求</w:t>
                  </w:r>
                  <w:r>
                    <w:rPr>
                      <w:rFonts w:hint="default" w:ascii="Times New Roman Regular" w:hAnsi="Times New Roman Regular" w:eastAsia="宋体" w:cs="Times New Roman Regular"/>
                      <w:color w:val="auto"/>
                      <w:szCs w:val="21"/>
                      <w:lang w:val="zh-CN"/>
                    </w:rPr>
                    <w:t>。</w:t>
                  </w:r>
                </w:p>
              </w:tc>
            </w:tr>
          </w:tbl>
          <w:p w14:paraId="712B2FD9">
            <w:pPr>
              <w:pStyle w:val="11"/>
              <w:pageBreakBefore w:val="0"/>
              <w:kinsoku/>
              <w:bidi w:val="0"/>
              <w:spacing w:beforeAutospacing="0" w:afterAutospacing="0" w:line="360" w:lineRule="auto"/>
              <w:ind w:left="0" w:leftChars="0" w:right="0" w:rightChars="0"/>
              <w:outlineLvl w:val="2"/>
              <w:rPr>
                <w:rFonts w:hint="default" w:ascii="Times New Roman" w:hAnsi="Times New Roman" w:cs="Times New Roman" w:eastAsiaTheme="minorEastAsia"/>
                <w:color w:val="auto"/>
                <w:sz w:val="24"/>
                <w:szCs w:val="32"/>
                <w:lang w:val="en-US" w:eastAsia="zh-CN"/>
              </w:rPr>
            </w:pPr>
            <w:r>
              <w:rPr>
                <w:rFonts w:hint="default" w:ascii="Times New Roman" w:hAnsi="Times New Roman" w:cs="Times New Roman" w:eastAsiaTheme="minorEastAsia"/>
                <w:color w:val="auto"/>
                <w:sz w:val="24"/>
                <w:szCs w:val="32"/>
                <w:lang w:val="en-US" w:eastAsia="zh-CN"/>
              </w:rPr>
              <w:t>2.</w:t>
            </w:r>
            <w:r>
              <w:rPr>
                <w:rFonts w:hint="default" w:ascii="Times New Roman" w:hAnsi="Times New Roman" w:cs="Times New Roman" w:eastAsiaTheme="minorEastAsia"/>
                <w:color w:val="auto"/>
                <w:sz w:val="24"/>
                <w:szCs w:val="32"/>
              </w:rPr>
              <w:t>废</w:t>
            </w:r>
            <w:r>
              <w:rPr>
                <w:rFonts w:hint="default" w:ascii="Times New Roman" w:hAnsi="Times New Roman" w:cs="Times New Roman" w:eastAsiaTheme="minorEastAsia"/>
                <w:color w:val="auto"/>
                <w:sz w:val="24"/>
                <w:szCs w:val="32"/>
                <w:lang w:val="en-US" w:eastAsia="zh-CN"/>
              </w:rPr>
              <w:t>水环境</w:t>
            </w:r>
            <w:r>
              <w:rPr>
                <w:rFonts w:hint="default" w:ascii="Times New Roman" w:hAnsi="Times New Roman" w:cs="Times New Roman" w:eastAsiaTheme="minorEastAsia"/>
                <w:color w:val="auto"/>
                <w:sz w:val="24"/>
                <w:szCs w:val="32"/>
              </w:rPr>
              <w:t>影响</w:t>
            </w:r>
            <w:r>
              <w:rPr>
                <w:rFonts w:hint="default" w:ascii="Times New Roman" w:hAnsi="Times New Roman" w:cs="Times New Roman" w:eastAsiaTheme="minorEastAsia"/>
                <w:color w:val="auto"/>
                <w:sz w:val="24"/>
                <w:szCs w:val="32"/>
                <w:lang w:val="en-US" w:eastAsia="zh-CN"/>
              </w:rPr>
              <w:t>和保护措施</w:t>
            </w:r>
          </w:p>
          <w:p w14:paraId="1E8E3D29">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本项目正常情况下无废水产生，非正常工况（如屋顶漏水等意外情况）下产生的事故废液若已被危险废物浸染，按照危险废物进行管理，集中收集后委托有资质的单位进行处置。</w:t>
            </w:r>
          </w:p>
          <w:p w14:paraId="1A8C0455">
            <w:pPr>
              <w:pageBreakBefore w:val="0"/>
              <w:numPr>
                <w:ilvl w:val="0"/>
                <w:numId w:val="0"/>
              </w:numPr>
              <w:kinsoku/>
              <w:bidi w:val="0"/>
              <w:spacing w:beforeAutospacing="0" w:afterAutospacing="0" w:line="360" w:lineRule="auto"/>
              <w:ind w:left="0" w:leftChars="0" w:right="0" w:rightChars="0"/>
              <w:rPr>
                <w:rFonts w:hint="default" w:ascii="Times New Roman" w:hAnsi="Times New Roman" w:cs="Times New Roman" w:eastAsiaTheme="minorEastAsia"/>
                <w:b/>
                <w:color w:val="auto"/>
                <w:sz w:val="24"/>
                <w:highlight w:val="none"/>
              </w:rPr>
            </w:pPr>
            <w:r>
              <w:rPr>
                <w:rFonts w:hint="default" w:ascii="Times New Roman" w:hAnsi="Times New Roman" w:cs="Times New Roman" w:eastAsiaTheme="minorEastAsia"/>
                <w:b/>
                <w:color w:val="auto"/>
                <w:sz w:val="24"/>
                <w:highlight w:val="none"/>
                <w:lang w:val="en-US" w:eastAsia="zh-CN"/>
              </w:rPr>
              <w:t xml:space="preserve">3 </w:t>
            </w:r>
            <w:r>
              <w:rPr>
                <w:rFonts w:hint="default" w:ascii="Times New Roman" w:hAnsi="Times New Roman" w:cs="Times New Roman" w:eastAsiaTheme="minorEastAsia"/>
                <w:b/>
                <w:color w:val="auto"/>
                <w:sz w:val="24"/>
                <w:highlight w:val="none"/>
              </w:rPr>
              <w:t>声环境影响分析及防治措施</w:t>
            </w:r>
          </w:p>
          <w:p w14:paraId="5F19DA02">
            <w:pPr>
              <w:pStyle w:val="23"/>
              <w:pageBreakBefore w:val="0"/>
              <w:kinsoku/>
              <w:bidi w:val="0"/>
              <w:spacing w:beforeAutospacing="0" w:afterAutospacing="0" w:line="360" w:lineRule="auto"/>
              <w:ind w:left="0" w:leftChars="0" w:right="0" w:rightChars="0" w:firstLine="0" w:firstLineChars="0"/>
              <w:rPr>
                <w:rFonts w:hint="default" w:ascii="Times New Roman" w:hAnsi="Times New Roman" w:cs="Times New Roman" w:eastAsiaTheme="minorEastAsia"/>
                <w:b/>
                <w:bCs/>
                <w:color w:val="auto"/>
                <w:sz w:val="24"/>
                <w:szCs w:val="24"/>
                <w:highlight w:val="none"/>
                <w:lang w:val="en-US" w:eastAsia="zh-CN"/>
              </w:rPr>
            </w:pPr>
            <w:r>
              <w:rPr>
                <w:rFonts w:hint="default" w:ascii="Times New Roman" w:hAnsi="Times New Roman" w:cs="Times New Roman" w:eastAsiaTheme="minorEastAsia"/>
                <w:b/>
                <w:bCs/>
                <w:color w:val="auto"/>
                <w:sz w:val="24"/>
                <w:szCs w:val="24"/>
                <w:highlight w:val="none"/>
                <w:lang w:val="en-US" w:eastAsia="zh-CN"/>
              </w:rPr>
              <w:t>3.1噪声源强</w:t>
            </w:r>
          </w:p>
          <w:p w14:paraId="1CD05F96">
            <w:pPr>
              <w:pageBreakBefore w:val="0"/>
              <w:widowControl w:val="0"/>
              <w:kinsoku/>
              <w:wordWrap/>
              <w:topLinePunct w:val="0"/>
              <w:autoSpaceDE w:val="0"/>
              <w:autoSpaceDN w:val="0"/>
              <w:bidi w:val="0"/>
              <w:adjustRightInd/>
              <w:snapToGrid/>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bCs/>
                <w:color w:val="auto"/>
                <w:sz w:val="24"/>
                <w:lang w:val="en-US" w:eastAsia="zh-CN"/>
              </w:rPr>
            </w:pPr>
            <w:r>
              <w:rPr>
                <w:rFonts w:hint="default" w:ascii="Times New Roman" w:hAnsi="Times New Roman" w:cs="Times New Roman" w:eastAsiaTheme="minorEastAsia"/>
                <w:color w:val="auto"/>
                <w:kern w:val="2"/>
                <w:sz w:val="24"/>
                <w:szCs w:val="24"/>
                <w:lang w:eastAsia="zh-CN"/>
              </w:rPr>
              <w:t>运营期噪声主要来源于运输车辆产生的噪声，噪声排放源强见</w:t>
            </w:r>
            <w:r>
              <w:rPr>
                <w:rFonts w:hint="default" w:ascii="Times New Roman" w:hAnsi="Times New Roman" w:cs="Times New Roman" w:eastAsiaTheme="minorEastAsia"/>
                <w:bCs/>
                <w:color w:val="auto"/>
                <w:sz w:val="24"/>
              </w:rPr>
              <w:t>表4-</w:t>
            </w:r>
            <w:r>
              <w:rPr>
                <w:rFonts w:hint="eastAsia" w:cs="Times New Roman" w:eastAsiaTheme="minorEastAsia"/>
                <w:bCs/>
                <w:color w:val="auto"/>
                <w:sz w:val="24"/>
                <w:lang w:val="en-US" w:eastAsia="zh-CN"/>
              </w:rPr>
              <w:t>2</w:t>
            </w:r>
            <w:r>
              <w:rPr>
                <w:rFonts w:hint="default" w:ascii="Times New Roman" w:hAnsi="Times New Roman" w:cs="Times New Roman" w:eastAsiaTheme="minorEastAsia"/>
                <w:bCs/>
                <w:color w:val="auto"/>
                <w:sz w:val="24"/>
                <w:lang w:val="en-US" w:eastAsia="zh-CN"/>
              </w:rPr>
              <w:t>。</w:t>
            </w:r>
          </w:p>
          <w:p w14:paraId="794855A0">
            <w:pPr>
              <w:pStyle w:val="7"/>
              <w:rPr>
                <w:rFonts w:hint="default"/>
                <w:color w:val="auto"/>
              </w:rPr>
            </w:pPr>
          </w:p>
          <w:p w14:paraId="408921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jc w:val="center"/>
              <w:textAlignment w:val="auto"/>
              <w:rPr>
                <w:rFonts w:hint="default" w:ascii="Times New Roman" w:hAnsi="Times New Roman" w:cs="Times New Roman" w:eastAsiaTheme="minorEastAsia"/>
                <w:b/>
                <w:bCs/>
                <w:color w:val="auto"/>
                <w:szCs w:val="21"/>
                <w:highlight w:val="none"/>
              </w:rPr>
            </w:pPr>
            <w:r>
              <w:rPr>
                <w:rFonts w:hint="default" w:ascii="Times New Roman" w:hAnsi="Times New Roman" w:cs="Times New Roman" w:eastAsiaTheme="minorEastAsia"/>
                <w:b/>
                <w:bCs/>
                <w:color w:val="auto"/>
                <w:szCs w:val="21"/>
                <w:highlight w:val="none"/>
              </w:rPr>
              <w:t>表4-</w:t>
            </w:r>
            <w:r>
              <w:rPr>
                <w:rFonts w:hint="eastAsia" w:cs="Times New Roman" w:eastAsiaTheme="minorEastAsia"/>
                <w:b/>
                <w:bCs/>
                <w:color w:val="auto"/>
                <w:szCs w:val="21"/>
                <w:highlight w:val="none"/>
                <w:lang w:val="en-US" w:eastAsia="zh-CN"/>
              </w:rPr>
              <w:t>2</w:t>
            </w:r>
            <w:r>
              <w:rPr>
                <w:rFonts w:hint="default" w:ascii="Times New Roman" w:hAnsi="Times New Roman" w:cs="Times New Roman" w:eastAsiaTheme="minorEastAsia"/>
                <w:b/>
                <w:bCs/>
                <w:color w:val="auto"/>
                <w:szCs w:val="21"/>
                <w:highlight w:val="none"/>
              </w:rPr>
              <w:t xml:space="preserve">   项目产噪设备源强一览表</w:t>
            </w:r>
          </w:p>
          <w:tbl>
            <w:tblPr>
              <w:tblStyle w:val="29"/>
              <w:tblW w:w="497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91"/>
              <w:gridCol w:w="1760"/>
              <w:gridCol w:w="3539"/>
              <w:gridCol w:w="1743"/>
            </w:tblGrid>
            <w:tr w14:paraId="545992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25" w:type="pct"/>
                  <w:vMerge w:val="restart"/>
                  <w:noWrap w:val="0"/>
                  <w:vAlign w:val="center"/>
                </w:tcPr>
                <w:p w14:paraId="59BF16E5">
                  <w:pPr>
                    <w:pStyle w:val="12"/>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Cs w:val="18"/>
                      <w:highlight w:val="none"/>
                      <w:lang w:val="en-US" w:eastAsia="zh-CN"/>
                    </w:rPr>
                  </w:pPr>
                  <w:r>
                    <w:rPr>
                      <w:rFonts w:hint="default" w:ascii="Times New Roman" w:hAnsi="Times New Roman" w:cs="Times New Roman" w:eastAsiaTheme="minorEastAsia"/>
                      <w:b/>
                      <w:bCs/>
                      <w:color w:val="auto"/>
                      <w:szCs w:val="18"/>
                      <w:highlight w:val="none"/>
                      <w:lang w:val="en-US" w:eastAsia="zh-CN"/>
                    </w:rPr>
                    <w:t>设备名称</w:t>
                  </w:r>
                </w:p>
              </w:tc>
              <w:tc>
                <w:tcPr>
                  <w:tcW w:w="1043" w:type="pct"/>
                  <w:vMerge w:val="restart"/>
                  <w:noWrap w:val="0"/>
                  <w:vAlign w:val="center"/>
                </w:tcPr>
                <w:p w14:paraId="37C80456">
                  <w:pPr>
                    <w:pStyle w:val="12"/>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Cs w:val="18"/>
                      <w:highlight w:val="none"/>
                      <w:lang w:val="en-US" w:eastAsia="zh-CN"/>
                    </w:rPr>
                  </w:pPr>
                  <w:r>
                    <w:rPr>
                      <w:rFonts w:hint="default" w:ascii="Times New Roman" w:hAnsi="Times New Roman" w:cs="Times New Roman" w:eastAsiaTheme="minorEastAsia"/>
                      <w:b/>
                      <w:bCs/>
                      <w:color w:val="auto"/>
                      <w:szCs w:val="18"/>
                      <w:highlight w:val="none"/>
                      <w:lang w:val="en-US" w:eastAsia="zh-CN"/>
                    </w:rPr>
                    <w:t>治理前声压级Leq（A）</w:t>
                  </w:r>
                </w:p>
              </w:tc>
              <w:tc>
                <w:tcPr>
                  <w:tcW w:w="2098" w:type="pct"/>
                  <w:vMerge w:val="restart"/>
                  <w:noWrap w:val="0"/>
                  <w:vAlign w:val="center"/>
                </w:tcPr>
                <w:p w14:paraId="3A0C33AF">
                  <w:pPr>
                    <w:pStyle w:val="12"/>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Cs w:val="18"/>
                      <w:highlight w:val="none"/>
                      <w:lang w:val="en-US" w:eastAsia="zh-CN"/>
                    </w:rPr>
                  </w:pPr>
                  <w:r>
                    <w:rPr>
                      <w:rFonts w:hint="default" w:ascii="Times New Roman" w:hAnsi="Times New Roman" w:cs="Times New Roman" w:eastAsiaTheme="minorEastAsia"/>
                      <w:b/>
                      <w:bCs/>
                      <w:color w:val="auto"/>
                      <w:szCs w:val="18"/>
                      <w:highlight w:val="none"/>
                      <w:lang w:val="en-US" w:eastAsia="zh-CN"/>
                    </w:rPr>
                    <w:t>治理措施</w:t>
                  </w:r>
                </w:p>
              </w:tc>
              <w:tc>
                <w:tcPr>
                  <w:tcW w:w="1033" w:type="pct"/>
                  <w:vMerge w:val="restart"/>
                  <w:noWrap w:val="0"/>
                  <w:vAlign w:val="center"/>
                </w:tcPr>
                <w:p w14:paraId="0B8B8401">
                  <w:pPr>
                    <w:pStyle w:val="12"/>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cs="Times New Roman" w:eastAsiaTheme="minorEastAsia"/>
                      <w:b/>
                      <w:bCs/>
                      <w:color w:val="auto"/>
                      <w:szCs w:val="18"/>
                      <w:highlight w:val="none"/>
                      <w:lang w:val="en-US" w:eastAsia="zh-CN"/>
                    </w:rPr>
                  </w:pPr>
                  <w:r>
                    <w:rPr>
                      <w:rFonts w:hint="default" w:ascii="Times New Roman" w:hAnsi="Times New Roman" w:cs="Times New Roman" w:eastAsiaTheme="minorEastAsia"/>
                      <w:b/>
                      <w:bCs/>
                      <w:color w:val="auto"/>
                      <w:szCs w:val="18"/>
                      <w:highlight w:val="none"/>
                      <w:lang w:val="en-US" w:eastAsia="zh-CN"/>
                    </w:rPr>
                    <w:t>治理后声压级Leq（A）</w:t>
                  </w:r>
                </w:p>
              </w:tc>
            </w:tr>
            <w:tr w14:paraId="01162B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25" w:type="pct"/>
                  <w:vMerge w:val="continue"/>
                  <w:tcBorders>
                    <w:bottom w:val="single" w:color="auto" w:sz="12" w:space="0"/>
                  </w:tcBorders>
                  <w:noWrap w:val="0"/>
                  <w:vAlign w:val="center"/>
                </w:tcPr>
                <w:p w14:paraId="221C6A7C">
                  <w:pPr>
                    <w:pStyle w:val="12"/>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cs="Times New Roman" w:eastAsiaTheme="minorEastAsia"/>
                      <w:color w:val="auto"/>
                      <w:highlight w:val="none"/>
                    </w:rPr>
                  </w:pPr>
                </w:p>
              </w:tc>
              <w:tc>
                <w:tcPr>
                  <w:tcW w:w="1043" w:type="pct"/>
                  <w:vMerge w:val="continue"/>
                  <w:tcBorders>
                    <w:bottom w:val="single" w:color="auto" w:sz="12" w:space="0"/>
                  </w:tcBorders>
                  <w:noWrap w:val="0"/>
                  <w:vAlign w:val="center"/>
                </w:tcPr>
                <w:p w14:paraId="0404D842">
                  <w:pPr>
                    <w:pStyle w:val="12"/>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cs="Times New Roman" w:eastAsiaTheme="minorEastAsia"/>
                      <w:color w:val="auto"/>
                      <w:highlight w:val="none"/>
                    </w:rPr>
                  </w:pPr>
                </w:p>
              </w:tc>
              <w:tc>
                <w:tcPr>
                  <w:tcW w:w="2098" w:type="pct"/>
                  <w:vMerge w:val="continue"/>
                  <w:tcBorders>
                    <w:bottom w:val="single" w:color="auto" w:sz="12" w:space="0"/>
                  </w:tcBorders>
                  <w:noWrap w:val="0"/>
                  <w:vAlign w:val="center"/>
                </w:tcPr>
                <w:p w14:paraId="3B0E3568">
                  <w:pPr>
                    <w:pStyle w:val="12"/>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cs="Times New Roman" w:eastAsiaTheme="minorEastAsia"/>
                      <w:color w:val="auto"/>
                      <w:highlight w:val="none"/>
                    </w:rPr>
                  </w:pPr>
                </w:p>
              </w:tc>
              <w:tc>
                <w:tcPr>
                  <w:tcW w:w="1033" w:type="pct"/>
                  <w:vMerge w:val="continue"/>
                  <w:tcBorders>
                    <w:bottom w:val="single" w:color="auto" w:sz="12" w:space="0"/>
                  </w:tcBorders>
                  <w:noWrap w:val="0"/>
                  <w:vAlign w:val="center"/>
                </w:tcPr>
                <w:p w14:paraId="0981379B">
                  <w:pPr>
                    <w:pStyle w:val="12"/>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cs="Times New Roman" w:eastAsiaTheme="minorEastAsia"/>
                      <w:color w:val="auto"/>
                      <w:highlight w:val="none"/>
                    </w:rPr>
                  </w:pPr>
                </w:p>
              </w:tc>
            </w:tr>
            <w:tr w14:paraId="77692D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25" w:type="pct"/>
                  <w:tcBorders>
                    <w:top w:val="single" w:color="auto" w:sz="12" w:space="0"/>
                  </w:tcBorders>
                  <w:noWrap w:val="0"/>
                  <w:vAlign w:val="center"/>
                </w:tcPr>
                <w:p w14:paraId="34F41139">
                  <w:pPr>
                    <w:pStyle w:val="12"/>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cs="Times New Roman" w:eastAsiaTheme="minorEastAsia"/>
                      <w:color w:val="auto"/>
                      <w:szCs w:val="18"/>
                      <w:highlight w:val="none"/>
                      <w:lang w:val="en-US" w:eastAsia="zh-CN"/>
                    </w:rPr>
                  </w:pPr>
                  <w:r>
                    <w:rPr>
                      <w:rFonts w:hint="default" w:ascii="Times New Roman" w:hAnsi="Times New Roman" w:cs="Times New Roman" w:eastAsiaTheme="minorEastAsia"/>
                      <w:color w:val="auto"/>
                      <w:szCs w:val="18"/>
                      <w:highlight w:val="none"/>
                      <w:lang w:val="en-US" w:eastAsia="zh-CN"/>
                    </w:rPr>
                    <w:t>运输车辆</w:t>
                  </w:r>
                </w:p>
              </w:tc>
              <w:tc>
                <w:tcPr>
                  <w:tcW w:w="1043" w:type="pct"/>
                  <w:noWrap w:val="0"/>
                  <w:vAlign w:val="center"/>
                </w:tcPr>
                <w:p w14:paraId="0728401C">
                  <w:pPr>
                    <w:pStyle w:val="12"/>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cs="Times New Roman" w:eastAsiaTheme="minorEastAsia"/>
                      <w:color w:val="auto"/>
                      <w:szCs w:val="16"/>
                      <w:highlight w:val="none"/>
                      <w:lang w:val="en-US" w:eastAsia="zh-CN"/>
                    </w:rPr>
                  </w:pPr>
                  <w:r>
                    <w:rPr>
                      <w:rFonts w:hint="default" w:ascii="Times New Roman" w:hAnsi="Times New Roman" w:cs="Times New Roman" w:eastAsiaTheme="minorEastAsia"/>
                      <w:color w:val="auto"/>
                      <w:szCs w:val="16"/>
                      <w:highlight w:val="none"/>
                      <w:lang w:val="en-US" w:eastAsia="zh-CN"/>
                    </w:rPr>
                    <w:t>75dB</w:t>
                  </w:r>
                  <w:r>
                    <w:rPr>
                      <w:rFonts w:hint="default" w:ascii="Times New Roman" w:hAnsi="Times New Roman" w:cs="Times New Roman" w:eastAsiaTheme="minorEastAsia"/>
                      <w:b/>
                      <w:bCs/>
                      <w:color w:val="auto"/>
                      <w:szCs w:val="18"/>
                      <w:highlight w:val="none"/>
                      <w:lang w:val="en-US" w:eastAsia="zh-CN"/>
                    </w:rPr>
                    <w:t>（A）</w:t>
                  </w:r>
                </w:p>
              </w:tc>
              <w:tc>
                <w:tcPr>
                  <w:tcW w:w="2098" w:type="pct"/>
                  <w:tcBorders>
                    <w:top w:val="single" w:color="auto" w:sz="12" w:space="0"/>
                  </w:tcBorders>
                  <w:noWrap w:val="0"/>
                  <w:vAlign w:val="center"/>
                </w:tcPr>
                <w:p w14:paraId="3CD1D163">
                  <w:pPr>
                    <w:pStyle w:val="12"/>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cs="Times New Roman" w:eastAsiaTheme="minorEastAsia"/>
                      <w:color w:val="auto"/>
                      <w:szCs w:val="16"/>
                      <w:highlight w:val="none"/>
                    </w:rPr>
                  </w:pPr>
                  <w:r>
                    <w:rPr>
                      <w:rFonts w:hint="default" w:ascii="Times New Roman" w:hAnsi="Times New Roman" w:cs="Times New Roman" w:eastAsiaTheme="minorEastAsia"/>
                      <w:color w:val="auto"/>
                      <w:szCs w:val="16"/>
                      <w:highlight w:val="none"/>
                    </w:rPr>
                    <w:t>运输车辆定期保养、厂区内限速行驶等措施</w:t>
                  </w:r>
                </w:p>
              </w:tc>
              <w:tc>
                <w:tcPr>
                  <w:tcW w:w="1033" w:type="pct"/>
                  <w:noWrap w:val="0"/>
                  <w:vAlign w:val="center"/>
                </w:tcPr>
                <w:p w14:paraId="4E4DCA00">
                  <w:pPr>
                    <w:pStyle w:val="12"/>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cs="Times New Roman" w:eastAsiaTheme="minorEastAsia"/>
                      <w:color w:val="auto"/>
                      <w:szCs w:val="16"/>
                      <w:highlight w:val="none"/>
                    </w:rPr>
                  </w:pPr>
                  <w:r>
                    <w:rPr>
                      <w:rFonts w:hint="default" w:ascii="Times New Roman" w:hAnsi="Times New Roman" w:cs="Times New Roman" w:eastAsiaTheme="minorEastAsia"/>
                      <w:color w:val="auto"/>
                      <w:szCs w:val="16"/>
                      <w:highlight w:val="none"/>
                      <w:lang w:val="en-US" w:eastAsia="zh-CN"/>
                    </w:rPr>
                    <w:t>45dB</w:t>
                  </w:r>
                  <w:r>
                    <w:rPr>
                      <w:rFonts w:hint="default" w:ascii="Times New Roman" w:hAnsi="Times New Roman" w:cs="Times New Roman" w:eastAsiaTheme="minorEastAsia"/>
                      <w:b/>
                      <w:bCs/>
                      <w:color w:val="auto"/>
                      <w:szCs w:val="18"/>
                      <w:highlight w:val="none"/>
                      <w:lang w:val="en-US" w:eastAsia="zh-CN"/>
                    </w:rPr>
                    <w:t>（A）</w:t>
                  </w:r>
                </w:p>
              </w:tc>
            </w:tr>
          </w:tbl>
          <w:p w14:paraId="27400148">
            <w:pPr>
              <w:pStyle w:val="5"/>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right="0" w:rightChars="0"/>
              <w:contextualSpacing/>
              <w:jc w:val="both"/>
              <w:textAlignment w:val="auto"/>
              <w:rPr>
                <w:rFonts w:hint="default" w:ascii="Times New Roman" w:hAnsi="Times New Roman" w:cs="Times New Roman" w:eastAsiaTheme="minorEastAsia"/>
                <w:b/>
                <w:bCs/>
                <w:color w:val="auto"/>
              </w:rPr>
            </w:pPr>
            <w:r>
              <w:rPr>
                <w:rFonts w:hint="default" w:ascii="Times New Roman" w:hAnsi="Times New Roman" w:cs="Times New Roman" w:eastAsiaTheme="minorEastAsia"/>
                <w:b/>
                <w:bCs/>
                <w:color w:val="auto"/>
              </w:rPr>
              <w:t>3.2防治措施</w:t>
            </w:r>
          </w:p>
          <w:p w14:paraId="406899A1">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snapToGrid w:val="0"/>
                <w:color w:val="auto"/>
                <w:sz w:val="24"/>
                <w:highlight w:val="none"/>
                <w:lang w:val="en-US" w:eastAsia="zh-CN"/>
              </w:rPr>
            </w:pPr>
            <w:r>
              <w:rPr>
                <w:rFonts w:hint="eastAsia" w:cs="Times New Roman" w:eastAsiaTheme="minorEastAsia"/>
                <w:snapToGrid w:val="0"/>
                <w:color w:val="auto"/>
                <w:sz w:val="24"/>
                <w:highlight w:val="none"/>
                <w:lang w:val="en-US" w:eastAsia="zh-CN"/>
              </w:rPr>
              <w:t>本</w:t>
            </w:r>
            <w:r>
              <w:rPr>
                <w:rFonts w:hint="default" w:ascii="Times New Roman" w:hAnsi="Times New Roman" w:cs="Times New Roman" w:eastAsiaTheme="minorEastAsia"/>
                <w:snapToGrid w:val="0"/>
                <w:color w:val="auto"/>
                <w:sz w:val="24"/>
                <w:highlight w:val="none"/>
              </w:rPr>
              <w:t>项目区主要通过加强车辆管理，避免车辆不必要的怠速、制动、起动以及鸣号等措施对运营期噪声进行防治</w:t>
            </w:r>
            <w:r>
              <w:rPr>
                <w:rFonts w:hint="default" w:ascii="Times New Roman" w:hAnsi="Times New Roman" w:cs="Times New Roman" w:eastAsiaTheme="minorEastAsia"/>
                <w:snapToGrid w:val="0"/>
                <w:color w:val="auto"/>
                <w:sz w:val="24"/>
                <w:highlight w:val="none"/>
                <w:lang w:eastAsia="zh-CN"/>
              </w:rPr>
              <w:t>。</w:t>
            </w:r>
          </w:p>
          <w:p w14:paraId="0058C13E">
            <w:pPr>
              <w:pStyle w:val="5"/>
              <w:keepNext w:val="0"/>
              <w:keepLines w:val="0"/>
              <w:pageBreakBefore w:val="0"/>
              <w:widowControl w:val="0"/>
              <w:kinsoku/>
              <w:wordWrap/>
              <w:overflowPunct/>
              <w:topLinePunct w:val="0"/>
              <w:autoSpaceDE/>
              <w:autoSpaceDN/>
              <w:bidi w:val="0"/>
              <w:spacing w:beforeAutospacing="0" w:after="0" w:afterAutospacing="0" w:line="360" w:lineRule="auto"/>
              <w:ind w:left="0" w:leftChars="0" w:right="0" w:rightChars="0"/>
              <w:contextualSpacing/>
              <w:jc w:val="both"/>
              <w:textAlignment w:val="auto"/>
              <w:rPr>
                <w:rFonts w:hint="default" w:ascii="Times New Roman" w:hAnsi="Times New Roman" w:cs="Times New Roman" w:eastAsiaTheme="minorEastAsia"/>
                <w:b/>
                <w:bCs/>
                <w:color w:val="auto"/>
              </w:rPr>
            </w:pPr>
            <w:r>
              <w:rPr>
                <w:rFonts w:hint="default" w:ascii="Times New Roman" w:hAnsi="Times New Roman" w:cs="Times New Roman" w:eastAsiaTheme="minorEastAsia"/>
                <w:b/>
                <w:bCs/>
                <w:color w:val="auto"/>
              </w:rPr>
              <w:t>3.</w:t>
            </w:r>
            <w:r>
              <w:rPr>
                <w:rFonts w:hint="default" w:ascii="Times New Roman" w:hAnsi="Times New Roman" w:cs="Times New Roman" w:eastAsiaTheme="minorEastAsia"/>
                <w:b/>
                <w:bCs/>
                <w:color w:val="auto"/>
                <w:lang w:val="en-US" w:eastAsia="zh-CN"/>
              </w:rPr>
              <w:t>3</w:t>
            </w:r>
            <w:r>
              <w:rPr>
                <w:rFonts w:hint="default" w:ascii="Times New Roman" w:hAnsi="Times New Roman" w:cs="Times New Roman" w:eastAsiaTheme="minorEastAsia"/>
                <w:b/>
                <w:bCs/>
                <w:color w:val="auto"/>
                <w:szCs w:val="24"/>
              </w:rPr>
              <w:t>噪声监测计划</w:t>
            </w:r>
          </w:p>
          <w:p w14:paraId="2E8FC166">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rPr>
              <w:t>根据《排污单位自行监测技术指南总则》（HJ819-2017），制定本项目投产后的</w:t>
            </w:r>
            <w:r>
              <w:rPr>
                <w:rFonts w:hint="default" w:ascii="Times New Roman" w:hAnsi="Times New Roman" w:cs="Times New Roman" w:eastAsiaTheme="minorEastAsia"/>
                <w:color w:val="auto"/>
                <w:sz w:val="24"/>
                <w:lang w:val="en-US" w:eastAsia="zh-CN"/>
              </w:rPr>
              <w:t>噪声</w:t>
            </w:r>
            <w:r>
              <w:rPr>
                <w:rFonts w:hint="default" w:ascii="Times New Roman" w:hAnsi="Times New Roman" w:cs="Times New Roman" w:eastAsiaTheme="minorEastAsia"/>
                <w:color w:val="auto"/>
                <w:sz w:val="24"/>
              </w:rPr>
              <w:t>自行监测计划</w:t>
            </w:r>
            <w:r>
              <w:rPr>
                <w:rFonts w:hint="default" w:ascii="Times New Roman" w:hAnsi="Times New Roman" w:cs="Times New Roman" w:eastAsiaTheme="minorEastAsia"/>
                <w:color w:val="auto"/>
                <w:sz w:val="24"/>
                <w:lang w:val="en-US" w:eastAsia="zh-CN"/>
              </w:rPr>
              <w:t>见表4-</w:t>
            </w:r>
            <w:r>
              <w:rPr>
                <w:rFonts w:hint="eastAsia" w:cs="Times New Roman" w:eastAsiaTheme="minorEastAsia"/>
                <w:color w:val="auto"/>
                <w:sz w:val="24"/>
                <w:lang w:val="en-US" w:eastAsia="zh-CN"/>
              </w:rPr>
              <w:t>3</w:t>
            </w:r>
            <w:r>
              <w:rPr>
                <w:rFonts w:hint="default" w:ascii="Times New Roman" w:hAnsi="Times New Roman" w:cs="Times New Roman" w:eastAsiaTheme="minorEastAsia"/>
                <w:color w:val="auto"/>
                <w:sz w:val="24"/>
                <w:lang w:val="en-US" w:eastAsia="zh-CN"/>
              </w:rPr>
              <w:t>。</w:t>
            </w:r>
          </w:p>
          <w:p w14:paraId="714BF5B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Cs w:val="21"/>
                <w:highlight w:val="none"/>
              </w:rPr>
              <w:t>表4</w:t>
            </w:r>
            <w:r>
              <w:rPr>
                <w:rFonts w:hint="default" w:ascii="Times New Roman" w:hAnsi="Times New Roman" w:cs="Times New Roman" w:eastAsiaTheme="minorEastAsia"/>
                <w:b/>
                <w:bCs/>
                <w:color w:val="auto"/>
                <w:szCs w:val="21"/>
                <w:highlight w:val="none"/>
                <w:lang w:val="en-US" w:eastAsia="zh-CN"/>
              </w:rPr>
              <w:t>-</w:t>
            </w:r>
            <w:r>
              <w:rPr>
                <w:rFonts w:hint="eastAsia" w:cs="Times New Roman" w:eastAsiaTheme="minorEastAsia"/>
                <w:b/>
                <w:bCs/>
                <w:color w:val="auto"/>
                <w:szCs w:val="21"/>
                <w:highlight w:val="none"/>
                <w:lang w:val="en-US" w:eastAsia="zh-CN"/>
              </w:rPr>
              <w:t>3</w:t>
            </w:r>
            <w:r>
              <w:rPr>
                <w:rFonts w:hint="default" w:ascii="Times New Roman" w:hAnsi="Times New Roman" w:cs="Times New Roman" w:eastAsiaTheme="minorEastAsia"/>
                <w:b/>
                <w:bCs/>
                <w:color w:val="auto"/>
                <w:szCs w:val="21"/>
                <w:highlight w:val="none"/>
              </w:rPr>
              <w:t xml:space="preserve">   项目运营期噪声监测计划</w:t>
            </w:r>
          </w:p>
          <w:tbl>
            <w:tblPr>
              <w:tblStyle w:val="3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80"/>
              <w:gridCol w:w="1616"/>
              <w:gridCol w:w="1318"/>
              <w:gridCol w:w="3453"/>
            </w:tblGrid>
            <w:tr w14:paraId="7B70F4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28" w:type="pct"/>
                  <w:tcBorders>
                    <w:bottom w:val="single" w:color="auto" w:sz="12" w:space="0"/>
                  </w:tcBorders>
                  <w:noWrap w:val="0"/>
                  <w:vAlign w:val="center"/>
                </w:tcPr>
                <w:p w14:paraId="02B2B79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监测点位</w:t>
                  </w:r>
                </w:p>
              </w:tc>
              <w:tc>
                <w:tcPr>
                  <w:tcW w:w="954" w:type="pct"/>
                  <w:noWrap w:val="0"/>
                  <w:vAlign w:val="center"/>
                </w:tcPr>
                <w:p w14:paraId="032FDD1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监测因子</w:t>
                  </w:r>
                </w:p>
              </w:tc>
              <w:tc>
                <w:tcPr>
                  <w:tcW w:w="778" w:type="pct"/>
                  <w:noWrap w:val="0"/>
                  <w:vAlign w:val="center"/>
                </w:tcPr>
                <w:p w14:paraId="292B9BE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监测频次</w:t>
                  </w:r>
                </w:p>
              </w:tc>
              <w:tc>
                <w:tcPr>
                  <w:tcW w:w="2038" w:type="pct"/>
                  <w:noWrap w:val="0"/>
                  <w:vAlign w:val="center"/>
                </w:tcPr>
                <w:p w14:paraId="6EB5B8B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执行标准</w:t>
                  </w:r>
                </w:p>
              </w:tc>
            </w:tr>
            <w:tr w14:paraId="4C8946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28" w:type="pct"/>
                  <w:tcBorders>
                    <w:top w:val="single" w:color="auto" w:sz="12" w:space="0"/>
                    <w:bottom w:val="single" w:color="auto" w:sz="4" w:space="0"/>
                  </w:tcBorders>
                  <w:noWrap w:val="0"/>
                  <w:vAlign w:val="center"/>
                </w:tcPr>
                <w:p w14:paraId="100280BA">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eastAsia="zh-CN"/>
                    </w:rPr>
                    <w:t>厂界东侧</w:t>
                  </w:r>
                </w:p>
              </w:tc>
              <w:tc>
                <w:tcPr>
                  <w:tcW w:w="954" w:type="pct"/>
                  <w:vMerge w:val="restart"/>
                  <w:tcBorders>
                    <w:top w:val="single" w:color="auto" w:sz="12" w:space="0"/>
                  </w:tcBorders>
                  <w:noWrap w:val="0"/>
                  <w:vAlign w:val="center"/>
                </w:tcPr>
                <w:p w14:paraId="0CA9C5C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噪声</w:t>
                  </w:r>
                </w:p>
              </w:tc>
              <w:tc>
                <w:tcPr>
                  <w:tcW w:w="778" w:type="pct"/>
                  <w:vMerge w:val="restart"/>
                  <w:tcBorders>
                    <w:top w:val="single" w:color="auto" w:sz="12" w:space="0"/>
                  </w:tcBorders>
                  <w:noWrap w:val="0"/>
                  <w:vAlign w:val="center"/>
                </w:tcPr>
                <w:p w14:paraId="4F057D7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1次/年</w:t>
                  </w:r>
                </w:p>
              </w:tc>
              <w:tc>
                <w:tcPr>
                  <w:tcW w:w="2038" w:type="pct"/>
                  <w:vMerge w:val="restart"/>
                  <w:tcBorders>
                    <w:top w:val="single" w:color="auto" w:sz="12" w:space="0"/>
                  </w:tcBorders>
                  <w:noWrap w:val="0"/>
                  <w:vAlign w:val="center"/>
                </w:tcPr>
                <w:p w14:paraId="7312678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《工业企业厂界环境噪声排放标准》（GB12348-2008）中1类标准</w:t>
                  </w:r>
                </w:p>
              </w:tc>
            </w:tr>
            <w:tr w14:paraId="63ABE5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03" w:type="dxa"/>
                  <w:tcBorders>
                    <w:top w:val="single" w:color="auto" w:sz="4" w:space="0"/>
                  </w:tcBorders>
                  <w:noWrap w:val="0"/>
                  <w:vAlign w:val="center"/>
                </w:tcPr>
                <w:p w14:paraId="30D77283">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eastAsia="zh-CN"/>
                    </w:rPr>
                    <w:t>厂界南侧</w:t>
                  </w:r>
                </w:p>
              </w:tc>
              <w:tc>
                <w:tcPr>
                  <w:tcW w:w="954" w:type="pct"/>
                  <w:vMerge w:val="continue"/>
                  <w:noWrap w:val="0"/>
                  <w:vAlign w:val="top"/>
                </w:tcPr>
                <w:p w14:paraId="161A707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p>
              </w:tc>
              <w:tc>
                <w:tcPr>
                  <w:tcW w:w="778" w:type="pct"/>
                  <w:vMerge w:val="continue"/>
                  <w:noWrap w:val="0"/>
                  <w:vAlign w:val="top"/>
                </w:tcPr>
                <w:p w14:paraId="60BA12D7">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p>
              </w:tc>
              <w:tc>
                <w:tcPr>
                  <w:tcW w:w="2038" w:type="pct"/>
                  <w:vMerge w:val="continue"/>
                  <w:noWrap w:val="0"/>
                  <w:vAlign w:val="top"/>
                </w:tcPr>
                <w:p w14:paraId="297AE68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p>
              </w:tc>
            </w:tr>
            <w:tr w14:paraId="14E340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03" w:type="dxa"/>
                  <w:noWrap w:val="0"/>
                  <w:vAlign w:val="center"/>
                </w:tcPr>
                <w:p w14:paraId="625782AD">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eastAsia="zh-CN"/>
                    </w:rPr>
                    <w:t>厂界西侧</w:t>
                  </w:r>
                </w:p>
              </w:tc>
              <w:tc>
                <w:tcPr>
                  <w:tcW w:w="954" w:type="pct"/>
                  <w:vMerge w:val="continue"/>
                  <w:noWrap w:val="0"/>
                  <w:vAlign w:val="top"/>
                </w:tcPr>
                <w:p w14:paraId="0FB2326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p>
              </w:tc>
              <w:tc>
                <w:tcPr>
                  <w:tcW w:w="778" w:type="pct"/>
                  <w:vMerge w:val="continue"/>
                  <w:noWrap w:val="0"/>
                  <w:vAlign w:val="top"/>
                </w:tcPr>
                <w:p w14:paraId="669FDC1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p>
              </w:tc>
              <w:tc>
                <w:tcPr>
                  <w:tcW w:w="2038" w:type="pct"/>
                  <w:vMerge w:val="continue"/>
                  <w:noWrap w:val="0"/>
                  <w:vAlign w:val="top"/>
                </w:tcPr>
                <w:p w14:paraId="182B953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p>
              </w:tc>
            </w:tr>
            <w:tr w14:paraId="56C8B7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03" w:type="dxa"/>
                  <w:noWrap w:val="0"/>
                  <w:vAlign w:val="center"/>
                </w:tcPr>
                <w:p w14:paraId="1F9C522B">
                  <w:pPr>
                    <w:keepNext w:val="0"/>
                    <w:keepLines w:val="0"/>
                    <w:pageBreakBefore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eastAsia="zh-CN"/>
                    </w:rPr>
                    <w:t>厂界北侧</w:t>
                  </w:r>
                </w:p>
              </w:tc>
              <w:tc>
                <w:tcPr>
                  <w:tcW w:w="954" w:type="pct"/>
                  <w:vMerge w:val="continue"/>
                  <w:noWrap w:val="0"/>
                  <w:vAlign w:val="top"/>
                </w:tcPr>
                <w:p w14:paraId="52BCD11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p>
              </w:tc>
              <w:tc>
                <w:tcPr>
                  <w:tcW w:w="778" w:type="pct"/>
                  <w:vMerge w:val="continue"/>
                  <w:noWrap w:val="0"/>
                  <w:vAlign w:val="top"/>
                </w:tcPr>
                <w:p w14:paraId="612A918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p>
              </w:tc>
              <w:tc>
                <w:tcPr>
                  <w:tcW w:w="2038" w:type="pct"/>
                  <w:vMerge w:val="continue"/>
                  <w:noWrap w:val="0"/>
                  <w:vAlign w:val="top"/>
                </w:tcPr>
                <w:p w14:paraId="5344354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p>
              </w:tc>
            </w:tr>
          </w:tbl>
          <w:p w14:paraId="54B2532D">
            <w:pPr>
              <w:pStyle w:val="70"/>
              <w:pageBreakBefore w:val="0"/>
              <w:kinsoku/>
              <w:bidi w:val="0"/>
              <w:spacing w:beforeAutospacing="0" w:afterAutospacing="0" w:line="360" w:lineRule="auto"/>
              <w:ind w:left="0" w:leftChars="0" w:right="0" w:rightChars="0" w:firstLine="0" w:firstLineChars="0"/>
              <w:rPr>
                <w:rFonts w:hint="default" w:ascii="Times New Roman" w:hAnsi="Times New Roman" w:cs="Times New Roman" w:eastAsiaTheme="minorEastAsia"/>
                <w:b/>
                <w:color w:val="auto"/>
                <w:sz w:val="24"/>
                <w:szCs w:val="24"/>
              </w:rPr>
            </w:pPr>
            <w:r>
              <w:rPr>
                <w:rFonts w:hint="default" w:ascii="Times New Roman" w:hAnsi="Times New Roman" w:cs="Times New Roman" w:eastAsiaTheme="minorEastAsia"/>
                <w:b/>
                <w:color w:val="auto"/>
                <w:sz w:val="24"/>
                <w:szCs w:val="24"/>
                <w:lang w:val="en-US" w:eastAsia="zh-CN"/>
              </w:rPr>
              <w:t xml:space="preserve">4 </w:t>
            </w:r>
            <w:r>
              <w:rPr>
                <w:rFonts w:hint="default" w:ascii="Times New Roman" w:hAnsi="Times New Roman" w:cs="Times New Roman" w:eastAsiaTheme="minorEastAsia"/>
                <w:b/>
                <w:color w:val="auto"/>
                <w:sz w:val="24"/>
                <w:szCs w:val="24"/>
              </w:rPr>
              <w:t>固体废物影响</w:t>
            </w:r>
            <w:r>
              <w:rPr>
                <w:rFonts w:hint="default" w:ascii="Times New Roman" w:hAnsi="Times New Roman" w:cs="Times New Roman" w:eastAsiaTheme="minorEastAsia"/>
                <w:b/>
                <w:color w:val="auto"/>
                <w:sz w:val="24"/>
                <w:highlight w:val="none"/>
                <w:lang w:val="en-US" w:eastAsia="zh-CN"/>
              </w:rPr>
              <w:t>及</w:t>
            </w:r>
            <w:r>
              <w:rPr>
                <w:rFonts w:hint="default" w:ascii="Times New Roman" w:hAnsi="Times New Roman" w:cs="Times New Roman" w:eastAsiaTheme="minorEastAsia"/>
                <w:b/>
                <w:color w:val="auto"/>
                <w:sz w:val="24"/>
                <w:highlight w:val="none"/>
              </w:rPr>
              <w:t>防治措施</w:t>
            </w:r>
          </w:p>
          <w:p w14:paraId="33880F07">
            <w:pPr>
              <w:pageBreakBefore w:val="0"/>
              <w:numPr>
                <w:ilvl w:val="0"/>
                <w:numId w:val="0"/>
              </w:numPr>
              <w:kinsoku/>
              <w:bidi w:val="0"/>
              <w:spacing w:beforeAutospacing="0" w:afterAutospacing="0" w:line="360" w:lineRule="auto"/>
              <w:ind w:left="0" w:leftChars="0" w:right="0" w:rightChars="0"/>
              <w:rPr>
                <w:rFonts w:hint="default" w:ascii="Times New Roman" w:hAnsi="Times New Roman" w:cs="Times New Roman" w:eastAsiaTheme="minorEastAsia"/>
                <w:b/>
                <w:color w:val="auto"/>
                <w:sz w:val="24"/>
                <w:highlight w:val="none"/>
                <w:lang w:val="en-US" w:eastAsia="zh-CN"/>
              </w:rPr>
            </w:pPr>
            <w:r>
              <w:rPr>
                <w:rFonts w:hint="default" w:ascii="Times New Roman" w:hAnsi="Times New Roman" w:cs="Times New Roman" w:eastAsiaTheme="minorEastAsia"/>
                <w:b/>
                <w:color w:val="auto"/>
                <w:sz w:val="24"/>
                <w:highlight w:val="none"/>
                <w:lang w:val="en-US" w:eastAsia="zh-CN"/>
              </w:rPr>
              <w:t>4.1固体废物产生及处置情况</w:t>
            </w:r>
          </w:p>
          <w:p w14:paraId="386058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本项目不新增劳动定员，无生活垃圾产生及排放，项目建成运营后，</w:t>
            </w:r>
            <w:r>
              <w:rPr>
                <w:rFonts w:hint="default" w:ascii="Times New Roman" w:hAnsi="Times New Roman" w:cs="Times New Roman" w:eastAsiaTheme="minorEastAsia"/>
                <w:color w:val="auto"/>
                <w:sz w:val="24"/>
                <w:lang w:val="en-US" w:eastAsia="zh-CN"/>
              </w:rPr>
              <w:t>仅为</w:t>
            </w:r>
            <w:r>
              <w:rPr>
                <w:rFonts w:hint="default" w:ascii="Times New Roman" w:hAnsi="Times New Roman" w:cs="Times New Roman" w:eastAsiaTheme="minorEastAsia"/>
                <w:color w:val="auto"/>
                <w:sz w:val="24"/>
              </w:rPr>
              <w:t>危险废物收集、厂内转移，</w:t>
            </w:r>
            <w:r>
              <w:rPr>
                <w:rFonts w:ascii="宋体" w:hAnsi="宋体" w:eastAsia="宋体" w:cs="宋体"/>
                <w:color w:val="auto"/>
                <w:sz w:val="24"/>
                <w:szCs w:val="24"/>
              </w:rPr>
              <w:t>不新增一般工业固体废物及生活垃圾</w:t>
            </w:r>
            <w:r>
              <w:rPr>
                <w:rFonts w:hint="default" w:ascii="Times New Roman" w:hAnsi="Times New Roman" w:cs="Times New Roman" w:eastAsiaTheme="minorEastAsia"/>
                <w:color w:val="auto"/>
                <w:sz w:val="24"/>
              </w:rPr>
              <w:t>。</w:t>
            </w:r>
          </w:p>
          <w:p w14:paraId="0D79246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另外，建设单位应依据《危险废物管理计划和管理台账制定技术导则》（HJ 1259</w:t>
            </w:r>
            <w:r>
              <w:rPr>
                <w:rFonts w:hint="eastAsia" w:cs="Times New Roman" w:eastAsiaTheme="minorEastAsia"/>
                <w:color w:val="auto"/>
                <w:sz w:val="24"/>
                <w:lang w:val="en-US" w:eastAsia="zh-CN"/>
              </w:rPr>
              <w:t>-</w:t>
            </w:r>
            <w:r>
              <w:rPr>
                <w:rFonts w:hint="default" w:ascii="Times New Roman" w:hAnsi="Times New Roman" w:cs="Times New Roman" w:eastAsiaTheme="minorEastAsia"/>
                <w:color w:val="auto"/>
                <w:sz w:val="24"/>
              </w:rPr>
              <w:t>2022）编制危险废物管理计划和管理台账，并及时上报当地生态环境管理部门备案；同时本项目危险废物</w:t>
            </w:r>
            <w:r>
              <w:rPr>
                <w:rFonts w:hint="eastAsia" w:cs="Times New Roman" w:eastAsiaTheme="minorEastAsia"/>
                <w:color w:val="auto"/>
                <w:sz w:val="24"/>
                <w:lang w:val="en-US" w:eastAsia="zh-CN"/>
              </w:rPr>
              <w:t>贮存库</w:t>
            </w:r>
            <w:r>
              <w:rPr>
                <w:rFonts w:hint="default" w:ascii="Times New Roman" w:hAnsi="Times New Roman" w:cs="Times New Roman" w:eastAsiaTheme="minorEastAsia"/>
                <w:color w:val="auto"/>
                <w:sz w:val="24"/>
              </w:rPr>
              <w:t>应按《危险废物贮存污染控制标准》（GB18597-2023）要求设置，做到以下几点：</w:t>
            </w:r>
          </w:p>
          <w:p w14:paraId="634090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textAlignment w:val="auto"/>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bCs/>
                <w:color w:val="auto"/>
                <w:sz w:val="24"/>
                <w:lang w:val="en-US" w:eastAsia="zh-CN"/>
              </w:rPr>
              <w:t>1、</w:t>
            </w:r>
            <w:r>
              <w:rPr>
                <w:rFonts w:hint="default" w:ascii="Times New Roman" w:hAnsi="Times New Roman" w:cs="Times New Roman" w:eastAsiaTheme="minorEastAsia"/>
                <w:b/>
                <w:bCs/>
                <w:color w:val="auto"/>
                <w:sz w:val="24"/>
              </w:rPr>
              <w:t>危险废物贮存设施污染控制要求</w:t>
            </w:r>
          </w:p>
          <w:p w14:paraId="2A0E6A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①危废</w:t>
            </w:r>
            <w:r>
              <w:rPr>
                <w:rFonts w:hint="default" w:ascii="Times New Roman" w:hAnsi="Times New Roman" w:cs="Times New Roman" w:eastAsiaTheme="minorEastAsia"/>
                <w:color w:val="auto"/>
                <w:sz w:val="24"/>
                <w:lang w:val="en-US" w:eastAsia="zh-CN"/>
              </w:rPr>
              <w:t>贮存库</w:t>
            </w:r>
            <w:r>
              <w:rPr>
                <w:rFonts w:hint="default" w:ascii="Times New Roman" w:hAnsi="Times New Roman" w:cs="Times New Roman" w:eastAsiaTheme="minorEastAsia"/>
                <w:color w:val="auto"/>
                <w:sz w:val="24"/>
              </w:rPr>
              <w:t>应按不同的危险废物分类收集，划线分区，分类贮存。</w:t>
            </w:r>
          </w:p>
          <w:p w14:paraId="64587A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②本项目危险废物均密闭贮存，仅产生微量废气。</w:t>
            </w:r>
          </w:p>
          <w:p w14:paraId="51D8747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③贮存设施或场所、容器和包装物应按《危险废物识别标志设置技术规范》（HJ1276-2022）要求设置危险废物贮存设施或场所标志、危险废物贮存分区标志和危险废物标签等危险废物识别标志。</w:t>
            </w:r>
          </w:p>
          <w:p w14:paraId="104AB55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jc w:val="center"/>
              <w:textAlignment w:val="auto"/>
              <w:rPr>
                <w:rFonts w:hint="default" w:ascii="Times New Roman" w:hAnsi="Times New Roman" w:cs="Times New Roman" w:eastAsiaTheme="minorEastAsia"/>
                <w:b/>
                <w:bCs/>
                <w:color w:val="auto"/>
                <w:szCs w:val="21"/>
                <w:highlight w:val="none"/>
              </w:rPr>
            </w:pPr>
            <w:r>
              <w:rPr>
                <w:rFonts w:hint="default" w:ascii="Times New Roman" w:hAnsi="Times New Roman" w:cs="Times New Roman" w:eastAsiaTheme="minorEastAsia"/>
                <w:b/>
                <w:bCs/>
                <w:color w:val="auto"/>
                <w:szCs w:val="21"/>
                <w:highlight w:val="none"/>
                <w:lang w:val="en-US" w:eastAsia="zh-CN"/>
              </w:rPr>
              <w:t>表 4-</w:t>
            </w:r>
            <w:r>
              <w:rPr>
                <w:rFonts w:hint="eastAsia" w:cs="Times New Roman" w:eastAsiaTheme="minorEastAsia"/>
                <w:b/>
                <w:bCs/>
                <w:color w:val="auto"/>
                <w:szCs w:val="21"/>
                <w:highlight w:val="none"/>
                <w:lang w:val="en-US" w:eastAsia="zh-CN"/>
              </w:rPr>
              <w:t>4</w:t>
            </w:r>
            <w:r>
              <w:rPr>
                <w:rFonts w:hint="eastAsia" w:ascii="Times New Roman" w:hAnsi="Times New Roman" w:cs="Times New Roman" w:eastAsiaTheme="minorEastAsia"/>
                <w:b/>
                <w:bCs/>
                <w:color w:val="auto"/>
                <w:szCs w:val="21"/>
                <w:highlight w:val="none"/>
                <w:lang w:val="en-US" w:eastAsia="zh-CN"/>
              </w:rPr>
              <w:t xml:space="preserve">  </w:t>
            </w:r>
            <w:r>
              <w:rPr>
                <w:rFonts w:hint="default" w:ascii="Times New Roman" w:hAnsi="Times New Roman" w:cs="Times New Roman" w:eastAsiaTheme="minorEastAsia"/>
                <w:b/>
                <w:bCs/>
                <w:color w:val="auto"/>
                <w:szCs w:val="21"/>
                <w:highlight w:val="none"/>
                <w:lang w:val="en-US" w:eastAsia="zh-CN"/>
              </w:rPr>
              <w:t xml:space="preserve"> 危废贮存库及储存容器标签示例</w:t>
            </w:r>
          </w:p>
          <w:tbl>
            <w:tblPr>
              <w:tblStyle w:val="30"/>
              <w:tblW w:w="0" w:type="auto"/>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25"/>
              <w:gridCol w:w="4056"/>
              <w:gridCol w:w="3084"/>
            </w:tblGrid>
            <w:tr w14:paraId="3E7D14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31" w:type="dxa"/>
                  <w:tcBorders>
                    <w:bottom w:val="single" w:color="auto" w:sz="12" w:space="0"/>
                  </w:tcBorders>
                  <w:vAlign w:val="center"/>
                </w:tcPr>
                <w:p w14:paraId="3D52E78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rPr>
                  </w:pPr>
                  <w:r>
                    <w:rPr>
                      <w:rFonts w:hint="default" w:ascii="Times New Roman" w:hAnsi="Times New Roman" w:cs="Times New Roman" w:eastAsiaTheme="minorEastAsia"/>
                      <w:b/>
                      <w:bCs/>
                      <w:color w:val="auto"/>
                      <w:sz w:val="21"/>
                      <w:szCs w:val="21"/>
                      <w:vertAlign w:val="baseline"/>
                    </w:rPr>
                    <w:t>场合</w:t>
                  </w:r>
                </w:p>
              </w:tc>
              <w:tc>
                <w:tcPr>
                  <w:tcW w:w="4056" w:type="dxa"/>
                  <w:tcBorders>
                    <w:bottom w:val="single" w:color="auto" w:sz="12" w:space="0"/>
                  </w:tcBorders>
                  <w:vAlign w:val="center"/>
                </w:tcPr>
                <w:p w14:paraId="565FA44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rPr>
                  </w:pPr>
                  <w:r>
                    <w:rPr>
                      <w:rFonts w:hint="default" w:ascii="Times New Roman" w:hAnsi="Times New Roman" w:cs="Times New Roman" w:eastAsiaTheme="minorEastAsia"/>
                      <w:b/>
                      <w:bCs/>
                      <w:color w:val="auto"/>
                      <w:sz w:val="21"/>
                      <w:szCs w:val="21"/>
                      <w:vertAlign w:val="baseline"/>
                    </w:rPr>
                    <w:t>样式</w:t>
                  </w:r>
                </w:p>
              </w:tc>
              <w:tc>
                <w:tcPr>
                  <w:tcW w:w="3098" w:type="dxa"/>
                  <w:tcBorders>
                    <w:bottom w:val="single" w:color="auto" w:sz="12" w:space="0"/>
                  </w:tcBorders>
                  <w:vAlign w:val="center"/>
                </w:tcPr>
                <w:p w14:paraId="5D0532E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rPr>
                  </w:pPr>
                  <w:r>
                    <w:rPr>
                      <w:rFonts w:hint="default" w:ascii="Times New Roman" w:hAnsi="Times New Roman" w:cs="Times New Roman" w:eastAsiaTheme="minorEastAsia"/>
                      <w:b/>
                      <w:bCs/>
                      <w:color w:val="auto"/>
                      <w:sz w:val="21"/>
                      <w:szCs w:val="21"/>
                      <w:vertAlign w:val="baseline"/>
                    </w:rPr>
                    <w:t>要求</w:t>
                  </w:r>
                </w:p>
              </w:tc>
            </w:tr>
            <w:tr w14:paraId="0233A5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31" w:type="dxa"/>
                  <w:tcBorders>
                    <w:top w:val="single" w:color="auto" w:sz="12" w:space="0"/>
                    <w:tl2br w:val="nil"/>
                    <w:tr2bl w:val="nil"/>
                  </w:tcBorders>
                  <w:vAlign w:val="center"/>
                </w:tcPr>
                <w:p w14:paraId="1AA4477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危险废物储存容器上的危险废物标签</w:t>
                  </w:r>
                </w:p>
              </w:tc>
              <w:tc>
                <w:tcPr>
                  <w:tcW w:w="4056" w:type="dxa"/>
                  <w:tcBorders>
                    <w:top w:val="single" w:color="auto" w:sz="12" w:space="0"/>
                    <w:tl2br w:val="nil"/>
                    <w:tr2bl w:val="nil"/>
                  </w:tcBorders>
                  <w:vAlign w:val="center"/>
                </w:tcPr>
                <w:p w14:paraId="076991B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rPr>
                    <w:drawing>
                      <wp:inline distT="0" distB="0" distL="114300" distR="114300">
                        <wp:extent cx="2280285" cy="2277745"/>
                        <wp:effectExtent l="0" t="0" r="5715" b="8255"/>
                        <wp:docPr id="42"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72"/>
                                <pic:cNvPicPr>
                                  <a:picLocks noChangeAspect="1"/>
                                </pic:cNvPicPr>
                              </pic:nvPicPr>
                              <pic:blipFill>
                                <a:blip r:embed="rId11"/>
                                <a:stretch>
                                  <a:fillRect/>
                                </a:stretch>
                              </pic:blipFill>
                              <pic:spPr>
                                <a:xfrm>
                                  <a:off x="0" y="0"/>
                                  <a:ext cx="2280285" cy="2277745"/>
                                </a:xfrm>
                                <a:prstGeom prst="rect">
                                  <a:avLst/>
                                </a:prstGeom>
                                <a:noFill/>
                                <a:ln>
                                  <a:noFill/>
                                </a:ln>
                              </pic:spPr>
                            </pic:pic>
                          </a:graphicData>
                        </a:graphic>
                      </wp:inline>
                    </w:drawing>
                  </w:r>
                </w:p>
              </w:tc>
              <w:tc>
                <w:tcPr>
                  <w:tcW w:w="3098" w:type="dxa"/>
                  <w:tcBorders>
                    <w:top w:val="single" w:color="auto" w:sz="12" w:space="0"/>
                    <w:tl2br w:val="nil"/>
                    <w:tr2bl w:val="nil"/>
                  </w:tcBorders>
                  <w:vAlign w:val="center"/>
                </w:tcPr>
                <w:p w14:paraId="6D72D61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危险废物标签的颜色：危险废物标签背景色应采用醒目的橘黄色，RGB颜色值为（255</w:t>
                  </w:r>
                  <w:r>
                    <w:rPr>
                      <w:rFonts w:hint="default" w:ascii="Times New Roman" w:hAnsi="Times New Roman" w:cs="Times New Roman" w:eastAsiaTheme="minorEastAsia"/>
                      <w:color w:val="auto"/>
                      <w:sz w:val="21"/>
                      <w:szCs w:val="21"/>
                      <w:vertAlign w:val="baseline"/>
                      <w:lang w:eastAsia="zh-CN"/>
                    </w:rPr>
                    <w:t>，</w:t>
                  </w:r>
                  <w:r>
                    <w:rPr>
                      <w:rFonts w:hint="default" w:ascii="Times New Roman" w:hAnsi="Times New Roman" w:cs="Times New Roman" w:eastAsiaTheme="minorEastAsia"/>
                      <w:color w:val="auto"/>
                      <w:sz w:val="21"/>
                      <w:szCs w:val="21"/>
                      <w:vertAlign w:val="baseline"/>
                    </w:rPr>
                    <w:t>150</w:t>
                  </w:r>
                  <w:r>
                    <w:rPr>
                      <w:rFonts w:hint="default" w:ascii="Times New Roman" w:hAnsi="Times New Roman" w:cs="Times New Roman" w:eastAsiaTheme="minorEastAsia"/>
                      <w:color w:val="auto"/>
                      <w:sz w:val="21"/>
                      <w:szCs w:val="21"/>
                      <w:vertAlign w:val="baseline"/>
                      <w:lang w:eastAsia="zh-CN"/>
                    </w:rPr>
                    <w:t>，</w:t>
                  </w:r>
                  <w:r>
                    <w:rPr>
                      <w:rFonts w:hint="default" w:ascii="Times New Roman" w:hAnsi="Times New Roman" w:cs="Times New Roman" w:eastAsiaTheme="minorEastAsia"/>
                      <w:color w:val="auto"/>
                      <w:sz w:val="21"/>
                      <w:szCs w:val="21"/>
                      <w:vertAlign w:val="baseline"/>
                    </w:rPr>
                    <w:t>0）。标签边框和字体颜色为黑色，RGB颜色值为（0</w:t>
                  </w:r>
                  <w:r>
                    <w:rPr>
                      <w:rFonts w:hint="default" w:ascii="Times New Roman" w:hAnsi="Times New Roman" w:cs="Times New Roman" w:eastAsiaTheme="minorEastAsia"/>
                      <w:color w:val="auto"/>
                      <w:sz w:val="21"/>
                      <w:szCs w:val="21"/>
                      <w:vertAlign w:val="baseline"/>
                      <w:lang w:eastAsia="zh-CN"/>
                    </w:rPr>
                    <w:t>，</w:t>
                  </w:r>
                  <w:r>
                    <w:rPr>
                      <w:rFonts w:hint="default" w:ascii="Times New Roman" w:hAnsi="Times New Roman" w:cs="Times New Roman" w:eastAsiaTheme="minorEastAsia"/>
                      <w:color w:val="auto"/>
                      <w:sz w:val="21"/>
                      <w:szCs w:val="21"/>
                      <w:vertAlign w:val="baseline"/>
                    </w:rPr>
                    <w:t>0</w:t>
                  </w:r>
                  <w:r>
                    <w:rPr>
                      <w:rFonts w:hint="default" w:ascii="Times New Roman" w:hAnsi="Times New Roman" w:cs="Times New Roman" w:eastAsiaTheme="minorEastAsia"/>
                      <w:color w:val="auto"/>
                      <w:sz w:val="21"/>
                      <w:szCs w:val="21"/>
                      <w:vertAlign w:val="baseline"/>
                      <w:lang w:eastAsia="zh-CN"/>
                    </w:rPr>
                    <w:t>，</w:t>
                  </w:r>
                  <w:r>
                    <w:rPr>
                      <w:rFonts w:hint="default" w:ascii="Times New Roman" w:hAnsi="Times New Roman" w:cs="Times New Roman" w:eastAsiaTheme="minorEastAsia"/>
                      <w:color w:val="auto"/>
                      <w:sz w:val="21"/>
                      <w:szCs w:val="21"/>
                      <w:vertAlign w:val="baseline"/>
                    </w:rPr>
                    <w:t>0）；危险废物标签字体宜采用黑体字，其中“危险废物”字样应加粗放大；危险废物标签尺寸：根据容器或包装物的容积按照《危险废物识别标志设置技术规范》表1中的要求设置。</w:t>
                  </w:r>
                </w:p>
              </w:tc>
            </w:tr>
            <w:tr w14:paraId="67FA98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31" w:type="dxa"/>
                  <w:tcBorders>
                    <w:tl2br w:val="nil"/>
                    <w:tr2bl w:val="nil"/>
                  </w:tcBorders>
                  <w:vAlign w:val="center"/>
                </w:tcPr>
                <w:p w14:paraId="23AFC15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危险废物贮存分区标志的样式</w:t>
                  </w:r>
                </w:p>
              </w:tc>
              <w:tc>
                <w:tcPr>
                  <w:tcW w:w="4056" w:type="dxa"/>
                  <w:tcBorders>
                    <w:tl2br w:val="nil"/>
                    <w:tr2bl w:val="nil"/>
                  </w:tcBorders>
                  <w:vAlign w:val="center"/>
                </w:tcPr>
                <w:p w14:paraId="190DA76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color w:val="auto"/>
                    </w:rPr>
                    <w:drawing>
                      <wp:inline distT="0" distB="0" distL="114300" distR="114300">
                        <wp:extent cx="2418080" cy="1967230"/>
                        <wp:effectExtent l="0" t="0" r="1270" b="1397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2"/>
                                <a:srcRect b="12326"/>
                                <a:stretch>
                                  <a:fillRect/>
                                </a:stretch>
                              </pic:blipFill>
                              <pic:spPr>
                                <a:xfrm>
                                  <a:off x="0" y="0"/>
                                  <a:ext cx="2418080" cy="1967230"/>
                                </a:xfrm>
                                <a:prstGeom prst="rect">
                                  <a:avLst/>
                                </a:prstGeom>
                                <a:noFill/>
                                <a:ln>
                                  <a:noFill/>
                                </a:ln>
                              </pic:spPr>
                            </pic:pic>
                          </a:graphicData>
                        </a:graphic>
                      </wp:inline>
                    </w:drawing>
                  </w:r>
                </w:p>
              </w:tc>
              <w:tc>
                <w:tcPr>
                  <w:tcW w:w="3098" w:type="dxa"/>
                  <w:tcBorders>
                    <w:tl2br w:val="nil"/>
                    <w:tr2bl w:val="nil"/>
                  </w:tcBorders>
                  <w:vAlign w:val="center"/>
                </w:tcPr>
                <w:p w14:paraId="70B7972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危险废物贮存分区标志的颜色：危险废物分区标志背景色应采用黄色，RGB颜色值为（255，255，0）。废物种类信息应采用醒目的橘黄色，RGB 颜色值为（255</w:t>
                  </w:r>
                  <w:r>
                    <w:rPr>
                      <w:rFonts w:hint="default" w:ascii="Times New Roman" w:hAnsi="Times New Roman" w:cs="Times New Roman" w:eastAsiaTheme="minorEastAsia"/>
                      <w:color w:val="auto"/>
                      <w:sz w:val="21"/>
                      <w:szCs w:val="21"/>
                      <w:vertAlign w:val="baseline"/>
                      <w:lang w:eastAsia="zh-CN"/>
                    </w:rPr>
                    <w:t>，</w:t>
                  </w:r>
                  <w:r>
                    <w:rPr>
                      <w:rFonts w:hint="default" w:ascii="Times New Roman" w:hAnsi="Times New Roman" w:cs="Times New Roman" w:eastAsiaTheme="minorEastAsia"/>
                      <w:color w:val="auto"/>
                      <w:sz w:val="21"/>
                      <w:szCs w:val="21"/>
                      <w:vertAlign w:val="baseline"/>
                    </w:rPr>
                    <w:t>150</w:t>
                  </w:r>
                  <w:r>
                    <w:rPr>
                      <w:rFonts w:hint="default" w:ascii="Times New Roman" w:hAnsi="Times New Roman" w:cs="Times New Roman" w:eastAsiaTheme="minorEastAsia"/>
                      <w:color w:val="auto"/>
                      <w:sz w:val="21"/>
                      <w:szCs w:val="21"/>
                      <w:vertAlign w:val="baseline"/>
                      <w:lang w:eastAsia="zh-CN"/>
                    </w:rPr>
                    <w:t>，</w:t>
                  </w:r>
                  <w:r>
                    <w:rPr>
                      <w:rFonts w:hint="default" w:ascii="Times New Roman" w:hAnsi="Times New Roman" w:cs="Times New Roman" w:eastAsiaTheme="minorEastAsia"/>
                      <w:color w:val="auto"/>
                      <w:sz w:val="21"/>
                      <w:szCs w:val="21"/>
                      <w:vertAlign w:val="baseline"/>
                    </w:rPr>
                    <w:t>0）。字体颜色为黑色，RGB颜色值为（0</w:t>
                  </w:r>
                  <w:r>
                    <w:rPr>
                      <w:rFonts w:hint="default" w:ascii="Times New Roman" w:hAnsi="Times New Roman" w:cs="Times New Roman" w:eastAsiaTheme="minorEastAsia"/>
                      <w:color w:val="auto"/>
                      <w:sz w:val="21"/>
                      <w:szCs w:val="21"/>
                      <w:vertAlign w:val="baseline"/>
                      <w:lang w:eastAsia="zh-CN"/>
                    </w:rPr>
                    <w:t>，</w:t>
                  </w:r>
                  <w:r>
                    <w:rPr>
                      <w:rFonts w:hint="default" w:ascii="Times New Roman" w:hAnsi="Times New Roman" w:cs="Times New Roman" w:eastAsiaTheme="minorEastAsia"/>
                      <w:color w:val="auto"/>
                      <w:sz w:val="21"/>
                      <w:szCs w:val="21"/>
                      <w:vertAlign w:val="baseline"/>
                    </w:rPr>
                    <w:t>0</w:t>
                  </w:r>
                  <w:r>
                    <w:rPr>
                      <w:rFonts w:hint="default" w:ascii="Times New Roman" w:hAnsi="Times New Roman" w:cs="Times New Roman" w:eastAsiaTheme="minorEastAsia"/>
                      <w:color w:val="auto"/>
                      <w:sz w:val="21"/>
                      <w:szCs w:val="21"/>
                      <w:vertAlign w:val="baseline"/>
                      <w:lang w:eastAsia="zh-CN"/>
                    </w:rPr>
                    <w:t>，</w:t>
                  </w:r>
                  <w:r>
                    <w:rPr>
                      <w:rFonts w:hint="default" w:ascii="Times New Roman" w:hAnsi="Times New Roman" w:cs="Times New Roman" w:eastAsiaTheme="minorEastAsia"/>
                      <w:color w:val="auto"/>
                      <w:sz w:val="21"/>
                      <w:szCs w:val="21"/>
                      <w:vertAlign w:val="baseline"/>
                    </w:rPr>
                    <w:t>0）；危险废物贮存分区标志的颜色：危险废物分区标志的字体宜采用黑体字，其中“危险废物贮存分区标志”字样应加粗放大并居中显示；危险废物标签尺寸：根据容器或包装物的容积按照《危险废物识别标志设置技术规范》表2中的要求设置。</w:t>
                  </w:r>
                </w:p>
              </w:tc>
            </w:tr>
            <w:tr w14:paraId="6DA3AE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31" w:type="dxa"/>
                  <w:tcBorders>
                    <w:tl2br w:val="nil"/>
                    <w:tr2bl w:val="nil"/>
                  </w:tcBorders>
                  <w:vAlign w:val="center"/>
                </w:tcPr>
                <w:p w14:paraId="06FC6AC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危险废物贮存设施标志样式示意图</w:t>
                  </w:r>
                </w:p>
              </w:tc>
              <w:tc>
                <w:tcPr>
                  <w:tcW w:w="4056" w:type="dxa"/>
                  <w:tcBorders>
                    <w:tl2br w:val="nil"/>
                    <w:tr2bl w:val="nil"/>
                  </w:tcBorders>
                  <w:vAlign w:val="center"/>
                </w:tcPr>
                <w:p w14:paraId="4AB73F9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rPr>
                    <w:drawing>
                      <wp:inline distT="0" distB="0" distL="114300" distR="114300">
                        <wp:extent cx="2389505" cy="1503680"/>
                        <wp:effectExtent l="0" t="0" r="10795" b="1270"/>
                        <wp:docPr id="44" name="图片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74"/>
                                <pic:cNvPicPr>
                                  <a:picLocks noChangeAspect="1"/>
                                </pic:cNvPicPr>
                              </pic:nvPicPr>
                              <pic:blipFill>
                                <a:blip r:embed="rId13"/>
                                <a:stretch>
                                  <a:fillRect/>
                                </a:stretch>
                              </pic:blipFill>
                              <pic:spPr>
                                <a:xfrm>
                                  <a:off x="0" y="0"/>
                                  <a:ext cx="2389505" cy="1503680"/>
                                </a:xfrm>
                                <a:prstGeom prst="rect">
                                  <a:avLst/>
                                </a:prstGeom>
                                <a:noFill/>
                                <a:ln>
                                  <a:noFill/>
                                </a:ln>
                              </pic:spPr>
                            </pic:pic>
                          </a:graphicData>
                        </a:graphic>
                      </wp:inline>
                    </w:drawing>
                  </w:r>
                </w:p>
              </w:tc>
              <w:tc>
                <w:tcPr>
                  <w:tcW w:w="3098" w:type="dxa"/>
                  <w:vMerge w:val="restart"/>
                  <w:tcBorders>
                    <w:tl2br w:val="nil"/>
                    <w:tr2bl w:val="nil"/>
                  </w:tcBorders>
                  <w:vAlign w:val="center"/>
                </w:tcPr>
                <w:p w14:paraId="4CC61A0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危险废物贮存分区标志的颜色：危险废物设施标志背景颜色为黄色，RGB颜色值为（255</w:t>
                  </w:r>
                  <w:r>
                    <w:rPr>
                      <w:rFonts w:hint="default" w:ascii="Times New Roman" w:hAnsi="Times New Roman" w:cs="Times New Roman" w:eastAsiaTheme="minorEastAsia"/>
                      <w:color w:val="auto"/>
                      <w:sz w:val="21"/>
                      <w:szCs w:val="21"/>
                      <w:vertAlign w:val="baseline"/>
                      <w:lang w:eastAsia="zh-CN"/>
                    </w:rPr>
                    <w:t>，</w:t>
                  </w:r>
                  <w:r>
                    <w:rPr>
                      <w:rFonts w:hint="default" w:ascii="Times New Roman" w:hAnsi="Times New Roman" w:cs="Times New Roman" w:eastAsiaTheme="minorEastAsia"/>
                      <w:color w:val="auto"/>
                      <w:sz w:val="21"/>
                      <w:szCs w:val="21"/>
                      <w:vertAlign w:val="baseline"/>
                    </w:rPr>
                    <w:t>255</w:t>
                  </w:r>
                  <w:r>
                    <w:rPr>
                      <w:rFonts w:hint="default" w:ascii="Times New Roman" w:hAnsi="Times New Roman" w:cs="Times New Roman" w:eastAsiaTheme="minorEastAsia"/>
                      <w:color w:val="auto"/>
                      <w:sz w:val="21"/>
                      <w:szCs w:val="21"/>
                      <w:vertAlign w:val="baseline"/>
                      <w:lang w:eastAsia="zh-CN"/>
                    </w:rPr>
                    <w:t>，</w:t>
                  </w:r>
                  <w:r>
                    <w:rPr>
                      <w:rFonts w:hint="default" w:ascii="Times New Roman" w:hAnsi="Times New Roman" w:cs="Times New Roman" w:eastAsiaTheme="minorEastAsia"/>
                      <w:color w:val="auto"/>
                      <w:sz w:val="21"/>
                      <w:szCs w:val="21"/>
                      <w:vertAlign w:val="baseline"/>
                    </w:rPr>
                    <w:t>0）。字体和边框颜色为黑色，RGB颜色值为（0</w:t>
                  </w:r>
                  <w:r>
                    <w:rPr>
                      <w:rFonts w:hint="default" w:ascii="Times New Roman" w:hAnsi="Times New Roman" w:cs="Times New Roman" w:eastAsiaTheme="minorEastAsia"/>
                      <w:color w:val="auto"/>
                      <w:sz w:val="21"/>
                      <w:szCs w:val="21"/>
                      <w:vertAlign w:val="baseline"/>
                      <w:lang w:eastAsia="zh-CN"/>
                    </w:rPr>
                    <w:t>，</w:t>
                  </w:r>
                  <w:r>
                    <w:rPr>
                      <w:rFonts w:hint="default" w:ascii="Times New Roman" w:hAnsi="Times New Roman" w:cs="Times New Roman" w:eastAsiaTheme="minorEastAsia"/>
                      <w:color w:val="auto"/>
                      <w:sz w:val="21"/>
                      <w:szCs w:val="21"/>
                      <w:vertAlign w:val="baseline"/>
                    </w:rPr>
                    <w:t>0</w:t>
                  </w:r>
                  <w:r>
                    <w:rPr>
                      <w:rFonts w:hint="default" w:ascii="Times New Roman" w:hAnsi="Times New Roman" w:cs="Times New Roman" w:eastAsiaTheme="minorEastAsia"/>
                      <w:color w:val="auto"/>
                      <w:sz w:val="21"/>
                      <w:szCs w:val="21"/>
                      <w:vertAlign w:val="baseline"/>
                      <w:lang w:eastAsia="zh-CN"/>
                    </w:rPr>
                    <w:t>，</w:t>
                  </w:r>
                  <w:r>
                    <w:rPr>
                      <w:rFonts w:hint="default" w:ascii="Times New Roman" w:hAnsi="Times New Roman" w:cs="Times New Roman" w:eastAsiaTheme="minorEastAsia"/>
                      <w:color w:val="auto"/>
                      <w:sz w:val="21"/>
                      <w:szCs w:val="21"/>
                      <w:vertAlign w:val="baseline"/>
                    </w:rPr>
                    <w:t>0）；危险废物贮存分区标志的颜色：危险废物设施标志字体应采用黑体字，其中危险废物设施类型的字样应加粗放大并居中显示；危险废物标签尺寸：根据容器或包装物的容积按照《危险废物识别标志设置技术规范》表3中的要求设置。</w:t>
                  </w:r>
                </w:p>
              </w:tc>
            </w:tr>
            <w:tr w14:paraId="30673E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31" w:type="dxa"/>
                  <w:tcBorders>
                    <w:tl2br w:val="nil"/>
                    <w:tr2bl w:val="nil"/>
                  </w:tcBorders>
                  <w:vAlign w:val="center"/>
                </w:tcPr>
                <w:p w14:paraId="4132C71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危险废物利用设施标志样式示意图</w:t>
                  </w:r>
                </w:p>
              </w:tc>
              <w:tc>
                <w:tcPr>
                  <w:tcW w:w="4056" w:type="dxa"/>
                  <w:tcBorders>
                    <w:tl2br w:val="nil"/>
                    <w:tr2bl w:val="nil"/>
                  </w:tcBorders>
                  <w:vAlign w:val="center"/>
                </w:tcPr>
                <w:p w14:paraId="5FFC0EA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rPr>
                    <w:drawing>
                      <wp:inline distT="0" distB="0" distL="114300" distR="114300">
                        <wp:extent cx="2430145" cy="1525905"/>
                        <wp:effectExtent l="0" t="0" r="8255" b="17145"/>
                        <wp:docPr id="45"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75"/>
                                <pic:cNvPicPr>
                                  <a:picLocks noChangeAspect="1"/>
                                </pic:cNvPicPr>
                              </pic:nvPicPr>
                              <pic:blipFill>
                                <a:blip r:embed="rId14"/>
                                <a:stretch>
                                  <a:fillRect/>
                                </a:stretch>
                              </pic:blipFill>
                              <pic:spPr>
                                <a:xfrm>
                                  <a:off x="0" y="0"/>
                                  <a:ext cx="2430145" cy="1525905"/>
                                </a:xfrm>
                                <a:prstGeom prst="rect">
                                  <a:avLst/>
                                </a:prstGeom>
                                <a:noFill/>
                                <a:ln>
                                  <a:noFill/>
                                </a:ln>
                              </pic:spPr>
                            </pic:pic>
                          </a:graphicData>
                        </a:graphic>
                      </wp:inline>
                    </w:drawing>
                  </w:r>
                </w:p>
              </w:tc>
              <w:tc>
                <w:tcPr>
                  <w:tcW w:w="3098" w:type="dxa"/>
                  <w:vMerge w:val="continue"/>
                  <w:tcBorders>
                    <w:tl2br w:val="nil"/>
                    <w:tr2bl w:val="nil"/>
                  </w:tcBorders>
                  <w:vAlign w:val="center"/>
                </w:tcPr>
                <w:p w14:paraId="09271C0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p>
              </w:tc>
            </w:tr>
            <w:tr w14:paraId="21EE4A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31" w:type="dxa"/>
                  <w:tcBorders>
                    <w:tl2br w:val="nil"/>
                    <w:tr2bl w:val="nil"/>
                  </w:tcBorders>
                  <w:vAlign w:val="center"/>
                </w:tcPr>
                <w:p w14:paraId="21BDCEC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危险废物处置设施标志样式示意图</w:t>
                  </w:r>
                </w:p>
              </w:tc>
              <w:tc>
                <w:tcPr>
                  <w:tcW w:w="4056" w:type="dxa"/>
                  <w:tcBorders>
                    <w:tl2br w:val="nil"/>
                    <w:tr2bl w:val="nil"/>
                  </w:tcBorders>
                  <w:vAlign w:val="center"/>
                </w:tcPr>
                <w:p w14:paraId="3010944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rPr>
                    <w:drawing>
                      <wp:inline distT="0" distB="0" distL="114300" distR="114300">
                        <wp:extent cx="2416175" cy="1528445"/>
                        <wp:effectExtent l="0" t="0" r="3175" b="14605"/>
                        <wp:docPr id="46"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76"/>
                                <pic:cNvPicPr>
                                  <a:picLocks noChangeAspect="1"/>
                                </pic:cNvPicPr>
                              </pic:nvPicPr>
                              <pic:blipFill>
                                <a:blip r:embed="rId15"/>
                                <a:stretch>
                                  <a:fillRect/>
                                </a:stretch>
                              </pic:blipFill>
                              <pic:spPr>
                                <a:xfrm>
                                  <a:off x="0" y="0"/>
                                  <a:ext cx="2416175" cy="1528445"/>
                                </a:xfrm>
                                <a:prstGeom prst="rect">
                                  <a:avLst/>
                                </a:prstGeom>
                                <a:noFill/>
                                <a:ln>
                                  <a:noFill/>
                                </a:ln>
                              </pic:spPr>
                            </pic:pic>
                          </a:graphicData>
                        </a:graphic>
                      </wp:inline>
                    </w:drawing>
                  </w:r>
                </w:p>
              </w:tc>
              <w:tc>
                <w:tcPr>
                  <w:tcW w:w="3098" w:type="dxa"/>
                  <w:vMerge w:val="continue"/>
                  <w:tcBorders>
                    <w:tl2br w:val="nil"/>
                    <w:tr2bl w:val="nil"/>
                  </w:tcBorders>
                  <w:vAlign w:val="center"/>
                </w:tcPr>
                <w:p w14:paraId="72C4C8A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p>
              </w:tc>
            </w:tr>
          </w:tbl>
          <w:p w14:paraId="2F6856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④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default" w:ascii="Times New Roman" w:hAnsi="Times New Roman" w:cs="Times New Roman" w:eastAsiaTheme="minorEastAsia"/>
                <w:color w:val="auto"/>
                <w:sz w:val="24"/>
                <w:vertAlign w:val="superscript"/>
              </w:rPr>
              <w:t>-7</w:t>
            </w:r>
            <w:r>
              <w:rPr>
                <w:rFonts w:hint="default" w:ascii="Times New Roman" w:hAnsi="Times New Roman" w:cs="Times New Roman" w:eastAsiaTheme="minorEastAsia"/>
                <w:color w:val="auto"/>
                <w:sz w:val="24"/>
              </w:rPr>
              <w:t>cm/s），或至少2mm厚高密度聚乙烯膜等人工防渗材料（渗透系数不大于10</w:t>
            </w:r>
            <w:r>
              <w:rPr>
                <w:rFonts w:hint="default" w:ascii="Times New Roman" w:hAnsi="Times New Roman" w:cs="Times New Roman" w:eastAsiaTheme="minorEastAsia"/>
                <w:color w:val="auto"/>
                <w:sz w:val="24"/>
                <w:vertAlign w:val="superscript"/>
              </w:rPr>
              <w:t>-10</w:t>
            </w:r>
            <w:r>
              <w:rPr>
                <w:rFonts w:hint="default" w:ascii="Times New Roman" w:hAnsi="Times New Roman" w:cs="Times New Roman" w:eastAsiaTheme="minorEastAsia"/>
                <w:color w:val="auto"/>
                <w:sz w:val="24"/>
              </w:rPr>
              <w:t>cm/s），或其他防渗性能等效的材料。</w:t>
            </w:r>
          </w:p>
          <w:p w14:paraId="01257E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⑤同一贮存设施宜采用相同的防渗、防腐工艺（包括防渗、防腐结构或材料），防渗、防腐材料应覆盖所有可能与废物及其渗滤液、渗漏液等接触的构筑物表面；采用不同防渗、防腐工艺应分别建设贮存分区。</w:t>
            </w:r>
          </w:p>
          <w:p w14:paraId="7AB9F9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⑥贮存设施应采取技术和管理措施防止无关人员进入。</w:t>
            </w:r>
          </w:p>
          <w:p w14:paraId="31A42F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⑦贮存库内不同贮存分区之间应采取隔离措施。隔离措施可根据危险废物特性采用过道、隔板或隔墙等方式。</w:t>
            </w:r>
          </w:p>
          <w:p w14:paraId="04A50B5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⑧在贮存库内或通过贮存分区方式贮存液态危险废物的，应具有液体泄漏堵截设施，堵截设施最小容积不应低于对应贮存区域最大液态废物容器容积或液态废物总储量1/10（二者取较大者）；用于贮存可能产生渗滤液的危险废物的贮存库或贮存分区应设计渗滤液收集设施，收集设施容积应满足渗滤液的收集要求。</w:t>
            </w:r>
          </w:p>
          <w:p w14:paraId="06D609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贮存过程污染控制要求如下：</w:t>
            </w:r>
          </w:p>
          <w:p w14:paraId="1395D0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在常温常压下不易水解、不易挥发的固态危险废物可分类堆放贮存，其他固态危险废物应装入容器或包装物内贮存。液态危险废物应装入容器内贮存，或直接采用贮存池、贮存罐区贮存。</w:t>
            </w:r>
          </w:p>
          <w:p w14:paraId="76AFE8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半固态危险废物应装入容器或包装袋内贮存，或直接采用贮存池贮存。具有热塑性的危险废物应装入容器或包装袋内进行贮存。易产生粉尘、VOCs、酸雾、有毒有害大气污染物和刺激性气味气体的危险废物应装入闭口容器或包装物内贮存。危险废物贮存过程中易产生粉尘等无组织排放的，应采取抑尘等有效措施。</w:t>
            </w:r>
          </w:p>
          <w:p w14:paraId="1CB193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textAlignment w:val="auto"/>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bCs/>
                <w:color w:val="auto"/>
                <w:sz w:val="24"/>
                <w:lang w:val="en-US" w:eastAsia="zh-CN"/>
              </w:rPr>
              <w:t>2、</w:t>
            </w:r>
            <w:r>
              <w:rPr>
                <w:rFonts w:hint="eastAsia" w:cs="Times New Roman" w:eastAsiaTheme="minorEastAsia"/>
                <w:b/>
                <w:bCs/>
                <w:color w:val="auto"/>
                <w:sz w:val="24"/>
                <w:lang w:val="en-US" w:eastAsia="zh-CN"/>
              </w:rPr>
              <w:t>危废贮存库</w:t>
            </w:r>
            <w:r>
              <w:rPr>
                <w:rFonts w:hint="default" w:ascii="Times New Roman" w:hAnsi="Times New Roman" w:cs="Times New Roman" w:eastAsiaTheme="minorEastAsia"/>
                <w:b/>
                <w:bCs/>
                <w:color w:val="auto"/>
                <w:sz w:val="24"/>
              </w:rPr>
              <w:t>运行环境管理要求</w:t>
            </w:r>
          </w:p>
          <w:p w14:paraId="1C0E94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按照《危险废物贮存污染控制标准》（GB18597-2023）要求对危废</w:t>
            </w:r>
            <w:r>
              <w:rPr>
                <w:rFonts w:hint="default" w:ascii="Times New Roman" w:hAnsi="Times New Roman" w:cs="Times New Roman" w:eastAsiaTheme="minorEastAsia"/>
                <w:color w:val="auto"/>
                <w:sz w:val="24"/>
                <w:lang w:val="en-US" w:eastAsia="zh-CN"/>
              </w:rPr>
              <w:t>贮存库</w:t>
            </w:r>
            <w:r>
              <w:rPr>
                <w:rFonts w:hint="default" w:ascii="Times New Roman" w:hAnsi="Times New Roman" w:cs="Times New Roman" w:eastAsiaTheme="minorEastAsia"/>
                <w:color w:val="auto"/>
                <w:sz w:val="24"/>
              </w:rPr>
              <w:t>运行进行管理，具体要求如下：</w:t>
            </w:r>
          </w:p>
          <w:p w14:paraId="34AA9A9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（1）危险废物存入贮存设施前应对危险废物类别和特性与危险废物标签等危险废物识别标志的一致性进行核验，不一致的或类别、特性不明的不应存入。</w:t>
            </w:r>
          </w:p>
          <w:p w14:paraId="0DB3C4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（2）应定期检查危险废物的贮存状况，及时清理贮存设施地面，更换破损泄漏的危险废物贮存容器和包装物，保证堆存危险废物的防雨、防风、防扬尘等设施功能完好。</w:t>
            </w:r>
          </w:p>
          <w:p w14:paraId="175FFF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（3）作业设备及车辆等结束作业离开贮存设施时，应对其残留的危险废物进行清理，清理的废物或清洗废水应收集处理。</w:t>
            </w:r>
          </w:p>
          <w:p w14:paraId="74A240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（4）贮存设施运行期间，应按国家有关标准和规定建立危险废物管理台账并保存。</w:t>
            </w:r>
          </w:p>
          <w:p w14:paraId="2CEBAD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（5）贮存设施所有者或运营者应建立贮存设施环境管理制度、管理人员岗位职责制度、设施运行操作制度、人员岗位培训制度等。</w:t>
            </w:r>
          </w:p>
          <w:p w14:paraId="305B31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（6）贮存设施所有者或运营者应依据国家土壤和地下水污染防治的有关规定，结合贮存设施特点建立土壤和地下水污染隐患排查制度，并定期开展隐患排查；发现隐患应及时采取措施消除隐患，并建立档案。</w:t>
            </w:r>
          </w:p>
          <w:p w14:paraId="7A276F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（7）贮存设施所有者或运营者应建立贮存设施全部档案，包括设计、施工、验收、运行、监测和环境应急等，应按国家有关档案管理的法律法规进行整理和归档。</w:t>
            </w:r>
          </w:p>
          <w:p w14:paraId="59483B1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textAlignment w:val="auto"/>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bCs/>
                <w:color w:val="auto"/>
                <w:sz w:val="24"/>
                <w:lang w:val="en-US" w:eastAsia="zh-CN"/>
              </w:rPr>
              <w:t>3、</w:t>
            </w:r>
            <w:r>
              <w:rPr>
                <w:rFonts w:hint="default" w:ascii="Times New Roman" w:hAnsi="Times New Roman" w:cs="Times New Roman" w:eastAsiaTheme="minorEastAsia"/>
                <w:b/>
                <w:bCs/>
                <w:color w:val="auto"/>
                <w:sz w:val="24"/>
              </w:rPr>
              <w:t>危险废物运输过程环境管理要求</w:t>
            </w:r>
          </w:p>
          <w:p w14:paraId="3CAA5D8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本评价建议建设单位危险废物运输转移过程按照《危险废物收集贮存运输技术规范》（HJ2025-2012）要求：</w:t>
            </w:r>
          </w:p>
          <w:p w14:paraId="7995C8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1）危险废物运输和转移前，应当向当地生态环境部门报送危险废物转移计划；经批准并填写危险废物转移联单后方可进行运输和转移；</w:t>
            </w:r>
          </w:p>
          <w:p w14:paraId="25E171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2）从事收集、利用、处置危险废物经营活动的单位应当具备与其经营活动相应的资格，禁止产废单位将危险废物提供或者委托给无经营许可证的单位；</w:t>
            </w:r>
          </w:p>
          <w:p w14:paraId="5C39EC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3）所有危险废物均应按类在专用密闭容器中储存，并按规定贴标签。不得混装，废物收集和封装容器应得到接收单位及当地生态环境部门的认可。收集的危废应详细列出数量和成分，并填写有关材料。</w:t>
            </w:r>
          </w:p>
          <w:p w14:paraId="35162A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4）危险废物转移情况包括转移类型、危</w:t>
            </w:r>
            <w:r>
              <w:rPr>
                <w:rFonts w:hint="eastAsia" w:cs="Times New Roman" w:eastAsiaTheme="minorEastAsia"/>
                <w:color w:val="auto"/>
                <w:sz w:val="24"/>
                <w:lang w:eastAsia="zh-CN"/>
              </w:rPr>
              <w:t>险废</w:t>
            </w:r>
            <w:r>
              <w:rPr>
                <w:rFonts w:hint="default" w:ascii="Times New Roman" w:hAnsi="Times New Roman" w:cs="Times New Roman" w:eastAsiaTheme="minorEastAsia"/>
                <w:color w:val="auto"/>
                <w:sz w:val="24"/>
              </w:rPr>
              <w:t>物名称、类别、代码、有害成分名称、形态、危险特性。本年度预计转移量，计量单位为吨。拟接收单位类型、危险废物经营许可证持有单位。</w:t>
            </w:r>
          </w:p>
          <w:p w14:paraId="634971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5）危废转移时应当填写、运行一份危险废物转移联单；每车（船或者其他运输工具）一次转移多类危险废物的，可以填写、运行一份危险废物转移联单，也可以每一类危险废物填写、运行一份危险废物转移联单。危险废物转移联单实行全国统一编号，编号由十四位阿拉伯数字组成。危险废物电子转移联单数据应当在信息系统中至少保存十年。因特殊原因无法运行危险废物电子转移联单的，可以先使用纸质转移联单，并于转移活动完成后十个工作日内在信息系统中补录电子转移联单。</w:t>
            </w:r>
          </w:p>
          <w:p w14:paraId="0BC169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根据《危险废物转移管理办法》（交通运输部令第23号）危险废物接收单位应当履行以下义务：（1）核实拟接收的危险废物的种类、重量（数量）、包装、识别标志等相关信息；</w:t>
            </w:r>
          </w:p>
          <w:p w14:paraId="6A2FD03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（2）填写、运行危险废物转移联单，在危险废物转移联单中如实填写是否接受的意见，以及利用、处置方式和接受量等信息；</w:t>
            </w:r>
          </w:p>
          <w:p w14:paraId="02FF2F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（3）按照国家和地方有关规定和标准，对接收的危险废物进行贮存、利用或者处置；</w:t>
            </w:r>
          </w:p>
          <w:p w14:paraId="375336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（4）将危险废物接收情况、利用或者处置结果及时告知移出人；</w:t>
            </w:r>
          </w:p>
          <w:p w14:paraId="3E85B1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（5）法律法规规定的其他义务。</w:t>
            </w:r>
          </w:p>
          <w:p w14:paraId="57A89C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本项目建设单位不自行外运、转移，危险废物委托处理后对环境影响不大。</w:t>
            </w:r>
          </w:p>
          <w:p w14:paraId="5E99FB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textAlignment w:val="auto"/>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bCs/>
                <w:color w:val="auto"/>
                <w:sz w:val="24"/>
                <w:lang w:val="en-US" w:eastAsia="zh-CN"/>
              </w:rPr>
              <w:t>4、</w:t>
            </w:r>
            <w:r>
              <w:rPr>
                <w:rFonts w:hint="default" w:ascii="Times New Roman" w:hAnsi="Times New Roman" w:cs="Times New Roman" w:eastAsiaTheme="minorEastAsia"/>
                <w:b/>
                <w:bCs/>
                <w:color w:val="auto"/>
                <w:sz w:val="24"/>
              </w:rPr>
              <w:t>危险废物环境管理计划</w:t>
            </w:r>
          </w:p>
          <w:p w14:paraId="7D2625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按照《危险废物管理计划和管理台账制定技术导则》（</w:t>
            </w:r>
            <w:r>
              <w:rPr>
                <w:rFonts w:hint="default" w:ascii="Times New Roman" w:hAnsi="Times New Roman" w:cs="Times New Roman" w:eastAsiaTheme="minorEastAsia"/>
                <w:color w:val="auto"/>
                <w:sz w:val="24"/>
                <w:lang w:val="en-US" w:eastAsia="zh-CN"/>
              </w:rPr>
              <w:t>HJ1259</w:t>
            </w:r>
            <w:r>
              <w:rPr>
                <w:rFonts w:hint="default" w:ascii="Times New Roman" w:hAnsi="Times New Roman" w:cs="Times New Roman" w:eastAsiaTheme="minorEastAsia"/>
                <w:color w:val="auto"/>
                <w:sz w:val="24"/>
              </w:rPr>
              <w:t>-202</w:t>
            </w:r>
            <w:r>
              <w:rPr>
                <w:rFonts w:hint="default" w:ascii="Times New Roman" w:hAnsi="Times New Roman" w:cs="Times New Roman" w:eastAsiaTheme="minorEastAsia"/>
                <w:color w:val="auto"/>
                <w:sz w:val="24"/>
                <w:lang w:val="en-US" w:eastAsia="zh-CN"/>
              </w:rPr>
              <w:t>2</w:t>
            </w:r>
            <w:r>
              <w:rPr>
                <w:rFonts w:hint="default" w:ascii="Times New Roman" w:hAnsi="Times New Roman" w:cs="Times New Roman" w:eastAsiaTheme="minorEastAsia"/>
                <w:color w:val="auto"/>
                <w:sz w:val="24"/>
              </w:rPr>
              <w:t>）及时在线填报危废管理计划、规范设置并及时填写危险废物管理台账。具体要求如下：</w:t>
            </w:r>
          </w:p>
          <w:p w14:paraId="33A9E0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（1）建立固废防治责任制度：建设单位按要求建立、健全污染环境防治责任制度，明</w:t>
            </w:r>
            <w:r>
              <w:rPr>
                <w:rFonts w:hint="default" w:ascii="Times New Roman" w:hAnsi="Times New Roman" w:cs="Times New Roman" w:eastAsiaTheme="minorEastAsia"/>
                <w:color w:val="auto"/>
                <w:sz w:val="24"/>
                <w:lang w:val="en-US" w:eastAsia="zh-CN"/>
              </w:rPr>
              <w:t xml:space="preserve">确责任人。负责人熟悉危险废物管理相关法规、制度、标准、规范。 </w:t>
            </w:r>
          </w:p>
          <w:p w14:paraId="5B649D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lang w:val="en-US" w:eastAsia="zh-CN"/>
              </w:rPr>
              <w:t>（2）制定危险废物管理计划：按要求制定危险废物管理计划，计划涵盖危险废物的产生环节、种类、危害特性、产生量、利用处置方式并报环保部门备案，如发生重大改变及时申报。</w:t>
            </w:r>
          </w:p>
          <w:p w14:paraId="38D18F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lang w:val="en-US" w:eastAsia="zh-CN"/>
              </w:rPr>
              <w:t>（3）建立申报登记制度：如实地向所在地县级以上地方人民政府环境保护行政主管部门申报危险废物的种类、产生量、流向、贮存、处置等有关资料。</w:t>
            </w:r>
          </w:p>
          <w:p w14:paraId="37CD44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lang w:val="en-US" w:eastAsia="zh-CN"/>
              </w:rPr>
              <w:t>（4）固废的暂存制度：项目产生的危险废物贮存执行《危险废物贮存污染控制标准》（GB18597-2023）及《危险废物收集贮存运输技术规范》（HJ2025-2012）中相关规定要求，根据危险废物的包装、贮存设施的选址、设计、运行、安全防护、监测和关闭等要求进行合理的贮存。</w:t>
            </w:r>
          </w:p>
          <w:p w14:paraId="5A1B7B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lang w:val="en-US" w:eastAsia="zh-CN"/>
              </w:rPr>
              <w:t>（5）产生危险废物的单位应建立危险废物管理台账，落实危险废物管理台账记录的责任人，明确工作职责，并对危险废物管理台账的真实性、准确性和完整性负法律责任。</w:t>
            </w:r>
          </w:p>
          <w:p w14:paraId="3544EA9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（6）产生危险废物的单位应根据危险废物产生、贮存、利用、处置等环节的动态流向，如实建立各环节的危险废物管理台账，记录内容参见附录B。</w:t>
            </w:r>
          </w:p>
          <w:p w14:paraId="52F365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eastAsia="宋体" w:cs="Times New Roman"/>
                <w:color w:val="auto"/>
                <w:sz w:val="24"/>
                <w:lang w:eastAsia="zh-CN"/>
              </w:rPr>
            </w:pPr>
            <w:r>
              <w:rPr>
                <w:rFonts w:hint="default" w:ascii="Times New Roman" w:hAnsi="Times New Roman" w:cs="Times New Roman" w:eastAsiaTheme="minorEastAsia"/>
                <w:color w:val="auto"/>
                <w:sz w:val="24"/>
              </w:rPr>
              <w:t>（7）</w:t>
            </w:r>
            <w:r>
              <w:rPr>
                <w:rFonts w:hint="default" w:ascii="Times New Roman" w:hAnsi="Times New Roman" w:eastAsia="宋体" w:cs="Times New Roman"/>
                <w:color w:val="auto"/>
                <w:sz w:val="24"/>
                <w:szCs w:val="24"/>
              </w:rPr>
              <w:t>危险废物管理台账应同时建立电子台账和纸质台账，电子台账通过国家危险废物信息管理系统记录，纸质台账由专人保管；危险废物管理台账及管理计划保存期限不少于5年。危险废物转移时应按规定运行电子转移联单，联单数据在信息系统中至少保存10年，转移联单与管理台账一并归档</w:t>
            </w:r>
            <w:r>
              <w:rPr>
                <w:rFonts w:hint="default" w:ascii="Times New Roman" w:hAnsi="Times New Roman" w:cs="Times New Roman"/>
                <w:color w:val="auto"/>
                <w:sz w:val="24"/>
                <w:szCs w:val="24"/>
                <w:lang w:eastAsia="zh-CN"/>
              </w:rPr>
              <w:t>。</w:t>
            </w:r>
          </w:p>
          <w:p w14:paraId="638B2B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（8）记录内容：</w:t>
            </w:r>
          </w:p>
          <w:p w14:paraId="095F9D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①危险废物产生环节，应记录产生批次编码、产生时间、危险废物名称、危险废物类别、危险废物代码、产生量、计量单位、容器/包装编码、容器/包装类型、容器/包装数量、产生危险废物设施编码、产生部门经办人、去向等。</w:t>
            </w:r>
          </w:p>
          <w:p w14:paraId="51428E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②危险废物入库环节，应记录入库批次编码、入库时间、容器/包装编码、容器/包装类型、容器/包装数量、危险废物名称、危险废物类别、危险废物代码、入库量、计量单位、贮存设施编码、贮存设施类型、运送部门经办人、贮存部门经办人、产生批次编码等。</w:t>
            </w:r>
          </w:p>
          <w:p w14:paraId="2C1865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③危险废物出库环节，应记录出库批次编码、出库时间、容器/包装编码、容器/包装类型、容器/包装数量、危险废物名称、危险废物类别、危险废物代码、出库量、计量单位、贮存设施编码、贮存设施类型、出库部门经办人、运送部门经办人、入库批次编码、去向等。</w:t>
            </w:r>
          </w:p>
          <w:p w14:paraId="0ECFC3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④危险废物自行利用/处置环节，应记录自行利用/处置批次编码、自行利用/处置时间、容器/包装编码、容器/包装类型、容器/包装数量、危险废物名称、危险废物类别、危险废物代码、自行利用/处置量、计量单位、自行利用/处置设施编码、自行利用/处置方式、自行利用/处置完毕时间、自行利用/处置部门经办人、产生批次编码/出库批次编码等。</w:t>
            </w:r>
          </w:p>
          <w:p w14:paraId="07C5AF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⑤危险废物委外利用/处置环节，应记录委外利用/处置批次编码、出厂时间、容器/包装编码、容器/包装类型、容器/包装数量、危险废物名称、危险废物类别、危险废物代码、委外利用/处置量、计量单位、利用/处置方式、接收单位类型、利用/处置单位名称、许可证编码/出口核准通知单编号、生产批次编码/出库批次编码等。</w:t>
            </w:r>
          </w:p>
          <w:p w14:paraId="696091A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（9）污染防治设施运行管理：参照《排污许可证申请与核发技术规范 工业固体废物和危险废物治理》（HJ 1033—2019）要求，建立危险废物贮存设施运行管理台账，记录以下内容：①环氧地坪防渗地面、集装箱整体围堰、库内导流槽、250mm×250mm×200mm 应急收集</w:t>
            </w:r>
            <w:r>
              <w:rPr>
                <w:rFonts w:hint="eastAsia" w:cs="Times New Roman" w:eastAsiaTheme="minorEastAsia"/>
                <w:color w:val="auto"/>
                <w:sz w:val="24"/>
                <w:lang w:val="en-US" w:eastAsia="zh-CN"/>
              </w:rPr>
              <w:t>池</w:t>
            </w:r>
            <w:r>
              <w:rPr>
                <w:rFonts w:hint="default" w:ascii="Times New Roman" w:hAnsi="Times New Roman" w:cs="Times New Roman" w:eastAsiaTheme="minorEastAsia"/>
                <w:color w:val="auto"/>
                <w:sz w:val="24"/>
              </w:rPr>
              <w:t>等泄漏堵截设施的定期检查时间、检查结果及维护情况；②防爆排风扇、防爆LED照明、光电感烟火灾探测器等电气消防设施的运行状态及检测维护记录；③干粉灭火器的压力指针、有效期及铅封完好情况；④防毒面具等应急物资的数量及有效期；⑤危废识别标志（设施标志、分区标志、容器标签）的完好情况，破损褪色及时更换。设施运行管理台账与危险废物管理台账一并保存，保存期限不少于5年。</w:t>
            </w:r>
          </w:p>
          <w:p w14:paraId="13B6EF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（10）日常巡检与人员培训：危废贮存库管理人员每日对库内进行巡检，检查容器密闭性、</w:t>
            </w:r>
            <w:r>
              <w:rPr>
                <w:rFonts w:hint="eastAsia" w:cs="Times New Roman" w:eastAsiaTheme="minorEastAsia"/>
                <w:color w:val="auto"/>
                <w:sz w:val="24"/>
                <w:lang w:val="en-US" w:eastAsia="zh-CN"/>
              </w:rPr>
              <w:t>应急事故池内</w:t>
            </w:r>
            <w:r>
              <w:rPr>
                <w:rFonts w:hint="default" w:ascii="Times New Roman" w:hAnsi="Times New Roman" w:cs="Times New Roman" w:eastAsiaTheme="minorEastAsia"/>
                <w:color w:val="auto"/>
                <w:sz w:val="24"/>
              </w:rPr>
              <w:t>有无渗漏积液、标签是否清晰、门窗是否关闭，发现问题及时处理并记录；每半年对导流槽、应急</w:t>
            </w:r>
            <w:r>
              <w:rPr>
                <w:rFonts w:hint="eastAsia" w:cs="Times New Roman" w:eastAsiaTheme="minorEastAsia"/>
                <w:color w:val="auto"/>
                <w:sz w:val="24"/>
                <w:lang w:val="en-US" w:eastAsia="zh-CN"/>
              </w:rPr>
              <w:t>事故池</w:t>
            </w:r>
            <w:r>
              <w:rPr>
                <w:rFonts w:hint="default" w:ascii="Times New Roman" w:hAnsi="Times New Roman" w:cs="Times New Roman" w:eastAsiaTheme="minorEastAsia"/>
                <w:color w:val="auto"/>
                <w:sz w:val="24"/>
              </w:rPr>
              <w:t>进行一次疏通检查，确保泄漏废液顺利收集；每年至少组织1次危险废物环境管理及应急处置培训，培训记录存档备查。</w:t>
            </w:r>
          </w:p>
          <w:p w14:paraId="7C7FE1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综上，本项目固体废物通过采取以上措施后，固废能得到妥善处置，所暂存的危险废物转运和贮存得到严格管理，不会对环境产生明显影响。</w:t>
            </w:r>
          </w:p>
          <w:p w14:paraId="31D01D81">
            <w:pPr>
              <w:keepNext w:val="0"/>
              <w:keepLines w:val="0"/>
              <w:pageBreakBefore w:val="0"/>
              <w:kinsoku/>
              <w:wordWrap/>
              <w:overflowPunct/>
              <w:autoSpaceDE/>
              <w:autoSpaceDN/>
              <w:bidi w:val="0"/>
              <w:adjustRightInd w:val="0"/>
              <w:snapToGrid w:val="0"/>
              <w:spacing w:beforeAutospacing="0" w:afterAutospacing="0" w:line="360" w:lineRule="auto"/>
              <w:ind w:left="0" w:leftChars="0" w:right="0" w:rightChars="0"/>
              <w:textAlignment w:val="auto"/>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5 地下水、土壤环境影响及保护措施</w:t>
            </w:r>
          </w:p>
          <w:p w14:paraId="55374110">
            <w:pPr>
              <w:keepNext w:val="0"/>
              <w:keepLines w:val="0"/>
              <w:pageBreakBefore w:val="0"/>
              <w:kinsoku/>
              <w:wordWrap/>
              <w:overflowPunct/>
              <w:autoSpaceDE/>
              <w:autoSpaceDN/>
              <w:bidi w:val="0"/>
              <w:adjustRightInd w:val="0"/>
              <w:snapToGrid w:val="0"/>
              <w:spacing w:beforeAutospacing="0" w:afterAutospacing="0" w:line="360" w:lineRule="auto"/>
              <w:ind w:left="0" w:leftChars="0" w:right="0" w:rightChars="0"/>
              <w:textAlignment w:val="auto"/>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5.1地下水、土壤污染影响分析</w:t>
            </w:r>
          </w:p>
          <w:p w14:paraId="122D0305">
            <w:pPr>
              <w:keepNext w:val="0"/>
              <w:keepLines w:val="0"/>
              <w:pageBreakBefore w:val="0"/>
              <w:widowControl/>
              <w:kinsoku/>
              <w:wordWrap/>
              <w:overflowPunct/>
              <w:topLinePunct/>
              <w:autoSpaceDE/>
              <w:autoSpaceDN/>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本项目为危废贮存库建设项目，根据《环境影响评价技术导则 土壤环境（试行）》（HJ964-2018）附录A，本项目为“环境和公共设施管理业”中的其他类，属于IV类项目，可不开展土壤环境影响评价。环评要求建设单位应严格按照《危险废物贮存污染控制标准》（GB18597-2023）进行防渗处理，对土壤环境影响较小。本工程运营期产生的危险废物均按照《危险废物贮存污染控制标准》(GB18597-2023）要求，临时贮存在危废贮存库并委托有危废处置资质的单位处理，贮存库做好防腐防渗措施。危险废物不直接与外环境土壤接触，基本不会对周边区域土壤环境产生污染。</w:t>
            </w:r>
          </w:p>
          <w:p w14:paraId="63814AB2">
            <w:pPr>
              <w:keepNext w:val="0"/>
              <w:keepLines w:val="0"/>
              <w:pageBreakBefore w:val="0"/>
              <w:kinsoku/>
              <w:wordWrap/>
              <w:overflowPunct/>
              <w:autoSpaceDE/>
              <w:autoSpaceDN/>
              <w:bidi w:val="0"/>
              <w:adjustRightInd w:val="0"/>
              <w:snapToGrid w:val="0"/>
              <w:spacing w:beforeAutospacing="0" w:afterAutospacing="0" w:line="360" w:lineRule="auto"/>
              <w:ind w:left="0" w:leftChars="0" w:right="0" w:rightChars="0"/>
              <w:textAlignment w:val="auto"/>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5.2保护措施</w:t>
            </w:r>
          </w:p>
          <w:p w14:paraId="1A4B1223">
            <w:pPr>
              <w:keepNext w:val="0"/>
              <w:keepLines w:val="0"/>
              <w:pageBreakBefore w:val="0"/>
              <w:widowControl/>
              <w:kinsoku/>
              <w:wordWrap/>
              <w:overflowPunct/>
              <w:topLinePunct/>
              <w:autoSpaceDE/>
              <w:autoSpaceDN/>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严格按照国家相关规范要求，对贮存区域地面采取相应防渗措施，以防止和降低污染物的跑、冒、滴、漏，将污染物泄漏的环境风险事故降到最低程度。</w:t>
            </w:r>
          </w:p>
          <w:p w14:paraId="53CE7A4D">
            <w:pPr>
              <w:keepNext w:val="0"/>
              <w:keepLines w:val="0"/>
              <w:pageBreakBefore w:val="0"/>
              <w:widowControl/>
              <w:kinsoku/>
              <w:wordWrap/>
              <w:overflowPunct/>
              <w:topLinePunct/>
              <w:autoSpaceDE/>
              <w:autoSpaceDN/>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为防止土壤、地下水污染的控制措施即为地面防渗工程，本项目危废</w:t>
            </w:r>
            <w:r>
              <w:rPr>
                <w:rFonts w:hint="eastAsia" w:ascii="Times New Roman" w:hAnsi="Times New Roman" w:cs="Times New Roman" w:eastAsiaTheme="minorEastAsia"/>
                <w:color w:val="auto"/>
                <w:kern w:val="0"/>
                <w:sz w:val="24"/>
                <w:szCs w:val="24"/>
                <w:lang w:val="en-US" w:eastAsia="zh-CN" w:bidi="ar"/>
              </w:rPr>
              <w:t>贮存库</w:t>
            </w:r>
            <w:r>
              <w:rPr>
                <w:rFonts w:hint="default" w:ascii="Times New Roman" w:hAnsi="Times New Roman" w:cs="Times New Roman" w:eastAsiaTheme="minorEastAsia"/>
                <w:color w:val="auto"/>
                <w:kern w:val="0"/>
                <w:sz w:val="24"/>
                <w:szCs w:val="24"/>
                <w:lang w:val="en-US" w:eastAsia="zh-CN" w:bidi="ar"/>
              </w:rPr>
              <w:t>内全部划分为重点防渗区，防渗情况详见下表。</w:t>
            </w:r>
          </w:p>
          <w:p w14:paraId="313FD34B">
            <w:pPr>
              <w:keepNext w:val="0"/>
              <w:keepLines w:val="0"/>
              <w:pageBreakBefore w:val="0"/>
              <w:widowControl/>
              <w:kinsoku/>
              <w:wordWrap/>
              <w:overflowPunct/>
              <w:topLinePunct/>
              <w:autoSpaceDE/>
              <w:autoSpaceDN/>
              <w:bidi w:val="0"/>
              <w:adjustRightInd w:val="0"/>
              <w:snapToGrid w:val="0"/>
              <w:spacing w:beforeAutospacing="0" w:afterAutospacing="0" w:line="360" w:lineRule="auto"/>
              <w:ind w:left="0" w:leftChars="0" w:right="0" w:rightChars="0"/>
              <w:jc w:val="center"/>
              <w:textAlignment w:val="auto"/>
              <w:rPr>
                <w:rFonts w:hint="default" w:ascii="Times New Roman" w:hAnsi="Times New Roman" w:cs="Times New Roman" w:eastAsiaTheme="minorEastAsia"/>
                <w:b/>
                <w:bCs/>
                <w:color w:val="auto"/>
                <w:kern w:val="0"/>
                <w:sz w:val="21"/>
                <w:szCs w:val="21"/>
                <w:lang w:val="en-US" w:eastAsia="zh-CN" w:bidi="ar"/>
              </w:rPr>
            </w:pPr>
            <w:r>
              <w:rPr>
                <w:rFonts w:hint="default" w:ascii="Times New Roman" w:hAnsi="Times New Roman" w:cs="Times New Roman" w:eastAsiaTheme="minorEastAsia"/>
                <w:b/>
                <w:bCs/>
                <w:color w:val="auto"/>
                <w:kern w:val="0"/>
                <w:sz w:val="21"/>
                <w:szCs w:val="21"/>
                <w:lang w:val="en-US" w:eastAsia="zh-CN" w:bidi="ar"/>
              </w:rPr>
              <w:t>表 4-</w:t>
            </w:r>
            <w:r>
              <w:rPr>
                <w:rFonts w:hint="eastAsia" w:cs="Times New Roman" w:eastAsiaTheme="minorEastAsia"/>
                <w:b/>
                <w:bCs/>
                <w:color w:val="auto"/>
                <w:kern w:val="0"/>
                <w:sz w:val="21"/>
                <w:szCs w:val="21"/>
                <w:lang w:val="en-US" w:eastAsia="zh-CN" w:bidi="ar"/>
              </w:rPr>
              <w:t>5</w:t>
            </w:r>
            <w:r>
              <w:rPr>
                <w:rFonts w:hint="default" w:ascii="Times New Roman" w:hAnsi="Times New Roman" w:cs="Times New Roman" w:eastAsiaTheme="minorEastAsia"/>
                <w:b/>
                <w:bCs/>
                <w:color w:val="auto"/>
                <w:kern w:val="0"/>
                <w:sz w:val="21"/>
                <w:szCs w:val="21"/>
                <w:lang w:val="en-US" w:eastAsia="zh-CN" w:bidi="ar"/>
              </w:rPr>
              <w:t xml:space="preserve"> </w:t>
            </w:r>
            <w:r>
              <w:rPr>
                <w:rFonts w:hint="eastAsia" w:ascii="Times New Roman" w:hAnsi="Times New Roman" w:cs="Times New Roman" w:eastAsiaTheme="minorEastAsia"/>
                <w:b/>
                <w:bCs/>
                <w:color w:val="auto"/>
                <w:kern w:val="0"/>
                <w:sz w:val="21"/>
                <w:szCs w:val="21"/>
                <w:lang w:val="en-US" w:eastAsia="zh-CN" w:bidi="ar"/>
              </w:rPr>
              <w:t xml:space="preserve">  </w:t>
            </w:r>
            <w:r>
              <w:rPr>
                <w:rFonts w:hint="default" w:ascii="Times New Roman" w:hAnsi="Times New Roman" w:cs="Times New Roman" w:eastAsiaTheme="minorEastAsia"/>
                <w:b/>
                <w:bCs/>
                <w:color w:val="auto"/>
                <w:kern w:val="0"/>
                <w:sz w:val="21"/>
                <w:szCs w:val="21"/>
                <w:lang w:val="en-US" w:eastAsia="zh-CN" w:bidi="ar"/>
              </w:rPr>
              <w:t>本项目防渗分区及应采取的防渗措施一览表</w:t>
            </w:r>
          </w:p>
          <w:tbl>
            <w:tblPr>
              <w:tblStyle w:val="30"/>
              <w:tblW w:w="0" w:type="auto"/>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96"/>
              <w:gridCol w:w="1742"/>
              <w:gridCol w:w="1688"/>
              <w:gridCol w:w="4139"/>
            </w:tblGrid>
            <w:tr w14:paraId="6CEABF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98" w:type="dxa"/>
                  <w:tcBorders>
                    <w:bottom w:val="single" w:color="auto" w:sz="12" w:space="0"/>
                  </w:tcBorders>
                  <w:vAlign w:val="center"/>
                </w:tcPr>
                <w:p w14:paraId="04CC25CC">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
                    </w:rPr>
                  </w:pPr>
                  <w:r>
                    <w:rPr>
                      <w:rFonts w:hint="default" w:ascii="Times New Roman" w:hAnsi="Times New Roman" w:cs="Times New Roman" w:eastAsiaTheme="minorEastAsia"/>
                      <w:b/>
                      <w:bCs/>
                      <w:color w:val="auto"/>
                      <w:kern w:val="0"/>
                      <w:sz w:val="21"/>
                      <w:szCs w:val="21"/>
                      <w:vertAlign w:val="baseline"/>
                      <w:lang w:val="en-US" w:eastAsia="zh-CN" w:bidi="ar"/>
                    </w:rPr>
                    <w:t>序号</w:t>
                  </w:r>
                </w:p>
              </w:tc>
              <w:tc>
                <w:tcPr>
                  <w:tcW w:w="1747" w:type="dxa"/>
                  <w:tcBorders>
                    <w:bottom w:val="single" w:color="auto" w:sz="12" w:space="0"/>
                  </w:tcBorders>
                  <w:vAlign w:val="center"/>
                </w:tcPr>
                <w:p w14:paraId="720F1FAC">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
                    </w:rPr>
                  </w:pPr>
                  <w:r>
                    <w:rPr>
                      <w:rFonts w:hint="default" w:ascii="Times New Roman" w:hAnsi="Times New Roman" w:cs="Times New Roman" w:eastAsiaTheme="minorEastAsia"/>
                      <w:b/>
                      <w:bCs/>
                      <w:color w:val="auto"/>
                      <w:kern w:val="0"/>
                      <w:sz w:val="21"/>
                      <w:szCs w:val="21"/>
                      <w:vertAlign w:val="baseline"/>
                      <w:lang w:val="en-US" w:eastAsia="zh-CN" w:bidi="ar"/>
                    </w:rPr>
                    <w:t>防渗分区</w:t>
                  </w:r>
                </w:p>
              </w:tc>
              <w:tc>
                <w:tcPr>
                  <w:tcW w:w="1693" w:type="dxa"/>
                  <w:tcBorders>
                    <w:bottom w:val="single" w:color="auto" w:sz="12" w:space="0"/>
                  </w:tcBorders>
                  <w:vAlign w:val="center"/>
                </w:tcPr>
                <w:p w14:paraId="58DD253D">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
                    </w:rPr>
                  </w:pPr>
                  <w:r>
                    <w:rPr>
                      <w:rFonts w:hint="default" w:ascii="Times New Roman" w:hAnsi="Times New Roman" w:cs="Times New Roman" w:eastAsiaTheme="minorEastAsia"/>
                      <w:b/>
                      <w:bCs/>
                      <w:color w:val="auto"/>
                      <w:kern w:val="0"/>
                      <w:sz w:val="21"/>
                      <w:szCs w:val="21"/>
                      <w:vertAlign w:val="baseline"/>
                      <w:lang w:val="en-US" w:eastAsia="zh-CN" w:bidi="ar"/>
                    </w:rPr>
                    <w:t>厂区区域</w:t>
                  </w:r>
                </w:p>
              </w:tc>
              <w:tc>
                <w:tcPr>
                  <w:tcW w:w="4147" w:type="dxa"/>
                  <w:tcBorders>
                    <w:bottom w:val="single" w:color="auto" w:sz="12" w:space="0"/>
                  </w:tcBorders>
                  <w:vAlign w:val="center"/>
                </w:tcPr>
                <w:p w14:paraId="35C76C65">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
                    </w:rPr>
                  </w:pPr>
                  <w:r>
                    <w:rPr>
                      <w:rFonts w:hint="default" w:ascii="Times New Roman" w:hAnsi="Times New Roman" w:cs="Times New Roman" w:eastAsiaTheme="minorEastAsia"/>
                      <w:b/>
                      <w:bCs/>
                      <w:color w:val="auto"/>
                      <w:kern w:val="0"/>
                      <w:sz w:val="21"/>
                      <w:szCs w:val="21"/>
                      <w:vertAlign w:val="baseline"/>
                      <w:lang w:val="en-US" w:eastAsia="zh-CN" w:bidi="ar"/>
                    </w:rPr>
                    <w:t>防渗技术要求</w:t>
                  </w:r>
                </w:p>
              </w:tc>
            </w:tr>
            <w:tr w14:paraId="189CDF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98" w:type="dxa"/>
                  <w:tcBorders>
                    <w:top w:val="single" w:color="auto" w:sz="12" w:space="0"/>
                    <w:tl2br w:val="nil"/>
                    <w:tr2bl w:val="nil"/>
                  </w:tcBorders>
                  <w:vAlign w:val="center"/>
                </w:tcPr>
                <w:p w14:paraId="2CE523AF">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0"/>
                      <w:sz w:val="21"/>
                      <w:szCs w:val="21"/>
                      <w:vertAlign w:val="baseline"/>
                      <w:lang w:val="en-US" w:eastAsia="zh-CN" w:bidi="ar"/>
                    </w:rPr>
                  </w:pPr>
                  <w:r>
                    <w:rPr>
                      <w:rFonts w:hint="default" w:ascii="Times New Roman" w:hAnsi="Times New Roman" w:cs="Times New Roman" w:eastAsiaTheme="minorEastAsia"/>
                      <w:color w:val="auto"/>
                      <w:kern w:val="0"/>
                      <w:sz w:val="21"/>
                      <w:szCs w:val="21"/>
                      <w:vertAlign w:val="baseline"/>
                      <w:lang w:val="en-US" w:eastAsia="zh-CN" w:bidi="ar"/>
                    </w:rPr>
                    <w:t>1</w:t>
                  </w:r>
                </w:p>
              </w:tc>
              <w:tc>
                <w:tcPr>
                  <w:tcW w:w="1747" w:type="dxa"/>
                  <w:tcBorders>
                    <w:top w:val="single" w:color="auto" w:sz="12" w:space="0"/>
                    <w:tl2br w:val="nil"/>
                    <w:tr2bl w:val="nil"/>
                  </w:tcBorders>
                  <w:vAlign w:val="center"/>
                </w:tcPr>
                <w:p w14:paraId="11C8E529">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0"/>
                      <w:sz w:val="21"/>
                      <w:szCs w:val="21"/>
                      <w:vertAlign w:val="baseline"/>
                      <w:lang w:val="en-US" w:eastAsia="zh-CN" w:bidi="ar"/>
                    </w:rPr>
                  </w:pPr>
                  <w:r>
                    <w:rPr>
                      <w:rFonts w:hint="default" w:ascii="Times New Roman" w:hAnsi="Times New Roman" w:cs="Times New Roman" w:eastAsiaTheme="minorEastAsia"/>
                      <w:color w:val="auto"/>
                      <w:kern w:val="0"/>
                      <w:sz w:val="21"/>
                      <w:szCs w:val="21"/>
                      <w:vertAlign w:val="baseline"/>
                      <w:lang w:val="en-US" w:eastAsia="zh-CN" w:bidi="ar"/>
                    </w:rPr>
                    <w:t>重点防渗区</w:t>
                  </w:r>
                </w:p>
              </w:tc>
              <w:tc>
                <w:tcPr>
                  <w:tcW w:w="1693" w:type="dxa"/>
                  <w:tcBorders>
                    <w:top w:val="single" w:color="auto" w:sz="12" w:space="0"/>
                    <w:tl2br w:val="nil"/>
                    <w:tr2bl w:val="nil"/>
                  </w:tcBorders>
                  <w:vAlign w:val="center"/>
                </w:tcPr>
                <w:p w14:paraId="57694211">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0"/>
                      <w:sz w:val="21"/>
                      <w:szCs w:val="21"/>
                      <w:vertAlign w:val="baseline"/>
                      <w:lang w:val="en-US" w:eastAsia="zh-CN" w:bidi="ar"/>
                    </w:rPr>
                  </w:pPr>
                  <w:r>
                    <w:rPr>
                      <w:rFonts w:hint="default" w:ascii="Times New Roman" w:hAnsi="Times New Roman" w:cs="Times New Roman" w:eastAsiaTheme="minorEastAsia"/>
                      <w:color w:val="auto"/>
                      <w:kern w:val="0"/>
                      <w:sz w:val="21"/>
                      <w:szCs w:val="21"/>
                      <w:vertAlign w:val="baseline"/>
                      <w:lang w:val="en-US" w:eastAsia="zh-CN" w:bidi="ar"/>
                    </w:rPr>
                    <w:t>危废贮存库</w:t>
                  </w:r>
                </w:p>
              </w:tc>
              <w:tc>
                <w:tcPr>
                  <w:tcW w:w="4147" w:type="dxa"/>
                  <w:tcBorders>
                    <w:top w:val="single" w:color="auto" w:sz="12" w:space="0"/>
                    <w:tl2br w:val="nil"/>
                    <w:tr2bl w:val="nil"/>
                  </w:tcBorders>
                  <w:vAlign w:val="center"/>
                </w:tcPr>
                <w:p w14:paraId="65937C4C">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0"/>
                      <w:sz w:val="21"/>
                      <w:szCs w:val="21"/>
                      <w:vertAlign w:val="baseline"/>
                      <w:lang w:val="en-US" w:eastAsia="zh-CN" w:bidi="ar"/>
                    </w:rPr>
                  </w:pPr>
                  <w:r>
                    <w:rPr>
                      <w:rFonts w:hint="default" w:ascii="Times New Roman" w:hAnsi="Times New Roman" w:cs="Times New Roman" w:eastAsiaTheme="minorEastAsia"/>
                      <w:color w:val="auto"/>
                      <w:kern w:val="0"/>
                      <w:sz w:val="21"/>
                      <w:szCs w:val="21"/>
                      <w:vertAlign w:val="baseline"/>
                      <w:lang w:val="en-US" w:eastAsia="zh-CN" w:bidi="ar"/>
                    </w:rPr>
                    <w:t>等效黏土层防渗 Mb≥6.0m，K≤1.0×10</w:t>
                  </w:r>
                  <w:r>
                    <w:rPr>
                      <w:rFonts w:hint="default" w:ascii="Times New Roman" w:hAnsi="Times New Roman" w:cs="Times New Roman" w:eastAsiaTheme="minorEastAsia"/>
                      <w:color w:val="auto"/>
                      <w:kern w:val="0"/>
                      <w:sz w:val="21"/>
                      <w:szCs w:val="21"/>
                      <w:vertAlign w:val="superscript"/>
                      <w:lang w:val="en-US" w:eastAsia="zh-CN" w:bidi="ar"/>
                    </w:rPr>
                    <w:t>-7</w:t>
                  </w:r>
                  <w:r>
                    <w:rPr>
                      <w:rFonts w:hint="default" w:ascii="Times New Roman" w:hAnsi="Times New Roman" w:cs="Times New Roman" w:eastAsiaTheme="minorEastAsia"/>
                      <w:color w:val="auto"/>
                      <w:kern w:val="0"/>
                      <w:sz w:val="21"/>
                      <w:szCs w:val="21"/>
                      <w:vertAlign w:val="baseline"/>
                      <w:lang w:val="en-US" w:eastAsia="zh-CN" w:bidi="ar"/>
                    </w:rPr>
                    <w:t>cm/s</w:t>
                  </w:r>
                  <w:r>
                    <w:rPr>
                      <w:rFonts w:hint="eastAsia" w:cs="Times New Roman" w:eastAsiaTheme="minorEastAsia"/>
                      <w:color w:val="auto"/>
                      <w:kern w:val="0"/>
                      <w:sz w:val="21"/>
                      <w:szCs w:val="21"/>
                      <w:vertAlign w:val="baseline"/>
                      <w:lang w:val="en-US" w:eastAsia="zh-CN" w:bidi="ar"/>
                    </w:rPr>
                    <w:t>。</w:t>
                  </w:r>
                </w:p>
              </w:tc>
            </w:tr>
          </w:tbl>
          <w:p w14:paraId="6EE5E4AB">
            <w:pPr>
              <w:keepNext w:val="0"/>
              <w:keepLines w:val="0"/>
              <w:pageBreakBefore w:val="0"/>
              <w:widowControl/>
              <w:kinsoku/>
              <w:wordWrap/>
              <w:overflowPunct/>
              <w:topLinePunct/>
              <w:autoSpaceDE/>
              <w:autoSpaceDN/>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项目在采取上述措施后，可以有效的防止危险废物在暂存过程中对地下水和土壤的影响。</w:t>
            </w:r>
          </w:p>
          <w:p w14:paraId="2AE02CFB">
            <w:pPr>
              <w:keepNext w:val="0"/>
              <w:keepLines w:val="0"/>
              <w:pageBreakBefore w:val="0"/>
              <w:kinsoku/>
              <w:wordWrap/>
              <w:overflowPunct/>
              <w:autoSpaceDE/>
              <w:autoSpaceDN/>
              <w:bidi w:val="0"/>
              <w:adjustRightInd w:val="0"/>
              <w:snapToGrid w:val="0"/>
              <w:spacing w:beforeAutospacing="0" w:afterAutospacing="0" w:line="360" w:lineRule="auto"/>
              <w:ind w:left="0" w:leftChars="0" w:right="0" w:rightChars="0"/>
              <w:textAlignment w:val="auto"/>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5.3地下水、土壤跟踪监测要求</w:t>
            </w:r>
          </w:p>
          <w:p w14:paraId="250806FD">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由上述分析，项目在确保各项防控措施得以落实，并加强维护和环境管理的前提下，项目对地下水、土壤的潜在污染源及其影响途径均可得到有效控制，故不对项目周边地下水、土壤环境制定监测计划。</w:t>
            </w:r>
          </w:p>
          <w:p w14:paraId="0D60E5A1">
            <w:pPr>
              <w:keepLines w:val="0"/>
              <w:pageBreakBefore w:val="0"/>
              <w:widowControl/>
              <w:kinsoku/>
              <w:overflowPunct/>
              <w:topLinePunct w:val="0"/>
              <w:bidi w:val="0"/>
              <w:snapToGrid w:val="0"/>
              <w:spacing w:beforeAutospacing="0" w:afterAutospacing="0" w:line="360" w:lineRule="auto"/>
              <w:ind w:left="0" w:leftChars="0" w:right="0" w:rightChars="0"/>
              <w:jc w:val="both"/>
              <w:textAlignment w:val="auto"/>
              <w:rPr>
                <w:rFonts w:hint="default" w:ascii="Times New Roman" w:hAnsi="Times New Roman" w:cs="Times New Roman" w:eastAsiaTheme="minorEastAsia"/>
                <w:b/>
                <w:bCs/>
                <w:snapToGrid w:val="0"/>
                <w:color w:val="auto"/>
                <w:spacing w:val="0"/>
                <w:kern w:val="0"/>
                <w:sz w:val="24"/>
                <w:szCs w:val="24"/>
                <w:highlight w:val="none"/>
                <w:lang w:val="en-US" w:eastAsia="zh-CN" w:bidi="ar-SA"/>
              </w:rPr>
            </w:pPr>
            <w:r>
              <w:rPr>
                <w:rFonts w:hint="default" w:ascii="Times New Roman" w:hAnsi="Times New Roman" w:cs="Times New Roman" w:eastAsiaTheme="minorEastAsia"/>
                <w:b/>
                <w:bCs/>
                <w:snapToGrid w:val="0"/>
                <w:color w:val="auto"/>
                <w:spacing w:val="0"/>
                <w:kern w:val="0"/>
                <w:sz w:val="24"/>
                <w:szCs w:val="24"/>
                <w:highlight w:val="none"/>
                <w:lang w:val="en-US" w:eastAsia="zh-CN" w:bidi="ar-SA"/>
              </w:rPr>
              <w:t>6 环境风险</w:t>
            </w:r>
          </w:p>
          <w:p w14:paraId="6B8E7100">
            <w:pPr>
              <w:keepLines w:val="0"/>
              <w:pageBreakBefore w:val="0"/>
              <w:widowControl/>
              <w:kinsoku/>
              <w:overflowPunct/>
              <w:topLinePunct w:val="0"/>
              <w:bidi w:val="0"/>
              <w:snapToGrid w:val="0"/>
              <w:spacing w:beforeAutospacing="0" w:afterAutospacing="0" w:line="360" w:lineRule="auto"/>
              <w:ind w:left="0" w:leftChars="0" w:right="0" w:rightChars="0"/>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b/>
                <w:bCs/>
                <w:color w:val="auto"/>
                <w:kern w:val="0"/>
                <w:sz w:val="24"/>
                <w:szCs w:val="24"/>
                <w:lang w:val="en-US" w:eastAsia="zh-CN" w:bidi="ar"/>
              </w:rPr>
              <w:t xml:space="preserve">6.1环境风险评价目的 </w:t>
            </w:r>
          </w:p>
          <w:p w14:paraId="3DB98323">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rPr>
              <w:t>环境风险评价的目的是分析和预测建设项目存在的潜在危险、有害因素，建设项目建设和运行期间可能发生的突发性事件或事故，引起有毒有害和易燃易爆等物质的泄漏，所造成的人身安全与环境影响和损害程度，提出合理可行的防范、应急与减缓措施，以使建设项目事故率、损失和环境影响达到可接受的水平</w:t>
            </w:r>
            <w:r>
              <w:rPr>
                <w:rFonts w:hint="default" w:ascii="Times New Roman" w:hAnsi="Times New Roman" w:cs="Times New Roman" w:eastAsiaTheme="minorEastAsia"/>
                <w:color w:val="auto"/>
                <w:sz w:val="24"/>
                <w:szCs w:val="24"/>
                <w:lang w:eastAsia="zh-CN"/>
              </w:rPr>
              <w:t>。</w:t>
            </w:r>
          </w:p>
          <w:p w14:paraId="1789C44E">
            <w:pPr>
              <w:keepLines w:val="0"/>
              <w:pageBreakBefore w:val="0"/>
              <w:widowControl/>
              <w:kinsoku/>
              <w:overflowPunct/>
              <w:topLinePunct w:val="0"/>
              <w:bidi w:val="0"/>
              <w:snapToGrid w:val="0"/>
              <w:spacing w:beforeAutospacing="0" w:afterAutospacing="0" w:line="360" w:lineRule="auto"/>
              <w:ind w:left="0" w:leftChars="0" w:right="0" w:rightChars="0"/>
              <w:jc w:val="both"/>
              <w:textAlignment w:val="auto"/>
              <w:rPr>
                <w:rFonts w:hint="default" w:ascii="Times New Roman" w:hAnsi="Times New Roman" w:cs="Times New Roman" w:eastAsiaTheme="minorEastAsia"/>
                <w:b/>
                <w:bCs/>
                <w:color w:val="auto"/>
                <w:kern w:val="0"/>
                <w:sz w:val="24"/>
                <w:szCs w:val="24"/>
                <w:lang w:val="en-US" w:eastAsia="zh-CN" w:bidi="ar"/>
              </w:rPr>
            </w:pPr>
            <w:r>
              <w:rPr>
                <w:rFonts w:hint="default" w:ascii="Times New Roman" w:hAnsi="Times New Roman" w:cs="Times New Roman" w:eastAsiaTheme="minorEastAsia"/>
                <w:b/>
                <w:bCs/>
                <w:color w:val="auto"/>
                <w:kern w:val="0"/>
                <w:sz w:val="24"/>
                <w:szCs w:val="24"/>
                <w:lang w:val="en-US" w:eastAsia="zh-CN" w:bidi="ar"/>
              </w:rPr>
              <w:t>6.2 风险物质识别</w:t>
            </w:r>
          </w:p>
          <w:p w14:paraId="6CC5A46E">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1、风险调查</w:t>
            </w:r>
          </w:p>
          <w:p w14:paraId="7916B83B">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按照《建设项目环境风险评价技术导则》（</w:t>
            </w:r>
            <w:r>
              <w:rPr>
                <w:rFonts w:hint="eastAsia" w:cs="Times New Roman" w:eastAsiaTheme="minorEastAsia"/>
                <w:color w:val="auto"/>
                <w:sz w:val="24"/>
                <w:szCs w:val="24"/>
                <w:lang w:val="en-US" w:eastAsia="zh-CN"/>
              </w:rPr>
              <w:t>HJ</w:t>
            </w:r>
            <w:r>
              <w:rPr>
                <w:rFonts w:hint="default" w:ascii="Times New Roman" w:hAnsi="Times New Roman" w:cs="Times New Roman" w:eastAsiaTheme="minorEastAsia"/>
                <w:color w:val="auto"/>
                <w:sz w:val="24"/>
                <w:szCs w:val="24"/>
              </w:rPr>
              <w:t>169-2018）附录 B 及《</w:t>
            </w:r>
            <w:r>
              <w:rPr>
                <w:rFonts w:ascii="宋体" w:hAnsi="宋体" w:eastAsia="宋体" w:cs="宋体"/>
                <w:color w:val="auto"/>
                <w:sz w:val="24"/>
                <w:szCs w:val="24"/>
              </w:rPr>
              <w:t>危险化学品重大危险源辨识</w:t>
            </w:r>
            <w:r>
              <w:rPr>
                <w:rFonts w:hint="default" w:ascii="Times New Roman" w:hAnsi="Times New Roman" w:cs="Times New Roman" w:eastAsiaTheme="minorEastAsia"/>
                <w:color w:val="auto"/>
                <w:sz w:val="24"/>
                <w:szCs w:val="24"/>
              </w:rPr>
              <w:t>》（GB18218-2018），本项目涉及的主要风险物质为实验室废液。</w:t>
            </w:r>
          </w:p>
          <w:p w14:paraId="559B6ACA">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2、风险潜势初判及风险评价等级</w:t>
            </w:r>
          </w:p>
          <w:p w14:paraId="61B1BE35">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根据建设项目涉及的物质和工艺系统的危险性及其所在地的环境敏感程度，结合事故情形下环境影响途径，对建设项目潜在环境危害程度进行概化分析，建设项目环境风险潜势划分表见表 4-</w:t>
            </w:r>
            <w:r>
              <w:rPr>
                <w:rFonts w:hint="eastAsia" w:cs="Times New Roman" w:eastAsiaTheme="minorEastAsia"/>
                <w:color w:val="auto"/>
                <w:sz w:val="24"/>
                <w:szCs w:val="24"/>
                <w:lang w:val="en-US" w:eastAsia="zh-CN"/>
              </w:rPr>
              <w:t>6</w:t>
            </w:r>
            <w:r>
              <w:rPr>
                <w:rFonts w:hint="default" w:ascii="Times New Roman" w:hAnsi="Times New Roman" w:cs="Times New Roman" w:eastAsiaTheme="minorEastAsia"/>
                <w:color w:val="auto"/>
                <w:sz w:val="24"/>
                <w:szCs w:val="24"/>
              </w:rPr>
              <w:t>。</w:t>
            </w:r>
          </w:p>
          <w:p w14:paraId="4E728A6E">
            <w:pPr>
              <w:keepNext w:val="0"/>
              <w:keepLines w:val="0"/>
              <w:pageBreakBefore w:val="0"/>
              <w:widowControl/>
              <w:kinsoku/>
              <w:wordWrap/>
              <w:topLinePunct/>
              <w:bidi w:val="0"/>
              <w:adjustRightInd w:val="0"/>
              <w:snapToGrid w:val="0"/>
              <w:spacing w:beforeAutospacing="0" w:afterAutospacing="0" w:line="36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表 4-</w:t>
            </w:r>
            <w:r>
              <w:rPr>
                <w:rFonts w:hint="eastAsia" w:cs="Times New Roman" w:eastAsiaTheme="minorEastAsia"/>
                <w:b/>
                <w:bCs/>
                <w:color w:val="auto"/>
                <w:sz w:val="21"/>
                <w:szCs w:val="21"/>
                <w:lang w:val="en-US" w:eastAsia="zh-CN"/>
              </w:rPr>
              <w:t>6</w:t>
            </w:r>
            <w:r>
              <w:rPr>
                <w:rFonts w:hint="default" w:ascii="Times New Roman" w:hAnsi="Times New Roman" w:cs="Times New Roman" w:eastAsiaTheme="minorEastAsia"/>
                <w:b/>
                <w:bCs/>
                <w:color w:val="auto"/>
                <w:sz w:val="21"/>
                <w:szCs w:val="21"/>
              </w:rPr>
              <w:t xml:space="preserve"> </w:t>
            </w:r>
            <w:r>
              <w:rPr>
                <w:rFonts w:hint="eastAsia" w:ascii="Times New Roman" w:hAnsi="Times New Roman" w:cs="Times New Roman" w:eastAsiaTheme="minorEastAsia"/>
                <w:b/>
                <w:bCs/>
                <w:color w:val="auto"/>
                <w:sz w:val="21"/>
                <w:szCs w:val="21"/>
                <w:lang w:val="en-US" w:eastAsia="zh-CN"/>
              </w:rPr>
              <w:t xml:space="preserve">  </w:t>
            </w:r>
            <w:r>
              <w:rPr>
                <w:rFonts w:hint="default" w:ascii="Times New Roman" w:hAnsi="Times New Roman" w:cs="Times New Roman" w:eastAsiaTheme="minorEastAsia"/>
                <w:b/>
                <w:bCs/>
                <w:color w:val="auto"/>
                <w:sz w:val="21"/>
                <w:szCs w:val="21"/>
              </w:rPr>
              <w:t>建设项目环境风险潜势划分表</w:t>
            </w:r>
          </w:p>
          <w:tbl>
            <w:tblPr>
              <w:tblStyle w:val="30"/>
              <w:tblW w:w="8500"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00"/>
              <w:gridCol w:w="1700"/>
              <w:gridCol w:w="1700"/>
              <w:gridCol w:w="1700"/>
              <w:gridCol w:w="1700"/>
            </w:tblGrid>
            <w:tr w14:paraId="5CC95B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00" w:type="dxa"/>
                  <w:vMerge w:val="restart"/>
                  <w:vAlign w:val="center"/>
                </w:tcPr>
                <w:p w14:paraId="259DBE33">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rPr>
                  </w:pPr>
                  <w:r>
                    <w:rPr>
                      <w:rFonts w:hint="default" w:ascii="Times New Roman" w:hAnsi="Times New Roman" w:cs="Times New Roman" w:eastAsiaTheme="minorEastAsia"/>
                      <w:b/>
                      <w:bCs/>
                      <w:color w:val="auto"/>
                      <w:sz w:val="21"/>
                      <w:szCs w:val="21"/>
                      <w:vertAlign w:val="baseline"/>
                    </w:rPr>
                    <w:t>环境敏感程度（E）</w:t>
                  </w:r>
                </w:p>
              </w:tc>
              <w:tc>
                <w:tcPr>
                  <w:tcW w:w="6800" w:type="dxa"/>
                  <w:gridSpan w:val="4"/>
                  <w:vAlign w:val="center"/>
                </w:tcPr>
                <w:p w14:paraId="48B74ED2">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rPr>
                  </w:pPr>
                  <w:r>
                    <w:rPr>
                      <w:rFonts w:hint="default" w:ascii="Times New Roman" w:hAnsi="Times New Roman" w:cs="Times New Roman" w:eastAsiaTheme="minorEastAsia"/>
                      <w:b/>
                      <w:bCs/>
                      <w:color w:val="auto"/>
                      <w:sz w:val="21"/>
                      <w:szCs w:val="21"/>
                      <w:vertAlign w:val="baseline"/>
                    </w:rPr>
                    <w:t>危险物质及工艺系统危险性（P）</w:t>
                  </w:r>
                </w:p>
              </w:tc>
            </w:tr>
            <w:tr w14:paraId="2666A0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00" w:type="dxa"/>
                  <w:vMerge w:val="continue"/>
                  <w:tcBorders>
                    <w:bottom w:val="single" w:color="auto" w:sz="12" w:space="0"/>
                  </w:tcBorders>
                  <w:vAlign w:val="center"/>
                </w:tcPr>
                <w:p w14:paraId="7656256A">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rPr>
                  </w:pPr>
                </w:p>
              </w:tc>
              <w:tc>
                <w:tcPr>
                  <w:tcW w:w="1700" w:type="dxa"/>
                  <w:tcBorders>
                    <w:bottom w:val="single" w:color="auto" w:sz="12" w:space="0"/>
                  </w:tcBorders>
                  <w:vAlign w:val="center"/>
                </w:tcPr>
                <w:p w14:paraId="01503E1F">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rPr>
                  </w:pPr>
                  <w:r>
                    <w:rPr>
                      <w:rFonts w:hint="default" w:ascii="Times New Roman" w:hAnsi="Times New Roman" w:cs="Times New Roman" w:eastAsiaTheme="minorEastAsia"/>
                      <w:b/>
                      <w:bCs/>
                      <w:color w:val="auto"/>
                      <w:sz w:val="21"/>
                      <w:szCs w:val="21"/>
                      <w:vertAlign w:val="baseline"/>
                    </w:rPr>
                    <w:t>极高危害（P1）</w:t>
                  </w:r>
                </w:p>
              </w:tc>
              <w:tc>
                <w:tcPr>
                  <w:tcW w:w="1700" w:type="dxa"/>
                  <w:tcBorders>
                    <w:bottom w:val="single" w:color="auto" w:sz="12" w:space="0"/>
                  </w:tcBorders>
                  <w:vAlign w:val="center"/>
                </w:tcPr>
                <w:p w14:paraId="1D9E9BA4">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rPr>
                  </w:pPr>
                  <w:r>
                    <w:rPr>
                      <w:rFonts w:hint="default" w:ascii="Times New Roman" w:hAnsi="Times New Roman" w:cs="Times New Roman" w:eastAsiaTheme="minorEastAsia"/>
                      <w:b/>
                      <w:bCs/>
                      <w:color w:val="auto"/>
                      <w:sz w:val="21"/>
                      <w:szCs w:val="21"/>
                      <w:vertAlign w:val="baseline"/>
                    </w:rPr>
                    <w:t>高度危害（P2）</w:t>
                  </w:r>
                </w:p>
              </w:tc>
              <w:tc>
                <w:tcPr>
                  <w:tcW w:w="1700" w:type="dxa"/>
                  <w:tcBorders>
                    <w:bottom w:val="single" w:color="auto" w:sz="12" w:space="0"/>
                  </w:tcBorders>
                  <w:vAlign w:val="center"/>
                </w:tcPr>
                <w:p w14:paraId="30204346">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rPr>
                  </w:pPr>
                  <w:r>
                    <w:rPr>
                      <w:rFonts w:hint="default" w:ascii="Times New Roman" w:hAnsi="Times New Roman" w:cs="Times New Roman" w:eastAsiaTheme="minorEastAsia"/>
                      <w:b/>
                      <w:bCs/>
                      <w:color w:val="auto"/>
                      <w:sz w:val="21"/>
                      <w:szCs w:val="21"/>
                      <w:vertAlign w:val="baseline"/>
                    </w:rPr>
                    <w:t>中度危害（P3）</w:t>
                  </w:r>
                </w:p>
              </w:tc>
              <w:tc>
                <w:tcPr>
                  <w:tcW w:w="1700" w:type="dxa"/>
                  <w:tcBorders>
                    <w:bottom w:val="single" w:color="auto" w:sz="12" w:space="0"/>
                  </w:tcBorders>
                  <w:vAlign w:val="center"/>
                </w:tcPr>
                <w:p w14:paraId="28ABFFB2">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rPr>
                  </w:pPr>
                  <w:r>
                    <w:rPr>
                      <w:rFonts w:hint="default" w:ascii="Times New Roman" w:hAnsi="Times New Roman" w:cs="Times New Roman" w:eastAsiaTheme="minorEastAsia"/>
                      <w:b/>
                      <w:bCs/>
                      <w:color w:val="auto"/>
                      <w:sz w:val="21"/>
                      <w:szCs w:val="21"/>
                      <w:vertAlign w:val="baseline"/>
                    </w:rPr>
                    <w:t>轻度危害（P4）</w:t>
                  </w:r>
                </w:p>
              </w:tc>
            </w:tr>
            <w:tr w14:paraId="490890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00" w:type="dxa"/>
                  <w:tcBorders>
                    <w:top w:val="single" w:color="auto" w:sz="12" w:space="0"/>
                    <w:tl2br w:val="nil"/>
                    <w:tr2bl w:val="nil"/>
                  </w:tcBorders>
                  <w:vAlign w:val="center"/>
                </w:tcPr>
                <w:p w14:paraId="4D96F8AC">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环境高度敏感（E1）</w:t>
                  </w:r>
                </w:p>
              </w:tc>
              <w:tc>
                <w:tcPr>
                  <w:tcW w:w="1700" w:type="dxa"/>
                  <w:tcBorders>
                    <w:top w:val="single" w:color="auto" w:sz="12" w:space="0"/>
                    <w:tl2br w:val="nil"/>
                    <w:tr2bl w:val="nil"/>
                  </w:tcBorders>
                  <w:vAlign w:val="center"/>
                </w:tcPr>
                <w:p w14:paraId="73243E77">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Ⅳ</w:t>
                  </w:r>
                  <w:r>
                    <w:rPr>
                      <w:rFonts w:hint="default" w:ascii="Times New Roman" w:hAnsi="Times New Roman" w:cs="Times New Roman" w:eastAsiaTheme="minorEastAsia"/>
                      <w:color w:val="auto"/>
                      <w:sz w:val="21"/>
                      <w:szCs w:val="21"/>
                      <w:vertAlign w:val="superscript"/>
                    </w:rPr>
                    <w:t>+</w:t>
                  </w:r>
                </w:p>
              </w:tc>
              <w:tc>
                <w:tcPr>
                  <w:tcW w:w="1700" w:type="dxa"/>
                  <w:tcBorders>
                    <w:top w:val="single" w:color="auto" w:sz="12" w:space="0"/>
                    <w:tl2br w:val="nil"/>
                    <w:tr2bl w:val="nil"/>
                  </w:tcBorders>
                  <w:vAlign w:val="center"/>
                </w:tcPr>
                <w:p w14:paraId="7D78F71D">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Ⅳ</w:t>
                  </w:r>
                </w:p>
              </w:tc>
              <w:tc>
                <w:tcPr>
                  <w:tcW w:w="1700" w:type="dxa"/>
                  <w:tcBorders>
                    <w:top w:val="single" w:color="auto" w:sz="12" w:space="0"/>
                    <w:tl2br w:val="nil"/>
                    <w:tr2bl w:val="nil"/>
                  </w:tcBorders>
                  <w:vAlign w:val="center"/>
                </w:tcPr>
                <w:p w14:paraId="33FB6A48">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Ⅲ</w:t>
                  </w:r>
                </w:p>
              </w:tc>
              <w:tc>
                <w:tcPr>
                  <w:tcW w:w="1700" w:type="dxa"/>
                  <w:tcBorders>
                    <w:top w:val="single" w:color="auto" w:sz="12" w:space="0"/>
                    <w:tl2br w:val="nil"/>
                    <w:tr2bl w:val="nil"/>
                  </w:tcBorders>
                  <w:vAlign w:val="center"/>
                </w:tcPr>
                <w:p w14:paraId="312DCED3">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Ⅲ</w:t>
                  </w:r>
                </w:p>
              </w:tc>
            </w:tr>
            <w:tr w14:paraId="703B92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00" w:type="dxa"/>
                  <w:tcBorders>
                    <w:tl2br w:val="nil"/>
                    <w:tr2bl w:val="nil"/>
                  </w:tcBorders>
                  <w:vAlign w:val="center"/>
                </w:tcPr>
                <w:p w14:paraId="40A47B95">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环境中度敏感（E2）</w:t>
                  </w:r>
                </w:p>
              </w:tc>
              <w:tc>
                <w:tcPr>
                  <w:tcW w:w="1700" w:type="dxa"/>
                  <w:tcBorders>
                    <w:tl2br w:val="nil"/>
                    <w:tr2bl w:val="nil"/>
                  </w:tcBorders>
                  <w:vAlign w:val="center"/>
                </w:tcPr>
                <w:p w14:paraId="1A92EC9A">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Ⅳ</w:t>
                  </w:r>
                </w:p>
              </w:tc>
              <w:tc>
                <w:tcPr>
                  <w:tcW w:w="1700" w:type="dxa"/>
                  <w:tcBorders>
                    <w:tl2br w:val="nil"/>
                    <w:tr2bl w:val="nil"/>
                  </w:tcBorders>
                  <w:vAlign w:val="center"/>
                </w:tcPr>
                <w:p w14:paraId="1B1AE1EF">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Ⅲ</w:t>
                  </w:r>
                </w:p>
              </w:tc>
              <w:tc>
                <w:tcPr>
                  <w:tcW w:w="1700" w:type="dxa"/>
                  <w:tcBorders>
                    <w:tl2br w:val="nil"/>
                    <w:tr2bl w:val="nil"/>
                  </w:tcBorders>
                  <w:vAlign w:val="center"/>
                </w:tcPr>
                <w:p w14:paraId="5B29C3A3">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Ⅲ</w:t>
                  </w:r>
                </w:p>
              </w:tc>
              <w:tc>
                <w:tcPr>
                  <w:tcW w:w="1700" w:type="dxa"/>
                  <w:tcBorders>
                    <w:tl2br w:val="nil"/>
                    <w:tr2bl w:val="nil"/>
                  </w:tcBorders>
                  <w:vAlign w:val="center"/>
                </w:tcPr>
                <w:p w14:paraId="22643B04">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lang w:val="en-US" w:eastAsia="zh-CN"/>
                    </w:rPr>
                    <w:t>Ⅱ</w:t>
                  </w:r>
                </w:p>
              </w:tc>
            </w:tr>
            <w:tr w14:paraId="33DD29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00" w:type="dxa"/>
                  <w:tcBorders>
                    <w:tl2br w:val="nil"/>
                    <w:tr2bl w:val="nil"/>
                  </w:tcBorders>
                  <w:vAlign w:val="center"/>
                </w:tcPr>
                <w:p w14:paraId="30C344BE">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环境低度敏感（E3）</w:t>
                  </w:r>
                </w:p>
              </w:tc>
              <w:tc>
                <w:tcPr>
                  <w:tcW w:w="1700" w:type="dxa"/>
                  <w:tcBorders>
                    <w:tl2br w:val="nil"/>
                    <w:tr2bl w:val="nil"/>
                  </w:tcBorders>
                  <w:vAlign w:val="center"/>
                </w:tcPr>
                <w:p w14:paraId="790F7A5D">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Ⅲ</w:t>
                  </w:r>
                </w:p>
              </w:tc>
              <w:tc>
                <w:tcPr>
                  <w:tcW w:w="1700" w:type="dxa"/>
                  <w:tcBorders>
                    <w:tl2br w:val="nil"/>
                    <w:tr2bl w:val="nil"/>
                  </w:tcBorders>
                  <w:vAlign w:val="center"/>
                </w:tcPr>
                <w:p w14:paraId="12B3FA35">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Ⅲ</w:t>
                  </w:r>
                </w:p>
              </w:tc>
              <w:tc>
                <w:tcPr>
                  <w:tcW w:w="1700" w:type="dxa"/>
                  <w:tcBorders>
                    <w:tl2br w:val="nil"/>
                    <w:tr2bl w:val="nil"/>
                  </w:tcBorders>
                  <w:vAlign w:val="center"/>
                </w:tcPr>
                <w:p w14:paraId="0634A413">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lang w:val="en-US" w:eastAsia="zh-CN"/>
                    </w:rPr>
                    <w:t>Ⅱ</w:t>
                  </w:r>
                </w:p>
              </w:tc>
              <w:tc>
                <w:tcPr>
                  <w:tcW w:w="1700" w:type="dxa"/>
                  <w:tcBorders>
                    <w:tl2br w:val="nil"/>
                    <w:tr2bl w:val="nil"/>
                  </w:tcBorders>
                  <w:vAlign w:val="center"/>
                </w:tcPr>
                <w:p w14:paraId="307A2576">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Ⅰ</w:t>
                  </w:r>
                </w:p>
              </w:tc>
            </w:tr>
            <w:tr w14:paraId="19C29D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500" w:type="dxa"/>
                  <w:gridSpan w:val="5"/>
                  <w:tcBorders>
                    <w:tl2br w:val="nil"/>
                    <w:tr2bl w:val="nil"/>
                  </w:tcBorders>
                  <w:vAlign w:val="center"/>
                </w:tcPr>
                <w:p w14:paraId="79C7C253">
                  <w:pPr>
                    <w:keepNext w:val="0"/>
                    <w:keepLines w:val="0"/>
                    <w:pageBreakBefore w:val="0"/>
                    <w:widowControl/>
                    <w:kinsoku/>
                    <w:wordWrap/>
                    <w:overflowPunct/>
                    <w:topLinePunct/>
                    <w:autoSpaceDE/>
                    <w:autoSpaceDN/>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注：Ⅳ+为极高环境风险</w:t>
                  </w:r>
                </w:p>
              </w:tc>
            </w:tr>
          </w:tbl>
          <w:p w14:paraId="417AC4C3">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P 的分级确定</w:t>
            </w:r>
          </w:p>
          <w:p w14:paraId="043501BF">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计算所涉及的每种危险物质在厂界内的最大存在总量与其在《建设项目环境风险评价技术导则》（</w:t>
            </w:r>
            <w:r>
              <w:rPr>
                <w:rFonts w:hint="eastAsia" w:cs="Times New Roman" w:eastAsiaTheme="minorEastAsia"/>
                <w:color w:val="auto"/>
                <w:sz w:val="24"/>
                <w:szCs w:val="24"/>
                <w:lang w:val="en-US" w:eastAsia="zh-CN"/>
              </w:rPr>
              <w:t>HJ</w:t>
            </w:r>
            <w:r>
              <w:rPr>
                <w:rFonts w:hint="default" w:ascii="Times New Roman" w:hAnsi="Times New Roman" w:cs="Times New Roman" w:eastAsiaTheme="minorEastAsia"/>
                <w:color w:val="auto"/>
                <w:sz w:val="24"/>
                <w:szCs w:val="24"/>
              </w:rPr>
              <w:t>169-2018）附录B中对应临界值的比值Q。</w:t>
            </w:r>
          </w:p>
          <w:p w14:paraId="1D0F8EC0">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当只有一种危险物质时，计算该物质的总量与其临界量比值，即为Q；</w:t>
            </w:r>
          </w:p>
          <w:p w14:paraId="37CAFCC6">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当存在多种危险物质时，则按下式计算物质总量与其临界量比值（Q）：</w:t>
            </w:r>
          </w:p>
          <w:p w14:paraId="06E3A736">
            <w:pPr>
              <w:keepNext w:val="0"/>
              <w:keepLines w:val="0"/>
              <w:pageBreakBefore w:val="0"/>
              <w:widowControl/>
              <w:kinsoku/>
              <w:wordWrap/>
              <w:overflowPunct/>
              <w:topLinePunct/>
              <w:autoSpaceDE/>
              <w:autoSpaceDN/>
              <w:bidi w:val="0"/>
              <w:adjustRightInd w:val="0"/>
              <w:snapToGrid w:val="0"/>
              <w:spacing w:beforeAutospacing="0" w:afterAutospacing="0" w:line="360" w:lineRule="auto"/>
              <w:ind w:left="0" w:leftChars="0" w:right="0" w:right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rPr>
              <w:drawing>
                <wp:inline distT="0" distB="0" distL="114300" distR="114300">
                  <wp:extent cx="1716405" cy="255905"/>
                  <wp:effectExtent l="0" t="0" r="17145" b="1079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6">
                            <a:lum contrast="18000"/>
                          </a:blip>
                          <a:stretch>
                            <a:fillRect/>
                          </a:stretch>
                        </pic:blipFill>
                        <pic:spPr>
                          <a:xfrm>
                            <a:off x="0" y="0"/>
                            <a:ext cx="1716405" cy="255905"/>
                          </a:xfrm>
                          <a:prstGeom prst="rect">
                            <a:avLst/>
                          </a:prstGeom>
                          <a:noFill/>
                          <a:ln>
                            <a:noFill/>
                          </a:ln>
                        </pic:spPr>
                      </pic:pic>
                    </a:graphicData>
                  </a:graphic>
                </wp:inline>
              </w:drawing>
            </w:r>
          </w:p>
          <w:p w14:paraId="5AF19099">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式中：q</w:t>
            </w:r>
            <w:r>
              <w:rPr>
                <w:rFonts w:hint="default" w:ascii="Times New Roman" w:hAnsi="Times New Roman" w:cs="Times New Roman" w:eastAsiaTheme="minorEastAsia"/>
                <w:color w:val="auto"/>
                <w:kern w:val="0"/>
                <w:sz w:val="24"/>
                <w:szCs w:val="24"/>
                <w:vertAlign w:val="subscript"/>
                <w:lang w:val="en-US" w:eastAsia="zh-CN" w:bidi="ar"/>
              </w:rPr>
              <w:t>1</w:t>
            </w:r>
            <w:r>
              <w:rPr>
                <w:rFonts w:hint="default" w:ascii="Times New Roman" w:hAnsi="Times New Roman" w:cs="Times New Roman" w:eastAsiaTheme="minorEastAsia"/>
                <w:color w:val="auto"/>
                <w:kern w:val="0"/>
                <w:sz w:val="24"/>
                <w:szCs w:val="24"/>
                <w:lang w:val="en-US" w:eastAsia="zh-CN" w:bidi="ar"/>
              </w:rPr>
              <w:t>、q</w:t>
            </w:r>
            <w:r>
              <w:rPr>
                <w:rFonts w:hint="default" w:ascii="Times New Roman" w:hAnsi="Times New Roman" w:cs="Times New Roman" w:eastAsiaTheme="minorEastAsia"/>
                <w:color w:val="auto"/>
                <w:kern w:val="0"/>
                <w:sz w:val="24"/>
                <w:szCs w:val="24"/>
                <w:vertAlign w:val="subscript"/>
                <w:lang w:val="en-US" w:eastAsia="zh-CN" w:bidi="ar"/>
              </w:rPr>
              <w:t>2</w:t>
            </w:r>
            <w:r>
              <w:rPr>
                <w:rFonts w:hint="default" w:ascii="Times New Roman" w:hAnsi="Times New Roman" w:cs="Times New Roman" w:eastAsiaTheme="minorEastAsia"/>
                <w:color w:val="auto"/>
                <w:kern w:val="0"/>
                <w:sz w:val="24"/>
                <w:szCs w:val="24"/>
                <w:lang w:val="en-US" w:eastAsia="zh-CN" w:bidi="ar"/>
              </w:rPr>
              <w:t>…q</w:t>
            </w:r>
            <w:r>
              <w:rPr>
                <w:rFonts w:hint="default" w:ascii="Times New Roman" w:hAnsi="Times New Roman" w:cs="Times New Roman" w:eastAsiaTheme="minorEastAsia"/>
                <w:color w:val="auto"/>
                <w:kern w:val="0"/>
                <w:sz w:val="24"/>
                <w:szCs w:val="24"/>
                <w:vertAlign w:val="subscript"/>
                <w:lang w:val="en-US" w:eastAsia="zh-CN" w:bidi="ar"/>
              </w:rPr>
              <w:t>n</w:t>
            </w:r>
            <w:r>
              <w:rPr>
                <w:rFonts w:hint="default" w:ascii="Times New Roman" w:hAnsi="Times New Roman" w:cs="Times New Roman" w:eastAsiaTheme="minorEastAsia"/>
                <w:color w:val="auto"/>
                <w:kern w:val="0"/>
                <w:sz w:val="24"/>
                <w:szCs w:val="24"/>
                <w:lang w:val="en-US" w:eastAsia="zh-CN" w:bidi="ar"/>
              </w:rPr>
              <w:t>—每种危险物质的最大存在总量，t；</w:t>
            </w:r>
          </w:p>
          <w:p w14:paraId="5C8C53CA">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1200" w:firstLineChars="5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Q</w:t>
            </w:r>
            <w:r>
              <w:rPr>
                <w:rFonts w:hint="default" w:ascii="Times New Roman" w:hAnsi="Times New Roman" w:cs="Times New Roman" w:eastAsiaTheme="minorEastAsia"/>
                <w:color w:val="auto"/>
                <w:kern w:val="0"/>
                <w:sz w:val="24"/>
                <w:szCs w:val="24"/>
                <w:vertAlign w:val="subscript"/>
                <w:lang w:val="en-US" w:eastAsia="zh-CN" w:bidi="ar"/>
              </w:rPr>
              <w:t>1</w:t>
            </w:r>
            <w:r>
              <w:rPr>
                <w:rFonts w:hint="default" w:ascii="Times New Roman" w:hAnsi="Times New Roman" w:cs="Times New Roman" w:eastAsiaTheme="minorEastAsia"/>
                <w:color w:val="auto"/>
                <w:kern w:val="0"/>
                <w:sz w:val="24"/>
                <w:szCs w:val="24"/>
                <w:lang w:val="en-US" w:eastAsia="zh-CN" w:bidi="ar"/>
              </w:rPr>
              <w:t>、Q</w:t>
            </w:r>
            <w:r>
              <w:rPr>
                <w:rFonts w:hint="default" w:ascii="Times New Roman" w:hAnsi="Times New Roman" w:cs="Times New Roman" w:eastAsiaTheme="minorEastAsia"/>
                <w:color w:val="auto"/>
                <w:kern w:val="0"/>
                <w:sz w:val="24"/>
                <w:szCs w:val="24"/>
                <w:vertAlign w:val="subscript"/>
                <w:lang w:val="en-US" w:eastAsia="zh-CN" w:bidi="ar"/>
              </w:rPr>
              <w:t>2</w:t>
            </w:r>
            <w:r>
              <w:rPr>
                <w:rFonts w:hint="default" w:ascii="Times New Roman" w:hAnsi="Times New Roman" w:cs="Times New Roman" w:eastAsiaTheme="minorEastAsia"/>
                <w:color w:val="auto"/>
                <w:kern w:val="0"/>
                <w:sz w:val="24"/>
                <w:szCs w:val="24"/>
                <w:lang w:val="en-US" w:eastAsia="zh-CN" w:bidi="ar"/>
              </w:rPr>
              <w:t>…Q</w:t>
            </w:r>
            <w:r>
              <w:rPr>
                <w:rFonts w:hint="default" w:ascii="Times New Roman" w:hAnsi="Times New Roman" w:cs="Times New Roman" w:eastAsiaTheme="minorEastAsia"/>
                <w:color w:val="auto"/>
                <w:kern w:val="0"/>
                <w:sz w:val="24"/>
                <w:szCs w:val="24"/>
                <w:vertAlign w:val="subscript"/>
                <w:lang w:val="en-US" w:eastAsia="zh-CN" w:bidi="ar"/>
              </w:rPr>
              <w:t>n</w:t>
            </w:r>
            <w:r>
              <w:rPr>
                <w:rFonts w:hint="default" w:ascii="Times New Roman" w:hAnsi="Times New Roman" w:cs="Times New Roman" w:eastAsiaTheme="minorEastAsia"/>
                <w:color w:val="auto"/>
                <w:kern w:val="0"/>
                <w:sz w:val="24"/>
                <w:szCs w:val="24"/>
                <w:lang w:val="en-US" w:eastAsia="zh-CN" w:bidi="ar"/>
              </w:rPr>
              <w:t>—与每种危险物质的临界量，t。</w:t>
            </w:r>
          </w:p>
          <w:p w14:paraId="4FB8BBF9">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当Q＜1时，该项目环境风险潜势为Ⅰ。</w:t>
            </w:r>
          </w:p>
          <w:p w14:paraId="083021AB">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当Q≥1时，将Q值划分为：（1）1≤Q＜10；（2）10≤Q＜100；（3）Q≥100. 本项目危险物质贮存情况如下表所示。</w:t>
            </w:r>
          </w:p>
          <w:p w14:paraId="42CE4D87">
            <w:pPr>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表4-</w:t>
            </w:r>
            <w:r>
              <w:rPr>
                <w:rFonts w:hint="eastAsia" w:cs="Times New Roman" w:eastAsiaTheme="minorEastAsia"/>
                <w:b/>
                <w:bCs/>
                <w:color w:val="auto"/>
                <w:szCs w:val="21"/>
                <w:lang w:val="en-US" w:eastAsia="zh-CN"/>
              </w:rPr>
              <w:t>7</w:t>
            </w:r>
            <w:r>
              <w:rPr>
                <w:rFonts w:hint="default" w:ascii="Times New Roman" w:hAnsi="Times New Roman" w:cs="Times New Roman" w:eastAsiaTheme="minorEastAsia"/>
                <w:b/>
                <w:bCs/>
                <w:color w:val="auto"/>
                <w:szCs w:val="21"/>
                <w:lang w:val="en-US" w:eastAsia="zh-CN"/>
              </w:rPr>
              <w:t xml:space="preserve">   危险物质临界量及实际存量</w:t>
            </w:r>
          </w:p>
          <w:tbl>
            <w:tblPr>
              <w:tblStyle w:val="29"/>
              <w:tblW w:w="8278"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 w:type="dxa"/>
                <w:bottom w:w="0" w:type="dxa"/>
                <w:right w:w="10" w:type="dxa"/>
              </w:tblCellMar>
            </w:tblPr>
            <w:tblGrid>
              <w:gridCol w:w="686"/>
              <w:gridCol w:w="2118"/>
              <w:gridCol w:w="1025"/>
              <w:gridCol w:w="1583"/>
              <w:gridCol w:w="1110"/>
              <w:gridCol w:w="1756"/>
            </w:tblGrid>
            <w:tr w14:paraId="459FEA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3" w:hRule="atLeast"/>
                <w:jc w:val="center"/>
              </w:trPr>
              <w:tc>
                <w:tcPr>
                  <w:tcW w:w="686" w:type="dxa"/>
                  <w:vMerge w:val="restart"/>
                  <w:noWrap w:val="0"/>
                  <w:tcMar>
                    <w:left w:w="108" w:type="dxa"/>
                    <w:right w:w="108" w:type="dxa"/>
                  </w:tcMar>
                  <w:vAlign w:val="center"/>
                </w:tcPr>
                <w:p w14:paraId="6B87CC0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序号</w:t>
                  </w:r>
                </w:p>
              </w:tc>
              <w:tc>
                <w:tcPr>
                  <w:tcW w:w="3143" w:type="dxa"/>
                  <w:gridSpan w:val="2"/>
                  <w:noWrap w:val="0"/>
                  <w:tcMar>
                    <w:left w:w="108" w:type="dxa"/>
                    <w:right w:w="108" w:type="dxa"/>
                  </w:tcMar>
                  <w:vAlign w:val="center"/>
                </w:tcPr>
                <w:p w14:paraId="32B3C6B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危险物质</w:t>
                  </w:r>
                </w:p>
              </w:tc>
              <w:tc>
                <w:tcPr>
                  <w:tcW w:w="1583" w:type="dxa"/>
                  <w:vMerge w:val="restart"/>
                  <w:noWrap w:val="0"/>
                  <w:tcMar>
                    <w:left w:w="108" w:type="dxa"/>
                    <w:right w:w="108" w:type="dxa"/>
                  </w:tcMar>
                  <w:vAlign w:val="center"/>
                </w:tcPr>
                <w:p w14:paraId="6B0DE65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储存/使用量</w:t>
                  </w:r>
                </w:p>
              </w:tc>
              <w:tc>
                <w:tcPr>
                  <w:tcW w:w="1110" w:type="dxa"/>
                  <w:vMerge w:val="restart"/>
                  <w:noWrap w:val="0"/>
                  <w:tcMar>
                    <w:left w:w="108" w:type="dxa"/>
                    <w:right w:w="108" w:type="dxa"/>
                  </w:tcMar>
                  <w:vAlign w:val="center"/>
                </w:tcPr>
                <w:p w14:paraId="60868CD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临界量</w:t>
                  </w:r>
                </w:p>
              </w:tc>
              <w:tc>
                <w:tcPr>
                  <w:tcW w:w="1756" w:type="dxa"/>
                  <w:vMerge w:val="restart"/>
                  <w:noWrap w:val="0"/>
                  <w:tcMar>
                    <w:left w:w="108" w:type="dxa"/>
                    <w:right w:w="108" w:type="dxa"/>
                  </w:tcMar>
                  <w:vAlign w:val="center"/>
                </w:tcPr>
                <w:p w14:paraId="3AC2627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 xml:space="preserve">该种危险物 </w:t>
                  </w:r>
                </w:p>
                <w:p w14:paraId="253E9FE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质Q值</w:t>
                  </w:r>
                </w:p>
              </w:tc>
            </w:tr>
            <w:tr w14:paraId="2E62CC7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3" w:hRule="atLeast"/>
                <w:jc w:val="center"/>
              </w:trPr>
              <w:tc>
                <w:tcPr>
                  <w:tcW w:w="686" w:type="dxa"/>
                  <w:vMerge w:val="continue"/>
                  <w:tcBorders>
                    <w:bottom w:val="single" w:color="000000" w:sz="12" w:space="0"/>
                  </w:tcBorders>
                  <w:noWrap w:val="0"/>
                  <w:tcMar>
                    <w:left w:w="108" w:type="dxa"/>
                    <w:right w:w="108" w:type="dxa"/>
                  </w:tcMar>
                  <w:vAlign w:val="center"/>
                </w:tcPr>
                <w:p w14:paraId="46A91B1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rPr>
                  </w:pPr>
                </w:p>
              </w:tc>
              <w:tc>
                <w:tcPr>
                  <w:tcW w:w="2118" w:type="dxa"/>
                  <w:tcBorders>
                    <w:bottom w:val="single" w:color="000000" w:sz="12" w:space="0"/>
                  </w:tcBorders>
                  <w:noWrap w:val="0"/>
                  <w:tcMar>
                    <w:left w:w="108" w:type="dxa"/>
                    <w:right w:w="108" w:type="dxa"/>
                  </w:tcMar>
                  <w:vAlign w:val="center"/>
                </w:tcPr>
                <w:p w14:paraId="5213A66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物质名称</w:t>
                  </w:r>
                </w:p>
              </w:tc>
              <w:tc>
                <w:tcPr>
                  <w:tcW w:w="1025" w:type="dxa"/>
                  <w:tcBorders>
                    <w:bottom w:val="single" w:color="000000" w:sz="12" w:space="0"/>
                  </w:tcBorders>
                  <w:noWrap w:val="0"/>
                  <w:tcMar>
                    <w:left w:w="108" w:type="dxa"/>
                    <w:right w:w="108" w:type="dxa"/>
                  </w:tcMar>
                  <w:vAlign w:val="center"/>
                </w:tcPr>
                <w:p w14:paraId="1726039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lang w:bidi="en-US"/>
                    </w:rPr>
                    <w:t>CAS</w:t>
                  </w:r>
                  <w:r>
                    <w:rPr>
                      <w:rFonts w:hint="default" w:ascii="Times New Roman" w:hAnsi="Times New Roman" w:cs="Times New Roman" w:eastAsiaTheme="minorEastAsia"/>
                      <w:b/>
                      <w:bCs/>
                      <w:color w:val="auto"/>
                      <w:sz w:val="21"/>
                      <w:szCs w:val="21"/>
                    </w:rPr>
                    <w:t>号</w:t>
                  </w:r>
                </w:p>
              </w:tc>
              <w:tc>
                <w:tcPr>
                  <w:tcW w:w="1583" w:type="dxa"/>
                  <w:vMerge w:val="continue"/>
                  <w:tcBorders>
                    <w:bottom w:val="single" w:color="000000" w:sz="12" w:space="0"/>
                  </w:tcBorders>
                  <w:noWrap w:val="0"/>
                  <w:tcMar>
                    <w:left w:w="108" w:type="dxa"/>
                    <w:right w:w="108" w:type="dxa"/>
                  </w:tcMar>
                  <w:vAlign w:val="center"/>
                </w:tcPr>
                <w:p w14:paraId="081B481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rPr>
                  </w:pPr>
                </w:p>
              </w:tc>
              <w:tc>
                <w:tcPr>
                  <w:tcW w:w="1110" w:type="dxa"/>
                  <w:vMerge w:val="continue"/>
                  <w:tcBorders>
                    <w:bottom w:val="single" w:color="000000" w:sz="12" w:space="0"/>
                  </w:tcBorders>
                  <w:noWrap w:val="0"/>
                  <w:tcMar>
                    <w:left w:w="108" w:type="dxa"/>
                    <w:right w:w="108" w:type="dxa"/>
                  </w:tcMar>
                  <w:vAlign w:val="center"/>
                </w:tcPr>
                <w:p w14:paraId="58BCDF6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rPr>
                  </w:pPr>
                </w:p>
              </w:tc>
              <w:tc>
                <w:tcPr>
                  <w:tcW w:w="1756" w:type="dxa"/>
                  <w:vMerge w:val="continue"/>
                  <w:tcBorders>
                    <w:bottom w:val="single" w:color="000000" w:sz="12" w:space="0"/>
                  </w:tcBorders>
                  <w:noWrap w:val="0"/>
                  <w:tcMar>
                    <w:left w:w="108" w:type="dxa"/>
                    <w:right w:w="108" w:type="dxa"/>
                  </w:tcMar>
                  <w:vAlign w:val="center"/>
                </w:tcPr>
                <w:p w14:paraId="3A9D1DD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rPr>
                  </w:pPr>
                </w:p>
              </w:tc>
            </w:tr>
            <w:tr w14:paraId="4BAF94B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3" w:hRule="atLeast"/>
                <w:jc w:val="center"/>
              </w:trPr>
              <w:tc>
                <w:tcPr>
                  <w:tcW w:w="686" w:type="dxa"/>
                  <w:tcBorders>
                    <w:top w:val="single" w:color="000000" w:sz="12" w:space="0"/>
                    <w:bottom w:val="single" w:color="000000" w:sz="4" w:space="0"/>
                  </w:tcBorders>
                  <w:noWrap w:val="0"/>
                  <w:tcMar>
                    <w:left w:w="108" w:type="dxa"/>
                    <w:right w:w="108" w:type="dxa"/>
                  </w:tcMar>
                  <w:vAlign w:val="center"/>
                </w:tcPr>
                <w:p w14:paraId="67E857E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w:t>
                  </w:r>
                </w:p>
              </w:tc>
              <w:tc>
                <w:tcPr>
                  <w:tcW w:w="2118" w:type="dxa"/>
                  <w:tcBorders>
                    <w:top w:val="single" w:color="000000" w:sz="12" w:space="0"/>
                    <w:bottom w:val="single" w:color="000000" w:sz="4" w:space="0"/>
                  </w:tcBorders>
                  <w:noWrap w:val="0"/>
                  <w:tcMar>
                    <w:left w:w="108" w:type="dxa"/>
                    <w:right w:w="108" w:type="dxa"/>
                  </w:tcMar>
                  <w:vAlign w:val="center"/>
                </w:tcPr>
                <w:p w14:paraId="78A47B9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实验室废液</w:t>
                  </w:r>
                </w:p>
              </w:tc>
              <w:tc>
                <w:tcPr>
                  <w:tcW w:w="1025" w:type="dxa"/>
                  <w:tcBorders>
                    <w:top w:val="single" w:color="000000" w:sz="12" w:space="0"/>
                    <w:bottom w:val="single" w:color="000000" w:sz="4" w:space="0"/>
                  </w:tcBorders>
                  <w:noWrap w:val="0"/>
                  <w:tcMar>
                    <w:left w:w="108" w:type="dxa"/>
                    <w:right w:w="108" w:type="dxa"/>
                  </w:tcMar>
                  <w:vAlign w:val="center"/>
                </w:tcPr>
                <w:p w14:paraId="2A40200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lang w:bidi="en-US"/>
                    </w:rPr>
                    <w:t>/</w:t>
                  </w:r>
                </w:p>
              </w:tc>
              <w:tc>
                <w:tcPr>
                  <w:tcW w:w="1583" w:type="dxa"/>
                  <w:tcBorders>
                    <w:top w:val="single" w:color="000000" w:sz="12" w:space="0"/>
                    <w:bottom w:val="single" w:color="000000" w:sz="4" w:space="0"/>
                  </w:tcBorders>
                  <w:noWrap w:val="0"/>
                  <w:tcMar>
                    <w:left w:w="108" w:type="dxa"/>
                    <w:right w:w="108" w:type="dxa"/>
                  </w:tcMar>
                  <w:vAlign w:val="center"/>
                </w:tcPr>
                <w:p w14:paraId="59C1845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0</w:t>
                  </w:r>
                  <w:r>
                    <w:rPr>
                      <w:rFonts w:hint="eastAsia" w:ascii="Times New Roman" w:hAnsi="Times New Roman" w:cs="Times New Roman" w:eastAsiaTheme="minorEastAsia"/>
                      <w:color w:val="auto"/>
                      <w:sz w:val="21"/>
                      <w:szCs w:val="21"/>
                      <w:lang w:val="en-US" w:eastAsia="zh-CN"/>
                    </w:rPr>
                    <w:t>.5</w:t>
                  </w:r>
                </w:p>
              </w:tc>
              <w:tc>
                <w:tcPr>
                  <w:tcW w:w="1110" w:type="dxa"/>
                  <w:tcBorders>
                    <w:top w:val="single" w:color="000000" w:sz="12" w:space="0"/>
                    <w:bottom w:val="single" w:color="000000" w:sz="4" w:space="0"/>
                  </w:tcBorders>
                  <w:noWrap w:val="0"/>
                  <w:tcMar>
                    <w:left w:w="108" w:type="dxa"/>
                    <w:right w:w="108" w:type="dxa"/>
                  </w:tcMar>
                  <w:vAlign w:val="center"/>
                </w:tcPr>
                <w:p w14:paraId="4D7C710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sz w:val="21"/>
                      <w:szCs w:val="21"/>
                      <w:lang w:val="en-US" w:eastAsia="zh-CN"/>
                    </w:rPr>
                    <w:t>/</w:t>
                  </w:r>
                </w:p>
              </w:tc>
              <w:tc>
                <w:tcPr>
                  <w:tcW w:w="1756" w:type="dxa"/>
                  <w:tcBorders>
                    <w:top w:val="single" w:color="000000" w:sz="12" w:space="0"/>
                    <w:bottom w:val="single" w:color="000000" w:sz="4" w:space="0"/>
                  </w:tcBorders>
                  <w:noWrap w:val="0"/>
                  <w:tcMar>
                    <w:left w:w="108" w:type="dxa"/>
                    <w:right w:w="108" w:type="dxa"/>
                  </w:tcMar>
                  <w:vAlign w:val="center"/>
                </w:tcPr>
                <w:p w14:paraId="6CE75F6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r>
            <w:tr w14:paraId="14D851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3" w:hRule="atLeast"/>
                <w:jc w:val="center"/>
              </w:trPr>
              <w:tc>
                <w:tcPr>
                  <w:tcW w:w="686" w:type="dxa"/>
                  <w:tcBorders>
                    <w:top w:val="single" w:color="000000" w:sz="4" w:space="0"/>
                    <w:bottom w:val="single" w:color="000000" w:sz="4" w:space="0"/>
                  </w:tcBorders>
                  <w:noWrap w:val="0"/>
                  <w:tcMar>
                    <w:left w:w="108" w:type="dxa"/>
                    <w:right w:w="108" w:type="dxa"/>
                  </w:tcMar>
                  <w:vAlign w:val="center"/>
                </w:tcPr>
                <w:p w14:paraId="67C2207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2</w:t>
                  </w:r>
                </w:p>
              </w:tc>
              <w:tc>
                <w:tcPr>
                  <w:tcW w:w="2118" w:type="dxa"/>
                  <w:tcBorders>
                    <w:top w:val="single" w:color="000000" w:sz="4" w:space="0"/>
                    <w:bottom w:val="single" w:color="000000" w:sz="4" w:space="0"/>
                  </w:tcBorders>
                  <w:noWrap w:val="0"/>
                  <w:tcMar>
                    <w:left w:w="108" w:type="dxa"/>
                    <w:right w:w="108" w:type="dxa"/>
                  </w:tcMar>
                  <w:vAlign w:val="center"/>
                </w:tcPr>
                <w:p w14:paraId="1A47726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过期</w:t>
                  </w:r>
                  <w:r>
                    <w:rPr>
                      <w:rFonts w:hint="eastAsia" w:cs="Times New Roman" w:eastAsiaTheme="minorEastAsia"/>
                      <w:color w:val="auto"/>
                      <w:sz w:val="21"/>
                      <w:szCs w:val="21"/>
                      <w:lang w:val="en-US" w:eastAsia="zh-CN"/>
                    </w:rPr>
                    <w:t>废</w:t>
                  </w:r>
                  <w:r>
                    <w:rPr>
                      <w:rFonts w:hint="default" w:ascii="Times New Roman" w:hAnsi="Times New Roman" w:cs="Times New Roman" w:eastAsiaTheme="minorEastAsia"/>
                      <w:color w:val="auto"/>
                      <w:sz w:val="21"/>
                      <w:szCs w:val="21"/>
                      <w:lang w:val="en-US" w:eastAsia="zh-CN"/>
                    </w:rPr>
                    <w:t>试剂（废酸、废减、废有机试剂等）</w:t>
                  </w:r>
                </w:p>
              </w:tc>
              <w:tc>
                <w:tcPr>
                  <w:tcW w:w="1025" w:type="dxa"/>
                  <w:tcBorders>
                    <w:top w:val="single" w:color="000000" w:sz="4" w:space="0"/>
                    <w:bottom w:val="single" w:color="000000" w:sz="4" w:space="0"/>
                  </w:tcBorders>
                  <w:noWrap w:val="0"/>
                  <w:tcMar>
                    <w:left w:w="108" w:type="dxa"/>
                    <w:right w:w="108" w:type="dxa"/>
                  </w:tcMar>
                  <w:vAlign w:val="center"/>
                </w:tcPr>
                <w:p w14:paraId="7CD7415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bidi="en-US"/>
                    </w:rPr>
                  </w:pPr>
                  <w:r>
                    <w:rPr>
                      <w:rFonts w:hint="default" w:ascii="Times New Roman" w:hAnsi="Times New Roman" w:cs="Times New Roman" w:eastAsiaTheme="minorEastAsia"/>
                      <w:color w:val="auto"/>
                      <w:sz w:val="21"/>
                      <w:szCs w:val="21"/>
                      <w:lang w:bidi="en-US"/>
                    </w:rPr>
                    <w:t>/</w:t>
                  </w:r>
                </w:p>
              </w:tc>
              <w:tc>
                <w:tcPr>
                  <w:tcW w:w="1583" w:type="dxa"/>
                  <w:tcBorders>
                    <w:top w:val="single" w:color="000000" w:sz="4" w:space="0"/>
                    <w:bottom w:val="single" w:color="000000" w:sz="4" w:space="0"/>
                  </w:tcBorders>
                  <w:noWrap w:val="0"/>
                  <w:tcMar>
                    <w:left w:w="108" w:type="dxa"/>
                    <w:right w:w="108" w:type="dxa"/>
                  </w:tcMar>
                  <w:vAlign w:val="center"/>
                </w:tcPr>
                <w:p w14:paraId="5CA86A2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0.1</w:t>
                  </w:r>
                </w:p>
              </w:tc>
              <w:tc>
                <w:tcPr>
                  <w:tcW w:w="1110" w:type="dxa"/>
                  <w:tcBorders>
                    <w:top w:val="single" w:color="000000" w:sz="4" w:space="0"/>
                    <w:bottom w:val="single" w:color="000000" w:sz="4" w:space="0"/>
                  </w:tcBorders>
                  <w:shd w:val="clear" w:color="auto" w:fill="auto"/>
                  <w:noWrap w:val="0"/>
                  <w:tcMar>
                    <w:left w:w="108" w:type="dxa"/>
                    <w:right w:w="108" w:type="dxa"/>
                  </w:tcMar>
                  <w:vAlign w:val="center"/>
                </w:tcPr>
                <w:p w14:paraId="7567A37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bidi="en-US"/>
                    </w:rPr>
                    <w:t>/</w:t>
                  </w:r>
                </w:p>
              </w:tc>
              <w:tc>
                <w:tcPr>
                  <w:tcW w:w="1756" w:type="dxa"/>
                  <w:tcBorders>
                    <w:top w:val="single" w:color="000000" w:sz="4" w:space="0"/>
                    <w:bottom w:val="single" w:color="000000" w:sz="4" w:space="0"/>
                  </w:tcBorders>
                  <w:shd w:val="clear" w:color="auto" w:fill="auto"/>
                  <w:noWrap w:val="0"/>
                  <w:tcMar>
                    <w:left w:w="108" w:type="dxa"/>
                    <w:right w:w="108" w:type="dxa"/>
                  </w:tcMar>
                  <w:vAlign w:val="center"/>
                </w:tcPr>
                <w:p w14:paraId="3470129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bidi="en-US"/>
                    </w:rPr>
                    <w:t>/</w:t>
                  </w:r>
                </w:p>
              </w:tc>
            </w:tr>
            <w:tr w14:paraId="06DF30F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3" w:hRule="atLeast"/>
                <w:jc w:val="center"/>
              </w:trPr>
              <w:tc>
                <w:tcPr>
                  <w:tcW w:w="686" w:type="dxa"/>
                  <w:tcBorders>
                    <w:top w:val="single" w:color="000000" w:sz="4" w:space="0"/>
                  </w:tcBorders>
                  <w:noWrap w:val="0"/>
                  <w:tcMar>
                    <w:left w:w="108" w:type="dxa"/>
                    <w:right w:w="108" w:type="dxa"/>
                  </w:tcMar>
                  <w:vAlign w:val="center"/>
                </w:tcPr>
                <w:p w14:paraId="1ED05E5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3</w:t>
                  </w:r>
                </w:p>
              </w:tc>
              <w:tc>
                <w:tcPr>
                  <w:tcW w:w="2118" w:type="dxa"/>
                  <w:tcBorders>
                    <w:top w:val="single" w:color="000000" w:sz="4" w:space="0"/>
                  </w:tcBorders>
                  <w:shd w:val="clear" w:color="auto" w:fill="auto"/>
                  <w:noWrap w:val="0"/>
                  <w:tcMar>
                    <w:left w:w="108" w:type="dxa"/>
                    <w:right w:w="108" w:type="dxa"/>
                  </w:tcMar>
                  <w:vAlign w:val="center"/>
                </w:tcPr>
                <w:p w14:paraId="54C8969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废试剂瓶</w:t>
                  </w:r>
                </w:p>
              </w:tc>
              <w:tc>
                <w:tcPr>
                  <w:tcW w:w="1025" w:type="dxa"/>
                  <w:tcBorders>
                    <w:top w:val="single" w:color="000000" w:sz="4" w:space="0"/>
                  </w:tcBorders>
                  <w:shd w:val="clear" w:color="auto" w:fill="auto"/>
                  <w:noWrap w:val="0"/>
                  <w:tcMar>
                    <w:left w:w="108" w:type="dxa"/>
                    <w:right w:w="108" w:type="dxa"/>
                  </w:tcMar>
                  <w:vAlign w:val="center"/>
                </w:tcPr>
                <w:p w14:paraId="2B72AD5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en-US"/>
                    </w:rPr>
                  </w:pPr>
                  <w:r>
                    <w:rPr>
                      <w:rFonts w:hint="default" w:ascii="Times New Roman" w:hAnsi="Times New Roman" w:cs="Times New Roman" w:eastAsiaTheme="minorEastAsia"/>
                      <w:color w:val="auto"/>
                      <w:sz w:val="21"/>
                      <w:szCs w:val="21"/>
                      <w:lang w:bidi="en-US"/>
                    </w:rPr>
                    <w:t>/</w:t>
                  </w:r>
                </w:p>
              </w:tc>
              <w:tc>
                <w:tcPr>
                  <w:tcW w:w="1583" w:type="dxa"/>
                  <w:tcBorders>
                    <w:top w:val="single" w:color="000000" w:sz="4" w:space="0"/>
                  </w:tcBorders>
                  <w:shd w:val="clear" w:color="auto" w:fill="auto"/>
                  <w:noWrap w:val="0"/>
                  <w:tcMar>
                    <w:left w:w="108" w:type="dxa"/>
                    <w:right w:w="108" w:type="dxa"/>
                  </w:tcMar>
                  <w:vAlign w:val="center"/>
                </w:tcPr>
                <w:p w14:paraId="1D5EE37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0.4</w:t>
                  </w:r>
                </w:p>
              </w:tc>
              <w:tc>
                <w:tcPr>
                  <w:tcW w:w="1110" w:type="dxa"/>
                  <w:tcBorders>
                    <w:top w:val="single" w:color="000000" w:sz="4" w:space="0"/>
                  </w:tcBorders>
                  <w:shd w:val="clear" w:color="auto" w:fill="auto"/>
                  <w:noWrap w:val="0"/>
                  <w:tcMar>
                    <w:left w:w="108" w:type="dxa"/>
                    <w:right w:w="108" w:type="dxa"/>
                  </w:tcMar>
                  <w:vAlign w:val="center"/>
                </w:tcPr>
                <w:p w14:paraId="249F998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w:t>
                  </w:r>
                </w:p>
              </w:tc>
              <w:tc>
                <w:tcPr>
                  <w:tcW w:w="1756" w:type="dxa"/>
                  <w:tcBorders>
                    <w:top w:val="single" w:color="000000" w:sz="4" w:space="0"/>
                  </w:tcBorders>
                  <w:shd w:val="clear" w:color="auto" w:fill="auto"/>
                  <w:noWrap w:val="0"/>
                  <w:tcMar>
                    <w:left w:w="108" w:type="dxa"/>
                    <w:right w:w="108" w:type="dxa"/>
                  </w:tcMar>
                  <w:vAlign w:val="center"/>
                </w:tcPr>
                <w:p w14:paraId="57F4390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w:t>
                  </w:r>
                </w:p>
              </w:tc>
            </w:tr>
          </w:tbl>
          <w:p w14:paraId="0171C040">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项目 Q＜1，该项目环境风险潜势为Ⅰ。</w:t>
            </w:r>
          </w:p>
          <w:p w14:paraId="26D5A7FF">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3、评价等级</w:t>
            </w:r>
          </w:p>
          <w:p w14:paraId="034B9FCC">
            <w:pPr>
              <w:keepNext w:val="0"/>
              <w:keepLines w:val="0"/>
              <w:pageBreakBefore w:val="0"/>
              <w:widowControl/>
              <w:kinsoku/>
              <w:wordWrap/>
              <w:topLinePunct/>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根据《建设项目环境风险评价技术导则》（</w:t>
            </w:r>
            <w:r>
              <w:rPr>
                <w:rFonts w:hint="eastAsia" w:cs="Times New Roman" w:eastAsiaTheme="minorEastAsia"/>
                <w:color w:val="auto"/>
                <w:kern w:val="0"/>
                <w:sz w:val="24"/>
                <w:szCs w:val="24"/>
                <w:lang w:val="en-US" w:eastAsia="zh-CN" w:bidi="ar"/>
              </w:rPr>
              <w:t>HJ</w:t>
            </w:r>
            <w:r>
              <w:rPr>
                <w:rFonts w:hint="default" w:ascii="Times New Roman" w:hAnsi="Times New Roman" w:cs="Times New Roman" w:eastAsiaTheme="minorEastAsia"/>
                <w:color w:val="auto"/>
                <w:kern w:val="0"/>
                <w:sz w:val="24"/>
                <w:szCs w:val="24"/>
                <w:lang w:val="en-US" w:eastAsia="zh-CN" w:bidi="ar"/>
              </w:rPr>
              <w:t>169-2018），评价工作等级划分见表4-</w:t>
            </w:r>
            <w:r>
              <w:rPr>
                <w:rFonts w:hint="eastAsia" w:cs="Times New Roman" w:eastAsiaTheme="minorEastAsia"/>
                <w:color w:val="auto"/>
                <w:kern w:val="0"/>
                <w:sz w:val="24"/>
                <w:szCs w:val="24"/>
                <w:lang w:val="en-US" w:eastAsia="zh-CN" w:bidi="ar"/>
              </w:rPr>
              <w:t>8</w:t>
            </w:r>
            <w:r>
              <w:rPr>
                <w:rFonts w:hint="default" w:ascii="Times New Roman" w:hAnsi="Times New Roman" w:cs="Times New Roman" w:eastAsiaTheme="minorEastAsia"/>
                <w:color w:val="auto"/>
                <w:kern w:val="0"/>
                <w:sz w:val="24"/>
                <w:szCs w:val="24"/>
                <w:lang w:val="en-US" w:eastAsia="zh-CN" w:bidi="ar"/>
              </w:rPr>
              <w:t>。</w:t>
            </w:r>
          </w:p>
          <w:p w14:paraId="0F5D9B3A">
            <w:pPr>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表4-</w:t>
            </w:r>
            <w:r>
              <w:rPr>
                <w:rFonts w:hint="eastAsia" w:cs="Times New Roman" w:eastAsiaTheme="minorEastAsia"/>
                <w:b/>
                <w:bCs/>
                <w:color w:val="auto"/>
                <w:szCs w:val="21"/>
                <w:lang w:val="en-US" w:eastAsia="zh-CN"/>
              </w:rPr>
              <w:t>8</w:t>
            </w:r>
            <w:r>
              <w:rPr>
                <w:rFonts w:hint="default" w:ascii="Times New Roman" w:hAnsi="Times New Roman" w:cs="Times New Roman" w:eastAsiaTheme="minorEastAsia"/>
                <w:b/>
                <w:bCs/>
                <w:color w:val="auto"/>
                <w:szCs w:val="21"/>
                <w:lang w:val="en-US" w:eastAsia="zh-CN"/>
              </w:rPr>
              <w:t xml:space="preserve">   评价工作级别</w:t>
            </w:r>
          </w:p>
          <w:tbl>
            <w:tblPr>
              <w:tblStyle w:val="29"/>
              <w:tblW w:w="8378" w:type="dxa"/>
              <w:jc w:val="center"/>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Layout w:type="autofit"/>
              <w:tblCellMar>
                <w:top w:w="0" w:type="dxa"/>
                <w:left w:w="108" w:type="dxa"/>
                <w:bottom w:w="0" w:type="dxa"/>
                <w:right w:w="108" w:type="dxa"/>
              </w:tblCellMar>
            </w:tblPr>
            <w:tblGrid>
              <w:gridCol w:w="1674"/>
              <w:gridCol w:w="1216"/>
              <w:gridCol w:w="1706"/>
              <w:gridCol w:w="1996"/>
              <w:gridCol w:w="1786"/>
            </w:tblGrid>
            <w:tr w14:paraId="53A18D57">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99" w:type="pct"/>
                  <w:tcBorders>
                    <w:top w:val="single" w:color="auto" w:sz="12" w:space="0"/>
                    <w:left w:val="nil"/>
                    <w:bottom w:val="single" w:color="auto" w:sz="12" w:space="0"/>
                  </w:tcBorders>
                  <w:noWrap w:val="0"/>
                  <w:vAlign w:val="center"/>
                </w:tcPr>
                <w:p w14:paraId="40CD0B2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baseline"/>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环境风险潜势</w:t>
                  </w:r>
                </w:p>
              </w:tc>
              <w:tc>
                <w:tcPr>
                  <w:tcW w:w="726" w:type="pct"/>
                  <w:tcBorders>
                    <w:top w:val="single" w:color="auto" w:sz="12" w:space="0"/>
                    <w:bottom w:val="single" w:color="auto" w:sz="12" w:space="0"/>
                  </w:tcBorders>
                  <w:noWrap w:val="0"/>
                  <w:vAlign w:val="center"/>
                </w:tcPr>
                <w:p w14:paraId="19CAA3F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baseline"/>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Ⅳ、 Ⅳ</w:t>
                  </w:r>
                  <w:r>
                    <w:rPr>
                      <w:rFonts w:hint="default" w:ascii="Times New Roman" w:hAnsi="Times New Roman" w:cs="Times New Roman" w:eastAsiaTheme="minorEastAsia"/>
                      <w:color w:val="auto"/>
                      <w:szCs w:val="21"/>
                      <w:vertAlign w:val="superscript"/>
                    </w:rPr>
                    <w:t>+</w:t>
                  </w:r>
                  <w:r>
                    <w:rPr>
                      <w:rFonts w:hint="default" w:ascii="Times New Roman" w:hAnsi="Times New Roman" w:cs="Times New Roman" w:eastAsiaTheme="minorEastAsia"/>
                      <w:color w:val="auto"/>
                      <w:szCs w:val="21"/>
                    </w:rPr>
                    <w:t xml:space="preserve"> </w:t>
                  </w:r>
                </w:p>
              </w:tc>
              <w:tc>
                <w:tcPr>
                  <w:tcW w:w="1018" w:type="pct"/>
                  <w:tcBorders>
                    <w:top w:val="single" w:color="auto" w:sz="12" w:space="0"/>
                    <w:bottom w:val="single" w:color="auto" w:sz="12" w:space="0"/>
                  </w:tcBorders>
                  <w:noWrap w:val="0"/>
                  <w:vAlign w:val="center"/>
                </w:tcPr>
                <w:p w14:paraId="046BACB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baseline"/>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 xml:space="preserve">Ⅲ  </w:t>
                  </w:r>
                </w:p>
              </w:tc>
              <w:tc>
                <w:tcPr>
                  <w:tcW w:w="1191" w:type="pct"/>
                  <w:tcBorders>
                    <w:top w:val="single" w:color="auto" w:sz="12" w:space="0"/>
                    <w:bottom w:val="single" w:color="auto" w:sz="12" w:space="0"/>
                  </w:tcBorders>
                  <w:noWrap w:val="0"/>
                  <w:vAlign w:val="center"/>
                </w:tcPr>
                <w:p w14:paraId="01C64E2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baseline"/>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Ⅱ</w:t>
                  </w:r>
                </w:p>
              </w:tc>
              <w:tc>
                <w:tcPr>
                  <w:tcW w:w="1064" w:type="pct"/>
                  <w:tcBorders>
                    <w:top w:val="single" w:color="auto" w:sz="12" w:space="0"/>
                    <w:bottom w:val="single" w:color="auto" w:sz="12" w:space="0"/>
                    <w:right w:val="nil"/>
                  </w:tcBorders>
                  <w:noWrap w:val="0"/>
                  <w:vAlign w:val="center"/>
                </w:tcPr>
                <w:p w14:paraId="2544335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baseline"/>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Ⅰ</w:t>
                  </w:r>
                </w:p>
              </w:tc>
            </w:tr>
            <w:tr w14:paraId="3CE7D503">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99" w:type="pct"/>
                  <w:tcBorders>
                    <w:top w:val="single" w:color="auto" w:sz="12" w:space="0"/>
                    <w:left w:val="nil"/>
                  </w:tcBorders>
                  <w:noWrap w:val="0"/>
                  <w:vAlign w:val="center"/>
                </w:tcPr>
                <w:p w14:paraId="2970F92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baseline"/>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评价工作等级</w:t>
                  </w:r>
                </w:p>
              </w:tc>
              <w:tc>
                <w:tcPr>
                  <w:tcW w:w="726" w:type="pct"/>
                  <w:tcBorders>
                    <w:top w:val="single" w:color="auto" w:sz="12" w:space="0"/>
                  </w:tcBorders>
                  <w:noWrap w:val="0"/>
                  <w:vAlign w:val="center"/>
                </w:tcPr>
                <w:p w14:paraId="6F13908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baseline"/>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一</w:t>
                  </w:r>
                </w:p>
              </w:tc>
              <w:tc>
                <w:tcPr>
                  <w:tcW w:w="1018" w:type="pct"/>
                  <w:tcBorders>
                    <w:top w:val="single" w:color="auto" w:sz="12" w:space="0"/>
                  </w:tcBorders>
                  <w:noWrap w:val="0"/>
                  <w:vAlign w:val="center"/>
                </w:tcPr>
                <w:p w14:paraId="1401470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baseline"/>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二</w:t>
                  </w:r>
                </w:p>
              </w:tc>
              <w:tc>
                <w:tcPr>
                  <w:tcW w:w="1191" w:type="pct"/>
                  <w:tcBorders>
                    <w:top w:val="single" w:color="auto" w:sz="12" w:space="0"/>
                  </w:tcBorders>
                  <w:noWrap w:val="0"/>
                  <w:vAlign w:val="center"/>
                </w:tcPr>
                <w:p w14:paraId="180EAB7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baseline"/>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三</w:t>
                  </w:r>
                </w:p>
              </w:tc>
              <w:tc>
                <w:tcPr>
                  <w:tcW w:w="1064" w:type="pct"/>
                  <w:tcBorders>
                    <w:top w:val="single" w:color="auto" w:sz="12" w:space="0"/>
                    <w:right w:val="nil"/>
                  </w:tcBorders>
                  <w:noWrap w:val="0"/>
                  <w:vAlign w:val="center"/>
                </w:tcPr>
                <w:p w14:paraId="5C3B218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baseline"/>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简单分析</w:t>
                  </w:r>
                  <w:r>
                    <w:rPr>
                      <w:rFonts w:hint="default" w:ascii="Times New Roman" w:hAnsi="Times New Roman" w:cs="Times New Roman" w:eastAsiaTheme="minorEastAsia"/>
                      <w:color w:val="auto"/>
                      <w:szCs w:val="21"/>
                      <w:vertAlign w:val="superscript"/>
                    </w:rPr>
                    <w:t>a</w:t>
                  </w:r>
                </w:p>
              </w:tc>
            </w:tr>
            <w:tr w14:paraId="6F4F5095">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5"/>
                  <w:tcBorders>
                    <w:left w:val="nil"/>
                    <w:bottom w:val="single" w:color="auto" w:sz="12" w:space="0"/>
                    <w:right w:val="nil"/>
                  </w:tcBorders>
                  <w:noWrap w:val="0"/>
                  <w:vAlign w:val="center"/>
                </w:tcPr>
                <w:p w14:paraId="0B4F444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left"/>
                    <w:textAlignment w:val="baseline"/>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vertAlign w:val="superscript"/>
                    </w:rPr>
                    <w:t>a</w:t>
                  </w:r>
                  <w:r>
                    <w:rPr>
                      <w:rFonts w:hint="default" w:ascii="Times New Roman" w:hAnsi="Times New Roman" w:cs="Times New Roman" w:eastAsiaTheme="minorEastAsia"/>
                      <w:color w:val="auto"/>
                      <w:szCs w:val="21"/>
                    </w:rPr>
                    <w:t>是相对于详细评价工作内容而言，在描述危险物质、环境影响途径、环境危害后果、风险防范措施等方面给出定性说明</w:t>
                  </w:r>
                </w:p>
              </w:tc>
            </w:tr>
          </w:tbl>
          <w:p w14:paraId="32BFDED9">
            <w:pPr>
              <w:keepNext w:val="0"/>
              <w:keepLines w:val="0"/>
              <w:pageBreakBefore w:val="0"/>
              <w:widowControl/>
              <w:kinsoku/>
              <w:wordWrap/>
              <w:overflowPunct/>
              <w:topLinePunct/>
              <w:autoSpaceDE/>
              <w:autoSpaceDN/>
              <w:bidi w:val="0"/>
              <w:adjustRightInd w:val="0"/>
              <w:snapToGrid w:val="0"/>
              <w:spacing w:beforeAutospacing="0" w:afterAutospacing="0" w:line="360" w:lineRule="auto"/>
              <w:ind w:left="0" w:leftChars="0" w:right="0" w:rightChars="0" w:firstLine="480" w:firstLineChars="200"/>
              <w:jc w:val="both"/>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根据调查，本项目风险潜势为Ⅰ，项目环境风险评价工作等级简单分析即可。</w:t>
            </w:r>
          </w:p>
          <w:p w14:paraId="28219D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textAlignment w:val="auto"/>
              <w:rPr>
                <w:rFonts w:hint="default" w:ascii="Times New Roman" w:hAnsi="Times New Roman" w:cs="Times New Roman" w:eastAsiaTheme="minorEastAsia"/>
                <w:b/>
                <w:bCs/>
                <w:color w:val="auto"/>
                <w:sz w:val="24"/>
              </w:rPr>
            </w:pPr>
            <w:r>
              <w:rPr>
                <w:rFonts w:hint="default" w:ascii="Times New Roman" w:hAnsi="Times New Roman" w:cs="Times New Roman" w:eastAsiaTheme="minorEastAsia"/>
                <w:b/>
                <w:bCs/>
                <w:color w:val="auto"/>
                <w:sz w:val="24"/>
                <w:lang w:val="en-US" w:eastAsia="zh-CN"/>
              </w:rPr>
              <w:t>6.3</w:t>
            </w:r>
            <w:r>
              <w:rPr>
                <w:rFonts w:hint="default" w:ascii="Times New Roman" w:hAnsi="Times New Roman" w:cs="Times New Roman" w:eastAsiaTheme="minorEastAsia"/>
                <w:b/>
                <w:bCs/>
                <w:color w:val="auto"/>
                <w:sz w:val="24"/>
              </w:rPr>
              <w:t>环境风险识别</w:t>
            </w:r>
          </w:p>
          <w:p w14:paraId="0A67F8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本项目运营过程中的安全事故或其他的一些突发性事故会导致环境风险物质泄漏到环境中，引起环境质量的下降甚至恶性循环化以及其他的环境毒性效应。该项目风险源有：①危险废物贮存时发生泄漏的风险；②危险废物运输过程中发生的风险。</w:t>
            </w:r>
          </w:p>
          <w:p w14:paraId="11CDFF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textAlignment w:val="auto"/>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6.4 风险事故情形分析</w:t>
            </w:r>
          </w:p>
          <w:p w14:paraId="008A3A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本项目运营过程中的安全事故或其他的一些突发性事故会导致环境风险物质泄漏到环境中，引起环境质量的下降甚至恶性循环化以及其他的环境毒性效应。</w:t>
            </w:r>
          </w:p>
          <w:p w14:paraId="6E7282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该项目风险源有：①危险废物贮存时发生泄漏的风险；②危险废物运输过程中发生的风险；③实验室废液</w:t>
            </w:r>
            <w:r>
              <w:rPr>
                <w:rFonts w:hint="eastAsia" w:cs="Times New Roman" w:eastAsiaTheme="minorEastAsia"/>
                <w:color w:val="auto"/>
                <w:sz w:val="24"/>
                <w:lang w:val="en-US" w:eastAsia="zh-CN"/>
              </w:rPr>
              <w:t>、过期废试剂</w:t>
            </w:r>
            <w:r>
              <w:rPr>
                <w:rFonts w:hint="default" w:ascii="Times New Roman" w:hAnsi="Times New Roman" w:cs="Times New Roman" w:eastAsiaTheme="minorEastAsia"/>
                <w:color w:val="auto"/>
                <w:sz w:val="24"/>
                <w:lang w:val="en-US" w:eastAsia="zh-CN"/>
              </w:rPr>
              <w:t>在泄漏状态</w:t>
            </w:r>
            <w:r>
              <w:rPr>
                <w:rFonts w:hint="eastAsia" w:cs="Times New Roman" w:eastAsiaTheme="minorEastAsia"/>
                <w:color w:val="auto"/>
                <w:sz w:val="24"/>
                <w:lang w:val="en-US" w:eastAsia="zh-CN"/>
              </w:rPr>
              <w:t>下</w:t>
            </w:r>
            <w:r>
              <w:rPr>
                <w:rFonts w:hint="default" w:ascii="Times New Roman" w:hAnsi="Times New Roman" w:cs="Times New Roman" w:eastAsiaTheme="minorEastAsia"/>
                <w:color w:val="auto"/>
                <w:sz w:val="24"/>
                <w:lang w:val="en-US" w:eastAsia="zh-CN"/>
              </w:rPr>
              <w:t>发生的风险。</w:t>
            </w:r>
          </w:p>
          <w:p w14:paraId="0AD970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textAlignment w:val="auto"/>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6.5 风险防范措施及应急要求</w:t>
            </w:r>
          </w:p>
          <w:p w14:paraId="7A9A6A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①危险废物贮存时发生泄漏风险分析及防范措施</w:t>
            </w:r>
          </w:p>
          <w:p w14:paraId="18B220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危险性分析：危险废物储存不当泄漏，会造成污染。当实验室废液泄漏后，一般不采用水冲洗，废液</w:t>
            </w:r>
            <w:r>
              <w:rPr>
                <w:rFonts w:hint="eastAsia" w:cs="Times New Roman" w:eastAsiaTheme="minorEastAsia"/>
                <w:color w:val="auto"/>
                <w:sz w:val="24"/>
                <w:lang w:val="en-US" w:eastAsia="zh-CN"/>
              </w:rPr>
              <w:t>泄漏在应急事故池收集</w:t>
            </w:r>
            <w:r>
              <w:rPr>
                <w:rFonts w:hint="default" w:ascii="Times New Roman" w:hAnsi="Times New Roman" w:cs="Times New Roman" w:eastAsiaTheme="minorEastAsia"/>
                <w:color w:val="auto"/>
                <w:sz w:val="24"/>
                <w:lang w:val="en-US" w:eastAsia="zh-CN"/>
              </w:rPr>
              <w:t>后，交由资质单位处理。</w:t>
            </w:r>
          </w:p>
          <w:p w14:paraId="0E5EE0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 xml:space="preserve">防范措施： </w:t>
            </w:r>
          </w:p>
          <w:p w14:paraId="01C9BD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A.危废</w:t>
            </w:r>
            <w:r>
              <w:rPr>
                <w:rFonts w:hint="eastAsia" w:ascii="Times New Roman" w:hAnsi="Times New Roman" w:cs="Times New Roman" w:eastAsiaTheme="minorEastAsia"/>
                <w:color w:val="auto"/>
                <w:sz w:val="24"/>
                <w:lang w:val="en-US" w:eastAsia="zh-CN"/>
              </w:rPr>
              <w:t>贮存库</w:t>
            </w:r>
            <w:r>
              <w:rPr>
                <w:rFonts w:hint="default" w:ascii="Times New Roman" w:hAnsi="Times New Roman" w:cs="Times New Roman" w:eastAsiaTheme="minorEastAsia"/>
                <w:color w:val="auto"/>
                <w:sz w:val="24"/>
                <w:lang w:val="en-US" w:eastAsia="zh-CN"/>
              </w:rPr>
              <w:t xml:space="preserve">进行防腐防渗处理； </w:t>
            </w:r>
          </w:p>
          <w:p w14:paraId="3C4282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B.危险废物入危废</w:t>
            </w:r>
            <w:r>
              <w:rPr>
                <w:rFonts w:hint="eastAsia" w:ascii="Times New Roman" w:hAnsi="Times New Roman" w:cs="Times New Roman" w:eastAsiaTheme="minorEastAsia"/>
                <w:color w:val="auto"/>
                <w:sz w:val="24"/>
                <w:lang w:val="en-US" w:eastAsia="zh-CN"/>
              </w:rPr>
              <w:t>贮存库</w:t>
            </w:r>
            <w:r>
              <w:rPr>
                <w:rFonts w:hint="default" w:ascii="Times New Roman" w:hAnsi="Times New Roman" w:cs="Times New Roman" w:eastAsiaTheme="minorEastAsia"/>
                <w:color w:val="auto"/>
                <w:sz w:val="24"/>
                <w:lang w:val="en-US" w:eastAsia="zh-CN"/>
              </w:rPr>
              <w:t xml:space="preserve">后，须做好危险废物情况的记录，记录上须注明危险废物的名称、来源、数量、特性和包装容器的类别、入库时间、存放位置、废物出库时间及接收单位的名称等； </w:t>
            </w:r>
          </w:p>
          <w:p w14:paraId="450634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 xml:space="preserve">C.危险废物贮存必须设置警示标志； </w:t>
            </w:r>
          </w:p>
          <w:p w14:paraId="1ACBA14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D.液态危险废物采用桶装密闭方式存储</w:t>
            </w:r>
            <w:r>
              <w:rPr>
                <w:rFonts w:hint="eastAsia" w:cs="Times New Roman" w:eastAsiaTheme="minorEastAsia"/>
                <w:color w:val="auto"/>
                <w:sz w:val="24"/>
                <w:lang w:val="en-US" w:eastAsia="zh-CN"/>
              </w:rPr>
              <w:t>，</w:t>
            </w:r>
            <w:r>
              <w:rPr>
                <w:rFonts w:hint="default" w:ascii="Times New Roman" w:hAnsi="Times New Roman" w:cs="Times New Roman" w:eastAsiaTheme="minorEastAsia"/>
                <w:color w:val="auto"/>
                <w:sz w:val="24"/>
                <w:lang w:val="en-US" w:eastAsia="zh-CN"/>
              </w:rPr>
              <w:t>同时设置</w:t>
            </w:r>
            <w:r>
              <w:rPr>
                <w:rFonts w:hint="eastAsia" w:cs="Times New Roman" w:eastAsiaTheme="minorEastAsia"/>
                <w:color w:val="auto"/>
                <w:sz w:val="24"/>
                <w:lang w:val="en-US" w:eastAsia="zh-CN"/>
              </w:rPr>
              <w:t>导流槽、应急事故池</w:t>
            </w:r>
            <w:r>
              <w:rPr>
                <w:rFonts w:hint="default" w:ascii="Times New Roman" w:hAnsi="Times New Roman" w:cs="Times New Roman" w:eastAsiaTheme="minorEastAsia"/>
                <w:color w:val="auto"/>
                <w:sz w:val="24"/>
                <w:lang w:val="en-US" w:eastAsia="zh-CN"/>
              </w:rPr>
              <w:t xml:space="preserve">； </w:t>
            </w:r>
          </w:p>
          <w:p w14:paraId="2908FF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E.危险废物采取统一集中收集，危险废物分类存放，按相关规定</w:t>
            </w:r>
            <w:r>
              <w:rPr>
                <w:rFonts w:hint="eastAsia" w:cs="Times New Roman" w:eastAsiaTheme="minorEastAsia"/>
                <w:color w:val="auto"/>
                <w:sz w:val="24"/>
                <w:lang w:val="en-US" w:eastAsia="zh-CN"/>
              </w:rPr>
              <w:t>设置</w:t>
            </w:r>
            <w:r>
              <w:rPr>
                <w:rFonts w:hint="default" w:ascii="Times New Roman" w:hAnsi="Times New Roman" w:cs="Times New Roman" w:eastAsiaTheme="minorEastAsia"/>
                <w:color w:val="auto"/>
                <w:sz w:val="24"/>
                <w:lang w:val="en-US" w:eastAsia="zh-CN"/>
              </w:rPr>
              <w:t xml:space="preserve">标志牌。危险废物统一交由有资质的单位处理。 </w:t>
            </w:r>
          </w:p>
          <w:p w14:paraId="2ED6388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 xml:space="preserve">②危险废物运输过程中发生的风险分析及防范措施 </w:t>
            </w:r>
          </w:p>
          <w:p w14:paraId="628001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危险性分析：当厂区危险废物置于危废</w:t>
            </w:r>
            <w:r>
              <w:rPr>
                <w:rFonts w:hint="eastAsia" w:ascii="Times New Roman" w:hAnsi="Times New Roman" w:cs="Times New Roman" w:eastAsiaTheme="minorEastAsia"/>
                <w:color w:val="auto"/>
                <w:sz w:val="24"/>
                <w:lang w:val="en-US" w:eastAsia="zh-CN"/>
              </w:rPr>
              <w:t>贮存库</w:t>
            </w:r>
            <w:r>
              <w:rPr>
                <w:rFonts w:hint="default" w:ascii="Times New Roman" w:hAnsi="Times New Roman" w:cs="Times New Roman" w:eastAsiaTheme="minorEastAsia"/>
                <w:color w:val="auto"/>
                <w:sz w:val="24"/>
                <w:lang w:val="en-US" w:eastAsia="zh-CN"/>
              </w:rPr>
              <w:t xml:space="preserve">需转运后，立刻联系危废处理单位派专车运输，危废处理单位为有资质的危废处理单位。汽车运输的风险较大，其主要的风险因素是运输桶破损或车辆交通事故导致危险物料泄漏，可能引发的灾害包括火灾和爆炸。 </w:t>
            </w:r>
          </w:p>
          <w:p w14:paraId="4294FD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 xml:space="preserve">防范措施： </w:t>
            </w:r>
          </w:p>
          <w:p w14:paraId="2234B1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 xml:space="preserve">A.合理规划运输路线及运输时间。一般根据公安部门规定，危险品运输线路的主要原则是严禁经过核心城区以及居民区等； </w:t>
            </w:r>
          </w:p>
          <w:p w14:paraId="5EB4D1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B.实验室废液等危险废物在运输、储存过程均要有完善的安全防护措施。实验室废液要求选用专用的防渗密封容器存储和运输。防止容器内的物质泄漏；</w:t>
            </w:r>
          </w:p>
          <w:p w14:paraId="396F97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C.危险品的装运应做到定车、定人。定车就是要把装运危险品的车辆，相对固定，专车专用。凡用来盛装危险物质的容器，包括运输车辆不得用来盛装其他物品，更不许用来盛装食品。而车辆必须是专用车，不能在任务紧急、车辆紧张的情况下使用两轮摩托车或三轮摩托车等担任危险物品的运输任务。定人就是把管理、驾驶、押运及装卸等工作的人员加以固定，这就保证了危险品的运输任务始终是由专业人员来负担，从人员上</w:t>
            </w:r>
            <w:r>
              <w:rPr>
                <w:rFonts w:hint="eastAsia" w:cs="Times New Roman" w:eastAsiaTheme="minorEastAsia"/>
                <w:color w:val="auto"/>
                <w:sz w:val="24"/>
                <w:lang w:val="en-US" w:eastAsia="zh-CN"/>
              </w:rPr>
              <w:t>保障</w:t>
            </w:r>
            <w:r>
              <w:rPr>
                <w:rFonts w:hint="default" w:ascii="Times New Roman" w:hAnsi="Times New Roman" w:cs="Times New Roman" w:eastAsiaTheme="minorEastAsia"/>
                <w:color w:val="auto"/>
                <w:sz w:val="24"/>
                <w:lang w:val="en-US" w:eastAsia="zh-CN"/>
              </w:rPr>
              <w:t>危险品运输过程中的安全；</w:t>
            </w:r>
          </w:p>
          <w:p w14:paraId="49EC8F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D.本项目企业负责人、车辆技术负责人、专职安全管理员应参加由生态环境部门组织的危险废物污染防治治理人员专业技术培训；</w:t>
            </w:r>
          </w:p>
          <w:p w14:paraId="25A65D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E.企业电子运单的信息要符合《危险废物转移管理办法》的要求。</w:t>
            </w:r>
          </w:p>
          <w:p w14:paraId="0273C2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③渗漏液在泄漏状态下发生的风险及防范措施</w:t>
            </w:r>
          </w:p>
          <w:p w14:paraId="742E57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危险性分析：实验室废液</w:t>
            </w:r>
            <w:r>
              <w:rPr>
                <w:rFonts w:hint="eastAsia" w:cs="Times New Roman" w:eastAsiaTheme="minorEastAsia"/>
                <w:color w:val="auto"/>
                <w:sz w:val="24"/>
                <w:lang w:val="en-US" w:eastAsia="zh-CN"/>
              </w:rPr>
              <w:t>、过期废试剂</w:t>
            </w:r>
            <w:r>
              <w:rPr>
                <w:rFonts w:hint="default" w:ascii="Times New Roman" w:hAnsi="Times New Roman" w:cs="Times New Roman" w:eastAsiaTheme="minorEastAsia"/>
                <w:color w:val="auto"/>
                <w:sz w:val="24"/>
                <w:lang w:val="en-US" w:eastAsia="zh-CN"/>
              </w:rPr>
              <w:t>发生泄漏时，会挥发产生</w:t>
            </w:r>
            <w:r>
              <w:rPr>
                <w:rFonts w:hint="eastAsia" w:ascii="Times New Roman" w:hAnsi="Times New Roman" w:cs="Times New Roman" w:eastAsiaTheme="minorEastAsia"/>
                <w:color w:val="auto"/>
                <w:sz w:val="24"/>
                <w:lang w:val="en-US" w:eastAsia="zh-CN"/>
              </w:rPr>
              <w:t>微量</w:t>
            </w:r>
            <w:r>
              <w:rPr>
                <w:rFonts w:hint="default" w:ascii="Times New Roman" w:hAnsi="Times New Roman" w:cs="Times New Roman" w:eastAsiaTheme="minorEastAsia"/>
                <w:color w:val="auto"/>
                <w:sz w:val="24"/>
                <w:lang w:val="en-US" w:eastAsia="zh-CN"/>
              </w:rPr>
              <w:t>非甲烷总烃；泄漏的废液会渗入土壤、污染地下水，造成水土环境损害。废液挥发产生的非甲烷总烃，在一定范围内会对人体健康与周边环境产生危害，同时泄漏废液遇火源，存在引发火灾、爆炸的风险。</w:t>
            </w:r>
          </w:p>
          <w:p w14:paraId="3A65B7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防范措施：</w:t>
            </w:r>
          </w:p>
          <w:p w14:paraId="606769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A.严禁吸烟、严禁携带火种进入实验室废液贮存区域。</w:t>
            </w:r>
          </w:p>
          <w:p w14:paraId="32176B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B.在日常收集过程中，对每个盛装废液的收集容器进行检查，防止泄漏。</w:t>
            </w:r>
          </w:p>
          <w:p w14:paraId="51B5B7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C.在危险废物贮存库内设置灭火器等消防设施，若发生火情可及时处置。</w:t>
            </w:r>
          </w:p>
          <w:p w14:paraId="335BE8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D.定期开展危险废物贮存库安全检查，发现隐患及时整改处理。</w:t>
            </w:r>
          </w:p>
          <w:p w14:paraId="58EF15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E.禁止将废液收集容器露天堆放，避免容器遭受雨淋水浸引发泄漏。</w:t>
            </w:r>
          </w:p>
          <w:p w14:paraId="3015AA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F.实验室废液发生泄漏时，相关负责人应按预案有序处置，防止事态蔓延扩大。</w:t>
            </w:r>
          </w:p>
          <w:p w14:paraId="5E93BF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G.严格控制实验室废液贮存时长，贮存空间预留充足余量。</w:t>
            </w:r>
          </w:p>
          <w:p w14:paraId="4313E8FC">
            <w:pPr>
              <w:pStyle w:val="7"/>
              <w:rPr>
                <w:rFonts w:hint="default"/>
                <w:color w:val="auto"/>
                <w:lang w:val="en-US" w:eastAsia="zh-CN"/>
              </w:rPr>
            </w:pPr>
          </w:p>
          <w:p w14:paraId="08A053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textAlignment w:val="auto"/>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6.6 风险应急预案</w:t>
            </w:r>
          </w:p>
          <w:p w14:paraId="5DD665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针对以上分析，建设单位在项目实施后应该建立相应的环境风险事故应急预案。应急预案所要求的基本内容可参照表中的相关内容。</w:t>
            </w:r>
          </w:p>
          <w:p w14:paraId="71E36C63">
            <w:pPr>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b/>
                <w:bCs/>
                <w:color w:val="auto"/>
                <w:szCs w:val="21"/>
                <w:lang w:val="en-US" w:eastAsia="zh-CN"/>
              </w:rPr>
              <w:t>表 4-</w:t>
            </w:r>
            <w:r>
              <w:rPr>
                <w:rFonts w:hint="eastAsia" w:cs="Times New Roman" w:eastAsiaTheme="minorEastAsia"/>
                <w:b/>
                <w:bCs/>
                <w:color w:val="auto"/>
                <w:szCs w:val="21"/>
                <w:lang w:val="en-US" w:eastAsia="zh-CN"/>
              </w:rPr>
              <w:t>9</w:t>
            </w:r>
            <w:r>
              <w:rPr>
                <w:rFonts w:hint="default" w:ascii="Times New Roman" w:hAnsi="Times New Roman" w:cs="Times New Roman" w:eastAsiaTheme="minorEastAsia"/>
                <w:b/>
                <w:bCs/>
                <w:color w:val="auto"/>
                <w:szCs w:val="21"/>
                <w:lang w:val="en-US" w:eastAsia="zh-CN"/>
              </w:rPr>
              <w:t xml:space="preserve"> </w:t>
            </w:r>
            <w:r>
              <w:rPr>
                <w:rFonts w:hint="default" w:ascii="Times New Roman" w:hAnsi="Times New Roman" w:cs="Times New Roman" w:eastAsiaTheme="minorEastAsia"/>
                <w:color w:val="auto"/>
                <w:lang w:val="en-US" w:eastAsia="zh-CN"/>
              </w:rPr>
              <w:t xml:space="preserve">  </w:t>
            </w:r>
            <w:r>
              <w:rPr>
                <w:rFonts w:hint="default" w:ascii="Times New Roman" w:hAnsi="Times New Roman" w:cs="Times New Roman" w:eastAsiaTheme="minorEastAsia"/>
                <w:b/>
                <w:bCs/>
                <w:color w:val="auto"/>
                <w:szCs w:val="21"/>
                <w:lang w:val="en-US" w:eastAsia="zh-CN"/>
              </w:rPr>
              <w:t>应急预案内容</w:t>
            </w:r>
          </w:p>
          <w:tbl>
            <w:tblPr>
              <w:tblStyle w:val="30"/>
              <w:tblW w:w="0" w:type="auto"/>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78"/>
              <w:gridCol w:w="2876"/>
              <w:gridCol w:w="4511"/>
            </w:tblGrid>
            <w:tr w14:paraId="2F95C2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0" w:type="dxa"/>
                  <w:tcBorders>
                    <w:bottom w:val="single" w:color="auto" w:sz="12" w:space="0"/>
                  </w:tcBorders>
                  <w:vAlign w:val="center"/>
                </w:tcPr>
                <w:p w14:paraId="474777E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序号</w:t>
                  </w:r>
                </w:p>
              </w:tc>
              <w:tc>
                <w:tcPr>
                  <w:tcW w:w="2883" w:type="dxa"/>
                  <w:tcBorders>
                    <w:bottom w:val="single" w:color="auto" w:sz="12" w:space="0"/>
                  </w:tcBorders>
                  <w:vAlign w:val="center"/>
                </w:tcPr>
                <w:p w14:paraId="016C797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项目</w:t>
                  </w:r>
                </w:p>
              </w:tc>
              <w:tc>
                <w:tcPr>
                  <w:tcW w:w="4522" w:type="dxa"/>
                  <w:tcBorders>
                    <w:bottom w:val="single" w:color="auto" w:sz="12" w:space="0"/>
                  </w:tcBorders>
                  <w:vAlign w:val="center"/>
                </w:tcPr>
                <w:p w14:paraId="702785C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内容及要求</w:t>
                  </w:r>
                </w:p>
              </w:tc>
            </w:tr>
            <w:tr w14:paraId="165C43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0" w:type="dxa"/>
                  <w:tcBorders>
                    <w:top w:val="single" w:color="auto" w:sz="12" w:space="0"/>
                    <w:tl2br w:val="nil"/>
                    <w:tr2bl w:val="nil"/>
                  </w:tcBorders>
                  <w:vAlign w:val="center"/>
                </w:tcPr>
                <w:p w14:paraId="290B81D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1</w:t>
                  </w:r>
                </w:p>
              </w:tc>
              <w:tc>
                <w:tcPr>
                  <w:tcW w:w="2883" w:type="dxa"/>
                  <w:tcBorders>
                    <w:top w:val="single" w:color="auto" w:sz="12" w:space="0"/>
                    <w:tl2br w:val="nil"/>
                    <w:tr2bl w:val="nil"/>
                  </w:tcBorders>
                  <w:vAlign w:val="center"/>
                </w:tcPr>
                <w:p w14:paraId="3FAE818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应急计划区</w:t>
                  </w:r>
                </w:p>
              </w:tc>
              <w:tc>
                <w:tcPr>
                  <w:tcW w:w="4522" w:type="dxa"/>
                  <w:tcBorders>
                    <w:top w:val="single" w:color="auto" w:sz="12" w:space="0"/>
                    <w:tl2br w:val="nil"/>
                    <w:tr2bl w:val="nil"/>
                  </w:tcBorders>
                  <w:vAlign w:val="center"/>
                </w:tcPr>
                <w:p w14:paraId="0577E7C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危险目标（装置区），环境保护目标</w:t>
                  </w:r>
                </w:p>
              </w:tc>
            </w:tr>
            <w:tr w14:paraId="24BE1A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0" w:type="dxa"/>
                  <w:tcBorders>
                    <w:tl2br w:val="nil"/>
                    <w:tr2bl w:val="nil"/>
                  </w:tcBorders>
                  <w:vAlign w:val="center"/>
                </w:tcPr>
                <w:p w14:paraId="0CEB3A7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2</w:t>
                  </w:r>
                </w:p>
              </w:tc>
              <w:tc>
                <w:tcPr>
                  <w:tcW w:w="2883" w:type="dxa"/>
                  <w:tcBorders>
                    <w:tl2br w:val="nil"/>
                    <w:tr2bl w:val="nil"/>
                  </w:tcBorders>
                  <w:vAlign w:val="center"/>
                </w:tcPr>
                <w:p w14:paraId="5ED0410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应急组织机构、人员</w:t>
                  </w:r>
                </w:p>
              </w:tc>
              <w:tc>
                <w:tcPr>
                  <w:tcW w:w="4522" w:type="dxa"/>
                  <w:tcBorders>
                    <w:tl2br w:val="nil"/>
                    <w:tr2bl w:val="nil"/>
                  </w:tcBorders>
                  <w:vAlign w:val="center"/>
                </w:tcPr>
                <w:p w14:paraId="4CD2483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项目区、地区应急组织机构、人员</w:t>
                  </w:r>
                </w:p>
              </w:tc>
            </w:tr>
            <w:tr w14:paraId="206C16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0" w:type="dxa"/>
                  <w:tcBorders>
                    <w:tl2br w:val="nil"/>
                    <w:tr2bl w:val="nil"/>
                  </w:tcBorders>
                  <w:vAlign w:val="center"/>
                </w:tcPr>
                <w:p w14:paraId="244C46D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3</w:t>
                  </w:r>
                </w:p>
              </w:tc>
              <w:tc>
                <w:tcPr>
                  <w:tcW w:w="2883" w:type="dxa"/>
                  <w:tcBorders>
                    <w:tl2br w:val="nil"/>
                    <w:tr2bl w:val="nil"/>
                  </w:tcBorders>
                  <w:vAlign w:val="center"/>
                </w:tcPr>
                <w:p w14:paraId="57E8B5B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预案分级响应条件</w:t>
                  </w:r>
                </w:p>
              </w:tc>
              <w:tc>
                <w:tcPr>
                  <w:tcW w:w="4522" w:type="dxa"/>
                  <w:tcBorders>
                    <w:tl2br w:val="nil"/>
                    <w:tr2bl w:val="nil"/>
                  </w:tcBorders>
                  <w:vAlign w:val="center"/>
                </w:tcPr>
                <w:p w14:paraId="3322D8B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规定预案的级别及分级响应程序</w:t>
                  </w:r>
                </w:p>
              </w:tc>
            </w:tr>
            <w:tr w14:paraId="0FF169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0" w:type="dxa"/>
                  <w:tcBorders>
                    <w:tl2br w:val="nil"/>
                    <w:tr2bl w:val="nil"/>
                  </w:tcBorders>
                  <w:vAlign w:val="center"/>
                </w:tcPr>
                <w:p w14:paraId="2367F8E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4</w:t>
                  </w:r>
                </w:p>
              </w:tc>
              <w:tc>
                <w:tcPr>
                  <w:tcW w:w="2883" w:type="dxa"/>
                  <w:tcBorders>
                    <w:tl2br w:val="nil"/>
                    <w:tr2bl w:val="nil"/>
                  </w:tcBorders>
                  <w:vAlign w:val="center"/>
                </w:tcPr>
                <w:p w14:paraId="42540D2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应急救援保障</w:t>
                  </w:r>
                </w:p>
              </w:tc>
              <w:tc>
                <w:tcPr>
                  <w:tcW w:w="4522" w:type="dxa"/>
                  <w:tcBorders>
                    <w:tl2br w:val="nil"/>
                    <w:tr2bl w:val="nil"/>
                  </w:tcBorders>
                  <w:vAlign w:val="center"/>
                </w:tcPr>
                <w:p w14:paraId="059516A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应急设施，设备与器材等</w:t>
                  </w:r>
                </w:p>
              </w:tc>
            </w:tr>
            <w:tr w14:paraId="19BF1A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0" w:type="dxa"/>
                  <w:tcBorders>
                    <w:tl2br w:val="nil"/>
                    <w:tr2bl w:val="nil"/>
                  </w:tcBorders>
                  <w:vAlign w:val="center"/>
                </w:tcPr>
                <w:p w14:paraId="2AB658E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5</w:t>
                  </w:r>
                </w:p>
              </w:tc>
              <w:tc>
                <w:tcPr>
                  <w:tcW w:w="2883" w:type="dxa"/>
                  <w:tcBorders>
                    <w:tl2br w:val="nil"/>
                    <w:tr2bl w:val="nil"/>
                  </w:tcBorders>
                  <w:vAlign w:val="center"/>
                </w:tcPr>
                <w:p w14:paraId="7AE021F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报警、通讯联络方式</w:t>
                  </w:r>
                </w:p>
              </w:tc>
              <w:tc>
                <w:tcPr>
                  <w:tcW w:w="4522" w:type="dxa"/>
                  <w:tcBorders>
                    <w:tl2br w:val="nil"/>
                    <w:tr2bl w:val="nil"/>
                  </w:tcBorders>
                  <w:vAlign w:val="center"/>
                </w:tcPr>
                <w:p w14:paraId="13D7237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规定应急状态表的报警通信方式、通知方式和交通保障、管制</w:t>
                  </w:r>
                </w:p>
              </w:tc>
            </w:tr>
            <w:tr w14:paraId="13C029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0" w:type="dxa"/>
                  <w:tcBorders>
                    <w:tl2br w:val="nil"/>
                    <w:tr2bl w:val="nil"/>
                  </w:tcBorders>
                  <w:vAlign w:val="center"/>
                </w:tcPr>
                <w:p w14:paraId="3F3A68D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6</w:t>
                  </w:r>
                </w:p>
              </w:tc>
              <w:tc>
                <w:tcPr>
                  <w:tcW w:w="2883" w:type="dxa"/>
                  <w:tcBorders>
                    <w:tl2br w:val="nil"/>
                    <w:tr2bl w:val="nil"/>
                  </w:tcBorders>
                  <w:vAlign w:val="center"/>
                </w:tcPr>
                <w:p w14:paraId="46AFDEF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应急环境监测、抢险、救援及控制措施</w:t>
                  </w:r>
                </w:p>
              </w:tc>
              <w:tc>
                <w:tcPr>
                  <w:tcW w:w="4522" w:type="dxa"/>
                  <w:tcBorders>
                    <w:tl2br w:val="nil"/>
                    <w:tr2bl w:val="nil"/>
                  </w:tcBorders>
                  <w:vAlign w:val="center"/>
                </w:tcPr>
                <w:p w14:paraId="7EB0320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由专业队伍负责对事故现场进行侦查监测，对事故性质、参数与后果进行评估，为指挥部门提供决策依据</w:t>
                  </w:r>
                </w:p>
              </w:tc>
            </w:tr>
            <w:tr w14:paraId="6A2740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0" w:type="dxa"/>
                  <w:tcBorders>
                    <w:tl2br w:val="nil"/>
                    <w:tr2bl w:val="nil"/>
                  </w:tcBorders>
                  <w:vAlign w:val="center"/>
                </w:tcPr>
                <w:p w14:paraId="3883672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7</w:t>
                  </w:r>
                </w:p>
              </w:tc>
              <w:tc>
                <w:tcPr>
                  <w:tcW w:w="2883" w:type="dxa"/>
                  <w:tcBorders>
                    <w:tl2br w:val="nil"/>
                    <w:tr2bl w:val="nil"/>
                  </w:tcBorders>
                  <w:vAlign w:val="center"/>
                </w:tcPr>
                <w:p w14:paraId="18F083A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应急监测、防护措施、清除泄漏措施和器材</w:t>
                  </w:r>
                </w:p>
              </w:tc>
              <w:tc>
                <w:tcPr>
                  <w:tcW w:w="4522" w:type="dxa"/>
                  <w:tcBorders>
                    <w:tl2br w:val="nil"/>
                    <w:tr2bl w:val="nil"/>
                  </w:tcBorders>
                  <w:vAlign w:val="center"/>
                </w:tcPr>
                <w:p w14:paraId="0F629E7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事故现场、邻近区域、控制防火区域，控制和清除污染措施及相应设备</w:t>
                  </w:r>
                </w:p>
              </w:tc>
            </w:tr>
            <w:tr w14:paraId="7CBA94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0" w:type="dxa"/>
                  <w:tcBorders>
                    <w:tl2br w:val="nil"/>
                    <w:tr2bl w:val="nil"/>
                  </w:tcBorders>
                  <w:vAlign w:val="center"/>
                </w:tcPr>
                <w:p w14:paraId="00B6B13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8</w:t>
                  </w:r>
                </w:p>
              </w:tc>
              <w:tc>
                <w:tcPr>
                  <w:tcW w:w="2883" w:type="dxa"/>
                  <w:tcBorders>
                    <w:tl2br w:val="nil"/>
                    <w:tr2bl w:val="nil"/>
                  </w:tcBorders>
                  <w:vAlign w:val="center"/>
                </w:tcPr>
                <w:p w14:paraId="7B401A4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人员紧急撤离、疏散，应急剂量控制、撤离组织计划</w:t>
                  </w:r>
                </w:p>
              </w:tc>
              <w:tc>
                <w:tcPr>
                  <w:tcW w:w="4522" w:type="dxa"/>
                  <w:tcBorders>
                    <w:tl2br w:val="nil"/>
                    <w:tr2bl w:val="nil"/>
                  </w:tcBorders>
                  <w:vAlign w:val="center"/>
                </w:tcPr>
                <w:p w14:paraId="24286EB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事故现场、项目区邻近区、受事故影响的区域人员及公众对毒物应急剂量控制规定，撤离组织计划及救护，医疗救护与公众健康</w:t>
                  </w:r>
                </w:p>
              </w:tc>
            </w:tr>
            <w:tr w14:paraId="45F27E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0" w:type="dxa"/>
                  <w:tcBorders>
                    <w:tl2br w:val="nil"/>
                    <w:tr2bl w:val="nil"/>
                  </w:tcBorders>
                  <w:vAlign w:val="center"/>
                </w:tcPr>
                <w:p w14:paraId="35F5381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9</w:t>
                  </w:r>
                </w:p>
              </w:tc>
              <w:tc>
                <w:tcPr>
                  <w:tcW w:w="2883" w:type="dxa"/>
                  <w:tcBorders>
                    <w:tl2br w:val="nil"/>
                    <w:tr2bl w:val="nil"/>
                  </w:tcBorders>
                  <w:vAlign w:val="center"/>
                </w:tcPr>
                <w:p w14:paraId="733F6D6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事故应急救援关闭程序与恢复措施</w:t>
                  </w:r>
                </w:p>
              </w:tc>
              <w:tc>
                <w:tcPr>
                  <w:tcW w:w="4522" w:type="dxa"/>
                  <w:tcBorders>
                    <w:tl2br w:val="nil"/>
                    <w:tr2bl w:val="nil"/>
                  </w:tcBorders>
                  <w:vAlign w:val="center"/>
                </w:tcPr>
                <w:p w14:paraId="65A58B5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规定应急状态终止程序事故现场善后处理，恢复措施邻近区域解除事故警戒及善后恢复措施</w:t>
                  </w:r>
                </w:p>
              </w:tc>
            </w:tr>
            <w:tr w14:paraId="6A7612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0" w:type="dxa"/>
                  <w:tcBorders>
                    <w:tl2br w:val="nil"/>
                    <w:tr2bl w:val="nil"/>
                  </w:tcBorders>
                  <w:vAlign w:val="center"/>
                </w:tcPr>
                <w:p w14:paraId="60625B8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10</w:t>
                  </w:r>
                </w:p>
              </w:tc>
              <w:tc>
                <w:tcPr>
                  <w:tcW w:w="2883" w:type="dxa"/>
                  <w:tcBorders>
                    <w:tl2br w:val="nil"/>
                    <w:tr2bl w:val="nil"/>
                  </w:tcBorders>
                  <w:vAlign w:val="center"/>
                </w:tcPr>
                <w:p w14:paraId="7A22F23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应急培训计划</w:t>
                  </w:r>
                </w:p>
              </w:tc>
              <w:tc>
                <w:tcPr>
                  <w:tcW w:w="4522" w:type="dxa"/>
                  <w:tcBorders>
                    <w:tl2br w:val="nil"/>
                    <w:tr2bl w:val="nil"/>
                  </w:tcBorders>
                  <w:vAlign w:val="center"/>
                </w:tcPr>
                <w:p w14:paraId="7243F35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应急计划制定后，平时安排人员培训与演练</w:t>
                  </w:r>
                </w:p>
              </w:tc>
            </w:tr>
            <w:tr w14:paraId="64FB07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0" w:type="dxa"/>
                  <w:tcBorders>
                    <w:tl2br w:val="nil"/>
                    <w:tr2bl w:val="nil"/>
                  </w:tcBorders>
                  <w:vAlign w:val="center"/>
                </w:tcPr>
                <w:p w14:paraId="7FDE249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11</w:t>
                  </w:r>
                </w:p>
              </w:tc>
              <w:tc>
                <w:tcPr>
                  <w:tcW w:w="2883" w:type="dxa"/>
                  <w:tcBorders>
                    <w:tl2br w:val="nil"/>
                    <w:tr2bl w:val="nil"/>
                  </w:tcBorders>
                  <w:vAlign w:val="center"/>
                </w:tcPr>
                <w:p w14:paraId="45C9376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公众教育和信息</w:t>
                  </w:r>
                </w:p>
              </w:tc>
              <w:tc>
                <w:tcPr>
                  <w:tcW w:w="4522" w:type="dxa"/>
                  <w:tcBorders>
                    <w:tl2br w:val="nil"/>
                    <w:tr2bl w:val="nil"/>
                  </w:tcBorders>
                  <w:vAlign w:val="center"/>
                </w:tcPr>
                <w:p w14:paraId="2DE77AC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对项目区邻近地区开展公众教育、培训和发布有关信息</w:t>
                  </w:r>
                </w:p>
              </w:tc>
            </w:tr>
          </w:tbl>
          <w:p w14:paraId="213350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textAlignment w:val="auto"/>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b/>
                <w:bCs/>
                <w:color w:val="auto"/>
                <w:sz w:val="24"/>
                <w:lang w:val="en-US" w:eastAsia="zh-CN"/>
              </w:rPr>
              <w:t>6.7 风险评价结论</w:t>
            </w:r>
          </w:p>
          <w:p w14:paraId="78B19AAB">
            <w:pPr>
              <w:keepNext w:val="0"/>
              <w:keepLines w:val="0"/>
              <w:pageBreakBefore w:val="0"/>
              <w:widowControl/>
              <w:suppressLineNumbers w:val="0"/>
              <w:kinsoku/>
              <w:bidi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b/>
                <w:bCs/>
                <w:color w:val="auto"/>
                <w:kern w:val="0"/>
                <w:sz w:val="21"/>
                <w:szCs w:val="21"/>
                <w:lang w:val="en-US" w:eastAsia="zh-CN" w:bidi="ar"/>
              </w:rPr>
              <w:t>表 4-</w:t>
            </w:r>
            <w:r>
              <w:rPr>
                <w:rFonts w:hint="eastAsia" w:cs="Times New Roman" w:eastAsiaTheme="minorEastAsia"/>
                <w:b/>
                <w:bCs/>
                <w:color w:val="auto"/>
                <w:kern w:val="0"/>
                <w:sz w:val="21"/>
                <w:szCs w:val="21"/>
                <w:lang w:val="en-US" w:eastAsia="zh-CN" w:bidi="ar"/>
              </w:rPr>
              <w:t>10</w:t>
            </w:r>
            <w:r>
              <w:rPr>
                <w:rFonts w:hint="default" w:ascii="Times New Roman" w:hAnsi="Times New Roman" w:cs="Times New Roman" w:eastAsiaTheme="minorEastAsia"/>
                <w:b/>
                <w:bCs/>
                <w:color w:val="auto"/>
                <w:kern w:val="0"/>
                <w:sz w:val="21"/>
                <w:szCs w:val="21"/>
                <w:lang w:val="en-US" w:eastAsia="zh-CN" w:bidi="ar"/>
              </w:rPr>
              <w:t xml:space="preserve"> </w:t>
            </w:r>
            <w:r>
              <w:rPr>
                <w:rFonts w:hint="eastAsia" w:ascii="Times New Roman" w:hAnsi="Times New Roman" w:cs="Times New Roman" w:eastAsiaTheme="minorEastAsia"/>
                <w:b/>
                <w:bCs/>
                <w:color w:val="auto"/>
                <w:kern w:val="0"/>
                <w:sz w:val="21"/>
                <w:szCs w:val="21"/>
                <w:lang w:val="en-US" w:eastAsia="zh-CN" w:bidi="ar"/>
              </w:rPr>
              <w:t xml:space="preserve">  </w:t>
            </w:r>
            <w:r>
              <w:rPr>
                <w:rFonts w:hint="default" w:ascii="Times New Roman" w:hAnsi="Times New Roman" w:cs="Times New Roman" w:eastAsiaTheme="minorEastAsia"/>
                <w:b/>
                <w:bCs/>
                <w:color w:val="auto"/>
                <w:kern w:val="0"/>
                <w:sz w:val="21"/>
                <w:szCs w:val="21"/>
                <w:lang w:val="en-US" w:eastAsia="zh-CN" w:bidi="ar"/>
              </w:rPr>
              <w:t>建设项目环境风险简单分析内容表</w:t>
            </w:r>
          </w:p>
          <w:tbl>
            <w:tblPr>
              <w:tblStyle w:val="30"/>
              <w:tblW w:w="0" w:type="auto"/>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298"/>
              <w:gridCol w:w="6162"/>
            </w:tblGrid>
            <w:tr w14:paraId="7D32BF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98" w:type="dxa"/>
                  <w:tcBorders>
                    <w:tl2br w:val="nil"/>
                    <w:tr2bl w:val="nil"/>
                  </w:tcBorders>
                  <w:vAlign w:val="center"/>
                </w:tcPr>
                <w:p w14:paraId="483D7F8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建设项目名称</w:t>
                  </w:r>
                </w:p>
              </w:tc>
              <w:tc>
                <w:tcPr>
                  <w:tcW w:w="6162" w:type="dxa"/>
                  <w:tcBorders>
                    <w:tl2br w:val="nil"/>
                    <w:tr2bl w:val="nil"/>
                  </w:tcBorders>
                  <w:vAlign w:val="center"/>
                </w:tcPr>
                <w:p w14:paraId="48AF72C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昌吉职业技术学院危废贮存库建设项目</w:t>
                  </w:r>
                </w:p>
              </w:tc>
            </w:tr>
            <w:tr w14:paraId="68303A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98" w:type="dxa"/>
                  <w:tcBorders>
                    <w:tl2br w:val="nil"/>
                    <w:tr2bl w:val="nil"/>
                  </w:tcBorders>
                  <w:vAlign w:val="center"/>
                </w:tcPr>
                <w:p w14:paraId="4D668E7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建设地点</w:t>
                  </w:r>
                </w:p>
              </w:tc>
              <w:tc>
                <w:tcPr>
                  <w:tcW w:w="6162" w:type="dxa"/>
                  <w:tcBorders>
                    <w:tl2br w:val="nil"/>
                    <w:tr2bl w:val="nil"/>
                  </w:tcBorders>
                  <w:vAlign w:val="center"/>
                </w:tcPr>
                <w:p w14:paraId="73CCBC5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昌吉州昌吉市高新区兴业大道8号昌吉职业技术学院</w:t>
                  </w:r>
                </w:p>
              </w:tc>
            </w:tr>
            <w:tr w14:paraId="216A21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98" w:type="dxa"/>
                  <w:tcBorders>
                    <w:tl2br w:val="nil"/>
                    <w:tr2bl w:val="nil"/>
                  </w:tcBorders>
                  <w:vAlign w:val="center"/>
                </w:tcPr>
                <w:p w14:paraId="755D7DE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地理坐标</w:t>
                  </w:r>
                </w:p>
              </w:tc>
              <w:tc>
                <w:tcPr>
                  <w:tcW w:w="6162" w:type="dxa"/>
                  <w:tcBorders>
                    <w:tl2br w:val="nil"/>
                    <w:tr2bl w:val="nil"/>
                  </w:tcBorders>
                  <w:vAlign w:val="center"/>
                </w:tcPr>
                <w:p w14:paraId="5529035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lang w:val="en-US" w:eastAsia="zh-CN"/>
                    </w:rPr>
                    <w:t>E</w:t>
                  </w:r>
                  <w:r>
                    <w:rPr>
                      <w:rFonts w:hint="default" w:ascii="Times New Roman" w:hAnsi="Times New Roman" w:cs="Times New Roman" w:eastAsiaTheme="minorEastAsia"/>
                      <w:color w:val="auto"/>
                      <w:sz w:val="21"/>
                      <w:szCs w:val="21"/>
                      <w:vertAlign w:val="baseline"/>
                    </w:rPr>
                    <w:t>87</w:t>
                  </w:r>
                  <w:r>
                    <w:rPr>
                      <w:rFonts w:hint="default" w:ascii="Times New Roman" w:hAnsi="Times New Roman" w:cs="Times New Roman" w:eastAsiaTheme="minorEastAsia"/>
                      <w:color w:val="auto"/>
                      <w:sz w:val="21"/>
                      <w:szCs w:val="21"/>
                      <w:vertAlign w:val="baseline"/>
                      <w:lang w:val="en-US" w:eastAsia="zh-CN"/>
                    </w:rPr>
                    <w:t>°</w:t>
                  </w:r>
                  <w:r>
                    <w:rPr>
                      <w:rFonts w:hint="default" w:ascii="Times New Roman" w:hAnsi="Times New Roman" w:cs="Times New Roman" w:eastAsiaTheme="minorEastAsia"/>
                      <w:color w:val="auto"/>
                      <w:sz w:val="21"/>
                      <w:szCs w:val="21"/>
                      <w:vertAlign w:val="baseline"/>
                    </w:rPr>
                    <w:t>03</w:t>
                  </w:r>
                  <w:r>
                    <w:rPr>
                      <w:rFonts w:hint="default" w:ascii="Times New Roman" w:hAnsi="Times New Roman" w:cs="Times New Roman" w:eastAsiaTheme="minorEastAsia"/>
                      <w:color w:val="auto"/>
                      <w:sz w:val="21"/>
                      <w:szCs w:val="21"/>
                      <w:vertAlign w:val="baseline"/>
                      <w:lang w:val="en-US" w:eastAsia="zh-CN"/>
                    </w:rPr>
                    <w:t>′</w:t>
                  </w:r>
                  <w:r>
                    <w:rPr>
                      <w:rFonts w:hint="default" w:ascii="Times New Roman" w:hAnsi="Times New Roman" w:cs="Times New Roman" w:eastAsiaTheme="minorEastAsia"/>
                      <w:color w:val="auto"/>
                      <w:sz w:val="21"/>
                      <w:szCs w:val="21"/>
                      <w:vertAlign w:val="baseline"/>
                    </w:rPr>
                    <w:t>20.576</w:t>
                  </w:r>
                  <w:r>
                    <w:rPr>
                      <w:rFonts w:hint="default" w:ascii="Times New Roman" w:hAnsi="Times New Roman" w:cs="Times New Roman" w:eastAsiaTheme="minorEastAsia"/>
                      <w:color w:val="auto"/>
                      <w:sz w:val="21"/>
                      <w:szCs w:val="21"/>
                      <w:vertAlign w:val="baseline"/>
                      <w:lang w:val="en-US" w:eastAsia="zh-CN"/>
                    </w:rPr>
                    <w:t>″</w:t>
                  </w:r>
                  <w:r>
                    <w:rPr>
                      <w:rFonts w:hint="default" w:ascii="Times New Roman" w:hAnsi="Times New Roman" w:cs="Times New Roman" w:eastAsiaTheme="minorEastAsia"/>
                      <w:color w:val="auto"/>
                      <w:sz w:val="21"/>
                      <w:szCs w:val="21"/>
                      <w:vertAlign w:val="baseline"/>
                    </w:rPr>
                    <w:t>，</w:t>
                  </w:r>
                  <w:r>
                    <w:rPr>
                      <w:rFonts w:hint="default" w:ascii="Times New Roman" w:hAnsi="Times New Roman" w:cs="Times New Roman" w:eastAsiaTheme="minorEastAsia"/>
                      <w:color w:val="auto"/>
                      <w:sz w:val="21"/>
                      <w:szCs w:val="21"/>
                      <w:vertAlign w:val="baseline"/>
                      <w:lang w:val="en-US" w:eastAsia="zh-CN"/>
                    </w:rPr>
                    <w:t>N</w:t>
                  </w:r>
                  <w:r>
                    <w:rPr>
                      <w:rFonts w:hint="default" w:ascii="Times New Roman" w:hAnsi="Times New Roman" w:cs="Times New Roman" w:eastAsiaTheme="minorEastAsia"/>
                      <w:color w:val="auto"/>
                      <w:sz w:val="21"/>
                      <w:szCs w:val="21"/>
                      <w:vertAlign w:val="baseline"/>
                    </w:rPr>
                    <w:t>44</w:t>
                  </w:r>
                  <w:r>
                    <w:rPr>
                      <w:rFonts w:hint="default" w:ascii="Times New Roman" w:hAnsi="Times New Roman" w:cs="Times New Roman" w:eastAsiaTheme="minorEastAsia"/>
                      <w:color w:val="auto"/>
                      <w:sz w:val="21"/>
                      <w:szCs w:val="21"/>
                      <w:vertAlign w:val="baseline"/>
                      <w:lang w:val="en-US" w:eastAsia="zh-CN"/>
                    </w:rPr>
                    <w:t>°</w:t>
                  </w:r>
                  <w:r>
                    <w:rPr>
                      <w:rFonts w:hint="default" w:ascii="Times New Roman" w:hAnsi="Times New Roman" w:cs="Times New Roman" w:eastAsiaTheme="minorEastAsia"/>
                      <w:color w:val="auto"/>
                      <w:sz w:val="21"/>
                      <w:szCs w:val="21"/>
                      <w:vertAlign w:val="baseline"/>
                    </w:rPr>
                    <w:t>05</w:t>
                  </w:r>
                  <w:r>
                    <w:rPr>
                      <w:rFonts w:hint="default" w:ascii="Times New Roman" w:hAnsi="Times New Roman" w:cs="Times New Roman" w:eastAsiaTheme="minorEastAsia"/>
                      <w:color w:val="auto"/>
                      <w:sz w:val="21"/>
                      <w:szCs w:val="21"/>
                      <w:vertAlign w:val="baseline"/>
                      <w:lang w:val="en-US" w:eastAsia="zh-CN"/>
                    </w:rPr>
                    <w:t>′</w:t>
                  </w:r>
                  <w:r>
                    <w:rPr>
                      <w:rFonts w:hint="default" w:ascii="Times New Roman" w:hAnsi="Times New Roman" w:cs="Times New Roman" w:eastAsiaTheme="minorEastAsia"/>
                      <w:color w:val="auto"/>
                      <w:sz w:val="21"/>
                      <w:szCs w:val="21"/>
                      <w:vertAlign w:val="baseline"/>
                    </w:rPr>
                    <w:t>21.05</w:t>
                  </w:r>
                  <w:r>
                    <w:rPr>
                      <w:rFonts w:hint="default" w:ascii="Times New Roman" w:hAnsi="Times New Roman" w:cs="Times New Roman" w:eastAsiaTheme="minorEastAsia"/>
                      <w:color w:val="auto"/>
                      <w:sz w:val="21"/>
                      <w:szCs w:val="21"/>
                      <w:vertAlign w:val="baseline"/>
                      <w:lang w:val="en-US" w:eastAsia="zh-CN"/>
                    </w:rPr>
                    <w:t>7″</w:t>
                  </w:r>
                </w:p>
              </w:tc>
            </w:tr>
            <w:tr w14:paraId="731FD2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98" w:type="dxa"/>
                  <w:tcBorders>
                    <w:tl2br w:val="nil"/>
                    <w:tr2bl w:val="nil"/>
                  </w:tcBorders>
                  <w:vAlign w:val="center"/>
                </w:tcPr>
                <w:p w14:paraId="3359400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主要危险物质及分布</w:t>
                  </w:r>
                </w:p>
              </w:tc>
              <w:tc>
                <w:tcPr>
                  <w:tcW w:w="6162" w:type="dxa"/>
                  <w:tcBorders>
                    <w:tl2br w:val="nil"/>
                    <w:tr2bl w:val="nil"/>
                  </w:tcBorders>
                  <w:vAlign w:val="center"/>
                </w:tcPr>
                <w:p w14:paraId="3A9F3DF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实验室废液</w:t>
                  </w:r>
                  <w:r>
                    <w:rPr>
                      <w:rFonts w:hint="default" w:ascii="Times New Roman" w:hAnsi="Times New Roman" w:cs="Times New Roman" w:eastAsiaTheme="minorEastAsia"/>
                      <w:color w:val="auto"/>
                      <w:sz w:val="21"/>
                      <w:szCs w:val="21"/>
                      <w:vertAlign w:val="baseline"/>
                      <w:lang w:eastAsia="zh-CN"/>
                    </w:rPr>
                    <w:t>、</w:t>
                  </w:r>
                  <w:r>
                    <w:rPr>
                      <w:rFonts w:hint="eastAsia" w:cs="Times New Roman" w:eastAsiaTheme="minorEastAsia"/>
                      <w:color w:val="auto"/>
                      <w:sz w:val="21"/>
                      <w:szCs w:val="21"/>
                      <w:vertAlign w:val="baseline"/>
                      <w:lang w:val="en-US" w:eastAsia="zh-CN"/>
                    </w:rPr>
                    <w:t>过期废试剂、</w:t>
                  </w:r>
                  <w:r>
                    <w:rPr>
                      <w:rFonts w:hint="default" w:ascii="Times New Roman" w:hAnsi="Times New Roman" w:cs="Times New Roman" w:eastAsiaTheme="minorEastAsia"/>
                      <w:color w:val="auto"/>
                      <w:sz w:val="21"/>
                      <w:szCs w:val="21"/>
                      <w:vertAlign w:val="baseline"/>
                      <w:lang w:val="en-US" w:eastAsia="zh-CN"/>
                    </w:rPr>
                    <w:t>废试剂瓶</w:t>
                  </w:r>
                  <w:r>
                    <w:rPr>
                      <w:rFonts w:hint="default" w:ascii="Times New Roman" w:hAnsi="Times New Roman" w:cs="Times New Roman" w:eastAsiaTheme="minorEastAsia"/>
                      <w:color w:val="auto"/>
                      <w:sz w:val="21"/>
                      <w:szCs w:val="21"/>
                      <w:vertAlign w:val="baseline"/>
                    </w:rPr>
                    <w:t>存放危险废物</w:t>
                  </w:r>
                  <w:r>
                    <w:rPr>
                      <w:rFonts w:hint="default" w:ascii="Times New Roman" w:hAnsi="Times New Roman" w:cs="Times New Roman" w:eastAsiaTheme="minorEastAsia"/>
                      <w:color w:val="auto"/>
                      <w:sz w:val="21"/>
                      <w:szCs w:val="21"/>
                      <w:vertAlign w:val="baseline"/>
                      <w:lang w:val="en-US" w:eastAsia="zh-CN"/>
                    </w:rPr>
                    <w:t>贮存库</w:t>
                  </w:r>
                  <w:r>
                    <w:rPr>
                      <w:rFonts w:hint="default" w:ascii="Times New Roman" w:hAnsi="Times New Roman" w:cs="Times New Roman" w:eastAsiaTheme="minorEastAsia"/>
                      <w:color w:val="auto"/>
                      <w:sz w:val="21"/>
                      <w:szCs w:val="21"/>
                      <w:vertAlign w:val="baseline"/>
                    </w:rPr>
                    <w:t>内</w:t>
                  </w:r>
                </w:p>
              </w:tc>
            </w:tr>
            <w:tr w14:paraId="5C3DB8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98" w:type="dxa"/>
                  <w:tcBorders>
                    <w:tl2br w:val="nil"/>
                    <w:tr2bl w:val="nil"/>
                  </w:tcBorders>
                  <w:vAlign w:val="center"/>
                </w:tcPr>
                <w:p w14:paraId="73045C8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环境影响途径及危害后果（大气、地表水、地下水）</w:t>
                  </w:r>
                </w:p>
              </w:tc>
              <w:tc>
                <w:tcPr>
                  <w:tcW w:w="6162" w:type="dxa"/>
                  <w:tcBorders>
                    <w:tl2br w:val="nil"/>
                    <w:tr2bl w:val="nil"/>
                  </w:tcBorders>
                  <w:vAlign w:val="center"/>
                </w:tcPr>
                <w:p w14:paraId="2C6F9E7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本项目实验室废液</w:t>
                  </w:r>
                  <w:r>
                    <w:rPr>
                      <w:rFonts w:hint="eastAsia" w:ascii="Times New Roman" w:hAnsi="Times New Roman" w:cs="Times New Roman" w:eastAsiaTheme="minorEastAsia"/>
                      <w:color w:val="auto"/>
                      <w:sz w:val="21"/>
                      <w:szCs w:val="21"/>
                      <w:vertAlign w:val="baseline"/>
                      <w:lang w:val="en-US" w:eastAsia="zh-CN"/>
                    </w:rPr>
                    <w:t>、过期废试剂</w:t>
                  </w:r>
                  <w:r>
                    <w:rPr>
                      <w:rFonts w:hint="default" w:ascii="Times New Roman" w:hAnsi="Times New Roman" w:cs="Times New Roman" w:eastAsiaTheme="minorEastAsia"/>
                      <w:color w:val="auto"/>
                      <w:sz w:val="21"/>
                      <w:szCs w:val="21"/>
                      <w:vertAlign w:val="baseline"/>
                    </w:rPr>
                    <w:t>采用密闭收集</w:t>
                  </w:r>
                  <w:r>
                    <w:rPr>
                      <w:rFonts w:hint="default" w:ascii="Times New Roman" w:hAnsi="Times New Roman" w:cs="Times New Roman" w:eastAsiaTheme="minorEastAsia"/>
                      <w:color w:val="auto"/>
                      <w:sz w:val="21"/>
                      <w:szCs w:val="21"/>
                      <w:vertAlign w:val="baseline"/>
                      <w:lang w:val="en-US" w:eastAsia="zh-CN"/>
                    </w:rPr>
                    <w:t>桶</w:t>
                  </w:r>
                  <w:r>
                    <w:rPr>
                      <w:rFonts w:hint="default" w:ascii="Times New Roman" w:hAnsi="Times New Roman" w:cs="Times New Roman" w:eastAsiaTheme="minorEastAsia"/>
                      <w:color w:val="auto"/>
                      <w:sz w:val="21"/>
                      <w:szCs w:val="21"/>
                      <w:vertAlign w:val="baseline"/>
                    </w:rPr>
                    <w:t>收集，主要风险是实验室废液、过期废试剂泄漏风险。</w:t>
                  </w:r>
                </w:p>
              </w:tc>
            </w:tr>
            <w:tr w14:paraId="3A5774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98" w:type="dxa"/>
                  <w:tcBorders>
                    <w:tl2br w:val="nil"/>
                    <w:tr2bl w:val="nil"/>
                  </w:tcBorders>
                  <w:vAlign w:val="center"/>
                </w:tcPr>
                <w:p w14:paraId="2F92DBE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风险防范措施要求</w:t>
                  </w:r>
                </w:p>
              </w:tc>
              <w:tc>
                <w:tcPr>
                  <w:tcW w:w="6162" w:type="dxa"/>
                  <w:tcBorders>
                    <w:tl2br w:val="nil"/>
                    <w:tr2bl w:val="nil"/>
                  </w:tcBorders>
                  <w:vAlign w:val="center"/>
                </w:tcPr>
                <w:p w14:paraId="5748160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（1）制定环境风险管理制度建设单位需制定《环境保护责任制》《安全环保风险管理制度》，可满足企业环境风险管理要求，但是制度需要在执行中检验其可操作性。</w:t>
                  </w:r>
                </w:p>
                <w:p w14:paraId="3C07F7C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rPr>
                    <w:t>（2）风险防控及应急措施</w:t>
                  </w:r>
                </w:p>
                <w:p w14:paraId="34CFC55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lang w:val="en-US" w:eastAsia="zh-CN"/>
                    </w:rPr>
                    <w:t>为防止可能出现的风险事故，项目需在总图布局、工艺技术与自动控制、电气配置等方面采取风险防范措施，需制定应急处理及救援预案。</w:t>
                  </w:r>
                </w:p>
                <w:p w14:paraId="0851C5D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lang w:val="en-US" w:eastAsia="zh-CN"/>
                    </w:rPr>
                    <w:t>（3）环境应急资源</w:t>
                  </w:r>
                </w:p>
                <w:p w14:paraId="5F8D2E5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lang w:val="en-US" w:eastAsia="zh-CN"/>
                    </w:rPr>
                    <w:t>应按照制定的《安全环保风险管理制度》购置相应的环境风险应急资源，成立应急救援队伍。</w:t>
                  </w:r>
                </w:p>
                <w:p w14:paraId="061C0C6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lang w:val="en-US" w:eastAsia="zh-CN"/>
                    </w:rPr>
                    <w:t>（4）环境风险演练和培训</w:t>
                  </w:r>
                </w:p>
                <w:p w14:paraId="2E7033B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left"/>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sz w:val="21"/>
                      <w:szCs w:val="21"/>
                      <w:vertAlign w:val="baseline"/>
                      <w:lang w:val="en-US" w:eastAsia="zh-CN"/>
                    </w:rPr>
                    <w:t>项目建成后，需对应急救援队伍进行培训，并定期进行环境风险应急演练。</w:t>
                  </w:r>
                </w:p>
              </w:tc>
            </w:tr>
            <w:tr w14:paraId="0292AA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460" w:type="dxa"/>
                  <w:gridSpan w:val="2"/>
                  <w:tcBorders>
                    <w:tl2br w:val="nil"/>
                    <w:tr2bl w:val="nil"/>
                  </w:tcBorders>
                  <w:vAlign w:val="center"/>
                </w:tcPr>
                <w:p w14:paraId="051C2E6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rPr>
                  </w:pPr>
                  <w:r>
                    <w:rPr>
                      <w:rFonts w:hint="default" w:ascii="Times New Roman" w:hAnsi="Times New Roman" w:cs="Times New Roman" w:eastAsiaTheme="minorEastAsia"/>
                      <w:color w:val="auto"/>
                      <w:kern w:val="0"/>
                      <w:sz w:val="21"/>
                      <w:szCs w:val="21"/>
                      <w:lang w:val="en-US" w:eastAsia="zh-CN" w:bidi="ar"/>
                    </w:rPr>
                    <w:t>填表说明：根据本项目污染物特性，本项目应建立环境风险应急预案，并报备环境主管部门备案。</w:t>
                  </w:r>
                </w:p>
              </w:tc>
            </w:tr>
          </w:tbl>
          <w:p w14:paraId="7418CFB9">
            <w:pPr>
              <w:pageBreakBefore w:val="0"/>
              <w:kinsoku/>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综上，项目营运过程中环境风险潜势为Ⅰ，在严格落实风险防范措施的情况下，项目环境风险可以接受。</w:t>
            </w:r>
          </w:p>
          <w:p w14:paraId="208F3CBC">
            <w:pPr>
              <w:pStyle w:val="72"/>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spacing w:val="-6"/>
                <w:lang w:val="en-US" w:eastAsia="zh-CN"/>
              </w:rPr>
            </w:pPr>
            <w:r>
              <w:rPr>
                <w:rFonts w:hint="default" w:ascii="Times New Roman" w:hAnsi="Times New Roman" w:cs="Times New Roman" w:eastAsiaTheme="minorEastAsia"/>
                <w:color w:val="auto"/>
                <w:spacing w:val="-6"/>
                <w:lang w:val="en-US" w:eastAsia="zh-CN"/>
              </w:rPr>
              <w:t>7</w:t>
            </w:r>
            <w:r>
              <w:rPr>
                <w:rFonts w:hint="eastAsia" w:cs="Times New Roman" w:eastAsiaTheme="minorEastAsia"/>
                <w:color w:val="auto"/>
                <w:spacing w:val="-6"/>
                <w:lang w:val="en-US" w:eastAsia="zh-CN"/>
              </w:rPr>
              <w:t xml:space="preserve"> </w:t>
            </w:r>
            <w:r>
              <w:rPr>
                <w:rFonts w:hint="default" w:ascii="Times New Roman" w:hAnsi="Times New Roman" w:cs="Times New Roman" w:eastAsiaTheme="minorEastAsia"/>
                <w:color w:val="auto"/>
                <w:spacing w:val="-6"/>
                <w:lang w:val="en-US" w:eastAsia="zh-CN"/>
              </w:rPr>
              <w:t>环保投资分析</w:t>
            </w:r>
          </w:p>
          <w:p w14:paraId="700F4193">
            <w:pPr>
              <w:pageBreakBefore w:val="0"/>
              <w:kinsoku/>
              <w:bidi w:val="0"/>
              <w:adjustRightInd w:val="0"/>
              <w:snapToGrid w:val="0"/>
              <w:spacing w:beforeAutospacing="0" w:afterAutospacing="0" w:line="360" w:lineRule="auto"/>
              <w:ind w:left="0" w:leftChars="0" w:right="0" w:rightChars="0" w:firstLine="480" w:firstLineChars="20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本项目总投资为</w:t>
            </w:r>
            <w:r>
              <w:rPr>
                <w:rFonts w:hint="default" w:ascii="Times New Roman" w:hAnsi="Times New Roman" w:cs="Times New Roman" w:eastAsiaTheme="minorEastAsia"/>
                <w:color w:val="auto"/>
                <w:sz w:val="24"/>
                <w:szCs w:val="24"/>
                <w:lang w:val="en-US" w:eastAsia="zh-CN"/>
              </w:rPr>
              <w:t>3</w:t>
            </w:r>
            <w:r>
              <w:rPr>
                <w:rFonts w:hint="eastAsia" w:cs="Times New Roman" w:eastAsiaTheme="minorEastAsia"/>
                <w:color w:val="auto"/>
                <w:sz w:val="24"/>
                <w:szCs w:val="24"/>
                <w:lang w:val="en-US" w:eastAsia="zh-CN"/>
              </w:rPr>
              <w:t>.1</w:t>
            </w:r>
            <w:r>
              <w:rPr>
                <w:rFonts w:hint="default" w:ascii="Times New Roman" w:hAnsi="Times New Roman" w:cs="Times New Roman" w:eastAsiaTheme="minorEastAsia"/>
                <w:color w:val="auto"/>
                <w:sz w:val="24"/>
                <w:szCs w:val="24"/>
              </w:rPr>
              <w:t>万元，其中环保投资</w:t>
            </w:r>
            <w:r>
              <w:rPr>
                <w:rFonts w:hint="default" w:ascii="Times New Roman" w:hAnsi="Times New Roman" w:cs="Times New Roman" w:eastAsiaTheme="minorEastAsia"/>
                <w:color w:val="auto"/>
                <w:sz w:val="24"/>
                <w:szCs w:val="24"/>
                <w:lang w:val="en-US" w:eastAsia="zh-CN"/>
              </w:rPr>
              <w:t>3</w:t>
            </w:r>
            <w:r>
              <w:rPr>
                <w:rFonts w:hint="eastAsia" w:cs="Times New Roman" w:eastAsiaTheme="minorEastAsia"/>
                <w:color w:val="auto"/>
                <w:sz w:val="24"/>
                <w:szCs w:val="24"/>
                <w:lang w:val="en-US" w:eastAsia="zh-CN"/>
              </w:rPr>
              <w:t>.1</w:t>
            </w:r>
            <w:r>
              <w:rPr>
                <w:rFonts w:hint="default" w:ascii="Times New Roman" w:hAnsi="Times New Roman" w:cs="Times New Roman" w:eastAsiaTheme="minorEastAsia"/>
                <w:color w:val="auto"/>
                <w:sz w:val="24"/>
                <w:szCs w:val="24"/>
              </w:rPr>
              <w:t>万元，占总投资的</w:t>
            </w:r>
            <w:r>
              <w:rPr>
                <w:rFonts w:hint="default" w:ascii="Times New Roman" w:hAnsi="Times New Roman" w:cs="Times New Roman" w:eastAsiaTheme="minorEastAsia"/>
                <w:color w:val="auto"/>
                <w:sz w:val="24"/>
                <w:szCs w:val="24"/>
                <w:lang w:val="en-US" w:eastAsia="zh-CN"/>
              </w:rPr>
              <w:t>100%</w:t>
            </w:r>
            <w:r>
              <w:rPr>
                <w:rFonts w:hint="default" w:ascii="Times New Roman" w:hAnsi="Times New Roman" w:cs="Times New Roman" w:eastAsiaTheme="minorEastAsia"/>
                <w:color w:val="auto"/>
                <w:sz w:val="24"/>
                <w:szCs w:val="24"/>
              </w:rPr>
              <w:t>，详见表</w:t>
            </w:r>
            <w:r>
              <w:rPr>
                <w:rFonts w:hint="default" w:ascii="Times New Roman" w:hAnsi="Times New Roman" w:cs="Times New Roman" w:eastAsiaTheme="minorEastAsia"/>
                <w:color w:val="auto"/>
                <w:sz w:val="24"/>
                <w:szCs w:val="24"/>
                <w:lang w:val="en-US" w:eastAsia="zh-CN"/>
              </w:rPr>
              <w:t>4-1</w:t>
            </w:r>
            <w:r>
              <w:rPr>
                <w:rFonts w:hint="eastAsia" w:cs="Times New Roman" w:eastAsiaTheme="minorEastAsia"/>
                <w:color w:val="auto"/>
                <w:sz w:val="24"/>
                <w:szCs w:val="24"/>
                <w:lang w:val="en-US" w:eastAsia="zh-CN"/>
              </w:rPr>
              <w:t>1</w:t>
            </w:r>
            <w:r>
              <w:rPr>
                <w:rFonts w:hint="default" w:ascii="Times New Roman" w:hAnsi="Times New Roman" w:cs="Times New Roman" w:eastAsiaTheme="minorEastAsia"/>
                <w:color w:val="auto"/>
                <w:sz w:val="24"/>
                <w:szCs w:val="24"/>
              </w:rPr>
              <w:t>。</w:t>
            </w:r>
          </w:p>
          <w:p w14:paraId="13689760">
            <w:pPr>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b/>
                <w:color w:val="auto"/>
                <w:szCs w:val="21"/>
              </w:rPr>
            </w:pPr>
            <w:r>
              <w:rPr>
                <w:rFonts w:hint="default" w:ascii="Times New Roman" w:hAnsi="Times New Roman" w:cs="Times New Roman" w:eastAsiaTheme="minorEastAsia"/>
                <w:b/>
                <w:color w:val="auto"/>
                <w:szCs w:val="21"/>
              </w:rPr>
              <w:t>表</w:t>
            </w:r>
            <w:r>
              <w:rPr>
                <w:rFonts w:hint="default" w:ascii="Times New Roman" w:hAnsi="Times New Roman" w:cs="Times New Roman" w:eastAsiaTheme="minorEastAsia"/>
                <w:b/>
                <w:color w:val="auto"/>
                <w:szCs w:val="21"/>
                <w:lang w:val="en-US" w:eastAsia="zh-CN"/>
              </w:rPr>
              <w:t>4-1</w:t>
            </w:r>
            <w:r>
              <w:rPr>
                <w:rFonts w:hint="eastAsia" w:cs="Times New Roman" w:eastAsiaTheme="minorEastAsia"/>
                <w:b/>
                <w:color w:val="auto"/>
                <w:szCs w:val="21"/>
                <w:lang w:val="en-US" w:eastAsia="zh-CN"/>
              </w:rPr>
              <w:t>1</w:t>
            </w:r>
            <w:r>
              <w:rPr>
                <w:rFonts w:hint="default" w:ascii="Times New Roman" w:hAnsi="Times New Roman" w:cs="Times New Roman" w:eastAsiaTheme="minorEastAsia"/>
                <w:b/>
                <w:color w:val="auto"/>
                <w:szCs w:val="21"/>
                <w:lang w:val="en-US" w:eastAsia="zh-CN"/>
              </w:rPr>
              <w:t xml:space="preserve">   </w:t>
            </w:r>
            <w:r>
              <w:rPr>
                <w:rFonts w:hint="default" w:ascii="Times New Roman" w:hAnsi="Times New Roman" w:cs="Times New Roman" w:eastAsiaTheme="minorEastAsia"/>
                <w:b/>
                <w:color w:val="auto"/>
                <w:szCs w:val="21"/>
              </w:rPr>
              <w:t>项目环保投资估算表</w:t>
            </w:r>
          </w:p>
          <w:tbl>
            <w:tblPr>
              <w:tblStyle w:val="29"/>
              <w:tblW w:w="8377"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717"/>
              <w:gridCol w:w="1531"/>
              <w:gridCol w:w="4059"/>
              <w:gridCol w:w="2070"/>
            </w:tblGrid>
            <w:tr w14:paraId="07474A8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23" w:hRule="atLeast"/>
                <w:jc w:val="center"/>
              </w:trPr>
              <w:tc>
                <w:tcPr>
                  <w:tcW w:w="717" w:type="dxa"/>
                  <w:tcBorders>
                    <w:bottom w:val="single" w:color="auto" w:sz="12" w:space="0"/>
                    <w:right w:val="single" w:color="auto" w:sz="8" w:space="0"/>
                  </w:tcBorders>
                  <w:noWrap w:val="0"/>
                  <w:vAlign w:val="center"/>
                </w:tcPr>
                <w:p w14:paraId="67E79F62">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内容</w:t>
                  </w:r>
                </w:p>
              </w:tc>
              <w:tc>
                <w:tcPr>
                  <w:tcW w:w="1531" w:type="dxa"/>
                  <w:tcBorders>
                    <w:left w:val="single" w:color="auto" w:sz="8" w:space="0"/>
                    <w:bottom w:val="single" w:color="auto" w:sz="12" w:space="0"/>
                    <w:right w:val="single" w:color="auto" w:sz="8" w:space="0"/>
                  </w:tcBorders>
                  <w:noWrap w:val="0"/>
                  <w:vAlign w:val="center"/>
                </w:tcPr>
                <w:p w14:paraId="1FEC4CB1">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项目名称</w:t>
                  </w:r>
                </w:p>
              </w:tc>
              <w:tc>
                <w:tcPr>
                  <w:tcW w:w="4059" w:type="dxa"/>
                  <w:tcBorders>
                    <w:left w:val="single" w:color="auto" w:sz="8" w:space="0"/>
                    <w:bottom w:val="single" w:color="auto" w:sz="12" w:space="0"/>
                    <w:right w:val="single" w:color="auto" w:sz="8" w:space="0"/>
                  </w:tcBorders>
                  <w:noWrap w:val="0"/>
                  <w:vAlign w:val="center"/>
                </w:tcPr>
                <w:p w14:paraId="56D37CF3">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治理措施</w:t>
                  </w:r>
                </w:p>
              </w:tc>
              <w:tc>
                <w:tcPr>
                  <w:tcW w:w="2070" w:type="dxa"/>
                  <w:tcBorders>
                    <w:left w:val="single" w:color="auto" w:sz="8" w:space="0"/>
                    <w:bottom w:val="single" w:color="auto" w:sz="12" w:space="0"/>
                  </w:tcBorders>
                  <w:noWrap w:val="0"/>
                  <w:vAlign w:val="center"/>
                </w:tcPr>
                <w:p w14:paraId="1F714F54">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投资估算（万元）</w:t>
                  </w:r>
                </w:p>
              </w:tc>
            </w:tr>
            <w:tr w14:paraId="0F1C92B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23" w:hRule="atLeast"/>
                <w:jc w:val="center"/>
              </w:trPr>
              <w:tc>
                <w:tcPr>
                  <w:tcW w:w="717" w:type="dxa"/>
                  <w:tcBorders>
                    <w:top w:val="single" w:color="auto" w:sz="12" w:space="0"/>
                    <w:bottom w:val="single" w:color="auto" w:sz="4" w:space="0"/>
                  </w:tcBorders>
                  <w:noWrap w:val="0"/>
                  <w:vAlign w:val="center"/>
                </w:tcPr>
                <w:p w14:paraId="7E1A0887">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Cs w:val="21"/>
                    </w:rPr>
                    <w:t>1</w:t>
                  </w:r>
                </w:p>
              </w:tc>
              <w:tc>
                <w:tcPr>
                  <w:tcW w:w="1531" w:type="dxa"/>
                  <w:tcBorders>
                    <w:top w:val="single" w:color="auto" w:sz="12" w:space="0"/>
                    <w:right w:val="single" w:color="auto" w:sz="4" w:space="0"/>
                  </w:tcBorders>
                  <w:noWrap w:val="0"/>
                  <w:vAlign w:val="center"/>
                </w:tcPr>
                <w:p w14:paraId="207980C9">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废气治理措施</w:t>
                  </w:r>
                </w:p>
              </w:tc>
              <w:tc>
                <w:tcPr>
                  <w:tcW w:w="4059" w:type="dxa"/>
                  <w:tcBorders>
                    <w:top w:val="single" w:color="auto" w:sz="12" w:space="0"/>
                    <w:bottom w:val="single" w:color="auto" w:sz="4" w:space="0"/>
                    <w:right w:val="single" w:color="auto" w:sz="4" w:space="0"/>
                  </w:tcBorders>
                  <w:noWrap w:val="0"/>
                  <w:vAlign w:val="center"/>
                </w:tcPr>
                <w:p w14:paraId="2D610F83">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lang w:val="en-US" w:eastAsia="zh-CN"/>
                    </w:rPr>
                  </w:pPr>
                  <w:r>
                    <w:rPr>
                      <w:rFonts w:hint="default" w:ascii="Times New Roman" w:hAnsi="Times New Roman" w:cs="Times New Roman" w:eastAsiaTheme="minorEastAsia"/>
                      <w:color w:val="auto"/>
                      <w:szCs w:val="21"/>
                      <w:lang w:val="en-US" w:eastAsia="zh-CN"/>
                    </w:rPr>
                    <w:t>/</w:t>
                  </w:r>
                </w:p>
              </w:tc>
              <w:tc>
                <w:tcPr>
                  <w:tcW w:w="2070" w:type="dxa"/>
                  <w:tcBorders>
                    <w:top w:val="single" w:color="auto" w:sz="12" w:space="0"/>
                    <w:left w:val="single" w:color="auto" w:sz="4" w:space="0"/>
                    <w:bottom w:val="single" w:color="auto" w:sz="4" w:space="0"/>
                  </w:tcBorders>
                  <w:noWrap w:val="0"/>
                  <w:vAlign w:val="center"/>
                </w:tcPr>
                <w:p w14:paraId="47ABE48F">
                  <w:pPr>
                    <w:pStyle w:val="17"/>
                    <w:keepNext w:val="0"/>
                    <w:keepLines w:val="0"/>
                    <w:pageBreakBefore w:val="0"/>
                    <w:widowControl w:val="0"/>
                    <w:kinsoku/>
                    <w:wordWrap/>
                    <w:overflowPunct/>
                    <w:topLinePunct w:val="0"/>
                    <w:bidi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w:t>
                  </w:r>
                </w:p>
              </w:tc>
            </w:tr>
            <w:tr w14:paraId="317409A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23" w:hRule="atLeast"/>
                <w:jc w:val="center"/>
              </w:trPr>
              <w:tc>
                <w:tcPr>
                  <w:tcW w:w="717" w:type="dxa"/>
                  <w:noWrap w:val="0"/>
                  <w:vAlign w:val="center"/>
                </w:tcPr>
                <w:p w14:paraId="616A4E5E">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eastAsia="zh-CN" w:bidi="ar-SA"/>
                    </w:rPr>
                  </w:pPr>
                  <w:r>
                    <w:rPr>
                      <w:rFonts w:hint="eastAsia" w:cs="Times New Roman" w:eastAsiaTheme="minorEastAsia"/>
                      <w:color w:val="auto"/>
                      <w:szCs w:val="21"/>
                      <w:lang w:val="en-US" w:eastAsia="zh-CN"/>
                    </w:rPr>
                    <w:t>2</w:t>
                  </w:r>
                </w:p>
              </w:tc>
              <w:tc>
                <w:tcPr>
                  <w:tcW w:w="1531" w:type="dxa"/>
                  <w:tcBorders>
                    <w:right w:val="single" w:color="auto" w:sz="4" w:space="0"/>
                  </w:tcBorders>
                  <w:noWrap w:val="0"/>
                  <w:vAlign w:val="center"/>
                </w:tcPr>
                <w:p w14:paraId="2114F3AD">
                  <w:pPr>
                    <w:keepNext w:val="0"/>
                    <w:keepLines w:val="0"/>
                    <w:pageBreakBefore w:val="0"/>
                    <w:widowControl w:val="0"/>
                    <w:kinsoku/>
                    <w:wordWrap/>
                    <w:overflowPunct/>
                    <w:topLinePunct w:val="0"/>
                    <w:bidi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废水治理措施</w:t>
                  </w:r>
                </w:p>
              </w:tc>
              <w:tc>
                <w:tcPr>
                  <w:tcW w:w="4059" w:type="dxa"/>
                  <w:tcBorders>
                    <w:top w:val="single" w:color="auto" w:sz="4" w:space="0"/>
                    <w:left w:val="single" w:color="auto" w:sz="4" w:space="0"/>
                  </w:tcBorders>
                  <w:noWrap w:val="0"/>
                  <w:vAlign w:val="center"/>
                </w:tcPr>
                <w:p w14:paraId="4C8C75BE">
                  <w:pPr>
                    <w:keepNext w:val="0"/>
                    <w:keepLines w:val="0"/>
                    <w:pageBreakBefore w:val="0"/>
                    <w:widowControl w:val="0"/>
                    <w:kinsoku/>
                    <w:wordWrap/>
                    <w:overflowPunct/>
                    <w:topLinePunct w:val="0"/>
                    <w:bidi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w:t>
                  </w:r>
                </w:p>
              </w:tc>
              <w:tc>
                <w:tcPr>
                  <w:tcW w:w="2070" w:type="dxa"/>
                  <w:tcBorders>
                    <w:top w:val="single" w:color="auto" w:sz="4" w:space="0"/>
                  </w:tcBorders>
                  <w:noWrap w:val="0"/>
                  <w:vAlign w:val="center"/>
                </w:tcPr>
                <w:p w14:paraId="160BB5E6">
                  <w:pPr>
                    <w:pStyle w:val="17"/>
                    <w:keepNext w:val="0"/>
                    <w:keepLines w:val="0"/>
                    <w:pageBreakBefore w:val="0"/>
                    <w:widowControl w:val="0"/>
                    <w:kinsoku/>
                    <w:wordWrap/>
                    <w:overflowPunct/>
                    <w:topLinePunct w:val="0"/>
                    <w:bidi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0</w:t>
                  </w:r>
                </w:p>
              </w:tc>
            </w:tr>
            <w:tr w14:paraId="1A71E81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23" w:hRule="atLeast"/>
                <w:jc w:val="center"/>
              </w:trPr>
              <w:tc>
                <w:tcPr>
                  <w:tcW w:w="717" w:type="dxa"/>
                  <w:noWrap w:val="0"/>
                  <w:vAlign w:val="center"/>
                </w:tcPr>
                <w:p w14:paraId="2973E71F">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eastAsia="zh-CN" w:bidi="ar-SA"/>
                    </w:rPr>
                  </w:pPr>
                  <w:r>
                    <w:rPr>
                      <w:rFonts w:hint="eastAsia" w:cs="Times New Roman" w:eastAsiaTheme="minorEastAsia"/>
                      <w:color w:val="auto"/>
                      <w:szCs w:val="21"/>
                      <w:lang w:val="en-US" w:eastAsia="zh-CN"/>
                    </w:rPr>
                    <w:t>3</w:t>
                  </w:r>
                </w:p>
              </w:tc>
              <w:tc>
                <w:tcPr>
                  <w:tcW w:w="1531" w:type="dxa"/>
                  <w:tcBorders>
                    <w:right w:val="single" w:color="auto" w:sz="4" w:space="0"/>
                  </w:tcBorders>
                  <w:noWrap w:val="0"/>
                  <w:vAlign w:val="center"/>
                </w:tcPr>
                <w:p w14:paraId="11B519C6">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噪声治理措施</w:t>
                  </w:r>
                </w:p>
              </w:tc>
              <w:tc>
                <w:tcPr>
                  <w:tcW w:w="4059" w:type="dxa"/>
                  <w:tcBorders>
                    <w:left w:val="single" w:color="auto" w:sz="4" w:space="0"/>
                  </w:tcBorders>
                  <w:noWrap w:val="0"/>
                  <w:vAlign w:val="center"/>
                </w:tcPr>
                <w:p w14:paraId="7BB2F0C5">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eastAsia="zh-CN"/>
                    </w:rPr>
                  </w:pPr>
                  <w:r>
                    <w:rPr>
                      <w:rFonts w:hint="default" w:ascii="Times New Roman" w:hAnsi="Times New Roman" w:cs="Times New Roman" w:eastAsiaTheme="minorEastAsia"/>
                      <w:color w:val="auto"/>
                      <w:szCs w:val="21"/>
                      <w:lang w:val="en-US" w:eastAsia="zh-CN"/>
                    </w:rPr>
                    <w:t>/</w:t>
                  </w:r>
                </w:p>
              </w:tc>
              <w:tc>
                <w:tcPr>
                  <w:tcW w:w="2070" w:type="dxa"/>
                  <w:noWrap w:val="0"/>
                  <w:vAlign w:val="center"/>
                </w:tcPr>
                <w:p w14:paraId="1648FFFF">
                  <w:pPr>
                    <w:pStyle w:val="17"/>
                    <w:keepNext w:val="0"/>
                    <w:keepLines w:val="0"/>
                    <w:pageBreakBefore w:val="0"/>
                    <w:widowControl w:val="0"/>
                    <w:kinsoku/>
                    <w:wordWrap/>
                    <w:overflowPunct/>
                    <w:topLinePunct w:val="0"/>
                    <w:bidi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color w:val="auto"/>
                      <w:sz w:val="21"/>
                      <w:szCs w:val="21"/>
                      <w:lang w:eastAsia="zh-CN"/>
                    </w:rPr>
                  </w:pPr>
                  <w:r>
                    <w:rPr>
                      <w:rFonts w:hint="default" w:ascii="Times New Roman" w:hAnsi="Times New Roman" w:cs="Times New Roman" w:eastAsiaTheme="minorEastAsia"/>
                      <w:b w:val="0"/>
                      <w:bCs w:val="0"/>
                      <w:color w:val="auto"/>
                      <w:sz w:val="21"/>
                      <w:szCs w:val="21"/>
                      <w:lang w:val="en-US" w:eastAsia="zh-CN"/>
                    </w:rPr>
                    <w:t>0</w:t>
                  </w:r>
                </w:p>
              </w:tc>
            </w:tr>
            <w:tr w14:paraId="31DF7AF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23" w:hRule="atLeast"/>
                <w:jc w:val="center"/>
              </w:trPr>
              <w:tc>
                <w:tcPr>
                  <w:tcW w:w="717" w:type="dxa"/>
                  <w:noWrap w:val="0"/>
                  <w:vAlign w:val="center"/>
                </w:tcPr>
                <w:p w14:paraId="1ECF1DF4">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eastAsia="zh-CN" w:bidi="ar-SA"/>
                    </w:rPr>
                  </w:pPr>
                  <w:r>
                    <w:rPr>
                      <w:rFonts w:hint="eastAsia" w:cs="Times New Roman" w:eastAsiaTheme="minorEastAsia"/>
                      <w:color w:val="auto"/>
                      <w:szCs w:val="21"/>
                      <w:lang w:val="en-US" w:eastAsia="zh-CN"/>
                    </w:rPr>
                    <w:t>4</w:t>
                  </w:r>
                </w:p>
              </w:tc>
              <w:tc>
                <w:tcPr>
                  <w:tcW w:w="1531" w:type="dxa"/>
                  <w:tcBorders>
                    <w:right w:val="single" w:color="auto" w:sz="4" w:space="0"/>
                  </w:tcBorders>
                  <w:noWrap w:val="0"/>
                  <w:vAlign w:val="center"/>
                </w:tcPr>
                <w:p w14:paraId="506A2759">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固体废物治理措施</w:t>
                  </w:r>
                </w:p>
              </w:tc>
              <w:tc>
                <w:tcPr>
                  <w:tcW w:w="4059" w:type="dxa"/>
                  <w:tcBorders>
                    <w:left w:val="single" w:color="auto" w:sz="4" w:space="0"/>
                  </w:tcBorders>
                  <w:noWrap w:val="0"/>
                  <w:vAlign w:val="center"/>
                </w:tcPr>
                <w:p w14:paraId="0AF99532">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lang w:val="en-US" w:eastAsia="zh-CN"/>
                    </w:rPr>
                    <w:t>建设危废贮存库，危废暂存于危废贮存库内，定期委托有资质单位进行处置</w:t>
                  </w:r>
                </w:p>
              </w:tc>
              <w:tc>
                <w:tcPr>
                  <w:tcW w:w="2070" w:type="dxa"/>
                  <w:noWrap w:val="0"/>
                  <w:vAlign w:val="center"/>
                </w:tcPr>
                <w:p w14:paraId="3C8D0ACF">
                  <w:pPr>
                    <w:pStyle w:val="17"/>
                    <w:keepNext w:val="0"/>
                    <w:keepLines w:val="0"/>
                    <w:pageBreakBefore w:val="0"/>
                    <w:widowControl w:val="0"/>
                    <w:kinsoku/>
                    <w:wordWrap/>
                    <w:overflowPunct/>
                    <w:topLinePunct w:val="0"/>
                    <w:bidi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3</w:t>
                  </w:r>
                  <w:r>
                    <w:rPr>
                      <w:rFonts w:hint="eastAsia" w:cs="Times New Roman" w:eastAsiaTheme="minorEastAsia"/>
                      <w:b w:val="0"/>
                      <w:bCs w:val="0"/>
                      <w:color w:val="auto"/>
                      <w:sz w:val="21"/>
                      <w:szCs w:val="21"/>
                      <w:lang w:val="en-US" w:eastAsia="zh-CN"/>
                    </w:rPr>
                    <w:t>.1</w:t>
                  </w:r>
                </w:p>
              </w:tc>
            </w:tr>
            <w:tr w14:paraId="10A0329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23" w:hRule="atLeast"/>
                <w:jc w:val="center"/>
              </w:trPr>
              <w:tc>
                <w:tcPr>
                  <w:tcW w:w="6307" w:type="dxa"/>
                  <w:gridSpan w:val="3"/>
                  <w:noWrap w:val="0"/>
                  <w:vAlign w:val="center"/>
                </w:tcPr>
                <w:p w14:paraId="378E0C04">
                  <w:pPr>
                    <w:keepNext w:val="0"/>
                    <w:keepLines w:val="0"/>
                    <w:pageBreakBefore w:val="0"/>
                    <w:widowControl w:val="0"/>
                    <w:kinsoku/>
                    <w:wordWrap/>
                    <w:overflowPunct/>
                    <w:topLinePunct w:val="0"/>
                    <w:bidi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总计</w:t>
                  </w:r>
                </w:p>
              </w:tc>
              <w:tc>
                <w:tcPr>
                  <w:tcW w:w="2070" w:type="dxa"/>
                  <w:noWrap w:val="0"/>
                  <w:vAlign w:val="center"/>
                </w:tcPr>
                <w:p w14:paraId="0A6BE2D8">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0"/>
                      <w:szCs w:val="21"/>
                      <w:lang w:val="en-US" w:eastAsia="zh-CN"/>
                    </w:rPr>
                  </w:pPr>
                  <w:r>
                    <w:rPr>
                      <w:rFonts w:hint="default" w:ascii="Times New Roman" w:hAnsi="Times New Roman" w:cs="Times New Roman" w:eastAsiaTheme="minorEastAsia"/>
                      <w:color w:val="auto"/>
                      <w:kern w:val="0"/>
                      <w:szCs w:val="21"/>
                      <w:lang w:val="en-US" w:eastAsia="zh-CN"/>
                    </w:rPr>
                    <w:t>3</w:t>
                  </w:r>
                  <w:r>
                    <w:rPr>
                      <w:rFonts w:hint="eastAsia" w:cs="Times New Roman" w:eastAsiaTheme="minorEastAsia"/>
                      <w:color w:val="auto"/>
                      <w:kern w:val="0"/>
                      <w:szCs w:val="21"/>
                      <w:lang w:val="en-US" w:eastAsia="zh-CN"/>
                    </w:rPr>
                    <w:t>.1</w:t>
                  </w:r>
                </w:p>
              </w:tc>
            </w:tr>
          </w:tbl>
          <w:p w14:paraId="54EFB846">
            <w:pPr>
              <w:pStyle w:val="72"/>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spacing w:val="-6"/>
                <w:lang w:val="en-US" w:eastAsia="zh-CN"/>
              </w:rPr>
            </w:pPr>
            <w:r>
              <w:rPr>
                <w:rFonts w:hint="default" w:ascii="Times New Roman" w:hAnsi="Times New Roman" w:cs="Times New Roman" w:eastAsiaTheme="minorEastAsia"/>
                <w:color w:val="auto"/>
                <w:spacing w:val="-6"/>
                <w:lang w:val="en-US" w:eastAsia="zh-CN"/>
              </w:rPr>
              <w:t>8 项目环保竣工验收</w:t>
            </w:r>
          </w:p>
          <w:p w14:paraId="7A7DE7C9">
            <w:pPr>
              <w:pStyle w:val="93"/>
              <w:pageBreakBefore w:val="0"/>
              <w:kinsoku/>
              <w:wordWrap/>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建设单位应按照《建设项目环境保护管理条例》和《建设项目竣工环境保护验收暂行办法》的要求，由企业进行自主验收。验收合格后方可投入正式生产。项目三同时竣工验收一览表见表4-</w:t>
            </w:r>
            <w:r>
              <w:rPr>
                <w:rFonts w:hint="eastAsia" w:cs="Times New Roman"/>
                <w:color w:val="auto"/>
                <w:highlight w:val="none"/>
                <w:lang w:val="en-US" w:eastAsia="zh-CN"/>
              </w:rPr>
              <w:t>12</w:t>
            </w:r>
            <w:r>
              <w:rPr>
                <w:rFonts w:hint="default" w:ascii="Times New Roman" w:hAnsi="Times New Roman" w:cs="Times New Roman"/>
                <w:color w:val="auto"/>
                <w:highlight w:val="none"/>
              </w:rPr>
              <w:t>。</w:t>
            </w:r>
          </w:p>
          <w:p w14:paraId="16CC9F0A">
            <w:pPr>
              <w:pageBreakBefore w:val="0"/>
              <w:kinsoku/>
              <w:bidi w:val="0"/>
              <w:spacing w:beforeAutospacing="0" w:afterAutospacing="0" w:line="360" w:lineRule="auto"/>
              <w:ind w:left="0" w:leftChars="0" w:right="0" w:rightChars="0"/>
              <w:jc w:val="center"/>
              <w:rPr>
                <w:rFonts w:hint="default" w:ascii="Times New Roman" w:hAnsi="Times New Roman" w:cs="Times New Roman" w:eastAsiaTheme="minorEastAsia"/>
                <w:b/>
                <w:color w:val="auto"/>
                <w:szCs w:val="21"/>
              </w:rPr>
            </w:pPr>
            <w:r>
              <w:rPr>
                <w:rFonts w:hint="default" w:ascii="Times New Roman" w:hAnsi="Times New Roman" w:cs="Times New Roman" w:eastAsiaTheme="minorEastAsia"/>
                <w:b/>
                <w:color w:val="auto"/>
                <w:szCs w:val="21"/>
              </w:rPr>
              <w:t>表4-</w:t>
            </w:r>
            <w:r>
              <w:rPr>
                <w:rFonts w:hint="eastAsia" w:ascii="Times New Roman" w:hAnsi="Times New Roman" w:cs="Times New Roman" w:eastAsiaTheme="minorEastAsia"/>
                <w:b/>
                <w:color w:val="auto"/>
                <w:szCs w:val="21"/>
                <w:lang w:val="en-US" w:eastAsia="zh-CN"/>
              </w:rPr>
              <w:t>12</w:t>
            </w:r>
            <w:r>
              <w:rPr>
                <w:rFonts w:hint="default" w:ascii="Times New Roman" w:hAnsi="Times New Roman" w:cs="Times New Roman" w:eastAsiaTheme="minorEastAsia"/>
                <w:b/>
                <w:color w:val="auto"/>
                <w:szCs w:val="21"/>
              </w:rPr>
              <w:t xml:space="preserve"> </w:t>
            </w:r>
            <w:r>
              <w:rPr>
                <w:rFonts w:hint="default" w:ascii="Times New Roman" w:hAnsi="Times New Roman" w:cs="Times New Roman" w:eastAsiaTheme="minorEastAsia"/>
                <w:b/>
                <w:color w:val="auto"/>
                <w:szCs w:val="21"/>
                <w:lang w:val="en-US" w:eastAsia="zh-CN"/>
              </w:rPr>
              <w:t xml:space="preserve"> </w:t>
            </w:r>
            <w:r>
              <w:rPr>
                <w:rFonts w:hint="default" w:ascii="Times New Roman" w:hAnsi="Times New Roman" w:cs="Times New Roman" w:eastAsiaTheme="minorEastAsia"/>
                <w:b/>
                <w:color w:val="auto"/>
                <w:szCs w:val="21"/>
              </w:rPr>
              <w:t xml:space="preserve"> 环保措施“三同时”竣工验收一览表</w:t>
            </w:r>
          </w:p>
          <w:tbl>
            <w:tblPr>
              <w:tblStyle w:val="88"/>
              <w:tblW w:w="8419" w:type="dxa"/>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1542"/>
              <w:gridCol w:w="3128"/>
              <w:gridCol w:w="3749"/>
            </w:tblGrid>
            <w:tr w14:paraId="36B3D2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1542" w:type="dxa"/>
                  <w:tcBorders>
                    <w:tl2br w:val="nil"/>
                    <w:tr2bl w:val="nil"/>
                  </w:tcBorders>
                  <w:shd w:val="clear" w:color="auto" w:fill="auto"/>
                  <w:noWrap w:val="0"/>
                  <w:vAlign w:val="center"/>
                </w:tcPr>
                <w:p w14:paraId="27D33936">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项目</w:t>
                  </w:r>
                </w:p>
              </w:tc>
              <w:tc>
                <w:tcPr>
                  <w:tcW w:w="3128" w:type="dxa"/>
                  <w:tcBorders>
                    <w:tl2br w:val="nil"/>
                    <w:tr2bl w:val="nil"/>
                  </w:tcBorders>
                  <w:shd w:val="clear" w:color="auto" w:fill="auto"/>
                  <w:noWrap w:val="0"/>
                  <w:vAlign w:val="center"/>
                </w:tcPr>
                <w:p w14:paraId="519FACA2">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污染防治措施</w:t>
                  </w:r>
                </w:p>
              </w:tc>
              <w:tc>
                <w:tcPr>
                  <w:tcW w:w="3749" w:type="dxa"/>
                  <w:tcBorders>
                    <w:tl2br w:val="nil"/>
                    <w:tr2bl w:val="nil"/>
                  </w:tcBorders>
                  <w:shd w:val="clear" w:color="auto" w:fill="auto"/>
                  <w:noWrap w:val="0"/>
                  <w:vAlign w:val="center"/>
                </w:tcPr>
                <w:p w14:paraId="627EBC3E">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Cs w:val="21"/>
                    </w:rPr>
                  </w:pPr>
                  <w:r>
                    <w:rPr>
                      <w:rFonts w:hint="default" w:ascii="Times New Roman" w:hAnsi="Times New Roman" w:cs="Times New Roman" w:eastAsiaTheme="minorEastAsia"/>
                      <w:b/>
                      <w:bCs/>
                      <w:color w:val="auto"/>
                      <w:szCs w:val="21"/>
                    </w:rPr>
                    <w:t>预计治理效果</w:t>
                  </w:r>
                </w:p>
              </w:tc>
            </w:tr>
            <w:tr w14:paraId="4C3DACF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43" w:hRule="atLeast"/>
              </w:trPr>
              <w:tc>
                <w:tcPr>
                  <w:tcW w:w="1542" w:type="dxa"/>
                  <w:tcBorders>
                    <w:tl2br w:val="nil"/>
                    <w:tr2bl w:val="nil"/>
                  </w:tcBorders>
                  <w:shd w:val="clear" w:color="auto" w:fill="auto"/>
                  <w:noWrap w:val="0"/>
                  <w:vAlign w:val="center"/>
                </w:tcPr>
                <w:p w14:paraId="22A2752A">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废气</w:t>
                  </w:r>
                </w:p>
              </w:tc>
              <w:tc>
                <w:tcPr>
                  <w:tcW w:w="3128" w:type="dxa"/>
                  <w:tcBorders>
                    <w:tl2br w:val="nil"/>
                    <w:tr2bl w:val="nil"/>
                  </w:tcBorders>
                  <w:shd w:val="clear" w:color="auto" w:fill="auto"/>
                  <w:noWrap w:val="0"/>
                  <w:vAlign w:val="center"/>
                </w:tcPr>
                <w:p w14:paraId="53574360">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eastAsia" w:ascii="Times New Roman" w:hAnsi="Times New Roman" w:cs="Times New Roman" w:eastAsiaTheme="minorEastAsia"/>
                      <w:color w:val="auto"/>
                      <w:szCs w:val="21"/>
                      <w:lang w:eastAsia="zh-CN"/>
                    </w:rPr>
                  </w:pPr>
                  <w:r>
                    <w:rPr>
                      <w:rFonts w:hint="eastAsia" w:ascii="Times New Roman" w:hAnsi="Times New Roman" w:cs="Times New Roman" w:eastAsiaTheme="minorEastAsia"/>
                      <w:color w:val="auto"/>
                      <w:szCs w:val="21"/>
                      <w:lang w:val="en-US" w:eastAsia="zh-CN"/>
                    </w:rPr>
                    <w:t>有机废液</w:t>
                  </w:r>
                  <w:r>
                    <w:rPr>
                      <w:rFonts w:hint="eastAsia" w:ascii="Times New Roman" w:hAnsi="Times New Roman" w:cs="Times New Roman" w:eastAsiaTheme="minorEastAsia"/>
                      <w:color w:val="auto"/>
                      <w:szCs w:val="21"/>
                      <w:lang w:eastAsia="zh-CN"/>
                    </w:rPr>
                    <w:t>产生的非甲烷总烃于危废</w:t>
                  </w:r>
                  <w:r>
                    <w:rPr>
                      <w:rFonts w:hint="eastAsia" w:ascii="Times New Roman" w:hAnsi="Times New Roman" w:cs="Times New Roman" w:eastAsiaTheme="minorEastAsia"/>
                      <w:color w:val="auto"/>
                      <w:szCs w:val="21"/>
                      <w:lang w:val="en-US" w:eastAsia="zh-CN"/>
                    </w:rPr>
                    <w:t>贮存库</w:t>
                  </w:r>
                  <w:r>
                    <w:rPr>
                      <w:rFonts w:hint="eastAsia" w:ascii="Times New Roman" w:hAnsi="Times New Roman" w:cs="Times New Roman" w:eastAsiaTheme="minorEastAsia"/>
                      <w:color w:val="auto"/>
                      <w:szCs w:val="21"/>
                      <w:lang w:eastAsia="zh-CN"/>
                    </w:rPr>
                    <w:t>内无组织排放</w:t>
                  </w:r>
                </w:p>
              </w:tc>
              <w:tc>
                <w:tcPr>
                  <w:tcW w:w="3749" w:type="dxa"/>
                  <w:tcBorders>
                    <w:tl2br w:val="nil"/>
                    <w:tr2bl w:val="nil"/>
                  </w:tcBorders>
                  <w:shd w:val="clear" w:color="auto" w:fill="auto"/>
                  <w:noWrap w:val="0"/>
                  <w:vAlign w:val="center"/>
                </w:tcPr>
                <w:p w14:paraId="1C7CC6DF">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eastAsia" w:ascii="Times New Roman" w:hAnsi="Times New Roman" w:cs="Times New Roman" w:eastAsiaTheme="minorEastAsia"/>
                      <w:color w:val="auto"/>
                      <w:szCs w:val="21"/>
                      <w:lang w:val="en-US" w:eastAsia="zh-CN"/>
                    </w:rPr>
                  </w:pPr>
                  <w:r>
                    <w:rPr>
                      <w:rFonts w:hint="default" w:ascii="Times New Roman" w:hAnsi="Times New Roman" w:cs="Times New Roman" w:eastAsiaTheme="minorEastAsia"/>
                      <w:color w:val="auto"/>
                      <w:szCs w:val="21"/>
                    </w:rPr>
                    <w:t>《挥发性有机物无组织排放控制标准》（GB37822-2019）限值要求</w:t>
                  </w:r>
                  <w:r>
                    <w:rPr>
                      <w:rFonts w:hint="eastAsia" w:ascii="Times New Roman" w:hAnsi="Times New Roman" w:cs="Times New Roman" w:eastAsiaTheme="minorEastAsia"/>
                      <w:color w:val="auto"/>
                      <w:szCs w:val="21"/>
                      <w:lang w:eastAsia="zh-CN"/>
                    </w:rPr>
                    <w:t>。</w:t>
                  </w:r>
                </w:p>
              </w:tc>
            </w:tr>
            <w:tr w14:paraId="0153F79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770" w:hRule="atLeast"/>
              </w:trPr>
              <w:tc>
                <w:tcPr>
                  <w:tcW w:w="1542" w:type="dxa"/>
                  <w:tcBorders>
                    <w:tl2br w:val="nil"/>
                    <w:tr2bl w:val="nil"/>
                  </w:tcBorders>
                  <w:shd w:val="clear" w:color="auto" w:fill="auto"/>
                  <w:noWrap w:val="0"/>
                  <w:vAlign w:val="center"/>
                </w:tcPr>
                <w:p w14:paraId="6DA82756">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噪声</w:t>
                  </w:r>
                </w:p>
              </w:tc>
              <w:tc>
                <w:tcPr>
                  <w:tcW w:w="3128" w:type="dxa"/>
                  <w:tcBorders>
                    <w:tl2br w:val="nil"/>
                    <w:tr2bl w:val="nil"/>
                  </w:tcBorders>
                  <w:shd w:val="clear" w:color="auto" w:fill="auto"/>
                  <w:noWrap w:val="0"/>
                  <w:vAlign w:val="center"/>
                </w:tcPr>
                <w:p w14:paraId="77D82B95">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eastAsia" w:ascii="Times New Roman" w:hAnsi="Times New Roman" w:cs="Times New Roman" w:eastAsiaTheme="minorEastAsia"/>
                      <w:color w:val="auto"/>
                      <w:szCs w:val="21"/>
                      <w:lang w:eastAsia="zh-CN"/>
                    </w:rPr>
                  </w:pPr>
                  <w:r>
                    <w:rPr>
                      <w:rFonts w:hint="eastAsia" w:ascii="Times New Roman" w:hAnsi="Times New Roman" w:cs="Times New Roman" w:eastAsiaTheme="minorEastAsia"/>
                      <w:color w:val="auto"/>
                      <w:szCs w:val="21"/>
                      <w:lang w:eastAsia="zh-CN"/>
                    </w:rPr>
                    <w:t>车辆减速慢行</w:t>
                  </w:r>
                </w:p>
              </w:tc>
              <w:tc>
                <w:tcPr>
                  <w:tcW w:w="3749" w:type="dxa"/>
                  <w:tcBorders>
                    <w:tl2br w:val="nil"/>
                    <w:tr2bl w:val="nil"/>
                  </w:tcBorders>
                  <w:shd w:val="clear" w:color="auto" w:fill="auto"/>
                  <w:noWrap w:val="0"/>
                  <w:vAlign w:val="center"/>
                </w:tcPr>
                <w:p w14:paraId="5473E367">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eastAsia" w:ascii="Times New Roman" w:hAnsi="Times New Roman" w:cs="Times New Roman" w:eastAsiaTheme="minorEastAsia"/>
                      <w:color w:val="auto"/>
                      <w:szCs w:val="21"/>
                      <w:lang w:eastAsia="zh-CN"/>
                    </w:rPr>
                  </w:pPr>
                  <w:r>
                    <w:rPr>
                      <w:rFonts w:hint="default" w:ascii="Times New Roman" w:hAnsi="Times New Roman" w:cs="Times New Roman" w:eastAsiaTheme="minorEastAsia"/>
                      <w:color w:val="auto"/>
                      <w:szCs w:val="21"/>
                    </w:rPr>
                    <w:t>《工业企业厂界环境噪声排放标准》（GB12348-2008）中的</w:t>
                  </w:r>
                  <w:r>
                    <w:rPr>
                      <w:rFonts w:hint="eastAsia" w:ascii="Times New Roman" w:hAnsi="Times New Roman" w:cs="Times New Roman" w:eastAsiaTheme="minorEastAsia"/>
                      <w:color w:val="auto"/>
                      <w:szCs w:val="21"/>
                      <w:lang w:val="en-US" w:eastAsia="zh-CN"/>
                    </w:rPr>
                    <w:t>1</w:t>
                  </w:r>
                  <w:r>
                    <w:rPr>
                      <w:rFonts w:hint="default" w:ascii="Times New Roman" w:hAnsi="Times New Roman" w:cs="Times New Roman" w:eastAsiaTheme="minorEastAsia"/>
                      <w:color w:val="auto"/>
                      <w:szCs w:val="21"/>
                    </w:rPr>
                    <w:t>类标准</w:t>
                  </w:r>
                  <w:r>
                    <w:rPr>
                      <w:rFonts w:hint="eastAsia" w:ascii="Times New Roman" w:hAnsi="Times New Roman" w:cs="Times New Roman" w:eastAsiaTheme="minorEastAsia"/>
                      <w:color w:val="auto"/>
                      <w:szCs w:val="21"/>
                      <w:lang w:eastAsia="zh-CN"/>
                    </w:rPr>
                    <w:t>。</w:t>
                  </w:r>
                </w:p>
              </w:tc>
            </w:tr>
            <w:tr w14:paraId="445C6D3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1542" w:type="dxa"/>
                  <w:tcBorders>
                    <w:tl2br w:val="nil"/>
                    <w:tr2bl w:val="nil"/>
                  </w:tcBorders>
                  <w:shd w:val="clear" w:color="auto" w:fill="auto"/>
                  <w:noWrap w:val="0"/>
                  <w:vAlign w:val="center"/>
                </w:tcPr>
                <w:p w14:paraId="63594A99">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Cs w:val="21"/>
                    </w:rPr>
                  </w:pPr>
                  <w:r>
                    <w:rPr>
                      <w:rFonts w:hint="default" w:ascii="Times New Roman" w:hAnsi="Times New Roman" w:cs="Times New Roman" w:eastAsiaTheme="minorEastAsia"/>
                      <w:color w:val="auto"/>
                      <w:szCs w:val="21"/>
                    </w:rPr>
                    <w:t>固废</w:t>
                  </w:r>
                </w:p>
              </w:tc>
              <w:tc>
                <w:tcPr>
                  <w:tcW w:w="3128" w:type="dxa"/>
                  <w:tcBorders>
                    <w:tl2br w:val="nil"/>
                    <w:tr2bl w:val="nil"/>
                  </w:tcBorders>
                  <w:shd w:val="clear" w:color="auto" w:fill="auto"/>
                  <w:noWrap w:val="0"/>
                  <w:vAlign w:val="center"/>
                </w:tcPr>
                <w:p w14:paraId="757108E1">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eastAsia" w:ascii="Times New Roman" w:hAnsi="Times New Roman" w:cs="Times New Roman" w:eastAsiaTheme="minorEastAsia"/>
                      <w:color w:val="auto"/>
                      <w:szCs w:val="21"/>
                      <w:lang w:val="en-US" w:eastAsia="zh-CN"/>
                    </w:rPr>
                    <w:t>库区、周边地面防腐防渗</w:t>
                  </w:r>
                  <w:r>
                    <w:rPr>
                      <w:rFonts w:hint="eastAsia" w:cs="Times New Roman" w:eastAsiaTheme="minorEastAsia"/>
                      <w:color w:val="auto"/>
                      <w:szCs w:val="21"/>
                      <w:lang w:val="en-US" w:eastAsia="zh-CN"/>
                    </w:rPr>
                    <w:t>，</w:t>
                  </w:r>
                  <w:r>
                    <w:rPr>
                      <w:rFonts w:hint="eastAsia" w:ascii="Times New Roman" w:hAnsi="Times New Roman" w:cs="Times New Roman" w:eastAsiaTheme="minorEastAsia"/>
                      <w:color w:val="auto"/>
                      <w:szCs w:val="21"/>
                      <w:lang w:val="en-US" w:eastAsia="zh-CN"/>
                    </w:rPr>
                    <w:t>防止</w:t>
                  </w:r>
                  <w:r>
                    <w:rPr>
                      <w:rFonts w:hint="eastAsia" w:cs="Times New Roman" w:eastAsiaTheme="minorEastAsia"/>
                      <w:color w:val="auto"/>
                      <w:szCs w:val="21"/>
                      <w:lang w:val="en-US" w:eastAsia="zh-CN"/>
                    </w:rPr>
                    <w:t>危废</w:t>
                  </w:r>
                  <w:r>
                    <w:rPr>
                      <w:rFonts w:hint="eastAsia" w:ascii="Times New Roman" w:hAnsi="Times New Roman" w:cs="Times New Roman" w:eastAsiaTheme="minorEastAsia"/>
                      <w:color w:val="auto"/>
                      <w:szCs w:val="21"/>
                      <w:lang w:val="en-US" w:eastAsia="zh-CN"/>
                    </w:rPr>
                    <w:t>进入地下水、土壤。</w:t>
                  </w:r>
                </w:p>
              </w:tc>
              <w:tc>
                <w:tcPr>
                  <w:tcW w:w="3749" w:type="dxa"/>
                  <w:tcBorders>
                    <w:tl2br w:val="nil"/>
                    <w:tr2bl w:val="nil"/>
                  </w:tcBorders>
                  <w:shd w:val="clear" w:color="auto" w:fill="auto"/>
                  <w:noWrap w:val="0"/>
                  <w:vAlign w:val="center"/>
                </w:tcPr>
                <w:p w14:paraId="1D20B338">
                  <w:pPr>
                    <w:keepNext w:val="0"/>
                    <w:keepLines w:val="0"/>
                    <w:pageBreakBefore w:val="0"/>
                    <w:widowControl w:val="0"/>
                    <w:kinsoku/>
                    <w:wordWrap/>
                    <w:overflowPunct/>
                    <w:topLinePunct w:val="0"/>
                    <w:bidi w:val="0"/>
                    <w:snapToGrid w:val="0"/>
                    <w:spacing w:beforeAutospacing="0" w:afterAutospacing="0" w:line="240" w:lineRule="auto"/>
                    <w:ind w:left="0" w:leftChars="0" w:right="0" w:rightChars="0"/>
                    <w:jc w:val="center"/>
                    <w:textAlignment w:val="auto"/>
                    <w:rPr>
                      <w:rFonts w:hint="eastAsia"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Cs w:val="21"/>
                    </w:rPr>
                    <w:t>《危险废物贮存污染控制标准》（GB18597-2023）</w:t>
                  </w:r>
                  <w:r>
                    <w:rPr>
                      <w:rFonts w:hint="eastAsia" w:ascii="Times New Roman" w:hAnsi="Times New Roman" w:cs="Times New Roman" w:eastAsiaTheme="minorEastAsia"/>
                      <w:color w:val="auto"/>
                      <w:szCs w:val="21"/>
                      <w:lang w:eastAsia="zh-CN"/>
                    </w:rPr>
                    <w:t>。</w:t>
                  </w:r>
                </w:p>
              </w:tc>
            </w:tr>
          </w:tbl>
          <w:p w14:paraId="0EC9A012">
            <w:pPr>
              <w:pStyle w:val="6"/>
              <w:pageBreakBefore w:val="0"/>
              <w:kinsoku/>
              <w:bidi w:val="0"/>
              <w:spacing w:before="0" w:beforeAutospacing="0" w:after="0" w:afterAutospacing="0" w:line="360" w:lineRule="auto"/>
              <w:ind w:left="0" w:leftChars="0" w:right="0" w:rightChars="0" w:firstLine="0" w:firstLineChars="0"/>
              <w:rPr>
                <w:rFonts w:hint="default" w:ascii="Times New Roman" w:hAnsi="Times New Roman" w:cs="Times New Roman" w:eastAsiaTheme="minorEastAsia"/>
                <w:color w:val="auto"/>
                <w:lang w:eastAsia="zh-CN"/>
              </w:rPr>
            </w:pPr>
          </w:p>
        </w:tc>
      </w:tr>
    </w:tbl>
    <w:p w14:paraId="2EDEFDDD">
      <w:pPr>
        <w:pageBreakBefore w:val="0"/>
        <w:kinsoku/>
        <w:bidi w:val="0"/>
        <w:adjustRightInd w:val="0"/>
        <w:snapToGrid w:val="0"/>
        <w:spacing w:beforeAutospacing="0" w:afterAutospacing="0" w:line="360" w:lineRule="auto"/>
        <w:ind w:left="0" w:leftChars="0" w:right="0" w:rightChars="0"/>
        <w:rPr>
          <w:rFonts w:hint="default" w:ascii="Times New Roman" w:hAnsi="Times New Roman" w:cs="Times New Roman" w:eastAsiaTheme="minorEastAsia"/>
          <w:b/>
          <w:color w:val="auto"/>
          <w:kern w:val="0"/>
          <w:sz w:val="28"/>
          <w:szCs w:val="28"/>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133A24DC">
      <w:pPr>
        <w:pStyle w:val="27"/>
        <w:pageBreakBefore w:val="0"/>
        <w:kinsoku/>
        <w:bidi w:val="0"/>
        <w:spacing w:beforeAutospacing="0" w:afterAutospacing="0" w:line="360" w:lineRule="auto"/>
        <w:ind w:left="0" w:leftChars="0" w:right="0" w:rightChars="0"/>
        <w:jc w:val="center"/>
        <w:outlineLvl w:val="0"/>
        <w:rPr>
          <w:rFonts w:hint="default" w:ascii="Times New Roman" w:hAnsi="Times New Roman" w:cs="Times New Roman" w:eastAsiaTheme="minorEastAsia"/>
          <w:b/>
          <w:bCs/>
          <w:snapToGrid w:val="0"/>
          <w:color w:val="auto"/>
          <w:sz w:val="30"/>
          <w:szCs w:val="30"/>
        </w:rPr>
      </w:pPr>
      <w:r>
        <w:rPr>
          <w:rFonts w:hint="default" w:ascii="Times New Roman" w:hAnsi="Times New Roman" w:cs="Times New Roman" w:eastAsiaTheme="minorEastAsia"/>
          <w:b/>
          <w:bCs/>
          <w:snapToGrid w:val="0"/>
          <w:color w:val="auto"/>
          <w:sz w:val="30"/>
          <w:szCs w:val="30"/>
        </w:rPr>
        <w:t>五、</w:t>
      </w:r>
      <w:bookmarkStart w:id="1" w:name="_Hlk54167917"/>
      <w:r>
        <w:rPr>
          <w:rFonts w:hint="default" w:ascii="Times New Roman" w:hAnsi="Times New Roman" w:cs="Times New Roman" w:eastAsiaTheme="minorEastAsia"/>
          <w:b/>
          <w:bCs/>
          <w:snapToGrid w:val="0"/>
          <w:color w:val="auto"/>
          <w:sz w:val="30"/>
          <w:szCs w:val="30"/>
        </w:rPr>
        <w:t>环境保护措施监督检查清单</w:t>
      </w:r>
      <w:bookmarkEnd w:id="1"/>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1693"/>
        <w:gridCol w:w="1695"/>
        <w:gridCol w:w="1560"/>
        <w:gridCol w:w="2074"/>
      </w:tblGrid>
      <w:tr w14:paraId="6C4728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8" w:type="dxa"/>
            <w:tcBorders>
              <w:tl2br w:val="single" w:color="auto" w:sz="4" w:space="0"/>
            </w:tcBorders>
            <w:noWrap w:val="0"/>
            <w:vAlign w:val="top"/>
          </w:tcPr>
          <w:p w14:paraId="005B0E08">
            <w:pPr>
              <w:pageBreakBefore w:val="0"/>
              <w:kinsoku/>
              <w:bidi w:val="0"/>
              <w:adjustRightInd w:val="0"/>
              <w:snapToGrid w:val="0"/>
              <w:spacing w:beforeAutospacing="0" w:afterAutospacing="0" w:line="360" w:lineRule="auto"/>
              <w:ind w:left="0" w:leftChars="0" w:right="0" w:rightChars="0" w:firstLine="84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内容</w:t>
            </w:r>
          </w:p>
          <w:p w14:paraId="33ED2D51">
            <w:pPr>
              <w:pageBreakBefore w:val="0"/>
              <w:kinsoku/>
              <w:bidi w:val="0"/>
              <w:adjustRightInd w:val="0"/>
              <w:snapToGrid w:val="0"/>
              <w:spacing w:beforeAutospacing="0" w:afterAutospacing="0" w:line="360" w:lineRule="auto"/>
              <w:ind w:left="0" w:leftChars="0" w:right="0" w:rightChars="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要素</w:t>
            </w:r>
          </w:p>
        </w:tc>
        <w:tc>
          <w:tcPr>
            <w:tcW w:w="1693" w:type="dxa"/>
            <w:noWrap w:val="0"/>
            <w:vAlign w:val="center"/>
          </w:tcPr>
          <w:p w14:paraId="5BE7D77C">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排放口</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编号、</w:t>
            </w:r>
          </w:p>
          <w:p w14:paraId="121B5581">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名称</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/污染源</w:t>
            </w:r>
          </w:p>
        </w:tc>
        <w:tc>
          <w:tcPr>
            <w:tcW w:w="1695" w:type="dxa"/>
            <w:noWrap w:val="0"/>
            <w:vAlign w:val="center"/>
          </w:tcPr>
          <w:p w14:paraId="0610C8EC">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污染物项目</w:t>
            </w:r>
          </w:p>
        </w:tc>
        <w:tc>
          <w:tcPr>
            <w:tcW w:w="1560" w:type="dxa"/>
            <w:noWrap w:val="0"/>
            <w:vAlign w:val="center"/>
          </w:tcPr>
          <w:p w14:paraId="2186D421">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环境保护措施</w:t>
            </w:r>
          </w:p>
        </w:tc>
        <w:tc>
          <w:tcPr>
            <w:tcW w:w="2074" w:type="dxa"/>
            <w:noWrap w:val="0"/>
            <w:vAlign w:val="center"/>
          </w:tcPr>
          <w:p w14:paraId="0E35C8CC">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执行标准</w:t>
            </w:r>
          </w:p>
        </w:tc>
      </w:tr>
      <w:tr w14:paraId="016699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778" w:type="dxa"/>
            <w:noWrap w:val="0"/>
            <w:vAlign w:val="center"/>
          </w:tcPr>
          <w:p w14:paraId="1A121DC8">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大气环境</w:t>
            </w:r>
          </w:p>
        </w:tc>
        <w:tc>
          <w:tcPr>
            <w:tcW w:w="1693" w:type="dxa"/>
            <w:noWrap w:val="0"/>
            <w:vAlign w:val="center"/>
          </w:tcPr>
          <w:p w14:paraId="2F8641D3">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2"/>
                <w:sz w:val="24"/>
                <w:szCs w:val="24"/>
                <w:lang w:val="en-US" w:eastAsia="zh-CN" w:bidi="ar-SA"/>
              </w:rPr>
            </w:pPr>
            <w:r>
              <w:rPr>
                <w:rFonts w:hint="eastAsia" w:ascii="Times New Roman" w:hAnsi="Times New Roman" w:cs="Times New Roman" w:eastAsiaTheme="minorEastAsia"/>
                <w:color w:val="auto"/>
                <w:kern w:val="2"/>
                <w:sz w:val="24"/>
                <w:szCs w:val="24"/>
                <w:lang w:val="en-US" w:eastAsia="zh-CN" w:bidi="ar-SA"/>
              </w:rPr>
              <w:t>危废贮存库外</w:t>
            </w:r>
          </w:p>
        </w:tc>
        <w:tc>
          <w:tcPr>
            <w:tcW w:w="1695" w:type="dxa"/>
            <w:noWrap w:val="0"/>
            <w:vAlign w:val="center"/>
          </w:tcPr>
          <w:p w14:paraId="313C223C">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2"/>
                <w:sz w:val="24"/>
                <w:szCs w:val="24"/>
                <w:lang w:val="en-US" w:eastAsia="zh-CN" w:bidi="ar-SA"/>
              </w:rPr>
            </w:pPr>
            <w:r>
              <w:rPr>
                <w:rFonts w:hint="eastAsia" w:cs="Times New Roman" w:eastAsiaTheme="minorEastAsia"/>
                <w:color w:val="auto"/>
                <w:sz w:val="24"/>
                <w:szCs w:val="24"/>
                <w:lang w:val="en-US" w:eastAsia="zh-CN"/>
              </w:rPr>
              <w:t>非甲烷总烃</w:t>
            </w:r>
          </w:p>
        </w:tc>
        <w:tc>
          <w:tcPr>
            <w:tcW w:w="1560" w:type="dxa"/>
            <w:noWrap w:val="0"/>
            <w:vAlign w:val="center"/>
          </w:tcPr>
          <w:p w14:paraId="232E85A6">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lang w:val="en-US" w:eastAsia="zh-CN"/>
              </w:rPr>
            </w:pPr>
            <w:r>
              <w:rPr>
                <w:rFonts w:hint="eastAsia" w:cs="Times New Roman" w:eastAsiaTheme="minorEastAsia"/>
                <w:color w:val="auto"/>
                <w:sz w:val="24"/>
                <w:szCs w:val="24"/>
                <w:lang w:val="en-US" w:eastAsia="zh-CN"/>
              </w:rPr>
              <w:t>收集桶密闭</w:t>
            </w:r>
          </w:p>
        </w:tc>
        <w:tc>
          <w:tcPr>
            <w:tcW w:w="2074" w:type="dxa"/>
            <w:noWrap w:val="0"/>
            <w:vAlign w:val="center"/>
          </w:tcPr>
          <w:p w14:paraId="09D4DDA6">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2"/>
                <w:sz w:val="24"/>
                <w:szCs w:val="24"/>
                <w:lang w:val="en-US" w:eastAsia="zh-CN" w:bidi="ar-SA"/>
              </w:rPr>
            </w:pPr>
            <w:r>
              <w:rPr>
                <w:rFonts w:hint="default" w:ascii="Times New Roman" w:hAnsi="Times New Roman" w:cs="Times New Roman" w:eastAsiaTheme="minorEastAsia"/>
                <w:color w:val="auto"/>
                <w:kern w:val="2"/>
                <w:sz w:val="24"/>
                <w:szCs w:val="24"/>
                <w:lang w:val="en-US" w:eastAsia="zh-CN" w:bidi="ar-SA"/>
              </w:rPr>
              <w:t>《挥发性有机物无组织排放控制标准》（GB37822-2019）</w:t>
            </w:r>
          </w:p>
        </w:tc>
      </w:tr>
      <w:tr w14:paraId="1A394E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8" w:type="dxa"/>
            <w:noWrap w:val="0"/>
            <w:vAlign w:val="center"/>
          </w:tcPr>
          <w:p w14:paraId="37659BE8">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地表水环境</w:t>
            </w:r>
          </w:p>
        </w:tc>
        <w:tc>
          <w:tcPr>
            <w:tcW w:w="1693" w:type="dxa"/>
            <w:noWrap w:val="0"/>
            <w:vAlign w:val="center"/>
          </w:tcPr>
          <w:p w14:paraId="7DF1B7CE">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w:t>
            </w:r>
          </w:p>
        </w:tc>
        <w:tc>
          <w:tcPr>
            <w:tcW w:w="1695" w:type="dxa"/>
            <w:noWrap w:val="0"/>
            <w:vAlign w:val="center"/>
          </w:tcPr>
          <w:p w14:paraId="1FF33188">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w:t>
            </w:r>
          </w:p>
        </w:tc>
        <w:tc>
          <w:tcPr>
            <w:tcW w:w="1560" w:type="dxa"/>
            <w:noWrap w:val="0"/>
            <w:vAlign w:val="center"/>
          </w:tcPr>
          <w:p w14:paraId="6C895B9C">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w:t>
            </w:r>
          </w:p>
        </w:tc>
        <w:tc>
          <w:tcPr>
            <w:tcW w:w="2074" w:type="dxa"/>
            <w:noWrap w:val="0"/>
            <w:vAlign w:val="center"/>
          </w:tcPr>
          <w:p w14:paraId="51A2067F">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w:t>
            </w:r>
          </w:p>
        </w:tc>
      </w:tr>
      <w:tr w14:paraId="0F3E77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8" w:type="dxa"/>
            <w:noWrap w:val="0"/>
            <w:vAlign w:val="center"/>
          </w:tcPr>
          <w:p w14:paraId="08DD2D0D">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声环境</w:t>
            </w:r>
          </w:p>
        </w:tc>
        <w:tc>
          <w:tcPr>
            <w:tcW w:w="1693" w:type="dxa"/>
            <w:noWrap w:val="0"/>
            <w:vAlign w:val="center"/>
          </w:tcPr>
          <w:p w14:paraId="170FAD7A">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2"/>
                <w:sz w:val="24"/>
                <w:szCs w:val="24"/>
                <w:lang w:val="en-US" w:eastAsia="zh-CN" w:bidi="ar-SA"/>
              </w:rPr>
            </w:pPr>
            <w:r>
              <w:rPr>
                <w:rFonts w:hint="default" w:ascii="Times New Roman" w:hAnsi="Times New Roman" w:cs="Times New Roman" w:eastAsiaTheme="minorEastAsia"/>
                <w:color w:val="auto"/>
                <w:sz w:val="24"/>
                <w:szCs w:val="24"/>
              </w:rPr>
              <w:t>厂界四周</w:t>
            </w:r>
          </w:p>
        </w:tc>
        <w:tc>
          <w:tcPr>
            <w:tcW w:w="1695" w:type="dxa"/>
            <w:noWrap w:val="0"/>
            <w:vAlign w:val="center"/>
          </w:tcPr>
          <w:p w14:paraId="4A139E3B">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2"/>
                <w:sz w:val="24"/>
                <w:szCs w:val="24"/>
                <w:lang w:val="en-US" w:eastAsia="zh-CN" w:bidi="ar-SA"/>
              </w:rPr>
            </w:pPr>
            <w:r>
              <w:rPr>
                <w:rFonts w:hint="default" w:ascii="Times New Roman" w:hAnsi="Times New Roman" w:cs="Times New Roman" w:eastAsiaTheme="minorEastAsia"/>
                <w:color w:val="auto"/>
                <w:sz w:val="24"/>
                <w:szCs w:val="24"/>
              </w:rPr>
              <w:t>等效A声级</w:t>
            </w:r>
          </w:p>
        </w:tc>
        <w:tc>
          <w:tcPr>
            <w:tcW w:w="1560" w:type="dxa"/>
            <w:noWrap w:val="0"/>
            <w:vAlign w:val="center"/>
          </w:tcPr>
          <w:p w14:paraId="3700F20D">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2"/>
                <w:sz w:val="24"/>
                <w:szCs w:val="24"/>
                <w:lang w:val="en-US" w:eastAsia="zh-CN" w:bidi="ar-SA"/>
              </w:rPr>
            </w:pPr>
            <w:r>
              <w:rPr>
                <w:rFonts w:hint="default" w:ascii="Times New Roman" w:hAnsi="Times New Roman" w:cs="Times New Roman" w:eastAsiaTheme="minorEastAsia"/>
                <w:color w:val="auto"/>
                <w:kern w:val="2"/>
                <w:sz w:val="24"/>
                <w:szCs w:val="24"/>
                <w:lang w:val="en-US" w:eastAsia="zh-CN" w:bidi="ar-SA"/>
              </w:rPr>
              <w:t>车辆减速慢行</w:t>
            </w:r>
          </w:p>
        </w:tc>
        <w:tc>
          <w:tcPr>
            <w:tcW w:w="2074" w:type="dxa"/>
            <w:noWrap w:val="0"/>
            <w:vAlign w:val="center"/>
          </w:tcPr>
          <w:p w14:paraId="5FA6E7AF">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kern w:val="2"/>
                <w:sz w:val="24"/>
                <w:szCs w:val="24"/>
                <w:lang w:val="en-US" w:eastAsia="zh-CN" w:bidi="ar-SA"/>
              </w:rPr>
            </w:pPr>
            <w:r>
              <w:rPr>
                <w:rFonts w:hint="default" w:ascii="Times New Roman" w:hAnsi="Times New Roman" w:cs="Times New Roman" w:eastAsiaTheme="minorEastAsia"/>
                <w:color w:val="auto"/>
                <w:sz w:val="24"/>
                <w:szCs w:val="24"/>
              </w:rPr>
              <w:t>《工业企业厂界环境噪声排放标准》（GB</w:t>
            </w:r>
            <w:r>
              <w:rPr>
                <w:rFonts w:hint="default" w:ascii="Times New Roman" w:hAnsi="Times New Roman" w:cs="Times New Roman" w:eastAsiaTheme="minorEastAsia"/>
                <w:color w:val="auto"/>
                <w:sz w:val="24"/>
                <w:szCs w:val="24"/>
                <w:lang w:val="en-US" w:eastAsia="zh-CN"/>
              </w:rPr>
              <w:t xml:space="preserve"> </w:t>
            </w:r>
            <w:r>
              <w:rPr>
                <w:rFonts w:hint="default" w:ascii="Times New Roman" w:hAnsi="Times New Roman" w:cs="Times New Roman" w:eastAsiaTheme="minorEastAsia"/>
                <w:color w:val="auto"/>
                <w:sz w:val="24"/>
                <w:szCs w:val="24"/>
              </w:rPr>
              <w:t>12348-2008）中的</w:t>
            </w:r>
            <w:r>
              <w:rPr>
                <w:rFonts w:hint="default" w:ascii="Times New Roman" w:hAnsi="Times New Roman" w:cs="Times New Roman" w:eastAsiaTheme="minorEastAsia"/>
                <w:color w:val="auto"/>
                <w:sz w:val="24"/>
                <w:szCs w:val="24"/>
                <w:lang w:val="en-US" w:eastAsia="zh-CN"/>
              </w:rPr>
              <w:t>1</w:t>
            </w:r>
            <w:r>
              <w:rPr>
                <w:rFonts w:hint="default" w:ascii="Times New Roman" w:hAnsi="Times New Roman" w:cs="Times New Roman" w:eastAsiaTheme="minorEastAsia"/>
                <w:color w:val="auto"/>
                <w:sz w:val="24"/>
                <w:szCs w:val="24"/>
              </w:rPr>
              <w:t>类标准要求</w:t>
            </w:r>
          </w:p>
        </w:tc>
      </w:tr>
      <w:tr w14:paraId="01E386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8" w:type="dxa"/>
            <w:noWrap w:val="0"/>
            <w:vAlign w:val="center"/>
          </w:tcPr>
          <w:p w14:paraId="29DE1355">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固体废物</w:t>
            </w:r>
          </w:p>
        </w:tc>
        <w:tc>
          <w:tcPr>
            <w:tcW w:w="7022" w:type="dxa"/>
            <w:gridSpan w:val="4"/>
            <w:noWrap w:val="0"/>
            <w:vAlign w:val="center"/>
          </w:tcPr>
          <w:p w14:paraId="43CC5568">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实验室废液、过期废试剂</w:t>
            </w:r>
            <w:r>
              <w:rPr>
                <w:rFonts w:hint="eastAsia" w:cs="Times New Roman" w:eastAsiaTheme="minorEastAsia"/>
                <w:color w:val="auto"/>
                <w:sz w:val="24"/>
                <w:szCs w:val="24"/>
                <w:lang w:val="en-US" w:eastAsia="zh-CN"/>
              </w:rPr>
              <w:t>、</w:t>
            </w:r>
            <w:r>
              <w:rPr>
                <w:rFonts w:hint="default" w:ascii="Times New Roman" w:hAnsi="Times New Roman" w:cs="Times New Roman" w:eastAsiaTheme="minorEastAsia"/>
                <w:color w:val="auto"/>
                <w:sz w:val="24"/>
                <w:szCs w:val="24"/>
                <w:lang w:val="en-US" w:eastAsia="zh-CN"/>
              </w:rPr>
              <w:t>废试剂瓶集中收集在危废贮存库内，委托有资质单位进行处置</w:t>
            </w:r>
          </w:p>
        </w:tc>
      </w:tr>
      <w:tr w14:paraId="50CDD7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8" w:type="dxa"/>
            <w:noWrap w:val="0"/>
            <w:vAlign w:val="center"/>
          </w:tcPr>
          <w:p w14:paraId="010AB763">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土壤及地下水</w:t>
            </w:r>
          </w:p>
          <w:p w14:paraId="4D2C9EB8">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污染防治措施</w:t>
            </w:r>
          </w:p>
        </w:tc>
        <w:tc>
          <w:tcPr>
            <w:tcW w:w="7022" w:type="dxa"/>
            <w:gridSpan w:val="4"/>
            <w:noWrap w:val="0"/>
            <w:vAlign w:val="center"/>
          </w:tcPr>
          <w:p w14:paraId="3E7ABA30">
            <w:pPr>
              <w:pageBreakBefore w:val="0"/>
              <w:kinsoku/>
              <w:bidi w:val="0"/>
              <w:adjustRightInd w:val="0"/>
              <w:snapToGrid w:val="0"/>
              <w:spacing w:beforeAutospacing="0" w:afterAutospacing="0" w:line="360" w:lineRule="auto"/>
              <w:ind w:left="0" w:leftChars="0" w:right="0" w:rightChars="0" w:firstLine="480" w:firstLineChars="200"/>
              <w:jc w:val="both"/>
              <w:rPr>
                <w:rFonts w:hint="default" w:ascii="Times New Roman" w:hAnsi="Times New Roman" w:cs="Times New Roman" w:eastAsiaTheme="minorEastAsia"/>
                <w:color w:val="auto"/>
                <w:sz w:val="24"/>
                <w:szCs w:val="24"/>
                <w:lang w:val="en-US"/>
              </w:rPr>
            </w:pPr>
            <w:r>
              <w:rPr>
                <w:rFonts w:hint="default" w:ascii="Times New Roman" w:hAnsi="Times New Roman" w:cs="Times New Roman" w:eastAsiaTheme="minorEastAsia"/>
                <w:color w:val="auto"/>
                <w:sz w:val="24"/>
                <w:szCs w:val="24"/>
                <w:lang w:val="en-US"/>
              </w:rPr>
              <w:t>按照《危险废物贮存污染控制标准》(GB18597-2023)相关要求建设。项目区设置警示标志，危险废物标识参照</w:t>
            </w:r>
            <w:r>
              <w:rPr>
                <w:rFonts w:hint="default" w:ascii="Times New Roman" w:hAnsi="Times New Roman" w:cs="Times New Roman" w:eastAsiaTheme="minorEastAsia"/>
                <w:color w:val="auto"/>
                <w:sz w:val="24"/>
              </w:rPr>
              <w:t>《危险废物识别标志设置技术规范》（HJ1276-2022）</w:t>
            </w:r>
            <w:r>
              <w:rPr>
                <w:rFonts w:hint="default" w:ascii="Times New Roman" w:hAnsi="Times New Roman" w:cs="Times New Roman" w:eastAsiaTheme="minorEastAsia"/>
                <w:color w:val="auto"/>
                <w:sz w:val="24"/>
                <w:szCs w:val="24"/>
                <w:lang w:val="en-US"/>
              </w:rPr>
              <w:t>；管理制度上墙。</w:t>
            </w:r>
            <w:r>
              <w:rPr>
                <w:rFonts w:hint="default" w:ascii="Times New Roman" w:hAnsi="Times New Roman" w:cs="Times New Roman" w:eastAsiaTheme="minorEastAsia"/>
                <w:color w:val="auto"/>
                <w:sz w:val="24"/>
                <w:lang w:val="en-US" w:eastAsia="zh-CN"/>
              </w:rPr>
              <w:t>地面框架采用100×100mm方管主梁、12号槽钢次梁及4号角铁檩条（间距 400mm），底层涂刷防锈漆，面层做环氧地坪防渗处理；环氧地坪整体无缝、与钢板满焊连接，钢板与墙体连接处室内满焊。整体防渗性能等效于厚度不小于6.0m、渗透系数不大于1.0×10⁻⁷cm/s黏土层的防渗要求</w:t>
            </w:r>
          </w:p>
        </w:tc>
      </w:tr>
      <w:tr w14:paraId="186544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8" w:type="dxa"/>
            <w:noWrap w:val="0"/>
            <w:vAlign w:val="center"/>
          </w:tcPr>
          <w:p w14:paraId="4DC46DA0">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生态保护措施</w:t>
            </w:r>
          </w:p>
        </w:tc>
        <w:tc>
          <w:tcPr>
            <w:tcW w:w="7022" w:type="dxa"/>
            <w:gridSpan w:val="4"/>
            <w:noWrap w:val="0"/>
            <w:vAlign w:val="center"/>
          </w:tcPr>
          <w:p w14:paraId="4FEA7638">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无</w:t>
            </w:r>
          </w:p>
        </w:tc>
      </w:tr>
      <w:tr w14:paraId="5A2071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8" w:type="dxa"/>
            <w:noWrap w:val="0"/>
            <w:vAlign w:val="center"/>
          </w:tcPr>
          <w:p w14:paraId="25B8C215">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pacing w:val="-8"/>
                <w:sz w:val="24"/>
                <w:szCs w:val="24"/>
              </w:rPr>
            </w:pPr>
            <w:r>
              <w:rPr>
                <w:rFonts w:hint="default" w:ascii="Times New Roman" w:hAnsi="Times New Roman" w:cs="Times New Roman" w:eastAsiaTheme="minorEastAsia"/>
                <w:color w:val="auto"/>
                <w:spacing w:val="-8"/>
                <w:sz w:val="24"/>
                <w:szCs w:val="24"/>
              </w:rPr>
              <w:t>环境风险</w:t>
            </w:r>
          </w:p>
          <w:p w14:paraId="7A2CEF8D">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pacing w:val="-8"/>
                <w:sz w:val="24"/>
                <w:szCs w:val="24"/>
              </w:rPr>
            </w:pPr>
            <w:r>
              <w:rPr>
                <w:rFonts w:hint="default" w:ascii="Times New Roman" w:hAnsi="Times New Roman" w:cs="Times New Roman" w:eastAsiaTheme="minorEastAsia"/>
                <w:color w:val="auto"/>
                <w:spacing w:val="-8"/>
                <w:sz w:val="24"/>
                <w:szCs w:val="24"/>
              </w:rPr>
              <w:t>防范措施</w:t>
            </w:r>
          </w:p>
        </w:tc>
        <w:tc>
          <w:tcPr>
            <w:tcW w:w="7022" w:type="dxa"/>
            <w:gridSpan w:val="4"/>
            <w:noWrap w:val="0"/>
            <w:vAlign w:val="center"/>
          </w:tcPr>
          <w:p w14:paraId="2D0991F8">
            <w:pPr>
              <w:pageBreakBefore w:val="0"/>
              <w:kinsoku/>
              <w:bidi w:val="0"/>
              <w:adjustRightInd w:val="0"/>
              <w:snapToGrid w:val="0"/>
              <w:spacing w:beforeAutospacing="0" w:afterAutospacing="0" w:line="360" w:lineRule="auto"/>
              <w:ind w:left="0" w:leftChars="0" w:right="0" w:rightChars="0" w:firstLine="480" w:firstLineChars="200"/>
              <w:jc w:val="both"/>
              <w:rPr>
                <w:rFonts w:hint="default" w:ascii="Times New Roman" w:hAnsi="Times New Roman" w:cs="Times New Roman" w:eastAsiaTheme="minorEastAsia"/>
                <w:color w:val="auto"/>
                <w:sz w:val="24"/>
                <w:szCs w:val="24"/>
                <w:lang w:val="en-US"/>
              </w:rPr>
            </w:pPr>
            <w:r>
              <w:rPr>
                <w:rFonts w:hint="default" w:ascii="Times New Roman" w:hAnsi="Times New Roman" w:cs="Times New Roman" w:eastAsiaTheme="minorEastAsia"/>
                <w:color w:val="auto"/>
                <w:sz w:val="24"/>
                <w:szCs w:val="24"/>
                <w:lang w:val="en-US"/>
              </w:rPr>
              <w:t>建设单位应树立并强化环境风险意识，增加对环境风险的防范措施。内部采用不发火花、防腐、防渗地面。危险废物转运车辆由公司车辆主管人员统筹调配管理，该车辆只能在车辆主管人员统一安排下进行危险废物类货物的转运工作。</w:t>
            </w:r>
          </w:p>
          <w:p w14:paraId="3A7987D8">
            <w:pPr>
              <w:pageBreakBefore w:val="0"/>
              <w:kinsoku/>
              <w:bidi w:val="0"/>
              <w:adjustRightInd w:val="0"/>
              <w:snapToGrid w:val="0"/>
              <w:spacing w:beforeAutospacing="0" w:afterAutospacing="0" w:line="360" w:lineRule="auto"/>
              <w:ind w:left="0" w:leftChars="0" w:right="0" w:rightChars="0" w:firstLine="480" w:firstLineChars="200"/>
              <w:jc w:val="both"/>
              <w:rPr>
                <w:rFonts w:hint="default" w:ascii="Times New Roman" w:hAnsi="Times New Roman" w:cs="Times New Roman" w:eastAsiaTheme="minorEastAsia"/>
                <w:color w:val="auto"/>
                <w:sz w:val="24"/>
                <w:szCs w:val="24"/>
                <w:lang w:val="en-US"/>
              </w:rPr>
            </w:pPr>
            <w:r>
              <w:rPr>
                <w:rFonts w:hint="default" w:ascii="Times New Roman" w:hAnsi="Times New Roman" w:cs="Times New Roman" w:eastAsiaTheme="minorEastAsia"/>
                <w:color w:val="auto"/>
                <w:sz w:val="24"/>
                <w:szCs w:val="24"/>
                <w:lang w:val="en-US"/>
              </w:rPr>
              <w:t>严禁火源进入危废</w:t>
            </w:r>
            <w:r>
              <w:rPr>
                <w:rFonts w:hint="default" w:ascii="Times New Roman" w:hAnsi="Times New Roman" w:cs="Times New Roman" w:eastAsiaTheme="minorEastAsia"/>
                <w:color w:val="auto"/>
                <w:sz w:val="24"/>
                <w:szCs w:val="24"/>
                <w:lang w:val="en-US" w:eastAsia="zh-CN"/>
              </w:rPr>
              <w:t>贮存库</w:t>
            </w:r>
            <w:r>
              <w:rPr>
                <w:rFonts w:hint="default" w:ascii="Times New Roman" w:hAnsi="Times New Roman" w:cs="Times New Roman" w:eastAsiaTheme="minorEastAsia"/>
                <w:color w:val="auto"/>
                <w:sz w:val="24"/>
                <w:szCs w:val="24"/>
                <w:lang w:val="en-US"/>
              </w:rPr>
              <w:t>，对明火严格控制。废物转移时应遵守《危险废物转移管理办法》，做好废物的记录登记交接工作。</w:t>
            </w:r>
          </w:p>
        </w:tc>
      </w:tr>
      <w:tr w14:paraId="085507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8" w:type="dxa"/>
            <w:noWrap w:val="0"/>
            <w:vAlign w:val="center"/>
          </w:tcPr>
          <w:p w14:paraId="47DBEBC2">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pacing w:val="-8"/>
                <w:sz w:val="24"/>
                <w:szCs w:val="24"/>
              </w:rPr>
            </w:pPr>
            <w:r>
              <w:rPr>
                <w:rFonts w:hint="default" w:ascii="Times New Roman" w:hAnsi="Times New Roman" w:cs="Times New Roman" w:eastAsiaTheme="minorEastAsia"/>
                <w:color w:val="auto"/>
                <w:spacing w:val="-8"/>
                <w:sz w:val="24"/>
                <w:szCs w:val="24"/>
              </w:rPr>
              <w:t>其他环境</w:t>
            </w:r>
          </w:p>
          <w:p w14:paraId="6E09570E">
            <w:pPr>
              <w:pageBreakBefore w:val="0"/>
              <w:kinsoku/>
              <w:bidi w:val="0"/>
              <w:adjustRightInd w:val="0"/>
              <w:snapToGrid w:val="0"/>
              <w:spacing w:beforeAutospacing="0" w:afterAutospacing="0" w:line="360" w:lineRule="auto"/>
              <w:ind w:left="0" w:leftChars="0" w:right="0" w:rightChars="0"/>
              <w:jc w:val="center"/>
              <w:rPr>
                <w:rFonts w:hint="default" w:ascii="Times New Roman" w:hAnsi="Times New Roman" w:cs="Times New Roman" w:eastAsiaTheme="minorEastAsia"/>
                <w:color w:val="auto"/>
                <w:spacing w:val="-8"/>
                <w:sz w:val="24"/>
                <w:szCs w:val="24"/>
              </w:rPr>
            </w:pPr>
            <w:r>
              <w:rPr>
                <w:rFonts w:hint="default" w:ascii="Times New Roman" w:hAnsi="Times New Roman" w:cs="Times New Roman" w:eastAsiaTheme="minorEastAsia"/>
                <w:color w:val="auto"/>
                <w:spacing w:val="-8"/>
                <w:sz w:val="24"/>
                <w:szCs w:val="24"/>
              </w:rPr>
              <w:t>管理要求</w:t>
            </w:r>
          </w:p>
        </w:tc>
        <w:tc>
          <w:tcPr>
            <w:tcW w:w="7022" w:type="dxa"/>
            <w:gridSpan w:val="4"/>
            <w:noWrap w:val="0"/>
            <w:vAlign w:val="center"/>
          </w:tcPr>
          <w:p w14:paraId="2CB5FE6F">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1、设施标志设置要求</w:t>
            </w:r>
          </w:p>
          <w:p w14:paraId="5024B0FE">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本项目应设置专项设施标志，执行《危险废物识别标志设置技术规范》（HJ1276-2022）。标志牌应设在与之功能相应的醒目处，并保持清晰、完整。具体见下表。</w:t>
            </w:r>
          </w:p>
          <w:p w14:paraId="5148907E">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jc w:val="center"/>
              <w:textAlignment w:val="auto"/>
              <w:rPr>
                <w:rFonts w:hint="default" w:ascii="Times New Roman" w:hAnsi="Times New Roman" w:cs="Times New Roman" w:eastAsiaTheme="minorEastAsia"/>
                <w:b/>
                <w:bCs/>
                <w:color w:val="auto"/>
                <w:sz w:val="21"/>
                <w:szCs w:val="21"/>
                <w:highlight w:val="none"/>
                <w:lang w:val="en-US" w:eastAsia="zh-CN"/>
              </w:rPr>
            </w:pPr>
            <w:r>
              <w:rPr>
                <w:rFonts w:hint="default" w:ascii="Times New Roman" w:hAnsi="Times New Roman" w:cs="Times New Roman" w:eastAsiaTheme="minorEastAsia"/>
                <w:b/>
                <w:bCs/>
                <w:color w:val="auto"/>
                <w:sz w:val="21"/>
                <w:szCs w:val="21"/>
                <w:highlight w:val="none"/>
                <w:lang w:val="en-US" w:eastAsia="zh-CN"/>
              </w:rPr>
              <w:t xml:space="preserve">表 5-1 </w:t>
            </w:r>
            <w:r>
              <w:rPr>
                <w:rFonts w:hint="eastAsia" w:ascii="Times New Roman" w:hAnsi="Times New Roman" w:cs="Times New Roman" w:eastAsiaTheme="minorEastAsia"/>
                <w:b/>
                <w:bCs/>
                <w:color w:val="auto"/>
                <w:sz w:val="21"/>
                <w:szCs w:val="21"/>
                <w:highlight w:val="none"/>
                <w:lang w:val="en-US" w:eastAsia="zh-CN"/>
              </w:rPr>
              <w:t xml:space="preserve">  </w:t>
            </w:r>
            <w:r>
              <w:rPr>
                <w:rFonts w:hint="default" w:ascii="Times New Roman" w:hAnsi="Times New Roman" w:cs="Times New Roman" w:eastAsiaTheme="minorEastAsia"/>
                <w:b/>
                <w:bCs/>
                <w:color w:val="auto"/>
                <w:sz w:val="21"/>
                <w:szCs w:val="21"/>
                <w:highlight w:val="none"/>
                <w:lang w:val="en-US" w:eastAsia="zh-CN"/>
              </w:rPr>
              <w:t>危废贮存库设施标志表</w:t>
            </w:r>
          </w:p>
          <w:tbl>
            <w:tblPr>
              <w:tblStyle w:val="30"/>
              <w:tblW w:w="6806"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6"/>
              <w:gridCol w:w="4511"/>
              <w:gridCol w:w="1559"/>
            </w:tblGrid>
            <w:tr w14:paraId="16357E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6" w:type="dxa"/>
                  <w:tcBorders>
                    <w:bottom w:val="single" w:color="auto" w:sz="12" w:space="0"/>
                  </w:tcBorders>
                  <w:vAlign w:val="center"/>
                </w:tcPr>
                <w:p w14:paraId="003D6EF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rPr>
                  </w:pPr>
                  <w:r>
                    <w:rPr>
                      <w:rFonts w:hint="default" w:ascii="Times New Roman" w:hAnsi="Times New Roman" w:cs="Times New Roman" w:eastAsiaTheme="minorEastAsia"/>
                      <w:b/>
                      <w:bCs/>
                      <w:color w:val="auto"/>
                      <w:sz w:val="21"/>
                      <w:szCs w:val="21"/>
                      <w:vertAlign w:val="baseline"/>
                      <w:lang w:val="en-US"/>
                    </w:rPr>
                    <w:t>序号</w:t>
                  </w:r>
                </w:p>
              </w:tc>
              <w:tc>
                <w:tcPr>
                  <w:tcW w:w="4511" w:type="dxa"/>
                  <w:tcBorders>
                    <w:bottom w:val="single" w:color="auto" w:sz="12" w:space="0"/>
                  </w:tcBorders>
                  <w:vAlign w:val="center"/>
                </w:tcPr>
                <w:p w14:paraId="4075AFE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rPr>
                  </w:pPr>
                  <w:r>
                    <w:rPr>
                      <w:rFonts w:hint="default" w:ascii="Times New Roman" w:hAnsi="Times New Roman" w:cs="Times New Roman" w:eastAsiaTheme="minorEastAsia"/>
                      <w:b/>
                      <w:bCs/>
                      <w:color w:val="auto"/>
                      <w:sz w:val="21"/>
                      <w:szCs w:val="21"/>
                      <w:vertAlign w:val="baseline"/>
                      <w:lang w:val="en-US"/>
                    </w:rPr>
                    <w:t>标志</w:t>
                  </w:r>
                </w:p>
              </w:tc>
              <w:tc>
                <w:tcPr>
                  <w:tcW w:w="1559" w:type="dxa"/>
                  <w:tcBorders>
                    <w:bottom w:val="single" w:color="auto" w:sz="12" w:space="0"/>
                  </w:tcBorders>
                  <w:vAlign w:val="center"/>
                </w:tcPr>
                <w:p w14:paraId="33C527A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b/>
                      <w:bCs/>
                      <w:color w:val="auto"/>
                      <w:sz w:val="21"/>
                      <w:szCs w:val="21"/>
                      <w:vertAlign w:val="baseline"/>
                      <w:lang w:val="en-US"/>
                    </w:rPr>
                  </w:pPr>
                  <w:r>
                    <w:rPr>
                      <w:rFonts w:hint="default" w:ascii="Times New Roman" w:hAnsi="Times New Roman" w:cs="Times New Roman" w:eastAsiaTheme="minorEastAsia"/>
                      <w:b/>
                      <w:bCs/>
                      <w:color w:val="auto"/>
                      <w:sz w:val="21"/>
                      <w:szCs w:val="21"/>
                      <w:vertAlign w:val="baseline"/>
                      <w:lang w:val="en-US"/>
                    </w:rPr>
                    <w:t>名称</w:t>
                  </w:r>
                </w:p>
              </w:tc>
            </w:tr>
            <w:tr w14:paraId="2D5AB8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6" w:type="dxa"/>
                  <w:tcBorders>
                    <w:top w:val="single" w:color="auto" w:sz="12" w:space="0"/>
                    <w:tl2br w:val="nil"/>
                    <w:tr2bl w:val="nil"/>
                  </w:tcBorders>
                  <w:vAlign w:val="center"/>
                </w:tcPr>
                <w:p w14:paraId="6FF18FF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1</w:t>
                  </w:r>
                </w:p>
              </w:tc>
              <w:tc>
                <w:tcPr>
                  <w:tcW w:w="4511" w:type="dxa"/>
                  <w:tcBorders>
                    <w:top w:val="single" w:color="auto" w:sz="12" w:space="0"/>
                    <w:tl2br w:val="nil"/>
                    <w:tr2bl w:val="nil"/>
                  </w:tcBorders>
                  <w:vAlign w:val="center"/>
                </w:tcPr>
                <w:p w14:paraId="0151CDB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rPr>
                  </w:pPr>
                  <w:r>
                    <w:rPr>
                      <w:rFonts w:hint="default" w:ascii="Times New Roman" w:hAnsi="Times New Roman" w:cs="Times New Roman" w:eastAsiaTheme="minorEastAsia"/>
                      <w:color w:val="auto"/>
                      <w:sz w:val="21"/>
                      <w:szCs w:val="21"/>
                    </w:rPr>
                    <w:drawing>
                      <wp:inline distT="0" distB="0" distL="114300" distR="114300">
                        <wp:extent cx="2760980" cy="2049780"/>
                        <wp:effectExtent l="0" t="0" r="1270" b="762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7"/>
                                <a:stretch>
                                  <a:fillRect/>
                                </a:stretch>
                              </pic:blipFill>
                              <pic:spPr>
                                <a:xfrm>
                                  <a:off x="0" y="0"/>
                                  <a:ext cx="2760980" cy="2049780"/>
                                </a:xfrm>
                                <a:prstGeom prst="rect">
                                  <a:avLst/>
                                </a:prstGeom>
                                <a:noFill/>
                                <a:ln>
                                  <a:noFill/>
                                </a:ln>
                              </pic:spPr>
                            </pic:pic>
                          </a:graphicData>
                        </a:graphic>
                      </wp:inline>
                    </w:drawing>
                  </w:r>
                </w:p>
              </w:tc>
              <w:tc>
                <w:tcPr>
                  <w:tcW w:w="1559" w:type="dxa"/>
                  <w:tcBorders>
                    <w:top w:val="single" w:color="auto" w:sz="12" w:space="0"/>
                    <w:tl2br w:val="nil"/>
                    <w:tr2bl w:val="nil"/>
                  </w:tcBorders>
                  <w:vAlign w:val="center"/>
                </w:tcPr>
                <w:p w14:paraId="051FA90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rPr>
                  </w:pPr>
                  <w:r>
                    <w:rPr>
                      <w:rFonts w:hint="default" w:ascii="Times New Roman" w:hAnsi="Times New Roman" w:cs="Times New Roman" w:eastAsiaTheme="minorEastAsia"/>
                      <w:color w:val="auto"/>
                      <w:sz w:val="21"/>
                      <w:szCs w:val="21"/>
                      <w:vertAlign w:val="baseline"/>
                      <w:lang w:val="en-US"/>
                    </w:rPr>
                    <w:t>危险废物标签设置示意图</w:t>
                  </w:r>
                </w:p>
              </w:tc>
            </w:tr>
            <w:tr w14:paraId="6BC0F0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6" w:type="dxa"/>
                  <w:tcBorders>
                    <w:tl2br w:val="nil"/>
                    <w:tr2bl w:val="nil"/>
                  </w:tcBorders>
                  <w:vAlign w:val="center"/>
                </w:tcPr>
                <w:p w14:paraId="42761BB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2</w:t>
                  </w:r>
                </w:p>
              </w:tc>
              <w:tc>
                <w:tcPr>
                  <w:tcW w:w="4511" w:type="dxa"/>
                  <w:tcBorders>
                    <w:tl2br w:val="nil"/>
                    <w:tr2bl w:val="nil"/>
                  </w:tcBorders>
                  <w:vAlign w:val="center"/>
                </w:tcPr>
                <w:p w14:paraId="63217E2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rPr>
                  </w:pPr>
                  <w:r>
                    <w:rPr>
                      <w:rFonts w:hint="default" w:ascii="Times New Roman" w:hAnsi="Times New Roman" w:cs="Times New Roman" w:eastAsiaTheme="minorEastAsia"/>
                      <w:color w:val="auto"/>
                      <w:sz w:val="21"/>
                      <w:szCs w:val="21"/>
                    </w:rPr>
                    <w:drawing>
                      <wp:inline distT="0" distB="0" distL="114300" distR="114300">
                        <wp:extent cx="2767330" cy="1636395"/>
                        <wp:effectExtent l="0" t="0" r="13970" b="1905"/>
                        <wp:docPr id="4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
                                <pic:cNvPicPr>
                                  <a:picLocks noChangeAspect="1"/>
                                </pic:cNvPicPr>
                              </pic:nvPicPr>
                              <pic:blipFill>
                                <a:blip r:embed="rId18"/>
                                <a:stretch>
                                  <a:fillRect/>
                                </a:stretch>
                              </pic:blipFill>
                              <pic:spPr>
                                <a:xfrm>
                                  <a:off x="0" y="0"/>
                                  <a:ext cx="2767330" cy="1636395"/>
                                </a:xfrm>
                                <a:prstGeom prst="rect">
                                  <a:avLst/>
                                </a:prstGeom>
                                <a:noFill/>
                                <a:ln>
                                  <a:noFill/>
                                </a:ln>
                              </pic:spPr>
                            </pic:pic>
                          </a:graphicData>
                        </a:graphic>
                      </wp:inline>
                    </w:drawing>
                  </w:r>
                </w:p>
              </w:tc>
              <w:tc>
                <w:tcPr>
                  <w:tcW w:w="1559" w:type="dxa"/>
                  <w:tcBorders>
                    <w:tl2br w:val="nil"/>
                    <w:tr2bl w:val="nil"/>
                  </w:tcBorders>
                  <w:vAlign w:val="center"/>
                </w:tcPr>
                <w:p w14:paraId="5C03CA5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rPr>
                  </w:pPr>
                  <w:r>
                    <w:rPr>
                      <w:rFonts w:hint="default" w:ascii="Times New Roman" w:hAnsi="Times New Roman" w:cs="Times New Roman" w:eastAsiaTheme="minorEastAsia"/>
                      <w:color w:val="auto"/>
                      <w:sz w:val="21"/>
                      <w:szCs w:val="21"/>
                      <w:vertAlign w:val="baseline"/>
                      <w:lang w:val="en-US"/>
                    </w:rPr>
                    <w:t>附着式危险废物贮存分区标志设置示意图</w:t>
                  </w:r>
                </w:p>
              </w:tc>
            </w:tr>
            <w:tr w14:paraId="56EAE8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6" w:type="dxa"/>
                  <w:tcBorders>
                    <w:tl2br w:val="nil"/>
                    <w:tr2bl w:val="nil"/>
                  </w:tcBorders>
                  <w:vAlign w:val="center"/>
                </w:tcPr>
                <w:p w14:paraId="1549041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3</w:t>
                  </w:r>
                </w:p>
              </w:tc>
              <w:tc>
                <w:tcPr>
                  <w:tcW w:w="4511" w:type="dxa"/>
                  <w:tcBorders>
                    <w:tl2br w:val="nil"/>
                    <w:tr2bl w:val="nil"/>
                  </w:tcBorders>
                  <w:vAlign w:val="center"/>
                </w:tcPr>
                <w:p w14:paraId="53FA90A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rPr>
                  </w:pPr>
                  <w:r>
                    <w:rPr>
                      <w:rFonts w:hint="default" w:ascii="Times New Roman" w:hAnsi="Times New Roman" w:cs="Times New Roman" w:eastAsiaTheme="minorEastAsia"/>
                      <w:color w:val="auto"/>
                      <w:sz w:val="21"/>
                      <w:szCs w:val="21"/>
                    </w:rPr>
                    <w:drawing>
                      <wp:inline distT="0" distB="0" distL="114300" distR="114300">
                        <wp:extent cx="2759075" cy="1672590"/>
                        <wp:effectExtent l="0" t="0" r="3175" b="3810"/>
                        <wp:docPr id="4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
                                <pic:cNvPicPr>
                                  <a:picLocks noChangeAspect="1"/>
                                </pic:cNvPicPr>
                              </pic:nvPicPr>
                              <pic:blipFill>
                                <a:blip r:embed="rId19"/>
                                <a:stretch>
                                  <a:fillRect/>
                                </a:stretch>
                              </pic:blipFill>
                              <pic:spPr>
                                <a:xfrm>
                                  <a:off x="0" y="0"/>
                                  <a:ext cx="2759075" cy="1672590"/>
                                </a:xfrm>
                                <a:prstGeom prst="rect">
                                  <a:avLst/>
                                </a:prstGeom>
                                <a:noFill/>
                                <a:ln>
                                  <a:noFill/>
                                </a:ln>
                              </pic:spPr>
                            </pic:pic>
                          </a:graphicData>
                        </a:graphic>
                      </wp:inline>
                    </w:drawing>
                  </w:r>
                </w:p>
              </w:tc>
              <w:tc>
                <w:tcPr>
                  <w:tcW w:w="1559" w:type="dxa"/>
                  <w:tcBorders>
                    <w:tl2br w:val="nil"/>
                    <w:tr2bl w:val="nil"/>
                  </w:tcBorders>
                  <w:vAlign w:val="center"/>
                </w:tcPr>
                <w:p w14:paraId="746F8C3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rPr>
                  </w:pPr>
                  <w:r>
                    <w:rPr>
                      <w:rFonts w:hint="default" w:ascii="Times New Roman" w:hAnsi="Times New Roman" w:cs="Times New Roman" w:eastAsiaTheme="minorEastAsia"/>
                      <w:color w:val="auto"/>
                      <w:sz w:val="21"/>
                      <w:szCs w:val="21"/>
                      <w:vertAlign w:val="baseline"/>
                      <w:lang w:val="en-US"/>
                    </w:rPr>
                    <w:t>附着式危险废物设施标志设置示意图</w:t>
                  </w:r>
                </w:p>
              </w:tc>
            </w:tr>
            <w:tr w14:paraId="374796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6" w:type="dxa"/>
                  <w:tcBorders>
                    <w:tl2br w:val="nil"/>
                    <w:tr2bl w:val="nil"/>
                  </w:tcBorders>
                  <w:vAlign w:val="center"/>
                </w:tcPr>
                <w:p w14:paraId="162A17F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4</w:t>
                  </w:r>
                </w:p>
              </w:tc>
              <w:tc>
                <w:tcPr>
                  <w:tcW w:w="4511" w:type="dxa"/>
                  <w:tcBorders>
                    <w:tl2br w:val="nil"/>
                    <w:tr2bl w:val="nil"/>
                  </w:tcBorders>
                  <w:vAlign w:val="center"/>
                </w:tcPr>
                <w:p w14:paraId="331EDD3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rPr>
                  </w:pPr>
                  <w:r>
                    <w:rPr>
                      <w:rFonts w:hint="default" w:ascii="Times New Roman" w:hAnsi="Times New Roman" w:cs="Times New Roman" w:eastAsiaTheme="minorEastAsia"/>
                      <w:color w:val="auto"/>
                      <w:sz w:val="21"/>
                      <w:szCs w:val="21"/>
                    </w:rPr>
                    <w:drawing>
                      <wp:inline distT="0" distB="0" distL="114300" distR="114300">
                        <wp:extent cx="2711450" cy="2052320"/>
                        <wp:effectExtent l="0" t="0" r="12700" b="5080"/>
                        <wp:docPr id="4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5"/>
                                <pic:cNvPicPr>
                                  <a:picLocks noChangeAspect="1"/>
                                </pic:cNvPicPr>
                              </pic:nvPicPr>
                              <pic:blipFill>
                                <a:blip r:embed="rId20"/>
                                <a:stretch>
                                  <a:fillRect/>
                                </a:stretch>
                              </pic:blipFill>
                              <pic:spPr>
                                <a:xfrm>
                                  <a:off x="0" y="0"/>
                                  <a:ext cx="2711450" cy="2052320"/>
                                </a:xfrm>
                                <a:prstGeom prst="rect">
                                  <a:avLst/>
                                </a:prstGeom>
                                <a:noFill/>
                                <a:ln>
                                  <a:noFill/>
                                </a:ln>
                              </pic:spPr>
                            </pic:pic>
                          </a:graphicData>
                        </a:graphic>
                      </wp:inline>
                    </w:drawing>
                  </w:r>
                </w:p>
              </w:tc>
              <w:tc>
                <w:tcPr>
                  <w:tcW w:w="1559" w:type="dxa"/>
                  <w:tcBorders>
                    <w:tl2br w:val="nil"/>
                    <w:tr2bl w:val="nil"/>
                  </w:tcBorders>
                  <w:vAlign w:val="center"/>
                </w:tcPr>
                <w:p w14:paraId="4A50494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rPr>
                  </w:pPr>
                  <w:r>
                    <w:rPr>
                      <w:rFonts w:hint="default" w:ascii="Times New Roman" w:hAnsi="Times New Roman" w:cs="Times New Roman" w:eastAsiaTheme="minorEastAsia"/>
                      <w:color w:val="auto"/>
                      <w:sz w:val="21"/>
                      <w:szCs w:val="21"/>
                      <w:vertAlign w:val="baseline"/>
                      <w:lang w:val="en-US"/>
                    </w:rPr>
                    <w:t>危险废物标签样式示意图</w:t>
                  </w:r>
                </w:p>
              </w:tc>
            </w:tr>
            <w:tr w14:paraId="5D4AC9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6" w:type="dxa"/>
                  <w:tcBorders>
                    <w:tl2br w:val="nil"/>
                    <w:tr2bl w:val="nil"/>
                  </w:tcBorders>
                  <w:vAlign w:val="center"/>
                </w:tcPr>
                <w:p w14:paraId="101829E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5</w:t>
                  </w:r>
                </w:p>
              </w:tc>
              <w:tc>
                <w:tcPr>
                  <w:tcW w:w="4511" w:type="dxa"/>
                  <w:tcBorders>
                    <w:tl2br w:val="nil"/>
                    <w:tr2bl w:val="nil"/>
                  </w:tcBorders>
                  <w:vAlign w:val="center"/>
                </w:tcPr>
                <w:p w14:paraId="2E073EE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rPr>
                  </w:pPr>
                  <w:r>
                    <w:rPr>
                      <w:color w:val="auto"/>
                    </w:rPr>
                    <w:drawing>
                      <wp:inline distT="0" distB="0" distL="114300" distR="114300">
                        <wp:extent cx="2679700" cy="2179955"/>
                        <wp:effectExtent l="0" t="0" r="6350" b="1079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2"/>
                                <a:srcRect b="12326"/>
                                <a:stretch>
                                  <a:fillRect/>
                                </a:stretch>
                              </pic:blipFill>
                              <pic:spPr>
                                <a:xfrm>
                                  <a:off x="0" y="0"/>
                                  <a:ext cx="2679700" cy="2179955"/>
                                </a:xfrm>
                                <a:prstGeom prst="rect">
                                  <a:avLst/>
                                </a:prstGeom>
                                <a:noFill/>
                                <a:ln>
                                  <a:noFill/>
                                </a:ln>
                              </pic:spPr>
                            </pic:pic>
                          </a:graphicData>
                        </a:graphic>
                      </wp:inline>
                    </w:drawing>
                  </w:r>
                </w:p>
              </w:tc>
              <w:tc>
                <w:tcPr>
                  <w:tcW w:w="1559" w:type="dxa"/>
                  <w:tcBorders>
                    <w:tl2br w:val="nil"/>
                    <w:tr2bl w:val="nil"/>
                  </w:tcBorders>
                  <w:vAlign w:val="center"/>
                </w:tcPr>
                <w:p w14:paraId="419AA0D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rPr>
                  </w:pPr>
                  <w:r>
                    <w:rPr>
                      <w:rFonts w:hint="default" w:ascii="Times New Roman" w:hAnsi="Times New Roman" w:cs="Times New Roman" w:eastAsiaTheme="minorEastAsia"/>
                      <w:color w:val="auto"/>
                      <w:sz w:val="21"/>
                      <w:szCs w:val="21"/>
                      <w:vertAlign w:val="baseline"/>
                      <w:lang w:val="en-US"/>
                    </w:rPr>
                    <w:t>危险废物贮存分区标志样式示意图</w:t>
                  </w:r>
                </w:p>
              </w:tc>
            </w:tr>
            <w:tr w14:paraId="41800D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6" w:type="dxa"/>
                  <w:tcBorders>
                    <w:tl2br w:val="nil"/>
                    <w:tr2bl w:val="nil"/>
                  </w:tcBorders>
                  <w:vAlign w:val="center"/>
                </w:tcPr>
                <w:p w14:paraId="7B38C99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6</w:t>
                  </w:r>
                </w:p>
              </w:tc>
              <w:tc>
                <w:tcPr>
                  <w:tcW w:w="4511" w:type="dxa"/>
                  <w:tcBorders>
                    <w:tl2br w:val="nil"/>
                    <w:tr2bl w:val="nil"/>
                  </w:tcBorders>
                  <w:vAlign w:val="center"/>
                </w:tcPr>
                <w:p w14:paraId="179EF35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rPr>
                  </w:pPr>
                  <w:r>
                    <w:rPr>
                      <w:rFonts w:hint="default" w:ascii="Times New Roman" w:hAnsi="Times New Roman" w:cs="Times New Roman" w:eastAsiaTheme="minorEastAsia"/>
                      <w:color w:val="auto"/>
                      <w:sz w:val="21"/>
                      <w:szCs w:val="21"/>
                    </w:rPr>
                    <w:drawing>
                      <wp:inline distT="0" distB="0" distL="114300" distR="114300">
                        <wp:extent cx="2726055" cy="1735455"/>
                        <wp:effectExtent l="0" t="0" r="17145" b="17145"/>
                        <wp:docPr id="5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7"/>
                                <pic:cNvPicPr>
                                  <a:picLocks noChangeAspect="1"/>
                                </pic:cNvPicPr>
                              </pic:nvPicPr>
                              <pic:blipFill>
                                <a:blip r:embed="rId21"/>
                                <a:stretch>
                                  <a:fillRect/>
                                </a:stretch>
                              </pic:blipFill>
                              <pic:spPr>
                                <a:xfrm>
                                  <a:off x="0" y="0"/>
                                  <a:ext cx="2726055" cy="1735455"/>
                                </a:xfrm>
                                <a:prstGeom prst="rect">
                                  <a:avLst/>
                                </a:prstGeom>
                                <a:noFill/>
                                <a:ln>
                                  <a:noFill/>
                                </a:ln>
                              </pic:spPr>
                            </pic:pic>
                          </a:graphicData>
                        </a:graphic>
                      </wp:inline>
                    </w:drawing>
                  </w:r>
                </w:p>
              </w:tc>
              <w:tc>
                <w:tcPr>
                  <w:tcW w:w="1559" w:type="dxa"/>
                  <w:tcBorders>
                    <w:tl2br w:val="nil"/>
                    <w:tr2bl w:val="nil"/>
                  </w:tcBorders>
                  <w:vAlign w:val="center"/>
                </w:tcPr>
                <w:p w14:paraId="6E5E1EC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right="0" w:rightChars="0"/>
                    <w:jc w:val="center"/>
                    <w:textAlignment w:val="auto"/>
                    <w:rPr>
                      <w:rFonts w:hint="default" w:ascii="Times New Roman" w:hAnsi="Times New Roman" w:cs="Times New Roman" w:eastAsiaTheme="minorEastAsia"/>
                      <w:color w:val="auto"/>
                      <w:sz w:val="21"/>
                      <w:szCs w:val="21"/>
                      <w:vertAlign w:val="baseline"/>
                      <w:lang w:val="en-US"/>
                    </w:rPr>
                  </w:pPr>
                  <w:r>
                    <w:rPr>
                      <w:rFonts w:hint="default" w:ascii="Times New Roman" w:hAnsi="Times New Roman" w:cs="Times New Roman" w:eastAsiaTheme="minorEastAsia"/>
                      <w:color w:val="auto"/>
                      <w:sz w:val="21"/>
                      <w:szCs w:val="21"/>
                      <w:vertAlign w:val="baseline"/>
                      <w:lang w:val="en-US"/>
                    </w:rPr>
                    <w:t>危废贮存设施场所标志</w:t>
                  </w:r>
                </w:p>
              </w:tc>
            </w:tr>
          </w:tbl>
          <w:p w14:paraId="6B1A9387">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2、排污口规范化管理</w:t>
            </w:r>
          </w:p>
          <w:p w14:paraId="06CFC6B7">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本项目不属于《固定污染源排污许可分类管理名录（2019 年版）》管理范围，不申请排污许可证，无废水、废气排污口，暂不涉及《排污单位污染物排放口二维码标识技术规范》（HJ 1297</w:t>
            </w:r>
            <w:r>
              <w:rPr>
                <w:rFonts w:hint="eastAsia" w:ascii="Times New Roman" w:hAnsi="Times New Roman" w:cs="Times New Roman" w:eastAsiaTheme="minorEastAsia"/>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2023）规定的排放口二维码设置；若后续管理要求将本项目纳入排污登记管理，将按</w:t>
            </w:r>
            <w:r>
              <w:rPr>
                <w:rFonts w:hint="eastAsia" w:ascii="Times New Roman" w:hAnsi="Times New Roman" w:cs="Times New Roman" w:eastAsiaTheme="minorEastAsia"/>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HJ 1297</w:t>
            </w:r>
            <w:r>
              <w:rPr>
                <w:rFonts w:hint="eastAsia" w:ascii="Times New Roman" w:hAnsi="Times New Roman" w:cs="Times New Roman" w:eastAsiaTheme="minorEastAsia"/>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2023</w:t>
            </w:r>
            <w:r>
              <w:rPr>
                <w:rFonts w:hint="eastAsia" w:ascii="Times New Roman" w:hAnsi="Times New Roman" w:cs="Times New Roman" w:eastAsiaTheme="minorEastAsia"/>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要求为相应排放口编制唯一二维码并设置于排放口周边。</w:t>
            </w:r>
          </w:p>
          <w:p w14:paraId="50244579">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eastAsia" w:cs="Times New Roman" w:eastAsiaTheme="minorEastAsia"/>
                <w:color w:val="auto"/>
                <w:sz w:val="24"/>
                <w:szCs w:val="24"/>
                <w:highlight w:val="none"/>
                <w:lang w:val="en-US" w:eastAsia="zh-CN"/>
              </w:rPr>
              <w:t>3</w:t>
            </w:r>
            <w:r>
              <w:rPr>
                <w:rFonts w:hint="default" w:ascii="Times New Roman" w:hAnsi="Times New Roman" w:cs="Times New Roman" w:eastAsiaTheme="minorEastAsia"/>
                <w:color w:val="auto"/>
                <w:sz w:val="24"/>
                <w:szCs w:val="24"/>
                <w:highlight w:val="none"/>
                <w:lang w:val="en-US" w:eastAsia="zh-CN"/>
              </w:rPr>
              <w:t>、环境管理计划及台账</w:t>
            </w:r>
          </w:p>
          <w:p w14:paraId="5E3F4678">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加强环境管理是贯彻执行环境保护法规，实现建设项目的社会、经济和环境效益的协调统一，以及企业可持续发展的重要保证。为加强环境管理，有效控制环境污染，根据本项目具体情况，建设单位应设置专职环保机构并建立相应的环境管理体系。</w:t>
            </w:r>
          </w:p>
          <w:p w14:paraId="4CD069DD">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（1）管理机构设置</w:t>
            </w:r>
          </w:p>
          <w:p w14:paraId="608CAC06">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环境管理工作应实行法人负责制，本企业已设置环保管理机构和管理人员，企业配置1名专职管理人员。</w:t>
            </w:r>
          </w:p>
          <w:p w14:paraId="1CB4A362">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（2）环境管理机构的基本职责</w:t>
            </w:r>
          </w:p>
          <w:p w14:paraId="2CC1443C">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①贯彻执行《中华人民共和国</w:t>
            </w:r>
            <w:r>
              <w:rPr>
                <w:rFonts w:hint="eastAsia" w:cs="Times New Roman" w:eastAsiaTheme="minorEastAsia"/>
                <w:color w:val="auto"/>
                <w:sz w:val="24"/>
                <w:szCs w:val="24"/>
                <w:highlight w:val="none"/>
                <w:lang w:val="en-US" w:eastAsia="zh-CN"/>
              </w:rPr>
              <w:t>生态环境法典</w:t>
            </w:r>
            <w:r>
              <w:rPr>
                <w:rFonts w:hint="default" w:ascii="Times New Roman" w:hAnsi="Times New Roman" w:cs="Times New Roman" w:eastAsiaTheme="minorEastAsia"/>
                <w:color w:val="auto"/>
                <w:sz w:val="24"/>
                <w:szCs w:val="24"/>
                <w:highlight w:val="none"/>
                <w:lang w:val="en-US" w:eastAsia="zh-CN"/>
              </w:rPr>
              <w:t>》及其相关法律、法规，按国家的环保政策、环境标准及环境监测要求，制定环境管理规章制度，并监督执行。</w:t>
            </w:r>
          </w:p>
          <w:p w14:paraId="13476CFD">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②执行国家有关建设项目环境保护的规定，做好环保设施管理和维护工作。建立并管理好环保设施的档案工作，保证环保设施按照设计要求运行，加强企业经营管理，杜绝擅自拆除和闲置不用的现象发生。做到环保设施及设备的利用率和完好率。</w:t>
            </w:r>
          </w:p>
          <w:p w14:paraId="50724D6D">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③组织并抓好本项目污染治理和综合利用工作，定期对环保设施进行检查，负责环保设备的维修保养，保证其正常运行。</w:t>
            </w:r>
          </w:p>
          <w:p w14:paraId="4F51F730">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ascii="宋体" w:hAnsi="宋体" w:eastAsia="宋体" w:cs="宋体"/>
                <w:color w:val="auto"/>
                <w:sz w:val="24"/>
                <w:szCs w:val="24"/>
              </w:rPr>
            </w:pPr>
            <w:r>
              <w:rPr>
                <w:rFonts w:hint="default" w:ascii="Times New Roman" w:hAnsi="Times New Roman" w:cs="Times New Roman" w:eastAsiaTheme="minorEastAsia"/>
                <w:color w:val="auto"/>
                <w:sz w:val="24"/>
                <w:szCs w:val="24"/>
                <w:highlight w:val="none"/>
                <w:lang w:val="en-US" w:eastAsia="zh-CN"/>
              </w:rPr>
              <w:t>（</w:t>
            </w:r>
            <w:r>
              <w:rPr>
                <w:rFonts w:hint="eastAsia" w:cs="Times New Roman" w:eastAsiaTheme="minorEastAsia"/>
                <w:color w:val="auto"/>
                <w:sz w:val="24"/>
                <w:szCs w:val="24"/>
                <w:highlight w:val="none"/>
                <w:lang w:val="en-US" w:eastAsia="zh-CN"/>
              </w:rPr>
              <w:t>3</w:t>
            </w:r>
            <w:r>
              <w:rPr>
                <w:rFonts w:hint="default" w:ascii="Times New Roman" w:hAnsi="Times New Roman" w:cs="Times New Roman" w:eastAsiaTheme="minorEastAsia"/>
                <w:color w:val="auto"/>
                <w:sz w:val="24"/>
                <w:szCs w:val="24"/>
                <w:highlight w:val="none"/>
                <w:lang w:val="en-US" w:eastAsia="zh-CN"/>
              </w:rPr>
              <w:t>）</w:t>
            </w:r>
            <w:r>
              <w:rPr>
                <w:rFonts w:ascii="宋体" w:hAnsi="宋体" w:eastAsia="宋体" w:cs="宋体"/>
                <w:color w:val="auto"/>
                <w:sz w:val="24"/>
                <w:szCs w:val="24"/>
              </w:rPr>
              <w:t>台账管理</w:t>
            </w:r>
          </w:p>
          <w:p w14:paraId="2226B4D5">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eastAsia" w:ascii="宋体" w:hAnsi="宋体" w:eastAsia="宋体" w:cs="宋体"/>
                <w:color w:val="auto"/>
                <w:sz w:val="24"/>
                <w:szCs w:val="24"/>
              </w:rPr>
            </w:pPr>
            <w:r>
              <w:rPr>
                <w:rFonts w:hint="default" w:ascii="Times New Roman" w:hAnsi="Times New Roman" w:cs="Times New Roman" w:eastAsiaTheme="minorEastAsia"/>
                <w:color w:val="auto"/>
                <w:sz w:val="24"/>
                <w:szCs w:val="24"/>
                <w:highlight w:val="none"/>
                <w:lang w:val="en-US" w:eastAsia="zh-CN"/>
              </w:rPr>
              <w:t>①</w:t>
            </w:r>
            <w:r>
              <w:rPr>
                <w:rFonts w:hint="eastAsia" w:ascii="宋体" w:hAnsi="宋体" w:eastAsia="宋体" w:cs="宋体"/>
                <w:color w:val="auto"/>
                <w:sz w:val="24"/>
                <w:szCs w:val="24"/>
              </w:rPr>
              <w:t>建立危险废物环境管理台账，记录危险废物产生环节、种类、数量、入库、出库、转移、贮存等信息，电子台账通过国家危险废物信息管理系统记录，纸质台账由专人保管；</w:t>
            </w:r>
          </w:p>
          <w:p w14:paraId="7A31B040">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eastAsia" w:ascii="宋体" w:hAnsi="宋体" w:eastAsia="宋体" w:cs="宋体"/>
                <w:color w:val="auto"/>
                <w:sz w:val="24"/>
                <w:szCs w:val="24"/>
              </w:rPr>
            </w:pPr>
            <w:r>
              <w:rPr>
                <w:rFonts w:hint="default" w:ascii="Times New Roman" w:hAnsi="Times New Roman" w:cs="Times New Roman" w:eastAsiaTheme="minorEastAsia"/>
                <w:color w:val="auto"/>
                <w:sz w:val="24"/>
                <w:szCs w:val="24"/>
                <w:highlight w:val="none"/>
                <w:lang w:val="en-US" w:eastAsia="zh-CN"/>
              </w:rPr>
              <w:t>②</w:t>
            </w:r>
            <w:r>
              <w:rPr>
                <w:rFonts w:hint="eastAsia" w:ascii="宋体" w:hAnsi="宋体" w:eastAsia="宋体" w:cs="宋体"/>
                <w:color w:val="auto"/>
                <w:sz w:val="24"/>
                <w:szCs w:val="24"/>
              </w:rPr>
              <w:t>危险废物管理台账及管理计划保存期限不少于5年；危险废物转移运行电子转移联单，联单数据在信息系统中至少保存10年，转移联单与管理台账一并归档；</w:t>
            </w:r>
          </w:p>
          <w:p w14:paraId="2C6EAF7B">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eastAsia" w:ascii="宋体" w:hAnsi="宋体" w:eastAsia="宋体" w:cs="宋体"/>
                <w:color w:val="auto"/>
                <w:sz w:val="24"/>
                <w:szCs w:val="24"/>
              </w:rPr>
            </w:pPr>
            <w:r>
              <w:rPr>
                <w:rFonts w:hint="default" w:ascii="Times New Roman" w:hAnsi="Times New Roman" w:cs="Times New Roman" w:eastAsiaTheme="minorEastAsia"/>
                <w:color w:val="auto"/>
                <w:sz w:val="24"/>
                <w:szCs w:val="24"/>
                <w:highlight w:val="none"/>
                <w:lang w:val="en-US" w:eastAsia="zh-CN"/>
              </w:rPr>
              <w:t>③</w:t>
            </w:r>
            <w:r>
              <w:rPr>
                <w:rFonts w:hint="eastAsia" w:ascii="宋体" w:hAnsi="宋体" w:eastAsia="宋体" w:cs="宋体"/>
                <w:color w:val="auto"/>
                <w:sz w:val="24"/>
                <w:szCs w:val="24"/>
              </w:rPr>
              <w:t>污染防治设施运行管理台账：记录防渗地面、围堰、应急收集</w:t>
            </w:r>
            <w:r>
              <w:rPr>
                <w:rFonts w:hint="eastAsia" w:ascii="宋体" w:hAnsi="宋体" w:cs="宋体"/>
                <w:color w:val="auto"/>
                <w:sz w:val="24"/>
                <w:szCs w:val="24"/>
                <w:lang w:val="en-US" w:eastAsia="zh-CN"/>
              </w:rPr>
              <w:t>池</w:t>
            </w:r>
            <w:r>
              <w:rPr>
                <w:rFonts w:hint="eastAsia" w:ascii="宋体" w:hAnsi="宋体" w:eastAsia="宋体" w:cs="宋体"/>
                <w:color w:val="auto"/>
                <w:sz w:val="24"/>
                <w:szCs w:val="24"/>
              </w:rPr>
              <w:t>、导流槽、备用空桶等设施的定期检查、维护情况，以及标识标志、消防器材、防毒面具的完好情况，台账保存期限不少于5年；</w:t>
            </w:r>
          </w:p>
          <w:p w14:paraId="147E8537">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ascii="宋体" w:hAnsi="宋体" w:eastAsia="宋体" w:cs="宋体"/>
                <w:color w:val="auto"/>
                <w:sz w:val="24"/>
                <w:szCs w:val="24"/>
              </w:rPr>
            </w:pPr>
            <w:r>
              <w:rPr>
                <w:rFonts w:hint="eastAsia" w:ascii="宋体" w:hAnsi="宋体" w:eastAsia="宋体" w:cs="宋体"/>
                <w:color w:val="auto"/>
                <w:sz w:val="24"/>
                <w:szCs w:val="24"/>
                <w:lang w:eastAsia="zh-CN"/>
              </w:rPr>
              <w:t>④</w:t>
            </w:r>
            <w:r>
              <w:rPr>
                <w:rFonts w:hint="eastAsia" w:ascii="宋体" w:hAnsi="宋体" w:eastAsia="宋体" w:cs="宋体"/>
                <w:color w:val="auto"/>
                <w:sz w:val="24"/>
                <w:szCs w:val="24"/>
              </w:rPr>
              <w:t>危险废物管理计划按规定报当地生态环境部门备案，并通过国家危险废物信息管理系统定期申报。</w:t>
            </w:r>
          </w:p>
          <w:p w14:paraId="1B57CCFE">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eastAsia" w:cs="Times New Roman" w:eastAsiaTheme="minorEastAsia"/>
                <w:color w:val="auto"/>
                <w:sz w:val="24"/>
                <w:szCs w:val="24"/>
                <w:highlight w:val="none"/>
                <w:lang w:val="en-US" w:eastAsia="zh-CN"/>
              </w:rPr>
              <w:t>4</w:t>
            </w:r>
            <w:r>
              <w:rPr>
                <w:rFonts w:hint="default" w:ascii="Times New Roman" w:hAnsi="Times New Roman" w:cs="Times New Roman" w:eastAsiaTheme="minorEastAsia"/>
                <w:color w:val="auto"/>
                <w:sz w:val="24"/>
                <w:szCs w:val="24"/>
                <w:highlight w:val="none"/>
                <w:lang w:val="en-US" w:eastAsia="zh-CN"/>
              </w:rPr>
              <w:t>、排污许可</w:t>
            </w:r>
          </w:p>
          <w:p w14:paraId="756C57C5">
            <w:pPr>
              <w:keepNext w:val="0"/>
              <w:keepLines w:val="0"/>
              <w:pageBreakBefore w:val="0"/>
              <w:widowControl w:val="0"/>
              <w:kinsoku/>
              <w:wordWrap/>
              <w:overflowPunct/>
              <w:topLinePunct w:val="0"/>
              <w:autoSpaceDE/>
              <w:autoSpaceDN/>
              <w:bidi w:val="0"/>
              <w:spacing w:beforeAutospacing="0" w:afterAutospacing="0" w:line="360" w:lineRule="auto"/>
              <w:ind w:left="0" w:leftChars="0" w:right="0" w:rightChars="0" w:firstLine="480" w:firstLineChars="200"/>
              <w:jc w:val="lef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本项目为危险废物贮存库，贮存过程不向外环境排放生产废水，废气仅为无组织微量排放，噪声经衰减后达标，不属于《固定污染源排污许可分类管理名录（2019 年版）》规定的应当申请取得排污许可证的行业和排放行为，根据《排污许可管理条例》（国务院令第 736 号），本项目无需申请排污许可证，也无需填报排污登记表。建设单位应在项目投运后，将危险废物产生、贮存、转移等信息按规定接入国家危险废物信息管理系统，接受生态环境部门监督管理。</w:t>
            </w:r>
          </w:p>
          <w:p w14:paraId="370A6B2E">
            <w:pPr>
              <w:pStyle w:val="2"/>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3525F341">
            <w:pPr>
              <w:pStyle w:val="2"/>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6485E388">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6B6F2463">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7835767F">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2252CC8C">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0B204398">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6BCC30AC">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34D3A5DC">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08BC59FD">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0CF495F0">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3337A93A">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7558C176">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75079298">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3751178A">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238AD5B3">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5C51B798">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754484D8">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p w14:paraId="4B7A4918">
            <w:pPr>
              <w:pStyle w:val="11"/>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sz w:val="24"/>
                <w:szCs w:val="24"/>
                <w:lang w:val="en-US"/>
              </w:rPr>
            </w:pPr>
          </w:p>
          <w:p w14:paraId="7E9C37FD">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rPr>
            </w:pPr>
          </w:p>
        </w:tc>
      </w:tr>
    </w:tbl>
    <w:p w14:paraId="73F5BE02">
      <w:pPr>
        <w:pStyle w:val="27"/>
        <w:pageBreakBefore w:val="0"/>
        <w:kinsoku/>
        <w:bidi w:val="0"/>
        <w:spacing w:beforeAutospacing="0" w:afterAutospacing="0" w:line="360" w:lineRule="auto"/>
        <w:ind w:left="0" w:leftChars="0" w:right="0" w:rightChars="0"/>
        <w:jc w:val="center"/>
        <w:outlineLvl w:val="0"/>
        <w:rPr>
          <w:rFonts w:hint="default" w:ascii="Times New Roman" w:hAnsi="Times New Roman" w:cs="Times New Roman" w:eastAsiaTheme="minorEastAsia"/>
          <w:snapToGrid w:val="0"/>
          <w:color w:val="auto"/>
          <w:sz w:val="30"/>
          <w:szCs w:val="30"/>
        </w:rPr>
      </w:pPr>
      <w:r>
        <w:rPr>
          <w:rFonts w:hint="default" w:ascii="Times New Roman" w:hAnsi="Times New Roman" w:cs="Times New Roman" w:eastAsiaTheme="minorEastAsia"/>
          <w:snapToGrid w:val="0"/>
          <w:color w:val="auto"/>
        </w:rPr>
        <w:br w:type="page"/>
      </w:r>
      <w:r>
        <w:rPr>
          <w:rFonts w:hint="default" w:ascii="Times New Roman" w:hAnsi="Times New Roman" w:cs="Times New Roman" w:eastAsiaTheme="minorEastAsia"/>
          <w:b/>
          <w:bCs/>
          <w:snapToGrid w:val="0"/>
          <w:color w:val="auto"/>
          <w:sz w:val="30"/>
          <w:szCs w:val="30"/>
        </w:rPr>
        <w:t>六、结论</w: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531554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60" w:hRule="atLeast"/>
          <w:jc w:val="center"/>
        </w:trPr>
        <w:tc>
          <w:tcPr>
            <w:tcW w:w="8865" w:type="dxa"/>
            <w:noWrap w:val="0"/>
            <w:vAlign w:val="top"/>
          </w:tcPr>
          <w:p w14:paraId="3B7396AD">
            <w:pPr>
              <w:pageBreakBefore w:val="0"/>
              <w:kinsoku/>
              <w:bidi w:val="0"/>
              <w:spacing w:beforeAutospacing="0" w:afterAutospacing="0" w:line="360" w:lineRule="auto"/>
              <w:ind w:left="0" w:leftChars="0" w:right="0" w:rightChars="0" w:firstLine="480"/>
              <w:jc w:val="both"/>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szCs w:val="32"/>
                <w:lang w:val="en-US" w:eastAsia="zh-CN"/>
              </w:rPr>
              <w:t>本</w:t>
            </w:r>
            <w:r>
              <w:rPr>
                <w:rFonts w:hint="default" w:ascii="Times New Roman" w:hAnsi="Times New Roman" w:cs="Times New Roman" w:eastAsiaTheme="minorEastAsia"/>
                <w:color w:val="auto"/>
                <w:sz w:val="24"/>
                <w:szCs w:val="32"/>
              </w:rPr>
              <w:t>项目符合当前国家产业政策的要求，项目</w:t>
            </w:r>
            <w:r>
              <w:rPr>
                <w:rFonts w:hint="default" w:ascii="Times New Roman" w:hAnsi="Times New Roman" w:cs="Times New Roman" w:eastAsiaTheme="minorEastAsia"/>
                <w:color w:val="auto"/>
                <w:sz w:val="24"/>
                <w:szCs w:val="32"/>
                <w:lang w:val="en-US" w:eastAsia="zh-CN"/>
              </w:rPr>
              <w:t>在</w:t>
            </w:r>
            <w:r>
              <w:rPr>
                <w:rFonts w:hint="default" w:ascii="Times New Roman" w:hAnsi="Times New Roman" w:cs="Times New Roman" w:eastAsiaTheme="minorEastAsia"/>
                <w:color w:val="auto"/>
                <w:sz w:val="24"/>
                <w:szCs w:val="32"/>
              </w:rPr>
              <w:t>采取环保治理措施及污染控制措施</w:t>
            </w:r>
            <w:r>
              <w:rPr>
                <w:rFonts w:hint="default" w:ascii="Times New Roman" w:hAnsi="Times New Roman" w:cs="Times New Roman" w:eastAsiaTheme="minorEastAsia"/>
                <w:color w:val="auto"/>
                <w:sz w:val="24"/>
                <w:szCs w:val="32"/>
                <w:lang w:val="en-US" w:eastAsia="zh-CN"/>
              </w:rPr>
              <w:t>后</w:t>
            </w:r>
            <w:r>
              <w:rPr>
                <w:rFonts w:hint="default" w:ascii="Times New Roman" w:hAnsi="Times New Roman" w:cs="Times New Roman" w:eastAsiaTheme="minorEastAsia"/>
                <w:color w:val="auto"/>
                <w:sz w:val="24"/>
                <w:szCs w:val="32"/>
              </w:rPr>
              <w:t>，可实现各类污染物的稳定达标排放</w:t>
            </w:r>
            <w:r>
              <w:rPr>
                <w:rFonts w:hint="default" w:ascii="Times New Roman" w:hAnsi="Times New Roman" w:cs="Times New Roman" w:eastAsiaTheme="minorEastAsia"/>
                <w:color w:val="auto"/>
                <w:sz w:val="24"/>
                <w:szCs w:val="32"/>
                <w:lang w:eastAsia="zh-CN"/>
              </w:rPr>
              <w:t>，</w:t>
            </w:r>
            <w:r>
              <w:rPr>
                <w:rFonts w:hint="default" w:ascii="Times New Roman" w:hAnsi="Times New Roman" w:cs="Times New Roman" w:eastAsiaTheme="minorEastAsia"/>
                <w:color w:val="auto"/>
                <w:sz w:val="24"/>
                <w:szCs w:val="32"/>
              </w:rPr>
              <w:t>对周围环境影响</w:t>
            </w:r>
            <w:r>
              <w:rPr>
                <w:rFonts w:hint="default" w:ascii="Times New Roman" w:hAnsi="Times New Roman" w:cs="Times New Roman" w:eastAsiaTheme="minorEastAsia"/>
                <w:color w:val="auto"/>
                <w:sz w:val="24"/>
                <w:szCs w:val="32"/>
                <w:lang w:val="en-US" w:eastAsia="zh-CN"/>
              </w:rPr>
              <w:t>较小</w:t>
            </w:r>
            <w:r>
              <w:rPr>
                <w:rFonts w:hint="default" w:ascii="Times New Roman" w:hAnsi="Times New Roman" w:cs="Times New Roman" w:eastAsiaTheme="minorEastAsia"/>
                <w:color w:val="auto"/>
                <w:sz w:val="24"/>
                <w:szCs w:val="32"/>
              </w:rPr>
              <w:t>。因此，本评价从环保角度认为，本项目的建设是可行的。</w:t>
            </w:r>
          </w:p>
        </w:tc>
      </w:tr>
    </w:tbl>
    <w:p w14:paraId="3F073B7A">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61DD6F4D">
      <w:pPr>
        <w:pStyle w:val="27"/>
        <w:pageBreakBefore w:val="0"/>
        <w:kinsoku/>
        <w:bidi w:val="0"/>
        <w:adjustRightInd w:val="0"/>
        <w:snapToGrid w:val="0"/>
        <w:spacing w:beforeAutospacing="0" w:afterAutospacing="0" w:line="360" w:lineRule="auto"/>
        <w:ind w:left="0" w:leftChars="0" w:right="0" w:rightChars="0"/>
        <w:outlineLvl w:val="0"/>
        <w:rPr>
          <w:rFonts w:hint="default" w:ascii="Times New Roman" w:hAnsi="Times New Roman" w:cs="Times New Roman" w:eastAsiaTheme="minorEastAsia"/>
          <w:snapToGrid w:val="0"/>
          <w:color w:val="auto"/>
          <w:sz w:val="32"/>
          <w:szCs w:val="32"/>
        </w:rPr>
      </w:pPr>
      <w:r>
        <w:rPr>
          <w:rFonts w:hint="default" w:ascii="Times New Roman" w:hAnsi="Times New Roman" w:cs="Times New Roman" w:eastAsiaTheme="minorEastAsia"/>
          <w:snapToGrid w:val="0"/>
          <w:color w:val="auto"/>
          <w:sz w:val="32"/>
          <w:szCs w:val="32"/>
        </w:rPr>
        <w:t>附表</w:t>
      </w:r>
    </w:p>
    <w:p w14:paraId="7D4B63C1">
      <w:pPr>
        <w:pStyle w:val="27"/>
        <w:pageBreakBefore w:val="0"/>
        <w:kinsoku/>
        <w:bidi w:val="0"/>
        <w:adjustRightInd w:val="0"/>
        <w:snapToGrid w:val="0"/>
        <w:spacing w:beforeAutospacing="0" w:afterAutospacing="0" w:line="360" w:lineRule="auto"/>
        <w:ind w:left="0" w:leftChars="0" w:right="0" w:rightChars="0"/>
        <w:jc w:val="center"/>
        <w:outlineLvl w:val="0"/>
        <w:rPr>
          <w:rFonts w:hint="default" w:ascii="Times New Roman" w:hAnsi="Times New Roman" w:cs="Times New Roman" w:eastAsiaTheme="minorEastAsia"/>
          <w:color w:val="auto"/>
        </w:rPr>
      </w:pPr>
      <w:r>
        <w:rPr>
          <w:rFonts w:hint="default" w:ascii="Times New Roman" w:hAnsi="Times New Roman" w:cs="Times New Roman" w:eastAsiaTheme="minorEastAsia"/>
          <w:snapToGrid w:val="0"/>
          <w:color w:val="auto"/>
          <w:sz w:val="38"/>
          <w:szCs w:val="38"/>
        </w:rPr>
        <w:t>建设项目污染物排放量汇总表</w:t>
      </w:r>
    </w:p>
    <w:p w14:paraId="631740F6">
      <w:pPr>
        <w:pStyle w:val="27"/>
        <w:pageBreakBefore w:val="0"/>
        <w:kinsoku/>
        <w:bidi w:val="0"/>
        <w:adjustRightInd w:val="0"/>
        <w:snapToGrid w:val="0"/>
        <w:spacing w:beforeAutospacing="0" w:afterAutospacing="0" w:line="360" w:lineRule="auto"/>
        <w:ind w:left="0" w:leftChars="0" w:right="0" w:rightChars="0"/>
        <w:jc w:val="right"/>
        <w:outlineLvl w:val="0"/>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（单位：t/a）</w: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2"/>
        <w:gridCol w:w="1412"/>
        <w:gridCol w:w="1831"/>
        <w:gridCol w:w="1349"/>
        <w:gridCol w:w="1480"/>
        <w:gridCol w:w="1471"/>
        <w:gridCol w:w="1920"/>
        <w:gridCol w:w="1770"/>
        <w:gridCol w:w="920"/>
      </w:tblGrid>
      <w:tr w14:paraId="07E608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3" w:hRule="atLeast"/>
          <w:jc w:val="center"/>
        </w:trPr>
        <w:tc>
          <w:tcPr>
            <w:tcW w:w="1582" w:type="dxa"/>
            <w:tcBorders>
              <w:tl2br w:val="single" w:color="auto" w:sz="4" w:space="0"/>
            </w:tcBorders>
            <w:noWrap w:val="0"/>
            <w:tcMar>
              <w:left w:w="28" w:type="dxa"/>
              <w:right w:w="28" w:type="dxa"/>
            </w:tcMar>
            <w:vAlign w:val="center"/>
          </w:tcPr>
          <w:p w14:paraId="1C0DBCA5">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6"/>
                <w:kern w:val="21"/>
                <w:sz w:val="21"/>
                <w:szCs w:val="21"/>
              </w:rPr>
            </w:pPr>
            <w:r>
              <w:rPr>
                <w:rFonts w:hint="default" w:ascii="Times New Roman" w:hAnsi="Times New Roman" w:cs="Times New Roman" w:eastAsiaTheme="minorEastAsia"/>
                <w:snapToGrid w:val="0"/>
                <w:color w:val="auto"/>
                <w:spacing w:val="-6"/>
                <w:kern w:val="21"/>
                <w:sz w:val="21"/>
                <w:szCs w:val="21"/>
              </w:rPr>
              <w:t>项目</w:t>
            </w:r>
          </w:p>
          <w:p w14:paraId="1A7F9DD3">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6"/>
                <w:kern w:val="21"/>
                <w:sz w:val="21"/>
                <w:szCs w:val="21"/>
              </w:rPr>
            </w:pPr>
            <w:r>
              <w:rPr>
                <w:rFonts w:hint="default" w:ascii="Times New Roman" w:hAnsi="Times New Roman" w:cs="Times New Roman" w:eastAsiaTheme="minorEastAsia"/>
                <w:snapToGrid w:val="0"/>
                <w:color w:val="auto"/>
                <w:spacing w:val="-6"/>
                <w:kern w:val="21"/>
                <w:sz w:val="21"/>
                <w:szCs w:val="21"/>
              </w:rPr>
              <w:t>分类</w:t>
            </w:r>
          </w:p>
        </w:tc>
        <w:tc>
          <w:tcPr>
            <w:tcW w:w="1412" w:type="dxa"/>
            <w:noWrap w:val="0"/>
            <w:tcMar>
              <w:left w:w="28" w:type="dxa"/>
              <w:right w:w="28" w:type="dxa"/>
            </w:tcMar>
            <w:vAlign w:val="center"/>
          </w:tcPr>
          <w:p w14:paraId="3F874034">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6"/>
                <w:kern w:val="21"/>
                <w:sz w:val="21"/>
                <w:szCs w:val="21"/>
              </w:rPr>
            </w:pPr>
            <w:r>
              <w:rPr>
                <w:rFonts w:hint="default" w:ascii="Times New Roman" w:hAnsi="Times New Roman" w:cs="Times New Roman" w:eastAsiaTheme="minorEastAsia"/>
                <w:snapToGrid w:val="0"/>
                <w:color w:val="auto"/>
                <w:spacing w:val="-6"/>
                <w:kern w:val="21"/>
                <w:sz w:val="21"/>
                <w:szCs w:val="21"/>
              </w:rPr>
              <w:t>污染物名称</w:t>
            </w:r>
          </w:p>
        </w:tc>
        <w:tc>
          <w:tcPr>
            <w:tcW w:w="1831" w:type="dxa"/>
            <w:noWrap w:val="0"/>
            <w:tcMar>
              <w:left w:w="28" w:type="dxa"/>
              <w:right w:w="28" w:type="dxa"/>
            </w:tcMar>
            <w:vAlign w:val="center"/>
          </w:tcPr>
          <w:p w14:paraId="3AF9D454">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6"/>
                <w:kern w:val="21"/>
                <w:sz w:val="21"/>
                <w:szCs w:val="21"/>
              </w:rPr>
            </w:pPr>
            <w:r>
              <w:rPr>
                <w:rFonts w:hint="default" w:ascii="Times New Roman" w:hAnsi="Times New Roman" w:cs="Times New Roman" w:eastAsiaTheme="minorEastAsia"/>
                <w:snapToGrid w:val="0"/>
                <w:color w:val="auto"/>
                <w:spacing w:val="-6"/>
                <w:kern w:val="21"/>
                <w:sz w:val="21"/>
                <w:szCs w:val="21"/>
              </w:rPr>
              <w:t>现有工程排放量（固体废物产生量）</w:t>
            </w:r>
            <w:r>
              <w:rPr>
                <w:rFonts w:hint="default" w:ascii="Times New Roman" w:hAnsi="Times New Roman" w:cs="Times New Roman" w:eastAsiaTheme="minorEastAsia"/>
                <w:snapToGrid w:val="0"/>
                <w:color w:val="auto"/>
                <w:spacing w:val="-6"/>
                <w:kern w:val="21"/>
                <w:sz w:val="21"/>
                <w:szCs w:val="21"/>
              </w:rPr>
              <w:fldChar w:fldCharType="begin"/>
            </w:r>
            <w:r>
              <w:rPr>
                <w:rFonts w:hint="default" w:ascii="Times New Roman" w:hAnsi="Times New Roman" w:cs="Times New Roman" w:eastAsiaTheme="minorEastAsia"/>
                <w:snapToGrid w:val="0"/>
                <w:color w:val="auto"/>
                <w:spacing w:val="-6"/>
                <w:kern w:val="21"/>
                <w:sz w:val="21"/>
                <w:szCs w:val="21"/>
              </w:rPr>
              <w:instrText xml:space="preserve"> = 1 \* GB3 \* MERGEFORMAT </w:instrText>
            </w:r>
            <w:r>
              <w:rPr>
                <w:rFonts w:hint="default" w:ascii="Times New Roman" w:hAnsi="Times New Roman" w:cs="Times New Roman" w:eastAsiaTheme="minorEastAsia"/>
                <w:snapToGrid w:val="0"/>
                <w:color w:val="auto"/>
                <w:spacing w:val="-6"/>
                <w:kern w:val="21"/>
                <w:sz w:val="21"/>
                <w:szCs w:val="21"/>
              </w:rPr>
              <w:fldChar w:fldCharType="separate"/>
            </w:r>
            <w:r>
              <w:rPr>
                <w:rFonts w:hint="default" w:ascii="Times New Roman" w:hAnsi="Times New Roman" w:cs="Times New Roman" w:eastAsiaTheme="minorEastAsia"/>
                <w:color w:val="auto"/>
                <w:kern w:val="2"/>
                <w:sz w:val="21"/>
                <w:szCs w:val="21"/>
              </w:rPr>
              <w:t>①</w:t>
            </w:r>
            <w:r>
              <w:rPr>
                <w:rFonts w:hint="default" w:ascii="Times New Roman" w:hAnsi="Times New Roman" w:cs="Times New Roman" w:eastAsiaTheme="minorEastAsia"/>
                <w:snapToGrid w:val="0"/>
                <w:color w:val="auto"/>
                <w:spacing w:val="-6"/>
                <w:kern w:val="21"/>
                <w:sz w:val="21"/>
                <w:szCs w:val="21"/>
              </w:rPr>
              <w:fldChar w:fldCharType="end"/>
            </w:r>
          </w:p>
        </w:tc>
        <w:tc>
          <w:tcPr>
            <w:tcW w:w="1349" w:type="dxa"/>
            <w:noWrap w:val="0"/>
            <w:tcMar>
              <w:left w:w="28" w:type="dxa"/>
              <w:right w:w="28" w:type="dxa"/>
            </w:tcMar>
            <w:vAlign w:val="center"/>
          </w:tcPr>
          <w:p w14:paraId="533651D4">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6"/>
                <w:kern w:val="21"/>
                <w:sz w:val="21"/>
                <w:szCs w:val="21"/>
              </w:rPr>
            </w:pPr>
            <w:r>
              <w:rPr>
                <w:rFonts w:hint="default" w:ascii="Times New Roman" w:hAnsi="Times New Roman" w:cs="Times New Roman" w:eastAsiaTheme="minorEastAsia"/>
                <w:snapToGrid w:val="0"/>
                <w:color w:val="auto"/>
                <w:spacing w:val="-6"/>
                <w:kern w:val="21"/>
                <w:sz w:val="21"/>
                <w:szCs w:val="21"/>
              </w:rPr>
              <w:t>现有工程许可</w:t>
            </w:r>
          </w:p>
          <w:p w14:paraId="52D2BB04">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6"/>
                <w:kern w:val="21"/>
                <w:sz w:val="21"/>
                <w:szCs w:val="21"/>
              </w:rPr>
            </w:pPr>
            <w:r>
              <w:rPr>
                <w:rFonts w:hint="default" w:ascii="Times New Roman" w:hAnsi="Times New Roman" w:cs="Times New Roman" w:eastAsiaTheme="minorEastAsia"/>
                <w:snapToGrid w:val="0"/>
                <w:color w:val="auto"/>
                <w:spacing w:val="-6"/>
                <w:kern w:val="21"/>
                <w:sz w:val="21"/>
                <w:szCs w:val="21"/>
              </w:rPr>
              <w:t>排放量</w:t>
            </w:r>
            <w:r>
              <w:rPr>
                <w:rFonts w:hint="default" w:ascii="Times New Roman" w:hAnsi="Times New Roman" w:cs="Times New Roman" w:eastAsiaTheme="minorEastAsia"/>
                <w:snapToGrid w:val="0"/>
                <w:color w:val="auto"/>
                <w:spacing w:val="-6"/>
                <w:kern w:val="21"/>
                <w:sz w:val="21"/>
                <w:szCs w:val="21"/>
              </w:rPr>
              <w:fldChar w:fldCharType="begin"/>
            </w:r>
            <w:r>
              <w:rPr>
                <w:rFonts w:hint="default" w:ascii="Times New Roman" w:hAnsi="Times New Roman" w:cs="Times New Roman" w:eastAsiaTheme="minorEastAsia"/>
                <w:snapToGrid w:val="0"/>
                <w:color w:val="auto"/>
                <w:spacing w:val="-6"/>
                <w:kern w:val="21"/>
                <w:sz w:val="21"/>
                <w:szCs w:val="21"/>
              </w:rPr>
              <w:instrText xml:space="preserve"> = 2 \* GB3 \* MERGEFORMAT </w:instrText>
            </w:r>
            <w:r>
              <w:rPr>
                <w:rFonts w:hint="default" w:ascii="Times New Roman" w:hAnsi="Times New Roman" w:cs="Times New Roman" w:eastAsiaTheme="minorEastAsia"/>
                <w:snapToGrid w:val="0"/>
                <w:color w:val="auto"/>
                <w:spacing w:val="-6"/>
                <w:kern w:val="21"/>
                <w:sz w:val="21"/>
                <w:szCs w:val="21"/>
              </w:rPr>
              <w:fldChar w:fldCharType="separate"/>
            </w:r>
            <w:r>
              <w:rPr>
                <w:rFonts w:hint="default" w:ascii="Times New Roman" w:hAnsi="Times New Roman" w:cs="Times New Roman" w:eastAsiaTheme="minorEastAsia"/>
                <w:snapToGrid w:val="0"/>
                <w:color w:val="auto"/>
                <w:spacing w:val="-6"/>
                <w:kern w:val="21"/>
                <w:sz w:val="21"/>
                <w:szCs w:val="21"/>
              </w:rPr>
              <w:t>②</w:t>
            </w:r>
            <w:r>
              <w:rPr>
                <w:rFonts w:hint="default" w:ascii="Times New Roman" w:hAnsi="Times New Roman" w:cs="Times New Roman" w:eastAsiaTheme="minorEastAsia"/>
                <w:snapToGrid w:val="0"/>
                <w:color w:val="auto"/>
                <w:spacing w:val="-6"/>
                <w:kern w:val="21"/>
                <w:sz w:val="21"/>
                <w:szCs w:val="21"/>
              </w:rPr>
              <w:fldChar w:fldCharType="end"/>
            </w:r>
          </w:p>
        </w:tc>
        <w:tc>
          <w:tcPr>
            <w:tcW w:w="1480" w:type="dxa"/>
            <w:noWrap w:val="0"/>
            <w:tcMar>
              <w:left w:w="28" w:type="dxa"/>
              <w:right w:w="28" w:type="dxa"/>
            </w:tcMar>
            <w:vAlign w:val="center"/>
          </w:tcPr>
          <w:p w14:paraId="0FE79BE1">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6"/>
                <w:kern w:val="21"/>
                <w:sz w:val="21"/>
                <w:szCs w:val="21"/>
              </w:rPr>
            </w:pPr>
            <w:r>
              <w:rPr>
                <w:rFonts w:hint="default" w:ascii="Times New Roman" w:hAnsi="Times New Roman" w:cs="Times New Roman" w:eastAsiaTheme="minorEastAsia"/>
                <w:snapToGrid w:val="0"/>
                <w:color w:val="auto"/>
                <w:spacing w:val="-6"/>
                <w:kern w:val="21"/>
                <w:sz w:val="21"/>
                <w:szCs w:val="21"/>
              </w:rPr>
              <w:t>在建工程排放量（固体废物产</w:t>
            </w:r>
          </w:p>
          <w:p w14:paraId="7279D997">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6"/>
                <w:kern w:val="21"/>
                <w:sz w:val="21"/>
                <w:szCs w:val="21"/>
              </w:rPr>
            </w:pPr>
            <w:r>
              <w:rPr>
                <w:rFonts w:hint="default" w:ascii="Times New Roman" w:hAnsi="Times New Roman" w:cs="Times New Roman" w:eastAsiaTheme="minorEastAsia"/>
                <w:snapToGrid w:val="0"/>
                <w:color w:val="auto"/>
                <w:spacing w:val="-6"/>
                <w:kern w:val="21"/>
                <w:sz w:val="21"/>
                <w:szCs w:val="21"/>
              </w:rPr>
              <w:t>生量）</w:t>
            </w:r>
            <w:r>
              <w:rPr>
                <w:rFonts w:hint="default" w:ascii="Times New Roman" w:hAnsi="Times New Roman" w:cs="Times New Roman" w:eastAsiaTheme="minorEastAsia"/>
                <w:snapToGrid w:val="0"/>
                <w:color w:val="auto"/>
                <w:spacing w:val="-6"/>
                <w:kern w:val="21"/>
                <w:sz w:val="21"/>
                <w:szCs w:val="21"/>
              </w:rPr>
              <w:fldChar w:fldCharType="begin"/>
            </w:r>
            <w:r>
              <w:rPr>
                <w:rFonts w:hint="default" w:ascii="Times New Roman" w:hAnsi="Times New Roman" w:cs="Times New Roman" w:eastAsiaTheme="minorEastAsia"/>
                <w:snapToGrid w:val="0"/>
                <w:color w:val="auto"/>
                <w:spacing w:val="-6"/>
                <w:kern w:val="21"/>
                <w:sz w:val="21"/>
                <w:szCs w:val="21"/>
              </w:rPr>
              <w:instrText xml:space="preserve"> = 3 \* GB3 \* MERGEFORMAT </w:instrText>
            </w:r>
            <w:r>
              <w:rPr>
                <w:rFonts w:hint="default" w:ascii="Times New Roman" w:hAnsi="Times New Roman" w:cs="Times New Roman" w:eastAsiaTheme="minorEastAsia"/>
                <w:snapToGrid w:val="0"/>
                <w:color w:val="auto"/>
                <w:spacing w:val="-6"/>
                <w:kern w:val="21"/>
                <w:sz w:val="21"/>
                <w:szCs w:val="21"/>
              </w:rPr>
              <w:fldChar w:fldCharType="separate"/>
            </w:r>
            <w:r>
              <w:rPr>
                <w:rFonts w:hint="default" w:ascii="Times New Roman" w:hAnsi="Times New Roman" w:cs="Times New Roman" w:eastAsiaTheme="minorEastAsia"/>
                <w:color w:val="auto"/>
                <w:kern w:val="2"/>
                <w:sz w:val="21"/>
                <w:szCs w:val="21"/>
              </w:rPr>
              <w:t>③</w:t>
            </w:r>
            <w:r>
              <w:rPr>
                <w:rFonts w:hint="default" w:ascii="Times New Roman" w:hAnsi="Times New Roman" w:cs="Times New Roman" w:eastAsiaTheme="minorEastAsia"/>
                <w:snapToGrid w:val="0"/>
                <w:color w:val="auto"/>
                <w:spacing w:val="-6"/>
                <w:kern w:val="21"/>
                <w:sz w:val="21"/>
                <w:szCs w:val="21"/>
              </w:rPr>
              <w:fldChar w:fldCharType="end"/>
            </w:r>
          </w:p>
        </w:tc>
        <w:tc>
          <w:tcPr>
            <w:tcW w:w="1471" w:type="dxa"/>
            <w:noWrap w:val="0"/>
            <w:tcMar>
              <w:left w:w="28" w:type="dxa"/>
              <w:right w:w="28" w:type="dxa"/>
            </w:tcMar>
            <w:vAlign w:val="center"/>
          </w:tcPr>
          <w:p w14:paraId="39700655">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6"/>
                <w:kern w:val="21"/>
                <w:sz w:val="21"/>
                <w:szCs w:val="21"/>
              </w:rPr>
            </w:pPr>
            <w:r>
              <w:rPr>
                <w:rFonts w:hint="default" w:ascii="Times New Roman" w:hAnsi="Times New Roman" w:cs="Times New Roman" w:eastAsiaTheme="minorEastAsia"/>
                <w:snapToGrid w:val="0"/>
                <w:color w:val="auto"/>
                <w:spacing w:val="-6"/>
                <w:kern w:val="21"/>
                <w:sz w:val="21"/>
                <w:szCs w:val="21"/>
              </w:rPr>
              <w:t>本项目排放量</w:t>
            </w:r>
          </w:p>
          <w:p w14:paraId="24C336CD">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6"/>
                <w:kern w:val="21"/>
                <w:sz w:val="21"/>
                <w:szCs w:val="21"/>
              </w:rPr>
            </w:pPr>
            <w:r>
              <w:rPr>
                <w:rFonts w:hint="default" w:ascii="Times New Roman" w:hAnsi="Times New Roman" w:cs="Times New Roman" w:eastAsiaTheme="minorEastAsia"/>
                <w:snapToGrid w:val="0"/>
                <w:color w:val="auto"/>
                <w:spacing w:val="-6"/>
                <w:kern w:val="21"/>
                <w:sz w:val="21"/>
                <w:szCs w:val="21"/>
              </w:rPr>
              <w:t>（固体废物产生量）</w:t>
            </w:r>
            <w:r>
              <w:rPr>
                <w:rFonts w:hint="default" w:ascii="Times New Roman" w:hAnsi="Times New Roman" w:cs="Times New Roman" w:eastAsiaTheme="minorEastAsia"/>
                <w:snapToGrid w:val="0"/>
                <w:color w:val="auto"/>
                <w:spacing w:val="-6"/>
                <w:kern w:val="21"/>
                <w:sz w:val="21"/>
                <w:szCs w:val="21"/>
              </w:rPr>
              <w:fldChar w:fldCharType="begin"/>
            </w:r>
            <w:r>
              <w:rPr>
                <w:rFonts w:hint="default" w:ascii="Times New Roman" w:hAnsi="Times New Roman" w:cs="Times New Roman" w:eastAsiaTheme="minorEastAsia"/>
                <w:snapToGrid w:val="0"/>
                <w:color w:val="auto"/>
                <w:spacing w:val="-6"/>
                <w:kern w:val="21"/>
                <w:sz w:val="21"/>
                <w:szCs w:val="21"/>
              </w:rPr>
              <w:instrText xml:space="preserve"> = 4 \* GB3 \* MERGEFORMAT </w:instrText>
            </w:r>
            <w:r>
              <w:rPr>
                <w:rFonts w:hint="default" w:ascii="Times New Roman" w:hAnsi="Times New Roman" w:cs="Times New Roman" w:eastAsiaTheme="minorEastAsia"/>
                <w:snapToGrid w:val="0"/>
                <w:color w:val="auto"/>
                <w:spacing w:val="-6"/>
                <w:kern w:val="21"/>
                <w:sz w:val="21"/>
                <w:szCs w:val="21"/>
              </w:rPr>
              <w:fldChar w:fldCharType="separate"/>
            </w:r>
            <w:r>
              <w:rPr>
                <w:rFonts w:hint="default" w:ascii="Times New Roman" w:hAnsi="Times New Roman" w:cs="Times New Roman" w:eastAsiaTheme="minorEastAsia"/>
                <w:color w:val="auto"/>
                <w:kern w:val="2"/>
                <w:sz w:val="21"/>
                <w:szCs w:val="21"/>
              </w:rPr>
              <w:t>④</w:t>
            </w:r>
            <w:r>
              <w:rPr>
                <w:rFonts w:hint="default" w:ascii="Times New Roman" w:hAnsi="Times New Roman" w:cs="Times New Roman" w:eastAsiaTheme="minorEastAsia"/>
                <w:snapToGrid w:val="0"/>
                <w:color w:val="auto"/>
                <w:spacing w:val="-6"/>
                <w:kern w:val="21"/>
                <w:sz w:val="21"/>
                <w:szCs w:val="21"/>
              </w:rPr>
              <w:fldChar w:fldCharType="end"/>
            </w:r>
          </w:p>
        </w:tc>
        <w:tc>
          <w:tcPr>
            <w:tcW w:w="1920" w:type="dxa"/>
            <w:noWrap w:val="0"/>
            <w:tcMar>
              <w:left w:w="28" w:type="dxa"/>
              <w:right w:w="28" w:type="dxa"/>
            </w:tcMar>
            <w:vAlign w:val="center"/>
          </w:tcPr>
          <w:p w14:paraId="0C8D7FEC">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16"/>
                <w:kern w:val="21"/>
                <w:sz w:val="21"/>
                <w:szCs w:val="21"/>
              </w:rPr>
            </w:pPr>
            <w:r>
              <w:rPr>
                <w:rFonts w:hint="default" w:ascii="Times New Roman" w:hAnsi="Times New Roman" w:cs="Times New Roman" w:eastAsiaTheme="minorEastAsia"/>
                <w:snapToGrid w:val="0"/>
                <w:color w:val="auto"/>
                <w:spacing w:val="-16"/>
                <w:kern w:val="21"/>
                <w:sz w:val="21"/>
                <w:szCs w:val="21"/>
              </w:rPr>
              <w:t>以新带老削减量</w:t>
            </w:r>
          </w:p>
          <w:p w14:paraId="628F4FFD">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16"/>
                <w:kern w:val="21"/>
                <w:sz w:val="21"/>
                <w:szCs w:val="21"/>
              </w:rPr>
            </w:pPr>
            <w:r>
              <w:rPr>
                <w:rFonts w:hint="default" w:ascii="Times New Roman" w:hAnsi="Times New Roman" w:cs="Times New Roman" w:eastAsiaTheme="minorEastAsia"/>
                <w:snapToGrid w:val="0"/>
                <w:color w:val="auto"/>
                <w:spacing w:val="-16"/>
                <w:kern w:val="21"/>
                <w:sz w:val="21"/>
                <w:szCs w:val="21"/>
              </w:rPr>
              <w:t>（新建项目不填）</w:t>
            </w:r>
            <w:r>
              <w:rPr>
                <w:rFonts w:hint="default" w:ascii="Times New Roman" w:hAnsi="Times New Roman" w:cs="Times New Roman" w:eastAsiaTheme="minorEastAsia"/>
                <w:snapToGrid w:val="0"/>
                <w:color w:val="auto"/>
                <w:spacing w:val="-16"/>
                <w:kern w:val="21"/>
                <w:sz w:val="21"/>
                <w:szCs w:val="21"/>
              </w:rPr>
              <w:fldChar w:fldCharType="begin"/>
            </w:r>
            <w:r>
              <w:rPr>
                <w:rFonts w:hint="default" w:ascii="Times New Roman" w:hAnsi="Times New Roman" w:cs="Times New Roman" w:eastAsiaTheme="minorEastAsia"/>
                <w:snapToGrid w:val="0"/>
                <w:color w:val="auto"/>
                <w:spacing w:val="-16"/>
                <w:kern w:val="21"/>
                <w:sz w:val="21"/>
                <w:szCs w:val="21"/>
              </w:rPr>
              <w:instrText xml:space="preserve"> = 5 \* GB3 \* MERGEFORMAT </w:instrText>
            </w:r>
            <w:r>
              <w:rPr>
                <w:rFonts w:hint="default" w:ascii="Times New Roman" w:hAnsi="Times New Roman" w:cs="Times New Roman" w:eastAsiaTheme="minorEastAsia"/>
                <w:snapToGrid w:val="0"/>
                <w:color w:val="auto"/>
                <w:spacing w:val="-16"/>
                <w:kern w:val="21"/>
                <w:sz w:val="21"/>
                <w:szCs w:val="21"/>
              </w:rPr>
              <w:fldChar w:fldCharType="separate"/>
            </w:r>
            <w:r>
              <w:rPr>
                <w:rFonts w:hint="default" w:ascii="Times New Roman" w:hAnsi="Times New Roman" w:cs="Times New Roman" w:eastAsiaTheme="minorEastAsia"/>
                <w:color w:val="auto"/>
                <w:kern w:val="2"/>
                <w:sz w:val="21"/>
                <w:szCs w:val="21"/>
              </w:rPr>
              <w:t>⑤</w:t>
            </w:r>
            <w:r>
              <w:rPr>
                <w:rFonts w:hint="default" w:ascii="Times New Roman" w:hAnsi="Times New Roman" w:cs="Times New Roman" w:eastAsiaTheme="minorEastAsia"/>
                <w:snapToGrid w:val="0"/>
                <w:color w:val="auto"/>
                <w:spacing w:val="-16"/>
                <w:kern w:val="21"/>
                <w:sz w:val="21"/>
                <w:szCs w:val="21"/>
              </w:rPr>
              <w:fldChar w:fldCharType="end"/>
            </w:r>
          </w:p>
        </w:tc>
        <w:tc>
          <w:tcPr>
            <w:tcW w:w="1770" w:type="dxa"/>
            <w:noWrap w:val="0"/>
            <w:tcMar>
              <w:left w:w="28" w:type="dxa"/>
              <w:right w:w="28" w:type="dxa"/>
            </w:tcMar>
            <w:vAlign w:val="center"/>
          </w:tcPr>
          <w:p w14:paraId="20463AB4">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16"/>
                <w:kern w:val="21"/>
                <w:sz w:val="21"/>
                <w:szCs w:val="21"/>
              </w:rPr>
            </w:pPr>
            <w:r>
              <w:rPr>
                <w:rFonts w:hint="default" w:ascii="Times New Roman" w:hAnsi="Times New Roman" w:cs="Times New Roman" w:eastAsiaTheme="minorEastAsia"/>
                <w:snapToGrid w:val="0"/>
                <w:color w:val="auto"/>
                <w:spacing w:val="-16"/>
                <w:kern w:val="21"/>
                <w:sz w:val="21"/>
                <w:szCs w:val="21"/>
              </w:rPr>
              <w:t>本项目建成后全厂排放量（固体废物产生量）</w:t>
            </w:r>
            <w:r>
              <w:rPr>
                <w:rFonts w:hint="default" w:ascii="Times New Roman" w:hAnsi="Times New Roman" w:cs="Times New Roman" w:eastAsiaTheme="minorEastAsia"/>
                <w:snapToGrid w:val="0"/>
                <w:color w:val="auto"/>
                <w:spacing w:val="-16"/>
                <w:kern w:val="21"/>
                <w:sz w:val="21"/>
                <w:szCs w:val="21"/>
              </w:rPr>
              <w:fldChar w:fldCharType="begin"/>
            </w:r>
            <w:r>
              <w:rPr>
                <w:rFonts w:hint="default" w:ascii="Times New Roman" w:hAnsi="Times New Roman" w:cs="Times New Roman" w:eastAsiaTheme="minorEastAsia"/>
                <w:snapToGrid w:val="0"/>
                <w:color w:val="auto"/>
                <w:spacing w:val="-16"/>
                <w:kern w:val="21"/>
                <w:sz w:val="21"/>
                <w:szCs w:val="21"/>
              </w:rPr>
              <w:instrText xml:space="preserve"> = 6 \* GB3 \* MERGEFORMAT </w:instrText>
            </w:r>
            <w:r>
              <w:rPr>
                <w:rFonts w:hint="default" w:ascii="Times New Roman" w:hAnsi="Times New Roman" w:cs="Times New Roman" w:eastAsiaTheme="minorEastAsia"/>
                <w:snapToGrid w:val="0"/>
                <w:color w:val="auto"/>
                <w:spacing w:val="-16"/>
                <w:kern w:val="21"/>
                <w:sz w:val="21"/>
                <w:szCs w:val="21"/>
              </w:rPr>
              <w:fldChar w:fldCharType="separate"/>
            </w:r>
            <w:r>
              <w:rPr>
                <w:rFonts w:hint="default" w:ascii="Times New Roman" w:hAnsi="Times New Roman" w:cs="Times New Roman" w:eastAsiaTheme="minorEastAsia"/>
                <w:color w:val="auto"/>
                <w:kern w:val="2"/>
                <w:sz w:val="21"/>
                <w:szCs w:val="21"/>
              </w:rPr>
              <w:t>⑥</w:t>
            </w:r>
            <w:r>
              <w:rPr>
                <w:rFonts w:hint="default" w:ascii="Times New Roman" w:hAnsi="Times New Roman" w:cs="Times New Roman" w:eastAsiaTheme="minorEastAsia"/>
                <w:snapToGrid w:val="0"/>
                <w:color w:val="auto"/>
                <w:spacing w:val="-16"/>
                <w:kern w:val="21"/>
                <w:sz w:val="21"/>
                <w:szCs w:val="21"/>
              </w:rPr>
              <w:fldChar w:fldCharType="end"/>
            </w:r>
          </w:p>
        </w:tc>
        <w:tc>
          <w:tcPr>
            <w:tcW w:w="920" w:type="dxa"/>
            <w:noWrap w:val="0"/>
            <w:tcMar>
              <w:left w:w="28" w:type="dxa"/>
              <w:right w:w="28" w:type="dxa"/>
            </w:tcMar>
            <w:vAlign w:val="center"/>
          </w:tcPr>
          <w:p w14:paraId="093D1C48">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spacing w:val="-6"/>
                <w:kern w:val="21"/>
                <w:sz w:val="21"/>
                <w:szCs w:val="21"/>
              </w:rPr>
            </w:pPr>
            <w:r>
              <w:rPr>
                <w:rFonts w:hint="default" w:ascii="Times New Roman" w:hAnsi="Times New Roman" w:cs="Times New Roman" w:eastAsiaTheme="minorEastAsia"/>
                <w:snapToGrid w:val="0"/>
                <w:color w:val="auto"/>
                <w:spacing w:val="-6"/>
                <w:kern w:val="21"/>
                <w:sz w:val="21"/>
                <w:szCs w:val="21"/>
              </w:rPr>
              <w:t>变化量</w:t>
            </w:r>
            <w:r>
              <w:rPr>
                <w:rFonts w:hint="default" w:ascii="Times New Roman" w:hAnsi="Times New Roman" w:cs="Times New Roman" w:eastAsiaTheme="minorEastAsia"/>
                <w:snapToGrid w:val="0"/>
                <w:color w:val="auto"/>
                <w:spacing w:val="-6"/>
                <w:kern w:val="21"/>
                <w:sz w:val="21"/>
                <w:szCs w:val="21"/>
              </w:rPr>
              <w:fldChar w:fldCharType="begin"/>
            </w:r>
            <w:r>
              <w:rPr>
                <w:rFonts w:hint="default" w:ascii="Times New Roman" w:hAnsi="Times New Roman" w:cs="Times New Roman" w:eastAsiaTheme="minorEastAsia"/>
                <w:snapToGrid w:val="0"/>
                <w:color w:val="auto"/>
                <w:spacing w:val="-6"/>
                <w:kern w:val="21"/>
                <w:sz w:val="21"/>
                <w:szCs w:val="21"/>
              </w:rPr>
              <w:instrText xml:space="preserve"> = 7 \* GB3 \* MERGEFORMAT </w:instrText>
            </w:r>
            <w:r>
              <w:rPr>
                <w:rFonts w:hint="default" w:ascii="Times New Roman" w:hAnsi="Times New Roman" w:cs="Times New Roman" w:eastAsiaTheme="minorEastAsia"/>
                <w:snapToGrid w:val="0"/>
                <w:color w:val="auto"/>
                <w:spacing w:val="-6"/>
                <w:kern w:val="21"/>
                <w:sz w:val="21"/>
                <w:szCs w:val="21"/>
              </w:rPr>
              <w:fldChar w:fldCharType="separate"/>
            </w:r>
            <w:r>
              <w:rPr>
                <w:rFonts w:hint="default" w:ascii="Times New Roman" w:hAnsi="Times New Roman" w:cs="Times New Roman" w:eastAsiaTheme="minorEastAsia"/>
                <w:color w:val="auto"/>
                <w:kern w:val="2"/>
                <w:sz w:val="21"/>
                <w:szCs w:val="21"/>
              </w:rPr>
              <w:t>⑦</w:t>
            </w:r>
            <w:r>
              <w:rPr>
                <w:rFonts w:hint="default" w:ascii="Times New Roman" w:hAnsi="Times New Roman" w:cs="Times New Roman" w:eastAsiaTheme="minorEastAsia"/>
                <w:snapToGrid w:val="0"/>
                <w:color w:val="auto"/>
                <w:spacing w:val="-6"/>
                <w:kern w:val="21"/>
                <w:sz w:val="21"/>
                <w:szCs w:val="21"/>
              </w:rPr>
              <w:fldChar w:fldCharType="end"/>
            </w:r>
          </w:p>
        </w:tc>
      </w:tr>
      <w:tr w14:paraId="4AE236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582" w:type="dxa"/>
            <w:noWrap w:val="0"/>
            <w:vAlign w:val="center"/>
          </w:tcPr>
          <w:p w14:paraId="3B6A030A">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rPr>
              <w:t>废气</w:t>
            </w:r>
          </w:p>
        </w:tc>
        <w:tc>
          <w:tcPr>
            <w:tcW w:w="1412" w:type="dxa"/>
            <w:noWrap w:val="0"/>
            <w:vAlign w:val="center"/>
          </w:tcPr>
          <w:p w14:paraId="57F310EC">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颗粒物</w:t>
            </w:r>
          </w:p>
        </w:tc>
        <w:tc>
          <w:tcPr>
            <w:tcW w:w="1831" w:type="dxa"/>
            <w:noWrap w:val="0"/>
            <w:vAlign w:val="center"/>
          </w:tcPr>
          <w:p w14:paraId="552ACEB0">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c>
          <w:tcPr>
            <w:tcW w:w="1349" w:type="dxa"/>
            <w:noWrap w:val="0"/>
            <w:vAlign w:val="center"/>
          </w:tcPr>
          <w:p w14:paraId="72931966">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80" w:type="dxa"/>
            <w:noWrap w:val="0"/>
            <w:vAlign w:val="center"/>
          </w:tcPr>
          <w:p w14:paraId="732891F6">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71" w:type="dxa"/>
            <w:noWrap w:val="0"/>
            <w:vAlign w:val="center"/>
          </w:tcPr>
          <w:p w14:paraId="037E60E6">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c>
          <w:tcPr>
            <w:tcW w:w="1920" w:type="dxa"/>
            <w:noWrap w:val="0"/>
            <w:vAlign w:val="center"/>
          </w:tcPr>
          <w:p w14:paraId="64BF57F9">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770" w:type="dxa"/>
            <w:noWrap w:val="0"/>
            <w:vAlign w:val="center"/>
          </w:tcPr>
          <w:p w14:paraId="4900FEC4">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bidi="ar-SA"/>
              </w:rPr>
            </w:pPr>
            <w:r>
              <w:rPr>
                <w:rFonts w:hint="default" w:ascii="Times New Roman" w:hAnsi="Times New Roman" w:cs="Times New Roman" w:eastAsiaTheme="minorEastAsia"/>
                <w:snapToGrid w:val="0"/>
                <w:color w:val="auto"/>
                <w:kern w:val="21"/>
                <w:sz w:val="21"/>
                <w:szCs w:val="21"/>
                <w:lang w:val="en-US" w:eastAsia="zh-CN"/>
              </w:rPr>
              <w:t>/</w:t>
            </w:r>
          </w:p>
        </w:tc>
        <w:tc>
          <w:tcPr>
            <w:tcW w:w="920" w:type="dxa"/>
            <w:noWrap w:val="0"/>
            <w:vAlign w:val="center"/>
          </w:tcPr>
          <w:p w14:paraId="7A360851">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r>
      <w:tr w14:paraId="477EB7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582" w:type="dxa"/>
            <w:vMerge w:val="restart"/>
            <w:noWrap w:val="0"/>
            <w:vAlign w:val="center"/>
          </w:tcPr>
          <w:p w14:paraId="0203F553">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rPr>
              <w:t>废水</w:t>
            </w:r>
          </w:p>
        </w:tc>
        <w:tc>
          <w:tcPr>
            <w:tcW w:w="1412" w:type="dxa"/>
            <w:noWrap w:val="0"/>
            <w:vAlign w:val="center"/>
          </w:tcPr>
          <w:p w14:paraId="134E74EC">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COD</w:t>
            </w:r>
          </w:p>
        </w:tc>
        <w:tc>
          <w:tcPr>
            <w:tcW w:w="1831" w:type="dxa"/>
            <w:noWrap w:val="0"/>
            <w:vAlign w:val="center"/>
          </w:tcPr>
          <w:p w14:paraId="7BECC670">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349" w:type="dxa"/>
            <w:noWrap w:val="0"/>
            <w:vAlign w:val="center"/>
          </w:tcPr>
          <w:p w14:paraId="20B380F7">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80" w:type="dxa"/>
            <w:noWrap w:val="0"/>
            <w:vAlign w:val="center"/>
          </w:tcPr>
          <w:p w14:paraId="555DFFA8">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71" w:type="dxa"/>
            <w:noWrap w:val="0"/>
            <w:vAlign w:val="center"/>
          </w:tcPr>
          <w:p w14:paraId="6F392B9B">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c>
          <w:tcPr>
            <w:tcW w:w="1920" w:type="dxa"/>
            <w:noWrap w:val="0"/>
            <w:vAlign w:val="center"/>
          </w:tcPr>
          <w:p w14:paraId="149042C2">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770" w:type="dxa"/>
            <w:noWrap w:val="0"/>
            <w:vAlign w:val="center"/>
          </w:tcPr>
          <w:p w14:paraId="717A34F4">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bidi="ar-SA"/>
              </w:rPr>
            </w:pPr>
            <w:r>
              <w:rPr>
                <w:rFonts w:hint="default" w:ascii="Times New Roman" w:hAnsi="Times New Roman" w:cs="Times New Roman" w:eastAsiaTheme="minorEastAsia"/>
                <w:snapToGrid w:val="0"/>
                <w:color w:val="auto"/>
                <w:kern w:val="21"/>
                <w:sz w:val="21"/>
                <w:szCs w:val="21"/>
                <w:lang w:val="en-US" w:eastAsia="zh-CN"/>
              </w:rPr>
              <w:t>/</w:t>
            </w:r>
          </w:p>
        </w:tc>
        <w:tc>
          <w:tcPr>
            <w:tcW w:w="920" w:type="dxa"/>
            <w:noWrap w:val="0"/>
            <w:vAlign w:val="center"/>
          </w:tcPr>
          <w:p w14:paraId="25A69335">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r>
      <w:tr w14:paraId="609E82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582" w:type="dxa"/>
            <w:vMerge w:val="continue"/>
            <w:noWrap w:val="0"/>
            <w:vAlign w:val="center"/>
          </w:tcPr>
          <w:p w14:paraId="59E1ED97">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p>
        </w:tc>
        <w:tc>
          <w:tcPr>
            <w:tcW w:w="1412" w:type="dxa"/>
            <w:noWrap w:val="0"/>
            <w:vAlign w:val="center"/>
          </w:tcPr>
          <w:p w14:paraId="258B59CF">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BOD</w:t>
            </w:r>
            <w:r>
              <w:rPr>
                <w:rFonts w:hint="default" w:ascii="Times New Roman" w:hAnsi="Times New Roman" w:cs="Times New Roman" w:eastAsiaTheme="minorEastAsia"/>
                <w:snapToGrid w:val="0"/>
                <w:color w:val="auto"/>
                <w:kern w:val="21"/>
                <w:sz w:val="21"/>
                <w:szCs w:val="21"/>
                <w:vertAlign w:val="subscript"/>
                <w:lang w:val="en-US" w:eastAsia="zh-CN"/>
              </w:rPr>
              <w:t>5</w:t>
            </w:r>
          </w:p>
        </w:tc>
        <w:tc>
          <w:tcPr>
            <w:tcW w:w="1831" w:type="dxa"/>
            <w:noWrap w:val="0"/>
            <w:vAlign w:val="center"/>
          </w:tcPr>
          <w:p w14:paraId="7BB0206D">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349" w:type="dxa"/>
            <w:noWrap w:val="0"/>
            <w:vAlign w:val="center"/>
          </w:tcPr>
          <w:p w14:paraId="731417BD">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80" w:type="dxa"/>
            <w:noWrap w:val="0"/>
            <w:vAlign w:val="center"/>
          </w:tcPr>
          <w:p w14:paraId="5B940730">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71" w:type="dxa"/>
            <w:noWrap w:val="0"/>
            <w:vAlign w:val="center"/>
          </w:tcPr>
          <w:p w14:paraId="62885420">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c>
          <w:tcPr>
            <w:tcW w:w="1920" w:type="dxa"/>
            <w:noWrap w:val="0"/>
            <w:vAlign w:val="center"/>
          </w:tcPr>
          <w:p w14:paraId="2BADE1D8">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770" w:type="dxa"/>
            <w:noWrap w:val="0"/>
            <w:vAlign w:val="center"/>
          </w:tcPr>
          <w:p w14:paraId="0E03A7ED">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bidi="ar-SA"/>
              </w:rPr>
            </w:pPr>
            <w:r>
              <w:rPr>
                <w:rFonts w:hint="default" w:ascii="Times New Roman" w:hAnsi="Times New Roman" w:cs="Times New Roman" w:eastAsiaTheme="minorEastAsia"/>
                <w:snapToGrid w:val="0"/>
                <w:color w:val="auto"/>
                <w:kern w:val="21"/>
                <w:sz w:val="21"/>
                <w:szCs w:val="21"/>
                <w:lang w:val="en-US" w:eastAsia="zh-CN"/>
              </w:rPr>
              <w:t>/</w:t>
            </w:r>
          </w:p>
        </w:tc>
        <w:tc>
          <w:tcPr>
            <w:tcW w:w="920" w:type="dxa"/>
            <w:noWrap w:val="0"/>
            <w:vAlign w:val="center"/>
          </w:tcPr>
          <w:p w14:paraId="5409C71F">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r>
      <w:tr w14:paraId="58B39B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582" w:type="dxa"/>
            <w:vMerge w:val="continue"/>
            <w:noWrap w:val="0"/>
            <w:vAlign w:val="center"/>
          </w:tcPr>
          <w:p w14:paraId="53FB57E5">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p>
        </w:tc>
        <w:tc>
          <w:tcPr>
            <w:tcW w:w="1412" w:type="dxa"/>
            <w:noWrap w:val="0"/>
            <w:vAlign w:val="center"/>
          </w:tcPr>
          <w:p w14:paraId="4B0E0AA1">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NH</w:t>
            </w:r>
            <w:r>
              <w:rPr>
                <w:rFonts w:hint="default" w:ascii="Times New Roman" w:hAnsi="Times New Roman" w:cs="Times New Roman" w:eastAsiaTheme="minorEastAsia"/>
                <w:snapToGrid w:val="0"/>
                <w:color w:val="auto"/>
                <w:kern w:val="21"/>
                <w:sz w:val="21"/>
                <w:szCs w:val="21"/>
                <w:vertAlign w:val="subscript"/>
                <w:lang w:val="en-US" w:eastAsia="zh-CN"/>
              </w:rPr>
              <w:t>3</w:t>
            </w:r>
            <w:r>
              <w:rPr>
                <w:rFonts w:hint="default" w:ascii="Times New Roman" w:hAnsi="Times New Roman" w:cs="Times New Roman" w:eastAsiaTheme="minorEastAsia"/>
                <w:snapToGrid w:val="0"/>
                <w:color w:val="auto"/>
                <w:kern w:val="21"/>
                <w:sz w:val="21"/>
                <w:szCs w:val="21"/>
                <w:vertAlign w:val="baseline"/>
                <w:lang w:val="en-US" w:eastAsia="zh-CN"/>
              </w:rPr>
              <w:t>-N</w:t>
            </w:r>
          </w:p>
        </w:tc>
        <w:tc>
          <w:tcPr>
            <w:tcW w:w="1831" w:type="dxa"/>
            <w:noWrap w:val="0"/>
            <w:vAlign w:val="center"/>
          </w:tcPr>
          <w:p w14:paraId="745A4410">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349" w:type="dxa"/>
            <w:noWrap w:val="0"/>
            <w:vAlign w:val="center"/>
          </w:tcPr>
          <w:p w14:paraId="440066D5">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80" w:type="dxa"/>
            <w:noWrap w:val="0"/>
            <w:vAlign w:val="center"/>
          </w:tcPr>
          <w:p w14:paraId="0DAAAE8E">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71" w:type="dxa"/>
            <w:noWrap w:val="0"/>
            <w:vAlign w:val="center"/>
          </w:tcPr>
          <w:p w14:paraId="01F6B4B6">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c>
          <w:tcPr>
            <w:tcW w:w="1920" w:type="dxa"/>
            <w:noWrap w:val="0"/>
            <w:vAlign w:val="center"/>
          </w:tcPr>
          <w:p w14:paraId="1591D7FB">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770" w:type="dxa"/>
            <w:noWrap w:val="0"/>
            <w:vAlign w:val="center"/>
          </w:tcPr>
          <w:p w14:paraId="79B097CB">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bidi="ar-SA"/>
              </w:rPr>
            </w:pPr>
            <w:r>
              <w:rPr>
                <w:rFonts w:hint="default" w:ascii="Times New Roman" w:hAnsi="Times New Roman" w:cs="Times New Roman" w:eastAsiaTheme="minorEastAsia"/>
                <w:snapToGrid w:val="0"/>
                <w:color w:val="auto"/>
                <w:kern w:val="21"/>
                <w:sz w:val="21"/>
                <w:szCs w:val="21"/>
                <w:lang w:val="en-US" w:eastAsia="zh-CN"/>
              </w:rPr>
              <w:t>/</w:t>
            </w:r>
          </w:p>
        </w:tc>
        <w:tc>
          <w:tcPr>
            <w:tcW w:w="920" w:type="dxa"/>
            <w:noWrap w:val="0"/>
            <w:vAlign w:val="center"/>
          </w:tcPr>
          <w:p w14:paraId="3FC41BB0">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r>
      <w:tr w14:paraId="2D59E7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582" w:type="dxa"/>
            <w:vMerge w:val="continue"/>
            <w:noWrap w:val="0"/>
            <w:vAlign w:val="center"/>
          </w:tcPr>
          <w:p w14:paraId="41833586">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p>
        </w:tc>
        <w:tc>
          <w:tcPr>
            <w:tcW w:w="1412" w:type="dxa"/>
            <w:noWrap w:val="0"/>
            <w:vAlign w:val="center"/>
          </w:tcPr>
          <w:p w14:paraId="4E79FEA8">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SS</w:t>
            </w:r>
          </w:p>
        </w:tc>
        <w:tc>
          <w:tcPr>
            <w:tcW w:w="1831" w:type="dxa"/>
            <w:noWrap w:val="0"/>
            <w:vAlign w:val="center"/>
          </w:tcPr>
          <w:p w14:paraId="7EB9B518">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349" w:type="dxa"/>
            <w:noWrap w:val="0"/>
            <w:vAlign w:val="center"/>
          </w:tcPr>
          <w:p w14:paraId="659C7764">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80" w:type="dxa"/>
            <w:noWrap w:val="0"/>
            <w:vAlign w:val="center"/>
          </w:tcPr>
          <w:p w14:paraId="4C7D8746">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71" w:type="dxa"/>
            <w:noWrap w:val="0"/>
            <w:vAlign w:val="center"/>
          </w:tcPr>
          <w:p w14:paraId="5A6B4F81">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c>
          <w:tcPr>
            <w:tcW w:w="1920" w:type="dxa"/>
            <w:noWrap w:val="0"/>
            <w:vAlign w:val="center"/>
          </w:tcPr>
          <w:p w14:paraId="2D660DEE">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770" w:type="dxa"/>
            <w:noWrap w:val="0"/>
            <w:vAlign w:val="center"/>
          </w:tcPr>
          <w:p w14:paraId="52209978">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bidi="ar-SA"/>
              </w:rPr>
            </w:pPr>
            <w:r>
              <w:rPr>
                <w:rFonts w:hint="default" w:ascii="Times New Roman" w:hAnsi="Times New Roman" w:cs="Times New Roman" w:eastAsiaTheme="minorEastAsia"/>
                <w:snapToGrid w:val="0"/>
                <w:color w:val="auto"/>
                <w:kern w:val="21"/>
                <w:sz w:val="21"/>
                <w:szCs w:val="21"/>
                <w:lang w:val="en-US" w:eastAsia="zh-CN"/>
              </w:rPr>
              <w:t>/</w:t>
            </w:r>
          </w:p>
        </w:tc>
        <w:tc>
          <w:tcPr>
            <w:tcW w:w="920" w:type="dxa"/>
            <w:noWrap w:val="0"/>
            <w:vAlign w:val="center"/>
          </w:tcPr>
          <w:p w14:paraId="2B5AA613">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r>
      <w:tr w14:paraId="1848E3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582" w:type="dxa"/>
            <w:vMerge w:val="restart"/>
            <w:noWrap w:val="0"/>
            <w:vAlign w:val="center"/>
          </w:tcPr>
          <w:p w14:paraId="7AC0FC35">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rPr>
              <w:t>一般工业</w:t>
            </w:r>
          </w:p>
          <w:p w14:paraId="1362CED6">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rPr>
              <w:t>固体废物</w:t>
            </w:r>
          </w:p>
        </w:tc>
        <w:tc>
          <w:tcPr>
            <w:tcW w:w="1412" w:type="dxa"/>
            <w:noWrap w:val="0"/>
            <w:vAlign w:val="center"/>
          </w:tcPr>
          <w:p w14:paraId="09923DBA">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生活垃圾</w:t>
            </w:r>
          </w:p>
        </w:tc>
        <w:tc>
          <w:tcPr>
            <w:tcW w:w="1831" w:type="dxa"/>
            <w:noWrap w:val="0"/>
            <w:vAlign w:val="center"/>
          </w:tcPr>
          <w:p w14:paraId="1FEE7391">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349" w:type="dxa"/>
            <w:noWrap w:val="0"/>
            <w:vAlign w:val="center"/>
          </w:tcPr>
          <w:p w14:paraId="1C7AD5A5">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80" w:type="dxa"/>
            <w:noWrap w:val="0"/>
            <w:vAlign w:val="center"/>
          </w:tcPr>
          <w:p w14:paraId="3E0699BA">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71" w:type="dxa"/>
            <w:noWrap w:val="0"/>
            <w:vAlign w:val="center"/>
          </w:tcPr>
          <w:p w14:paraId="681DCCB1">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c>
          <w:tcPr>
            <w:tcW w:w="1920" w:type="dxa"/>
            <w:noWrap w:val="0"/>
            <w:vAlign w:val="center"/>
          </w:tcPr>
          <w:p w14:paraId="26855131">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770" w:type="dxa"/>
            <w:noWrap w:val="0"/>
            <w:vAlign w:val="center"/>
          </w:tcPr>
          <w:p w14:paraId="3EA09468">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bidi="ar-SA"/>
              </w:rPr>
            </w:pPr>
            <w:r>
              <w:rPr>
                <w:rFonts w:hint="default" w:ascii="Times New Roman" w:hAnsi="Times New Roman" w:cs="Times New Roman" w:eastAsiaTheme="minorEastAsia"/>
                <w:snapToGrid w:val="0"/>
                <w:color w:val="auto"/>
                <w:kern w:val="21"/>
                <w:sz w:val="21"/>
                <w:szCs w:val="21"/>
                <w:lang w:val="en-US" w:eastAsia="zh-CN"/>
              </w:rPr>
              <w:t>/</w:t>
            </w:r>
          </w:p>
        </w:tc>
        <w:tc>
          <w:tcPr>
            <w:tcW w:w="920" w:type="dxa"/>
            <w:noWrap w:val="0"/>
            <w:vAlign w:val="center"/>
          </w:tcPr>
          <w:p w14:paraId="36ACF39D">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r>
      <w:tr w14:paraId="402A75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582" w:type="dxa"/>
            <w:vMerge w:val="continue"/>
            <w:noWrap w:val="0"/>
            <w:vAlign w:val="center"/>
          </w:tcPr>
          <w:p w14:paraId="34865ACA">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p>
        </w:tc>
        <w:tc>
          <w:tcPr>
            <w:tcW w:w="1412" w:type="dxa"/>
            <w:noWrap w:val="0"/>
            <w:vAlign w:val="center"/>
          </w:tcPr>
          <w:p w14:paraId="3248D908">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实验室废液</w:t>
            </w:r>
          </w:p>
        </w:tc>
        <w:tc>
          <w:tcPr>
            <w:tcW w:w="1831" w:type="dxa"/>
            <w:noWrap w:val="0"/>
            <w:vAlign w:val="center"/>
          </w:tcPr>
          <w:p w14:paraId="19C27045">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349" w:type="dxa"/>
            <w:noWrap w:val="0"/>
            <w:vAlign w:val="center"/>
          </w:tcPr>
          <w:p w14:paraId="40EE0233">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80" w:type="dxa"/>
            <w:noWrap w:val="0"/>
            <w:vAlign w:val="center"/>
          </w:tcPr>
          <w:p w14:paraId="77517559">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471" w:type="dxa"/>
            <w:noWrap w:val="0"/>
            <w:vAlign w:val="center"/>
          </w:tcPr>
          <w:p w14:paraId="2A5A9A82">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0.</w:t>
            </w:r>
            <w:r>
              <w:rPr>
                <w:rFonts w:hint="eastAsia" w:ascii="Times New Roman" w:hAnsi="Times New Roman" w:cs="Times New Roman" w:eastAsiaTheme="minorEastAsia"/>
                <w:snapToGrid w:val="0"/>
                <w:color w:val="auto"/>
                <w:kern w:val="21"/>
                <w:sz w:val="21"/>
                <w:szCs w:val="21"/>
                <w:lang w:val="en-US" w:eastAsia="zh-CN"/>
              </w:rPr>
              <w:t>5</w:t>
            </w:r>
          </w:p>
        </w:tc>
        <w:tc>
          <w:tcPr>
            <w:tcW w:w="1920" w:type="dxa"/>
            <w:noWrap w:val="0"/>
            <w:vAlign w:val="center"/>
          </w:tcPr>
          <w:p w14:paraId="52AE1BC6">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r>
              <w:rPr>
                <w:rFonts w:hint="default" w:ascii="Times New Roman" w:hAnsi="Times New Roman" w:cs="Times New Roman" w:eastAsiaTheme="minorEastAsia"/>
                <w:snapToGrid w:val="0"/>
                <w:color w:val="auto"/>
                <w:kern w:val="21"/>
                <w:sz w:val="21"/>
                <w:szCs w:val="21"/>
                <w:lang w:val="en-US" w:eastAsia="zh-CN"/>
              </w:rPr>
              <w:t>/</w:t>
            </w:r>
          </w:p>
        </w:tc>
        <w:tc>
          <w:tcPr>
            <w:tcW w:w="1770" w:type="dxa"/>
            <w:noWrap w:val="0"/>
            <w:vAlign w:val="center"/>
          </w:tcPr>
          <w:p w14:paraId="0E2D55B1">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bidi="ar-SA"/>
              </w:rPr>
            </w:pPr>
            <w:r>
              <w:rPr>
                <w:rFonts w:hint="default" w:ascii="Times New Roman" w:hAnsi="Times New Roman" w:cs="Times New Roman" w:eastAsiaTheme="minorEastAsia"/>
                <w:snapToGrid w:val="0"/>
                <w:color w:val="auto"/>
                <w:kern w:val="21"/>
                <w:sz w:val="21"/>
                <w:szCs w:val="21"/>
                <w:lang w:val="en-US" w:eastAsia="zh-CN"/>
              </w:rPr>
              <w:t>0.</w:t>
            </w:r>
            <w:r>
              <w:rPr>
                <w:rFonts w:hint="eastAsia" w:ascii="Times New Roman" w:hAnsi="Times New Roman" w:cs="Times New Roman" w:eastAsiaTheme="minorEastAsia"/>
                <w:snapToGrid w:val="0"/>
                <w:color w:val="auto"/>
                <w:kern w:val="21"/>
                <w:sz w:val="21"/>
                <w:szCs w:val="21"/>
                <w:lang w:val="en-US" w:eastAsia="zh-CN"/>
              </w:rPr>
              <w:t>5</w:t>
            </w:r>
          </w:p>
        </w:tc>
        <w:tc>
          <w:tcPr>
            <w:tcW w:w="920" w:type="dxa"/>
            <w:noWrap w:val="0"/>
            <w:vAlign w:val="center"/>
          </w:tcPr>
          <w:p w14:paraId="715E3BFD">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0.</w:t>
            </w:r>
            <w:r>
              <w:rPr>
                <w:rFonts w:hint="eastAsia" w:ascii="Times New Roman" w:hAnsi="Times New Roman" w:cs="Times New Roman" w:eastAsiaTheme="minorEastAsia"/>
                <w:snapToGrid w:val="0"/>
                <w:color w:val="auto"/>
                <w:kern w:val="21"/>
                <w:sz w:val="21"/>
                <w:szCs w:val="21"/>
                <w:lang w:val="en-US" w:eastAsia="zh-CN"/>
              </w:rPr>
              <w:t>5</w:t>
            </w:r>
          </w:p>
        </w:tc>
      </w:tr>
      <w:tr w14:paraId="239461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582" w:type="dxa"/>
            <w:vMerge w:val="continue"/>
            <w:noWrap w:val="0"/>
            <w:vAlign w:val="center"/>
          </w:tcPr>
          <w:p w14:paraId="3FC22414">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p>
        </w:tc>
        <w:tc>
          <w:tcPr>
            <w:tcW w:w="1412" w:type="dxa"/>
            <w:noWrap w:val="0"/>
            <w:vAlign w:val="center"/>
          </w:tcPr>
          <w:p w14:paraId="13DC4218">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过期废试剂</w:t>
            </w:r>
          </w:p>
        </w:tc>
        <w:tc>
          <w:tcPr>
            <w:tcW w:w="1831" w:type="dxa"/>
            <w:noWrap w:val="0"/>
            <w:vAlign w:val="center"/>
          </w:tcPr>
          <w:p w14:paraId="1E6EEF7A">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eastAsia" w:ascii="Times New Roman" w:hAnsi="Times New Roman" w:cs="Times New Roman" w:eastAsiaTheme="minorEastAsia"/>
                <w:snapToGrid w:val="0"/>
                <w:color w:val="auto"/>
                <w:kern w:val="21"/>
                <w:sz w:val="21"/>
                <w:szCs w:val="21"/>
                <w:lang w:val="en-US" w:eastAsia="zh-CN"/>
              </w:rPr>
              <w:t>/</w:t>
            </w:r>
          </w:p>
        </w:tc>
        <w:tc>
          <w:tcPr>
            <w:tcW w:w="1349" w:type="dxa"/>
            <w:noWrap w:val="0"/>
            <w:vAlign w:val="center"/>
          </w:tcPr>
          <w:p w14:paraId="5E4FF9DA">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eastAsia" w:ascii="Times New Roman" w:hAnsi="Times New Roman" w:cs="Times New Roman" w:eastAsiaTheme="minorEastAsia"/>
                <w:snapToGrid w:val="0"/>
                <w:color w:val="auto"/>
                <w:kern w:val="21"/>
                <w:sz w:val="21"/>
                <w:szCs w:val="21"/>
                <w:lang w:val="en-US" w:eastAsia="zh-CN"/>
              </w:rPr>
              <w:t>/</w:t>
            </w:r>
          </w:p>
        </w:tc>
        <w:tc>
          <w:tcPr>
            <w:tcW w:w="1480" w:type="dxa"/>
            <w:noWrap w:val="0"/>
            <w:vAlign w:val="center"/>
          </w:tcPr>
          <w:p w14:paraId="3BCBEADD">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eastAsia" w:ascii="Times New Roman" w:hAnsi="Times New Roman" w:cs="Times New Roman" w:eastAsiaTheme="minorEastAsia"/>
                <w:snapToGrid w:val="0"/>
                <w:color w:val="auto"/>
                <w:kern w:val="21"/>
                <w:sz w:val="21"/>
                <w:szCs w:val="21"/>
                <w:lang w:val="en-US" w:eastAsia="zh-CN"/>
              </w:rPr>
              <w:t>/</w:t>
            </w:r>
          </w:p>
        </w:tc>
        <w:tc>
          <w:tcPr>
            <w:tcW w:w="1471" w:type="dxa"/>
            <w:noWrap w:val="0"/>
            <w:vAlign w:val="center"/>
          </w:tcPr>
          <w:p w14:paraId="72D25123">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eastAsia" w:ascii="Times New Roman" w:hAnsi="Times New Roman" w:cs="Times New Roman" w:eastAsiaTheme="minorEastAsia"/>
                <w:snapToGrid w:val="0"/>
                <w:color w:val="auto"/>
                <w:kern w:val="21"/>
                <w:sz w:val="21"/>
                <w:szCs w:val="21"/>
                <w:lang w:val="en-US" w:eastAsia="zh-CN"/>
              </w:rPr>
              <w:t>0.1</w:t>
            </w:r>
          </w:p>
        </w:tc>
        <w:tc>
          <w:tcPr>
            <w:tcW w:w="1920" w:type="dxa"/>
            <w:noWrap w:val="0"/>
            <w:vAlign w:val="center"/>
          </w:tcPr>
          <w:p w14:paraId="15615D22">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eastAsia" w:ascii="Times New Roman" w:hAnsi="Times New Roman" w:cs="Times New Roman" w:eastAsiaTheme="minorEastAsia"/>
                <w:snapToGrid w:val="0"/>
                <w:color w:val="auto"/>
                <w:kern w:val="21"/>
                <w:sz w:val="21"/>
                <w:szCs w:val="21"/>
                <w:lang w:val="en-US" w:eastAsia="zh-CN"/>
              </w:rPr>
              <w:t>/</w:t>
            </w:r>
          </w:p>
        </w:tc>
        <w:tc>
          <w:tcPr>
            <w:tcW w:w="1770" w:type="dxa"/>
            <w:noWrap w:val="0"/>
            <w:vAlign w:val="center"/>
          </w:tcPr>
          <w:p w14:paraId="4FADB2AA">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eastAsia" w:ascii="Times New Roman" w:hAnsi="Times New Roman" w:cs="Times New Roman" w:eastAsiaTheme="minorEastAsia"/>
                <w:snapToGrid w:val="0"/>
                <w:color w:val="auto"/>
                <w:kern w:val="21"/>
                <w:sz w:val="21"/>
                <w:szCs w:val="21"/>
                <w:lang w:val="en-US" w:eastAsia="zh-CN"/>
              </w:rPr>
              <w:t>0.1</w:t>
            </w:r>
          </w:p>
        </w:tc>
        <w:tc>
          <w:tcPr>
            <w:tcW w:w="920" w:type="dxa"/>
            <w:noWrap w:val="0"/>
            <w:vAlign w:val="center"/>
          </w:tcPr>
          <w:p w14:paraId="16D8F6F9">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eastAsia" w:ascii="Times New Roman" w:hAnsi="Times New Roman" w:cs="Times New Roman" w:eastAsiaTheme="minorEastAsia"/>
                <w:snapToGrid w:val="0"/>
                <w:color w:val="auto"/>
                <w:kern w:val="21"/>
                <w:sz w:val="21"/>
                <w:szCs w:val="21"/>
                <w:lang w:val="en-US" w:eastAsia="zh-CN"/>
              </w:rPr>
              <w:t>0.1</w:t>
            </w:r>
          </w:p>
        </w:tc>
      </w:tr>
      <w:tr w14:paraId="752F8B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582" w:type="dxa"/>
            <w:vMerge w:val="continue"/>
            <w:noWrap w:val="0"/>
            <w:vAlign w:val="center"/>
          </w:tcPr>
          <w:p w14:paraId="2B3C00E2">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rPr>
            </w:pPr>
          </w:p>
        </w:tc>
        <w:tc>
          <w:tcPr>
            <w:tcW w:w="1412" w:type="dxa"/>
            <w:noWrap w:val="0"/>
            <w:vAlign w:val="center"/>
          </w:tcPr>
          <w:p w14:paraId="49327DB6">
            <w:pPr>
              <w:pStyle w:val="46"/>
              <w:keepNext w:val="0"/>
              <w:keepLines w:val="0"/>
              <w:pageBreakBefore w:val="0"/>
              <w:widowControl w:val="0"/>
              <w:kinsoku/>
              <w:wordWrap/>
              <w:overflowPunct/>
              <w:topLinePunct/>
              <w:autoSpaceDE/>
              <w:autoSpaceDN/>
              <w:bidi w:val="0"/>
              <w:spacing w:beforeLines="0" w:beforeAutospacing="0" w:afterLines="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废试剂瓶</w:t>
            </w:r>
          </w:p>
        </w:tc>
        <w:tc>
          <w:tcPr>
            <w:tcW w:w="1831" w:type="dxa"/>
            <w:noWrap w:val="0"/>
            <w:vAlign w:val="center"/>
          </w:tcPr>
          <w:p w14:paraId="3FD1B43F">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bidi="ar-SA"/>
              </w:rPr>
            </w:pPr>
            <w:r>
              <w:rPr>
                <w:rFonts w:hint="default" w:ascii="Times New Roman" w:hAnsi="Times New Roman" w:cs="Times New Roman" w:eastAsiaTheme="minorEastAsia"/>
                <w:snapToGrid w:val="0"/>
                <w:color w:val="auto"/>
                <w:kern w:val="21"/>
                <w:sz w:val="21"/>
                <w:szCs w:val="21"/>
                <w:lang w:val="en-US" w:eastAsia="zh-CN"/>
              </w:rPr>
              <w:t>/</w:t>
            </w:r>
          </w:p>
        </w:tc>
        <w:tc>
          <w:tcPr>
            <w:tcW w:w="1349" w:type="dxa"/>
            <w:noWrap w:val="0"/>
            <w:vAlign w:val="center"/>
          </w:tcPr>
          <w:p w14:paraId="78B6AC79">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bidi="ar-SA"/>
              </w:rPr>
            </w:pPr>
            <w:r>
              <w:rPr>
                <w:rFonts w:hint="default" w:ascii="Times New Roman" w:hAnsi="Times New Roman" w:cs="Times New Roman" w:eastAsiaTheme="minorEastAsia"/>
                <w:snapToGrid w:val="0"/>
                <w:color w:val="auto"/>
                <w:kern w:val="21"/>
                <w:sz w:val="21"/>
                <w:szCs w:val="21"/>
                <w:lang w:val="en-US" w:eastAsia="zh-CN"/>
              </w:rPr>
              <w:t>/</w:t>
            </w:r>
          </w:p>
        </w:tc>
        <w:tc>
          <w:tcPr>
            <w:tcW w:w="1480" w:type="dxa"/>
            <w:noWrap w:val="0"/>
            <w:vAlign w:val="center"/>
          </w:tcPr>
          <w:p w14:paraId="014A0BD1">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bidi="ar-SA"/>
              </w:rPr>
            </w:pPr>
            <w:r>
              <w:rPr>
                <w:rFonts w:hint="default" w:ascii="Times New Roman" w:hAnsi="Times New Roman" w:cs="Times New Roman" w:eastAsiaTheme="minorEastAsia"/>
                <w:snapToGrid w:val="0"/>
                <w:color w:val="auto"/>
                <w:kern w:val="21"/>
                <w:sz w:val="21"/>
                <w:szCs w:val="21"/>
                <w:lang w:val="en-US" w:eastAsia="zh-CN"/>
              </w:rPr>
              <w:t>/</w:t>
            </w:r>
          </w:p>
        </w:tc>
        <w:tc>
          <w:tcPr>
            <w:tcW w:w="1471" w:type="dxa"/>
            <w:noWrap w:val="0"/>
            <w:vAlign w:val="center"/>
          </w:tcPr>
          <w:p w14:paraId="30F92D9F">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0.4</w:t>
            </w:r>
          </w:p>
        </w:tc>
        <w:tc>
          <w:tcPr>
            <w:tcW w:w="1920" w:type="dxa"/>
            <w:noWrap w:val="0"/>
            <w:vAlign w:val="center"/>
          </w:tcPr>
          <w:p w14:paraId="7618DF13">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w:t>
            </w:r>
          </w:p>
        </w:tc>
        <w:tc>
          <w:tcPr>
            <w:tcW w:w="1770" w:type="dxa"/>
            <w:noWrap w:val="0"/>
            <w:vAlign w:val="center"/>
          </w:tcPr>
          <w:p w14:paraId="72BCBEDC">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0.4</w:t>
            </w:r>
          </w:p>
        </w:tc>
        <w:tc>
          <w:tcPr>
            <w:tcW w:w="920" w:type="dxa"/>
            <w:noWrap w:val="0"/>
            <w:vAlign w:val="center"/>
          </w:tcPr>
          <w:p w14:paraId="5CE84B55">
            <w:pPr>
              <w:keepNext w:val="0"/>
              <w:keepLines w:val="0"/>
              <w:pageBreakBefore w:val="0"/>
              <w:widowControl w:val="0"/>
              <w:kinsoku/>
              <w:wordWrap/>
              <w:overflowPunct/>
              <w:topLinePunct/>
              <w:autoSpaceDE/>
              <w:autoSpaceDN/>
              <w:bidi w:val="0"/>
              <w:spacing w:beforeAutospacing="0" w:afterAutospacing="0" w:line="360" w:lineRule="auto"/>
              <w:ind w:left="0" w:leftChars="0" w:right="0" w:rightChars="0" w:firstLine="0" w:firstLineChars="0"/>
              <w:jc w:val="center"/>
              <w:textAlignment w:val="auto"/>
              <w:rPr>
                <w:rFonts w:hint="default" w:ascii="Times New Roman" w:hAnsi="Times New Roman" w:cs="Times New Roman" w:eastAsiaTheme="minorEastAsia"/>
                <w:snapToGrid w:val="0"/>
                <w:color w:val="auto"/>
                <w:kern w:val="21"/>
                <w:sz w:val="21"/>
                <w:szCs w:val="21"/>
                <w:lang w:val="en-US" w:eastAsia="zh-CN"/>
              </w:rPr>
            </w:pPr>
            <w:r>
              <w:rPr>
                <w:rFonts w:hint="default" w:ascii="Times New Roman" w:hAnsi="Times New Roman" w:cs="Times New Roman" w:eastAsiaTheme="minorEastAsia"/>
                <w:snapToGrid w:val="0"/>
                <w:color w:val="auto"/>
                <w:kern w:val="21"/>
                <w:sz w:val="21"/>
                <w:szCs w:val="21"/>
                <w:lang w:val="en-US" w:eastAsia="zh-CN"/>
              </w:rPr>
              <w:t>0.4</w:t>
            </w:r>
          </w:p>
        </w:tc>
      </w:tr>
    </w:tbl>
    <w:p w14:paraId="2FE99E60">
      <w:pPr>
        <w:pStyle w:val="46"/>
        <w:pageBreakBefore w:val="0"/>
        <w:kinsoku/>
        <w:bidi w:val="0"/>
        <w:spacing w:beforeLines="0" w:beforeAutospacing="0" w:afterLines="0" w:afterAutospacing="0" w:line="360" w:lineRule="auto"/>
        <w:ind w:left="0" w:leftChars="0" w:right="0" w:rightChars="0"/>
        <w:jc w:val="left"/>
        <w:rPr>
          <w:rFonts w:hint="default" w:ascii="Times New Roman" w:hAnsi="Times New Roman" w:cs="Times New Roman" w:eastAsiaTheme="minorEastAsia"/>
          <w:snapToGrid w:val="0"/>
          <w:color w:val="auto"/>
          <w:spacing w:val="-6"/>
          <w:kern w:val="21"/>
          <w:szCs w:val="21"/>
        </w:rPr>
      </w:pPr>
      <w:r>
        <w:rPr>
          <w:rFonts w:hint="default" w:ascii="Times New Roman" w:hAnsi="Times New Roman" w:cs="Times New Roman" w:eastAsiaTheme="minorEastAsia"/>
          <w:snapToGrid w:val="0"/>
          <w:color w:val="auto"/>
          <w:kern w:val="21"/>
          <w:szCs w:val="21"/>
        </w:rPr>
        <w:t>注：</w:t>
      </w:r>
      <w:r>
        <w:rPr>
          <w:rFonts w:hint="default" w:ascii="Times New Roman" w:hAnsi="Times New Roman" w:cs="Times New Roman" w:eastAsiaTheme="minorEastAsia"/>
          <w:snapToGrid w:val="0"/>
          <w:color w:val="auto"/>
          <w:spacing w:val="-16"/>
          <w:kern w:val="21"/>
          <w:szCs w:val="21"/>
        </w:rPr>
        <w:fldChar w:fldCharType="begin"/>
      </w:r>
      <w:r>
        <w:rPr>
          <w:rFonts w:hint="default" w:ascii="Times New Roman" w:hAnsi="Times New Roman" w:cs="Times New Roman" w:eastAsiaTheme="minorEastAsia"/>
          <w:snapToGrid w:val="0"/>
          <w:color w:val="auto"/>
          <w:spacing w:val="-16"/>
          <w:kern w:val="21"/>
          <w:szCs w:val="21"/>
        </w:rPr>
        <w:instrText xml:space="preserve"> = 6 \* GB3 \* MERGEFORMAT </w:instrText>
      </w:r>
      <w:r>
        <w:rPr>
          <w:rFonts w:hint="default" w:ascii="Times New Roman" w:hAnsi="Times New Roman" w:cs="Times New Roman" w:eastAsiaTheme="minorEastAsia"/>
          <w:snapToGrid w:val="0"/>
          <w:color w:val="auto"/>
          <w:spacing w:val="-16"/>
          <w:kern w:val="21"/>
          <w:szCs w:val="21"/>
        </w:rPr>
        <w:fldChar w:fldCharType="separate"/>
      </w:r>
      <w:r>
        <w:rPr>
          <w:rFonts w:hint="default" w:ascii="Times New Roman" w:hAnsi="Times New Roman" w:cs="Times New Roman" w:eastAsiaTheme="minorEastAsia"/>
          <w:color w:val="auto"/>
          <w:szCs w:val="21"/>
        </w:rPr>
        <w:t>⑥</w:t>
      </w:r>
      <w:r>
        <w:rPr>
          <w:rFonts w:hint="default" w:ascii="Times New Roman" w:hAnsi="Times New Roman" w:cs="Times New Roman" w:eastAsiaTheme="minorEastAsia"/>
          <w:snapToGrid w:val="0"/>
          <w:color w:val="auto"/>
          <w:spacing w:val="-16"/>
          <w:kern w:val="21"/>
          <w:szCs w:val="21"/>
        </w:rPr>
        <w:fldChar w:fldCharType="end"/>
      </w:r>
      <w:r>
        <w:rPr>
          <w:rFonts w:hint="default" w:ascii="Times New Roman" w:hAnsi="Times New Roman" w:cs="Times New Roman" w:eastAsiaTheme="minorEastAsia"/>
          <w:snapToGrid w:val="0"/>
          <w:color w:val="auto"/>
          <w:spacing w:val="-16"/>
          <w:kern w:val="21"/>
          <w:szCs w:val="21"/>
        </w:rPr>
        <w:t>=</w:t>
      </w:r>
      <w:r>
        <w:rPr>
          <w:rFonts w:hint="default" w:ascii="Times New Roman" w:hAnsi="Times New Roman" w:cs="Times New Roman" w:eastAsiaTheme="minorEastAsia"/>
          <w:snapToGrid w:val="0"/>
          <w:color w:val="auto"/>
          <w:spacing w:val="-6"/>
          <w:kern w:val="21"/>
          <w:szCs w:val="21"/>
        </w:rPr>
        <w:fldChar w:fldCharType="begin"/>
      </w:r>
      <w:r>
        <w:rPr>
          <w:rFonts w:hint="default" w:ascii="Times New Roman" w:hAnsi="Times New Roman" w:cs="Times New Roman" w:eastAsiaTheme="minorEastAsia"/>
          <w:snapToGrid w:val="0"/>
          <w:color w:val="auto"/>
          <w:spacing w:val="-6"/>
          <w:kern w:val="21"/>
          <w:szCs w:val="21"/>
        </w:rPr>
        <w:instrText xml:space="preserve"> = 1 \* GB3 \* MERGEFORMAT </w:instrText>
      </w:r>
      <w:r>
        <w:rPr>
          <w:rFonts w:hint="default" w:ascii="Times New Roman" w:hAnsi="Times New Roman" w:cs="Times New Roman" w:eastAsiaTheme="minorEastAsia"/>
          <w:snapToGrid w:val="0"/>
          <w:color w:val="auto"/>
          <w:spacing w:val="-6"/>
          <w:kern w:val="21"/>
          <w:szCs w:val="21"/>
        </w:rPr>
        <w:fldChar w:fldCharType="separate"/>
      </w:r>
      <w:r>
        <w:rPr>
          <w:rFonts w:hint="default" w:ascii="Times New Roman" w:hAnsi="Times New Roman" w:cs="Times New Roman" w:eastAsiaTheme="minorEastAsia"/>
          <w:color w:val="auto"/>
          <w:szCs w:val="21"/>
        </w:rPr>
        <w:t>①</w:t>
      </w:r>
      <w:r>
        <w:rPr>
          <w:rFonts w:hint="default" w:ascii="Times New Roman" w:hAnsi="Times New Roman" w:cs="Times New Roman" w:eastAsiaTheme="minorEastAsia"/>
          <w:snapToGrid w:val="0"/>
          <w:color w:val="auto"/>
          <w:spacing w:val="-6"/>
          <w:kern w:val="21"/>
          <w:szCs w:val="21"/>
        </w:rPr>
        <w:fldChar w:fldCharType="end"/>
      </w:r>
      <w:r>
        <w:rPr>
          <w:rFonts w:hint="default" w:ascii="Times New Roman" w:hAnsi="Times New Roman" w:cs="Times New Roman" w:eastAsiaTheme="minorEastAsia"/>
          <w:snapToGrid w:val="0"/>
          <w:color w:val="auto"/>
          <w:spacing w:val="-6"/>
          <w:kern w:val="21"/>
          <w:szCs w:val="21"/>
        </w:rPr>
        <w:t>+</w:t>
      </w:r>
      <w:r>
        <w:rPr>
          <w:rFonts w:hint="default" w:ascii="Times New Roman" w:hAnsi="Times New Roman" w:cs="Times New Roman" w:eastAsiaTheme="minorEastAsia"/>
          <w:snapToGrid w:val="0"/>
          <w:color w:val="auto"/>
          <w:spacing w:val="-6"/>
          <w:kern w:val="21"/>
          <w:szCs w:val="21"/>
        </w:rPr>
        <w:fldChar w:fldCharType="begin"/>
      </w:r>
      <w:r>
        <w:rPr>
          <w:rFonts w:hint="default" w:ascii="Times New Roman" w:hAnsi="Times New Roman" w:cs="Times New Roman" w:eastAsiaTheme="minorEastAsia"/>
          <w:snapToGrid w:val="0"/>
          <w:color w:val="auto"/>
          <w:spacing w:val="-6"/>
          <w:kern w:val="21"/>
          <w:szCs w:val="21"/>
        </w:rPr>
        <w:instrText xml:space="preserve"> = 3 \* GB3 \* MERGEFORMAT </w:instrText>
      </w:r>
      <w:r>
        <w:rPr>
          <w:rFonts w:hint="default" w:ascii="Times New Roman" w:hAnsi="Times New Roman" w:cs="Times New Roman" w:eastAsiaTheme="minorEastAsia"/>
          <w:snapToGrid w:val="0"/>
          <w:color w:val="auto"/>
          <w:spacing w:val="-6"/>
          <w:kern w:val="21"/>
          <w:szCs w:val="21"/>
        </w:rPr>
        <w:fldChar w:fldCharType="separate"/>
      </w:r>
      <w:r>
        <w:rPr>
          <w:rFonts w:hint="default" w:ascii="Times New Roman" w:hAnsi="Times New Roman" w:cs="Times New Roman" w:eastAsiaTheme="minorEastAsia"/>
          <w:color w:val="auto"/>
          <w:szCs w:val="21"/>
        </w:rPr>
        <w:t>③</w:t>
      </w:r>
      <w:r>
        <w:rPr>
          <w:rFonts w:hint="default" w:ascii="Times New Roman" w:hAnsi="Times New Roman" w:cs="Times New Roman" w:eastAsiaTheme="minorEastAsia"/>
          <w:snapToGrid w:val="0"/>
          <w:color w:val="auto"/>
          <w:spacing w:val="-6"/>
          <w:kern w:val="21"/>
          <w:szCs w:val="21"/>
        </w:rPr>
        <w:fldChar w:fldCharType="end"/>
      </w:r>
      <w:r>
        <w:rPr>
          <w:rFonts w:hint="default" w:ascii="Times New Roman" w:hAnsi="Times New Roman" w:cs="Times New Roman" w:eastAsiaTheme="minorEastAsia"/>
          <w:snapToGrid w:val="0"/>
          <w:color w:val="auto"/>
          <w:spacing w:val="-6"/>
          <w:kern w:val="21"/>
          <w:szCs w:val="21"/>
        </w:rPr>
        <w:t>+</w:t>
      </w:r>
      <w:r>
        <w:rPr>
          <w:rFonts w:hint="default" w:ascii="Times New Roman" w:hAnsi="Times New Roman" w:cs="Times New Roman" w:eastAsiaTheme="minorEastAsia"/>
          <w:snapToGrid w:val="0"/>
          <w:color w:val="auto"/>
          <w:spacing w:val="-6"/>
          <w:kern w:val="21"/>
          <w:szCs w:val="21"/>
        </w:rPr>
        <w:fldChar w:fldCharType="begin"/>
      </w:r>
      <w:r>
        <w:rPr>
          <w:rFonts w:hint="default" w:ascii="Times New Roman" w:hAnsi="Times New Roman" w:cs="Times New Roman" w:eastAsiaTheme="minorEastAsia"/>
          <w:snapToGrid w:val="0"/>
          <w:color w:val="auto"/>
          <w:spacing w:val="-6"/>
          <w:kern w:val="21"/>
          <w:szCs w:val="21"/>
        </w:rPr>
        <w:instrText xml:space="preserve"> = 4 \* GB3 \* MERGEFORMAT </w:instrText>
      </w:r>
      <w:r>
        <w:rPr>
          <w:rFonts w:hint="default" w:ascii="Times New Roman" w:hAnsi="Times New Roman" w:cs="Times New Roman" w:eastAsiaTheme="minorEastAsia"/>
          <w:snapToGrid w:val="0"/>
          <w:color w:val="auto"/>
          <w:spacing w:val="-6"/>
          <w:kern w:val="21"/>
          <w:szCs w:val="21"/>
        </w:rPr>
        <w:fldChar w:fldCharType="separate"/>
      </w:r>
      <w:r>
        <w:rPr>
          <w:rFonts w:hint="default" w:ascii="Times New Roman" w:hAnsi="Times New Roman" w:cs="Times New Roman" w:eastAsiaTheme="minorEastAsia"/>
          <w:color w:val="auto"/>
          <w:szCs w:val="21"/>
        </w:rPr>
        <w:t>④</w:t>
      </w:r>
      <w:r>
        <w:rPr>
          <w:rFonts w:hint="default" w:ascii="Times New Roman" w:hAnsi="Times New Roman" w:cs="Times New Roman" w:eastAsiaTheme="minorEastAsia"/>
          <w:snapToGrid w:val="0"/>
          <w:color w:val="auto"/>
          <w:spacing w:val="-6"/>
          <w:kern w:val="21"/>
          <w:szCs w:val="21"/>
        </w:rPr>
        <w:fldChar w:fldCharType="end"/>
      </w:r>
      <w:r>
        <w:rPr>
          <w:rFonts w:hint="default" w:ascii="Times New Roman" w:hAnsi="Times New Roman" w:cs="Times New Roman" w:eastAsiaTheme="minorEastAsia"/>
          <w:snapToGrid w:val="0"/>
          <w:color w:val="auto"/>
          <w:spacing w:val="-6"/>
          <w:kern w:val="21"/>
          <w:szCs w:val="21"/>
        </w:rPr>
        <w:t>-</w:t>
      </w:r>
      <w:r>
        <w:rPr>
          <w:rFonts w:hint="default" w:ascii="Times New Roman" w:hAnsi="Times New Roman" w:cs="Times New Roman" w:eastAsiaTheme="minorEastAsia"/>
          <w:snapToGrid w:val="0"/>
          <w:color w:val="auto"/>
          <w:spacing w:val="-16"/>
          <w:kern w:val="21"/>
          <w:szCs w:val="21"/>
        </w:rPr>
        <w:fldChar w:fldCharType="begin"/>
      </w:r>
      <w:r>
        <w:rPr>
          <w:rFonts w:hint="default" w:ascii="Times New Roman" w:hAnsi="Times New Roman" w:cs="Times New Roman" w:eastAsiaTheme="minorEastAsia"/>
          <w:snapToGrid w:val="0"/>
          <w:color w:val="auto"/>
          <w:spacing w:val="-16"/>
          <w:kern w:val="21"/>
          <w:szCs w:val="21"/>
        </w:rPr>
        <w:instrText xml:space="preserve"> = 5 \* GB3 \* MERGEFORMAT </w:instrText>
      </w:r>
      <w:r>
        <w:rPr>
          <w:rFonts w:hint="default" w:ascii="Times New Roman" w:hAnsi="Times New Roman" w:cs="Times New Roman" w:eastAsiaTheme="minorEastAsia"/>
          <w:snapToGrid w:val="0"/>
          <w:color w:val="auto"/>
          <w:spacing w:val="-16"/>
          <w:kern w:val="21"/>
          <w:szCs w:val="21"/>
        </w:rPr>
        <w:fldChar w:fldCharType="separate"/>
      </w:r>
      <w:r>
        <w:rPr>
          <w:rFonts w:hint="default" w:ascii="Times New Roman" w:hAnsi="Times New Roman" w:cs="Times New Roman" w:eastAsiaTheme="minorEastAsia"/>
          <w:color w:val="auto"/>
          <w:szCs w:val="21"/>
        </w:rPr>
        <w:t>⑤</w:t>
      </w:r>
      <w:r>
        <w:rPr>
          <w:rFonts w:hint="default" w:ascii="Times New Roman" w:hAnsi="Times New Roman" w:cs="Times New Roman" w:eastAsiaTheme="minorEastAsia"/>
          <w:snapToGrid w:val="0"/>
          <w:color w:val="auto"/>
          <w:spacing w:val="-16"/>
          <w:kern w:val="21"/>
          <w:szCs w:val="21"/>
        </w:rPr>
        <w:fldChar w:fldCharType="end"/>
      </w:r>
      <w:r>
        <w:rPr>
          <w:rFonts w:hint="default" w:ascii="Times New Roman" w:hAnsi="Times New Roman" w:cs="Times New Roman" w:eastAsiaTheme="minorEastAsia"/>
          <w:snapToGrid w:val="0"/>
          <w:color w:val="auto"/>
          <w:spacing w:val="-16"/>
          <w:kern w:val="21"/>
          <w:szCs w:val="21"/>
        </w:rPr>
        <w:t>；</w:t>
      </w:r>
      <w:r>
        <w:rPr>
          <w:rFonts w:hint="default" w:ascii="Times New Roman" w:hAnsi="Times New Roman" w:cs="Times New Roman" w:eastAsiaTheme="minorEastAsia"/>
          <w:snapToGrid w:val="0"/>
          <w:color w:val="auto"/>
          <w:spacing w:val="-6"/>
          <w:kern w:val="21"/>
          <w:szCs w:val="21"/>
        </w:rPr>
        <w:fldChar w:fldCharType="begin"/>
      </w:r>
      <w:r>
        <w:rPr>
          <w:rFonts w:hint="default" w:ascii="Times New Roman" w:hAnsi="Times New Roman" w:cs="Times New Roman" w:eastAsiaTheme="minorEastAsia"/>
          <w:snapToGrid w:val="0"/>
          <w:color w:val="auto"/>
          <w:spacing w:val="-6"/>
          <w:kern w:val="21"/>
          <w:szCs w:val="21"/>
        </w:rPr>
        <w:instrText xml:space="preserve"> = 7 \* GB3 \* MERGEFORMAT </w:instrText>
      </w:r>
      <w:r>
        <w:rPr>
          <w:rFonts w:hint="default" w:ascii="Times New Roman" w:hAnsi="Times New Roman" w:cs="Times New Roman" w:eastAsiaTheme="minorEastAsia"/>
          <w:snapToGrid w:val="0"/>
          <w:color w:val="auto"/>
          <w:spacing w:val="-6"/>
          <w:kern w:val="21"/>
          <w:szCs w:val="21"/>
        </w:rPr>
        <w:fldChar w:fldCharType="separate"/>
      </w:r>
      <w:r>
        <w:rPr>
          <w:rFonts w:hint="default" w:ascii="Times New Roman" w:hAnsi="Times New Roman" w:cs="Times New Roman" w:eastAsiaTheme="minorEastAsia"/>
          <w:color w:val="auto"/>
          <w:szCs w:val="21"/>
        </w:rPr>
        <w:t>⑦</w:t>
      </w:r>
      <w:r>
        <w:rPr>
          <w:rFonts w:hint="default" w:ascii="Times New Roman" w:hAnsi="Times New Roman" w:cs="Times New Roman" w:eastAsiaTheme="minorEastAsia"/>
          <w:snapToGrid w:val="0"/>
          <w:color w:val="auto"/>
          <w:spacing w:val="-6"/>
          <w:kern w:val="21"/>
          <w:szCs w:val="21"/>
        </w:rPr>
        <w:fldChar w:fldCharType="end"/>
      </w:r>
      <w:r>
        <w:rPr>
          <w:rFonts w:hint="default" w:ascii="Times New Roman" w:hAnsi="Times New Roman" w:cs="Times New Roman" w:eastAsiaTheme="minorEastAsia"/>
          <w:snapToGrid w:val="0"/>
          <w:color w:val="auto"/>
          <w:spacing w:val="-6"/>
          <w:kern w:val="21"/>
          <w:szCs w:val="21"/>
        </w:rPr>
        <w:t>=</w:t>
      </w:r>
      <w:r>
        <w:rPr>
          <w:rFonts w:hint="default" w:ascii="Times New Roman" w:hAnsi="Times New Roman" w:cs="Times New Roman" w:eastAsiaTheme="minorEastAsia"/>
          <w:snapToGrid w:val="0"/>
          <w:color w:val="auto"/>
          <w:spacing w:val="-16"/>
          <w:kern w:val="21"/>
          <w:szCs w:val="21"/>
        </w:rPr>
        <w:fldChar w:fldCharType="begin"/>
      </w:r>
      <w:r>
        <w:rPr>
          <w:rFonts w:hint="default" w:ascii="Times New Roman" w:hAnsi="Times New Roman" w:cs="Times New Roman" w:eastAsiaTheme="minorEastAsia"/>
          <w:snapToGrid w:val="0"/>
          <w:color w:val="auto"/>
          <w:spacing w:val="-16"/>
          <w:kern w:val="21"/>
          <w:szCs w:val="21"/>
        </w:rPr>
        <w:instrText xml:space="preserve"> = 6 \* GB3 \* MERGEFORMAT </w:instrText>
      </w:r>
      <w:r>
        <w:rPr>
          <w:rFonts w:hint="default" w:ascii="Times New Roman" w:hAnsi="Times New Roman" w:cs="Times New Roman" w:eastAsiaTheme="minorEastAsia"/>
          <w:snapToGrid w:val="0"/>
          <w:color w:val="auto"/>
          <w:spacing w:val="-16"/>
          <w:kern w:val="21"/>
          <w:szCs w:val="21"/>
        </w:rPr>
        <w:fldChar w:fldCharType="separate"/>
      </w:r>
      <w:r>
        <w:rPr>
          <w:rFonts w:hint="default" w:ascii="Times New Roman" w:hAnsi="Times New Roman" w:cs="Times New Roman" w:eastAsiaTheme="minorEastAsia"/>
          <w:color w:val="auto"/>
          <w:szCs w:val="21"/>
        </w:rPr>
        <w:t>⑥</w:t>
      </w:r>
      <w:r>
        <w:rPr>
          <w:rFonts w:hint="default" w:ascii="Times New Roman" w:hAnsi="Times New Roman" w:cs="Times New Roman" w:eastAsiaTheme="minorEastAsia"/>
          <w:snapToGrid w:val="0"/>
          <w:color w:val="auto"/>
          <w:spacing w:val="-16"/>
          <w:kern w:val="21"/>
          <w:szCs w:val="21"/>
        </w:rPr>
        <w:fldChar w:fldCharType="end"/>
      </w:r>
      <w:r>
        <w:rPr>
          <w:rFonts w:hint="default" w:ascii="Times New Roman" w:hAnsi="Times New Roman" w:cs="Times New Roman" w:eastAsiaTheme="minorEastAsia"/>
          <w:snapToGrid w:val="0"/>
          <w:color w:val="auto"/>
          <w:spacing w:val="-16"/>
          <w:kern w:val="21"/>
          <w:szCs w:val="21"/>
        </w:rPr>
        <w:t>-</w:t>
      </w:r>
      <w:r>
        <w:rPr>
          <w:rFonts w:hint="default" w:ascii="Times New Roman" w:hAnsi="Times New Roman" w:cs="Times New Roman" w:eastAsiaTheme="minorEastAsia"/>
          <w:snapToGrid w:val="0"/>
          <w:color w:val="auto"/>
          <w:spacing w:val="-6"/>
          <w:kern w:val="21"/>
          <w:szCs w:val="21"/>
        </w:rPr>
        <w:fldChar w:fldCharType="begin"/>
      </w:r>
      <w:r>
        <w:rPr>
          <w:rFonts w:hint="default" w:ascii="Times New Roman" w:hAnsi="Times New Roman" w:cs="Times New Roman" w:eastAsiaTheme="minorEastAsia"/>
          <w:snapToGrid w:val="0"/>
          <w:color w:val="auto"/>
          <w:spacing w:val="-6"/>
          <w:kern w:val="21"/>
          <w:szCs w:val="21"/>
        </w:rPr>
        <w:instrText xml:space="preserve"> = 1 \* GB3 \* MERGEFORMAT </w:instrText>
      </w:r>
      <w:r>
        <w:rPr>
          <w:rFonts w:hint="default" w:ascii="Times New Roman" w:hAnsi="Times New Roman" w:cs="Times New Roman" w:eastAsiaTheme="minorEastAsia"/>
          <w:snapToGrid w:val="0"/>
          <w:color w:val="auto"/>
          <w:spacing w:val="-6"/>
          <w:kern w:val="21"/>
          <w:szCs w:val="21"/>
        </w:rPr>
        <w:fldChar w:fldCharType="separate"/>
      </w:r>
      <w:r>
        <w:rPr>
          <w:rFonts w:hint="default" w:ascii="Times New Roman" w:hAnsi="Times New Roman" w:cs="Times New Roman" w:eastAsiaTheme="minorEastAsia"/>
          <w:color w:val="auto"/>
          <w:szCs w:val="21"/>
        </w:rPr>
        <w:t>①</w:t>
      </w:r>
      <w:r>
        <w:rPr>
          <w:rFonts w:hint="default" w:ascii="Times New Roman" w:hAnsi="Times New Roman" w:cs="Times New Roman" w:eastAsiaTheme="minorEastAsia"/>
          <w:snapToGrid w:val="0"/>
          <w:color w:val="auto"/>
          <w:spacing w:val="-6"/>
          <w:kern w:val="21"/>
          <w:szCs w:val="21"/>
        </w:rPr>
        <w:fldChar w:fldCharType="end"/>
      </w:r>
    </w:p>
    <w:p w14:paraId="22695BA1">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rPr>
      </w:pPr>
    </w:p>
    <w:p w14:paraId="03CB829E">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rPr>
        <w:sectPr>
          <w:footerReference r:id="rId5" w:type="default"/>
          <w:pgSz w:w="16838" w:h="11906" w:orient="landscape"/>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012A71FF">
      <w:pPr>
        <w:pStyle w:val="2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leftChars="0" w:right="0" w:rightChars="0"/>
        <w:textAlignment w:val="auto"/>
        <w:outlineLvl w:val="0"/>
        <w:rPr>
          <w:rFonts w:hint="default" w:ascii="Times New Roman" w:hAnsi="Times New Roman" w:cs="Times New Roman" w:eastAsiaTheme="minorEastAsia"/>
          <w:snapToGrid w:val="0"/>
          <w:color w:val="auto"/>
          <w:sz w:val="32"/>
          <w:szCs w:val="32"/>
          <w:highlight w:val="none"/>
          <w:lang w:val="en-US" w:eastAsia="zh-CN"/>
        </w:rPr>
      </w:pPr>
      <w:r>
        <w:rPr>
          <w:rFonts w:hint="default" w:ascii="Times New Roman" w:hAnsi="Times New Roman" w:cs="Times New Roman" w:eastAsiaTheme="minorEastAsia"/>
          <w:snapToGrid w:val="0"/>
          <w:color w:val="auto"/>
          <w:sz w:val="32"/>
          <w:szCs w:val="32"/>
          <w:highlight w:val="none"/>
          <w:lang w:val="en-US" w:eastAsia="zh-CN"/>
        </w:rPr>
        <w:t>附图：</w:t>
      </w:r>
    </w:p>
    <w:p w14:paraId="6EB0718A">
      <w:pPr>
        <w:pageBreakBefore w:val="0"/>
        <w:kinsoku/>
        <w:bidi w:val="0"/>
        <w:spacing w:beforeAutospacing="0" w:afterAutospacing="0" w:line="360" w:lineRule="auto"/>
        <w:ind w:left="0" w:leftChars="0" w:right="0" w:rightChars="0" w:firstLine="480" w:firstLineChars="200"/>
        <w:jc w:val="both"/>
        <w:rPr>
          <w:rFonts w:hint="default" w:ascii="Times New Roman" w:hAnsi="Times New Roman" w:cs="Times New Roman" w:eastAsiaTheme="minorEastAsia"/>
          <w:color w:val="auto"/>
          <w:sz w:val="24"/>
          <w:szCs w:val="32"/>
          <w:highlight w:val="none"/>
          <w:lang w:val="en-US" w:eastAsia="zh-CN"/>
        </w:rPr>
      </w:pPr>
      <w:r>
        <w:rPr>
          <w:rFonts w:hint="default" w:ascii="Times New Roman" w:hAnsi="Times New Roman" w:cs="Times New Roman" w:eastAsiaTheme="minorEastAsia"/>
          <w:color w:val="auto"/>
          <w:sz w:val="24"/>
          <w:szCs w:val="32"/>
          <w:highlight w:val="none"/>
          <w:lang w:val="en-US" w:eastAsia="zh-CN"/>
        </w:rPr>
        <w:t>附图1：项目与昌吉高新技术产业开发区国土空间结构规划位置关系图</w:t>
      </w:r>
    </w:p>
    <w:p w14:paraId="237041D9">
      <w:pPr>
        <w:pageBreakBefore w:val="0"/>
        <w:kinsoku/>
        <w:bidi w:val="0"/>
        <w:spacing w:beforeAutospacing="0" w:afterAutospacing="0" w:line="360" w:lineRule="auto"/>
        <w:ind w:left="0" w:leftChars="0" w:right="0" w:rightChars="0" w:firstLine="480" w:firstLineChars="200"/>
        <w:jc w:val="both"/>
        <w:rPr>
          <w:rFonts w:hint="default" w:ascii="Times New Roman" w:hAnsi="Times New Roman" w:cs="Times New Roman" w:eastAsiaTheme="minorEastAsia"/>
          <w:color w:val="auto"/>
          <w:sz w:val="24"/>
          <w:szCs w:val="32"/>
          <w:highlight w:val="none"/>
          <w:lang w:val="en-US" w:eastAsia="zh-CN"/>
        </w:rPr>
      </w:pPr>
      <w:r>
        <w:rPr>
          <w:rFonts w:hint="default" w:ascii="Times New Roman" w:hAnsi="Times New Roman" w:cs="Times New Roman" w:eastAsiaTheme="minorEastAsia"/>
          <w:color w:val="auto"/>
          <w:sz w:val="24"/>
          <w:szCs w:val="32"/>
          <w:highlight w:val="none"/>
          <w:lang w:val="en-US" w:eastAsia="zh-CN"/>
        </w:rPr>
        <w:t>附图2：项目与园区土地使用规划位置图</w:t>
      </w:r>
    </w:p>
    <w:p w14:paraId="21F67DE7">
      <w:pPr>
        <w:pageBreakBefore w:val="0"/>
        <w:kinsoku/>
        <w:bidi w:val="0"/>
        <w:spacing w:beforeAutospacing="0" w:afterAutospacing="0" w:line="360" w:lineRule="auto"/>
        <w:ind w:left="0" w:leftChars="0" w:right="0" w:rightChars="0" w:firstLine="480" w:firstLineChars="200"/>
        <w:jc w:val="both"/>
        <w:rPr>
          <w:rFonts w:hint="default" w:ascii="Times New Roman" w:hAnsi="Times New Roman" w:cs="Times New Roman" w:eastAsiaTheme="minorEastAsia"/>
          <w:color w:val="auto"/>
          <w:sz w:val="24"/>
          <w:szCs w:val="32"/>
          <w:highlight w:val="none"/>
          <w:lang w:val="en-US" w:eastAsia="zh-CN"/>
        </w:rPr>
      </w:pPr>
      <w:r>
        <w:rPr>
          <w:rFonts w:hint="default" w:ascii="Times New Roman" w:hAnsi="Times New Roman" w:cs="Times New Roman" w:eastAsiaTheme="minorEastAsia"/>
          <w:color w:val="auto"/>
          <w:sz w:val="24"/>
          <w:szCs w:val="32"/>
          <w:highlight w:val="none"/>
          <w:lang w:val="en-US" w:eastAsia="zh-CN"/>
        </w:rPr>
        <w:t>附图3：项目与昌吉回族自治州生态环境分区管控动态更新成果位置关系图</w:t>
      </w:r>
    </w:p>
    <w:p w14:paraId="56B5D05D">
      <w:pPr>
        <w:pageBreakBefore w:val="0"/>
        <w:kinsoku/>
        <w:bidi w:val="0"/>
        <w:spacing w:beforeAutospacing="0" w:afterAutospacing="0" w:line="360" w:lineRule="auto"/>
        <w:ind w:left="0" w:leftChars="0" w:right="0" w:rightChars="0" w:firstLine="480" w:firstLineChars="200"/>
        <w:jc w:val="both"/>
        <w:rPr>
          <w:rFonts w:hint="default" w:ascii="Times New Roman" w:hAnsi="Times New Roman" w:cs="Times New Roman" w:eastAsiaTheme="minorEastAsia"/>
          <w:color w:val="auto"/>
          <w:sz w:val="24"/>
          <w:szCs w:val="32"/>
          <w:highlight w:val="none"/>
          <w:lang w:val="en-US" w:eastAsia="zh-CN"/>
        </w:rPr>
      </w:pPr>
      <w:r>
        <w:rPr>
          <w:rFonts w:hint="default" w:ascii="Times New Roman" w:hAnsi="Times New Roman" w:cs="Times New Roman" w:eastAsiaTheme="minorEastAsia"/>
          <w:color w:val="auto"/>
          <w:sz w:val="24"/>
          <w:szCs w:val="32"/>
          <w:highlight w:val="none"/>
          <w:lang w:val="en-US" w:eastAsia="zh-CN"/>
        </w:rPr>
        <w:t>附图4：项目地理位置图</w:t>
      </w:r>
    </w:p>
    <w:p w14:paraId="5AC3AAC3">
      <w:pPr>
        <w:pageBreakBefore w:val="0"/>
        <w:kinsoku/>
        <w:bidi w:val="0"/>
        <w:spacing w:beforeAutospacing="0" w:afterAutospacing="0" w:line="360" w:lineRule="auto"/>
        <w:ind w:left="0" w:leftChars="0" w:right="0" w:rightChars="0" w:firstLine="480" w:firstLineChars="200"/>
        <w:jc w:val="both"/>
        <w:rPr>
          <w:rFonts w:hint="default" w:ascii="Times New Roman" w:hAnsi="Times New Roman" w:cs="Times New Roman" w:eastAsiaTheme="minorEastAsia"/>
          <w:color w:val="auto"/>
          <w:sz w:val="24"/>
          <w:szCs w:val="32"/>
          <w:highlight w:val="none"/>
          <w:lang w:val="en-US" w:eastAsia="zh-CN"/>
        </w:rPr>
      </w:pPr>
      <w:r>
        <w:rPr>
          <w:rFonts w:hint="default" w:ascii="Times New Roman" w:hAnsi="Times New Roman" w:cs="Times New Roman" w:eastAsiaTheme="minorEastAsia"/>
          <w:color w:val="auto"/>
          <w:sz w:val="24"/>
          <w:szCs w:val="32"/>
          <w:highlight w:val="none"/>
          <w:lang w:val="en-US" w:eastAsia="zh-CN"/>
        </w:rPr>
        <w:t>附图5：周边环境关系图</w:t>
      </w:r>
    </w:p>
    <w:p w14:paraId="65AEC1B8">
      <w:pPr>
        <w:pageBreakBefore w:val="0"/>
        <w:kinsoku/>
        <w:bidi w:val="0"/>
        <w:spacing w:beforeAutospacing="0" w:afterAutospacing="0" w:line="360" w:lineRule="auto"/>
        <w:ind w:left="0" w:leftChars="0" w:right="0" w:rightChars="0" w:firstLine="480" w:firstLineChars="200"/>
        <w:jc w:val="both"/>
        <w:rPr>
          <w:rFonts w:hint="default" w:ascii="Times New Roman" w:hAnsi="Times New Roman" w:cs="Times New Roman" w:eastAsiaTheme="minorEastAsia"/>
          <w:color w:val="auto"/>
          <w:sz w:val="24"/>
          <w:szCs w:val="32"/>
          <w:highlight w:val="none"/>
          <w:lang w:val="en-US" w:eastAsia="zh-CN"/>
        </w:rPr>
      </w:pPr>
      <w:r>
        <w:rPr>
          <w:rFonts w:hint="default" w:ascii="Times New Roman" w:hAnsi="Times New Roman" w:cs="Times New Roman" w:eastAsiaTheme="minorEastAsia"/>
          <w:color w:val="auto"/>
          <w:sz w:val="24"/>
          <w:szCs w:val="32"/>
          <w:highlight w:val="none"/>
          <w:lang w:val="en-US" w:eastAsia="zh-CN"/>
        </w:rPr>
        <w:t>附图</w:t>
      </w:r>
      <w:r>
        <w:rPr>
          <w:rFonts w:hint="eastAsia" w:ascii="Times New Roman" w:hAnsi="Times New Roman" w:cs="Times New Roman" w:eastAsiaTheme="minorEastAsia"/>
          <w:color w:val="auto"/>
          <w:sz w:val="24"/>
          <w:szCs w:val="32"/>
          <w:highlight w:val="none"/>
          <w:lang w:val="en-US" w:eastAsia="zh-CN"/>
        </w:rPr>
        <w:t>6</w:t>
      </w:r>
      <w:r>
        <w:rPr>
          <w:rFonts w:hint="default" w:ascii="Times New Roman" w:hAnsi="Times New Roman" w:cs="Times New Roman" w:eastAsiaTheme="minorEastAsia"/>
          <w:color w:val="auto"/>
          <w:sz w:val="24"/>
          <w:szCs w:val="32"/>
          <w:highlight w:val="none"/>
          <w:lang w:val="en-US" w:eastAsia="zh-CN"/>
        </w:rPr>
        <w:t>：危废贮存库与学校的位置关系图</w:t>
      </w:r>
    </w:p>
    <w:p w14:paraId="60573328">
      <w:pPr>
        <w:pStyle w:val="27"/>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leftChars="0" w:right="0" w:rightChars="0"/>
        <w:textAlignment w:val="auto"/>
        <w:outlineLvl w:val="0"/>
        <w:rPr>
          <w:rFonts w:hint="default" w:ascii="Times New Roman" w:hAnsi="Times New Roman" w:cs="Times New Roman" w:eastAsiaTheme="minorEastAsia"/>
          <w:snapToGrid w:val="0"/>
          <w:color w:val="auto"/>
          <w:sz w:val="32"/>
          <w:szCs w:val="32"/>
          <w:highlight w:val="none"/>
          <w:lang w:val="en-US" w:eastAsia="zh-CN"/>
        </w:rPr>
      </w:pPr>
      <w:r>
        <w:rPr>
          <w:rFonts w:hint="default" w:ascii="Times New Roman" w:hAnsi="Times New Roman" w:cs="Times New Roman" w:eastAsiaTheme="minorEastAsia"/>
          <w:snapToGrid w:val="0"/>
          <w:color w:val="auto"/>
          <w:sz w:val="32"/>
          <w:szCs w:val="32"/>
          <w:highlight w:val="none"/>
          <w:lang w:val="en-US" w:eastAsia="zh-CN"/>
        </w:rPr>
        <w:t>附件：</w:t>
      </w:r>
    </w:p>
    <w:p w14:paraId="05BBCEB9">
      <w:pPr>
        <w:pageBreakBefore w:val="0"/>
        <w:kinsoku/>
        <w:bidi w:val="0"/>
        <w:spacing w:beforeAutospacing="0" w:afterAutospacing="0" w:line="360" w:lineRule="auto"/>
        <w:ind w:left="0" w:leftChars="0" w:right="0" w:rightChars="0" w:firstLine="480" w:firstLineChars="200"/>
        <w:jc w:val="both"/>
        <w:rPr>
          <w:rFonts w:hint="default" w:ascii="Times New Roman" w:hAnsi="Times New Roman" w:cs="Times New Roman" w:eastAsiaTheme="minorEastAsia"/>
          <w:color w:val="auto"/>
          <w:sz w:val="24"/>
          <w:szCs w:val="32"/>
          <w:highlight w:val="none"/>
          <w:lang w:val="en-US" w:eastAsia="zh-CN"/>
        </w:rPr>
      </w:pPr>
      <w:r>
        <w:rPr>
          <w:rFonts w:hint="default" w:ascii="Times New Roman" w:hAnsi="Times New Roman" w:cs="Times New Roman" w:eastAsiaTheme="minorEastAsia"/>
          <w:color w:val="auto"/>
          <w:sz w:val="24"/>
          <w:szCs w:val="32"/>
          <w:highlight w:val="none"/>
          <w:lang w:val="en-US" w:eastAsia="zh-CN"/>
        </w:rPr>
        <w:t>附件1：委托书</w:t>
      </w:r>
    </w:p>
    <w:p w14:paraId="42D8E83A">
      <w:pPr>
        <w:pageBreakBefore w:val="0"/>
        <w:kinsoku/>
        <w:bidi w:val="0"/>
        <w:spacing w:beforeAutospacing="0" w:afterAutospacing="0" w:line="360" w:lineRule="auto"/>
        <w:ind w:left="0" w:leftChars="0" w:right="0" w:rightChars="0" w:firstLine="480" w:firstLineChars="200"/>
        <w:jc w:val="both"/>
        <w:rPr>
          <w:rFonts w:hint="eastAsia" w:ascii="Times New Roman" w:hAnsi="Times New Roman" w:cs="Times New Roman" w:eastAsiaTheme="minorEastAsia"/>
          <w:color w:val="auto"/>
          <w:sz w:val="24"/>
          <w:szCs w:val="32"/>
          <w:highlight w:val="none"/>
          <w:lang w:val="en-US" w:eastAsia="zh-CN"/>
        </w:rPr>
      </w:pPr>
      <w:r>
        <w:rPr>
          <w:rFonts w:hint="eastAsia" w:ascii="Times New Roman" w:hAnsi="Times New Roman" w:cs="Times New Roman" w:eastAsiaTheme="minorEastAsia"/>
          <w:color w:val="auto"/>
          <w:sz w:val="24"/>
          <w:szCs w:val="32"/>
          <w:highlight w:val="none"/>
          <w:lang w:val="en-US" w:eastAsia="zh-CN"/>
        </w:rPr>
        <w:t>附件2：</w:t>
      </w:r>
      <w:r>
        <w:rPr>
          <w:rFonts w:hint="eastAsia" w:ascii="Times New Roman" w:hAnsi="Times New Roman" w:cs="Times New Roman" w:eastAsiaTheme="minorEastAsia"/>
          <w:color w:val="auto"/>
          <w:spacing w:val="-11"/>
          <w:kern w:val="0"/>
          <w:sz w:val="24"/>
          <w:szCs w:val="32"/>
          <w:highlight w:val="none"/>
          <w:lang w:val="en-US" w:eastAsia="zh-CN"/>
        </w:rPr>
        <w:t>昌吉高新技术产业开发区总体规划（2014-2030）环境影响报告书的审查意见</w:t>
      </w:r>
    </w:p>
    <w:p w14:paraId="6F9E08BA">
      <w:pPr>
        <w:pageBreakBefore w:val="0"/>
        <w:kinsoku/>
        <w:bidi w:val="0"/>
        <w:spacing w:beforeAutospacing="0" w:afterAutospacing="0" w:line="360" w:lineRule="auto"/>
        <w:ind w:left="0" w:leftChars="0" w:right="0" w:rightChars="0" w:firstLine="480" w:firstLineChars="200"/>
        <w:jc w:val="both"/>
        <w:rPr>
          <w:rFonts w:hint="eastAsia" w:ascii="Times New Roman" w:hAnsi="Times New Roman" w:cs="Times New Roman" w:eastAsiaTheme="minorEastAsia"/>
          <w:color w:val="auto"/>
          <w:sz w:val="24"/>
          <w:szCs w:val="32"/>
          <w:highlight w:val="none"/>
          <w:lang w:val="en-US" w:eastAsia="zh-CN"/>
        </w:rPr>
      </w:pPr>
      <w:r>
        <w:rPr>
          <w:rFonts w:hint="eastAsia" w:ascii="Times New Roman" w:hAnsi="Times New Roman" w:cs="Times New Roman" w:eastAsiaTheme="minorEastAsia"/>
          <w:color w:val="auto"/>
          <w:sz w:val="24"/>
          <w:szCs w:val="32"/>
          <w:highlight w:val="none"/>
          <w:lang w:val="en-US" w:eastAsia="zh-CN"/>
        </w:rPr>
        <w:t>附件3：危废处置协议</w:t>
      </w:r>
    </w:p>
    <w:p w14:paraId="6FD91EBA">
      <w:pPr>
        <w:pageBreakBefore w:val="0"/>
        <w:kinsoku/>
        <w:bidi w:val="0"/>
        <w:spacing w:beforeAutospacing="0" w:afterAutospacing="0" w:line="360" w:lineRule="auto"/>
        <w:ind w:left="0" w:leftChars="0" w:right="0" w:rightChars="0" w:firstLine="480" w:firstLineChars="200"/>
        <w:jc w:val="both"/>
        <w:rPr>
          <w:rFonts w:hint="default" w:ascii="Times New Roman" w:hAnsi="Times New Roman" w:cs="Times New Roman" w:eastAsiaTheme="minorEastAsia"/>
          <w:color w:val="auto"/>
          <w:sz w:val="24"/>
          <w:szCs w:val="32"/>
          <w:highlight w:val="none"/>
          <w:lang w:val="en-US" w:eastAsia="zh-CN"/>
        </w:rPr>
      </w:pPr>
      <w:r>
        <w:rPr>
          <w:rFonts w:hint="eastAsia" w:ascii="Times New Roman" w:hAnsi="Times New Roman" w:cs="Times New Roman" w:eastAsiaTheme="minorEastAsia"/>
          <w:color w:val="auto"/>
          <w:sz w:val="24"/>
          <w:szCs w:val="32"/>
          <w:highlight w:val="none"/>
          <w:lang w:val="en-US" w:eastAsia="zh-CN"/>
        </w:rPr>
        <w:t>附件4：噪声检测报告</w:t>
      </w:r>
    </w:p>
    <w:p w14:paraId="57D45F5F">
      <w:pPr>
        <w:pageBreakBefore w:val="0"/>
        <w:kinsoku/>
        <w:bidi w:val="0"/>
        <w:spacing w:beforeAutospacing="0" w:afterAutospacing="0" w:line="360" w:lineRule="auto"/>
        <w:ind w:left="0" w:leftChars="0" w:right="0" w:rightChars="0"/>
        <w:rPr>
          <w:rFonts w:hint="default" w:ascii="Times New Roman" w:hAnsi="Times New Roman" w:cs="Times New Roman" w:eastAsiaTheme="minorEastAsia"/>
          <w:color w:val="auto"/>
          <w:lang w:val="en-US" w:eastAsia="zh-CN"/>
        </w:rPr>
      </w:pPr>
    </w:p>
    <w:sectPr>
      <w:footerReference r:id="rId6" w:type="default"/>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1B073FF1-E4ED-441A-B899-133EE09C707F}"/>
  </w:font>
  <w:font w:name="仿宋_GB2312">
    <w:panose1 w:val="02010609030101010101"/>
    <w:charset w:val="86"/>
    <w:family w:val="modern"/>
    <w:pitch w:val="default"/>
    <w:sig w:usb0="00000001" w:usb1="080E0000" w:usb2="00000000" w:usb3="00000000" w:csb0="00040000" w:csb1="00000000"/>
    <w:embedRegular r:id="rId2" w:fontKey="{861A3624-2197-472B-82FE-C18F7E938E3B}"/>
  </w:font>
  <w:font w:name="楷体_GB2312">
    <w:panose1 w:val="02010609030101010101"/>
    <w:charset w:val="86"/>
    <w:family w:val="modern"/>
    <w:pitch w:val="default"/>
    <w:sig w:usb0="00000001" w:usb1="080E0000" w:usb2="00000000" w:usb3="00000000" w:csb0="00040000" w:csb1="00000000"/>
    <w:embedRegular r:id="rId3" w:fontKey="{24F59033-7C6E-4AD9-978F-9E9ACC25CB38}"/>
  </w:font>
  <w:font w:name="Arial Unicode MS">
    <w:altName w:val="宋体"/>
    <w:panose1 w:val="020B0604020202020204"/>
    <w:charset w:val="86"/>
    <w:family w:val="roman"/>
    <w:pitch w:val="default"/>
    <w:sig w:usb0="00000000" w:usb1="00000000" w:usb2="0000007F" w:usb3="00000000" w:csb0="203F01FF" w:csb1="DFFF0000"/>
  </w:font>
  <w:font w:name="仿宋">
    <w:panose1 w:val="02010609060101010101"/>
    <w:charset w:val="86"/>
    <w:family w:val="modern"/>
    <w:pitch w:val="default"/>
    <w:sig w:usb0="800002BF" w:usb1="38CF7CFA" w:usb2="00000016" w:usb3="00000000" w:csb0="00040001" w:csb1="00000000"/>
    <w:embedRegular r:id="rId4" w:fontKey="{9E5C1550-B4C2-4A0D-A093-491CD9B5013A}"/>
  </w:font>
  <w:font w:name="方正小标宋_GBK">
    <w:panose1 w:val="02000000000000000000"/>
    <w:charset w:val="86"/>
    <w:family w:val="script"/>
    <w:pitch w:val="default"/>
    <w:sig w:usb0="A00002BF" w:usb1="38CF7CFA" w:usb2="00082016" w:usb3="00000000" w:csb0="00040001" w:csb1="00000000"/>
    <w:embedRegular r:id="rId5" w:fontKey="{3780BFA9-C963-4B32-8547-8E00E0F64071}"/>
  </w:font>
  <w:font w:name="方正楷体_GB2312">
    <w:panose1 w:val="02000000000000000000"/>
    <w:charset w:val="86"/>
    <w:family w:val="auto"/>
    <w:pitch w:val="default"/>
    <w:sig w:usb0="A00002BF" w:usb1="184F6CFA" w:usb2="00000012" w:usb3="00000000" w:csb0="00040001" w:csb1="00000000"/>
    <w:embedRegular r:id="rId6" w:fontKey="{00AEC4AE-0DA9-4744-B0B1-CCEC6E77A1E6}"/>
  </w:font>
  <w:font w:name="方正仿宋_GB2312">
    <w:panose1 w:val="02000000000000000000"/>
    <w:charset w:val="86"/>
    <w:family w:val="auto"/>
    <w:pitch w:val="default"/>
    <w:sig w:usb0="A00002BF" w:usb1="184F6CFA" w:usb2="00000012" w:usb3="00000000" w:csb0="00040001" w:csb1="00000000"/>
    <w:embedRegular r:id="rId7" w:fontKey="{946DDC78-988B-48DF-98CA-E3E68410F78B}"/>
  </w:font>
  <w:font w:name="Wingdings 2">
    <w:panose1 w:val="05020102010507070707"/>
    <w:charset w:val="02"/>
    <w:family w:val="roman"/>
    <w:pitch w:val="default"/>
    <w:sig w:usb0="00000000" w:usb1="00000000" w:usb2="00000000" w:usb3="00000000" w:csb0="80000000" w:csb1="00000000"/>
    <w:embedRegular r:id="rId8" w:fontKey="{B301C151-60CB-4F9E-BE8C-E9EAFA40218B}"/>
  </w:font>
  <w:font w:name="Times New Roman Regular">
    <w:altName w:val="Times New Roman"/>
    <w:panose1 w:val="02020503050405090304"/>
    <w:charset w:val="00"/>
    <w:family w:val="auto"/>
    <w:pitch w:val="default"/>
    <w:sig w:usb0="00000000" w:usb1="00000000" w:usb2="00000001" w:usb3="00000000" w:csb0="400001BF" w:csb1="DFF70000"/>
    <w:embedRegular r:id="rId9" w:fontKey="{61B99621-C620-4117-B529-C17F6E74A32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1AA75">
    <w:pPr>
      <w:pStyle w:val="20"/>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B7227">
    <w:pPr>
      <w:pStyle w:val="20"/>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20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326A865">
                          <w:pPr>
                            <w:pStyle w:val="20"/>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0">
                      <a:spAutoFit/>
                    </wps:bodyPr>
                  </wps:wsp>
                </a:graphicData>
              </a:graphic>
            </wp:anchor>
          </w:drawing>
        </mc:Choice>
        <mc:Fallback>
          <w:pict>
            <v:shape id="文本框 204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usr+IBAADCAwAADgAAAGRycy9lMm9Eb2MueG1srVPNjtMwEL4j8Q6W&#10;7zTZglA3aroCqkVICJAWHsB1nMaS/zSeNikPAG/AiQt3nqvPsWOn6cLuZQ97ScYz42/m+2a8vBqs&#10;YXsFUXtX84tZyZly0jfabWv+7ev1iwVnEYVrhPFO1fygIr9aPX+27EOl5r7zplHACMTFqg817xBD&#10;VRRRdsqKOPNBOQq2HqxAOsK2aED0hG5NMS/L10XvoQngpYqRvOsxyE+I8BhA37ZaqrWXO6scjqig&#10;jECiFDsdIl/lbttWSfzctlEhMzUnppi/VITsTfoWq6WotiBCp+WpBfGYFu5xskI7KnqGWgsUbAf6&#10;AZTVEnz0Lc6kt8VIJCtCLC7Ke9rcdCKozIWkjuEsenw6WPlp/wWYbmr+8pIzJyxN/Pjr5/H33+Of&#10;H2xevrpMEvUhVpR5EygXh7d+oMWZ/JGcifnQgk1/4sQoTgIfzgKrAZlMlxbzxaKkkKTYdCD84u56&#10;gIjvlbcsGTUHmmAWVuw/RhxTp5RUzflrbUyeonH/OQgzeYrU+9hjsnDYDCdCG98ciA89BarTefjO&#10;WU+LUHNHe8+Z+eBI57QzkwGTsZkM4SRdrDlyNprvcNytXQC97fK2paZieLND6jQTSG2MtU/d0Wiz&#10;BKc1TLvz7zln3T291S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5/usr+IBAADCAwAADgAA&#10;AAAAAAABACAAAAAeAQAAZHJzL2Uyb0RvYy54bWxQSwUGAAAAAAYABgBZAQAAcgUAAAAA&#10;">
              <v:fill on="f" focussize="0,0"/>
              <v:stroke on="f"/>
              <v:imagedata o:title=""/>
              <o:lock v:ext="edit" aspectratio="f"/>
              <v:textbox inset="0mm,0mm,0mm,0mm" style="mso-fit-shape-to-text:t;">
                <w:txbxContent>
                  <w:p w14:paraId="5326A865">
                    <w:pPr>
                      <w:pStyle w:val="20"/>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5AA65">
    <w:pPr>
      <w:pStyle w:val="20"/>
      <w:ind w:right="360"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20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9FC82E">
                          <w:pPr>
                            <w:pStyle w:val="20"/>
                          </w:pPr>
                          <w:r>
                            <w:fldChar w:fldCharType="begin"/>
                          </w:r>
                          <w:r>
                            <w:instrText xml:space="preserve"> PAGE  \* MERGEFORMAT </w:instrText>
                          </w:r>
                          <w:r>
                            <w:fldChar w:fldCharType="separate"/>
                          </w:r>
                          <w:r>
                            <w:t>70</w:t>
                          </w:r>
                          <w:r>
                            <w:fldChar w:fldCharType="end"/>
                          </w:r>
                        </w:p>
                      </w:txbxContent>
                    </wps:txbx>
                    <wps:bodyPr vert="horz" wrap="none" lIns="0" tIns="0" rIns="0" bIns="0" anchor="t" anchorCtr="0" upright="0">
                      <a:spAutoFit/>
                    </wps:bodyPr>
                  </wps:wsp>
                </a:graphicData>
              </a:graphic>
            </wp:anchor>
          </w:drawing>
        </mc:Choice>
        <mc:Fallback>
          <w:pict>
            <v:shape id="文本框 2050"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kclbuABAADCAwAADgAAAGRycy9lMm9Eb2MueG1srVPNjtMwEL4j8Q6W&#10;7zTZClBVNV0B1SIkBEgLD+A6TmPJfxpPm5QHgDfgxIU7z9Xn2LGTtLB72cNekvGM/c33fR6vrntr&#10;2EFB1N5V/GpWcqac9LV2u4p/+3rzYsFZROFqYbxTFT+qyK/Xz5+turBUc996UytgBOLisgsVbxHD&#10;siiibJUVceaDclRsPFiBtIRdUYPoCN2aYl6Wr4vOQx3ASxUjZTdDkY+I8BhA3zRaqo2Xe6scDqig&#10;jECSFFsdIl9ntk2jJH5umqiQmYqTUsxfakLxNn2L9UosdyBCq+VIQTyGwj1NVmhHTc9QG4GC7UE/&#10;gLJago++wZn0thiEZEdIxVV5z5vbVgSVtZDVMZxNj08HKz8dvgDTdcVfkiVOWLrx06+fp99/T39+&#10;sHn5KlvUhbiknbeB9mL/1vc0OMm6lI+UTMr7Bmz6kyZGdUI7ng1WPTKZDi3mi0VJJUm1aUE4xeV4&#10;gIjvlbcsBRUHusFsrDh8jDhsnbakbs7faGPyLRr3X4IwU6a4cEwR9tt+JL719ZH00FOgPq2H75x1&#10;NAgVdzT3nJkPjnwmrjgFMAXbKRBO0sGKI2dD+A6H2doH0Ls2T1siFcObPRLTLCDRGHqP7OhqswXj&#10;GKbZ+Xedd12e3voO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HpHJW7gAQAAwgMAAA4AAAAA&#10;AAAAAQAgAAAAHgEAAGRycy9lMm9Eb2MueG1sUEsFBgAAAAAGAAYAWQEAAHAFAAAAAA==&#10;">
              <v:fill on="f" focussize="0,0"/>
              <v:stroke on="f"/>
              <v:imagedata o:title=""/>
              <o:lock v:ext="edit" aspectratio="f"/>
              <v:textbox inset="0mm,0mm,0mm,0mm" style="mso-fit-shape-to-text:t;">
                <w:txbxContent>
                  <w:p w14:paraId="629FC82E">
                    <w:pPr>
                      <w:pStyle w:val="20"/>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4985D">
    <w:pPr>
      <w:pStyle w:val="20"/>
      <w:ind w:right="360" w:firstLine="36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2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D11396">
                          <w:pPr>
                            <w:pStyle w:val="20"/>
                          </w:pPr>
                          <w:r>
                            <w:fldChar w:fldCharType="begin"/>
                          </w:r>
                          <w:r>
                            <w:instrText xml:space="preserve"> PAGE  \* MERGEFORMAT </w:instrText>
                          </w:r>
                          <w:r>
                            <w:fldChar w:fldCharType="separate"/>
                          </w:r>
                          <w:r>
                            <w:t>71</w:t>
                          </w:r>
                          <w:r>
                            <w:fldChar w:fldCharType="end"/>
                          </w:r>
                        </w:p>
                      </w:txbxContent>
                    </wps:txbx>
                    <wps:bodyPr vert="horz" wrap="none" lIns="0" tIns="0" rIns="0" bIns="0" anchor="t" anchorCtr="0" upright="0">
                      <a:spAutoFit/>
                    </wps:bodyPr>
                  </wps:wsp>
                </a:graphicData>
              </a:graphic>
            </wp:anchor>
          </w:drawing>
        </mc:Choice>
        <mc:Fallback>
          <w:pict>
            <v:shape id="文本框 205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JYpHuIBAADCAwAADgAAAGRycy9lMm9Eb2MueG1srVPBjtMwEL0j8Q+W&#10;7zRpBaiqmq6AahESAqSFD3Adp7Fke6yx26R8APwBJy7c+a5+x46dpAu7lz3sJRnPjN/MezNeX/XW&#10;sKPCoMFVfD4rOVNOQq3dvuLfvl6/WHIWonC1MOBUxU8q8KvN82frzq/UAlowtUJGIC6sOl/xNka/&#10;KoogW2VFmIFXjoINoBWRjrgvahQdoVtTLMryddEB1h5BqhDIux2CfETExwBC02iptiAPVrk4oKIy&#10;IhKl0Gof+CZ32zRKxs9NE1RkpuLENOYvFSF7l77FZi1WexS+1XJsQTymhXucrNCOil6gtiIKdkD9&#10;AMpqiRCgiTMJthiIZEWIxby8p81NK7zKXEjq4C+ih6eDlZ+OX5DpuuIv55w5YWni518/z7//nv/8&#10;YIvy1TxJ1PmwoswbT7mxfws9Lc7kD+RMzPsGbfoTJ0ZxEvh0EVj1kcl0ablYLksKSYpNB8Iv7q57&#10;DPG9AsuSUXGkCWZhxfFjiEPqlJKqObjWxuQpGvefgzCTp0i9Dz0mK/a7fiS0g/pEfOgpUJ0W8Dtn&#10;HS1CxR3tPWfmgyOd085MBk7GbjKEk3Sx4pGzwXwXh906eNT7Nm9bair4N4dInWYCqY2h9tgdjTZL&#10;MK5h2p1/zznr7ultb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TJYpHuIBAADCAwAADgAA&#10;AAAAAAABACAAAAAeAQAAZHJzL2Uyb0RvYy54bWxQSwUGAAAAAAYABgBZAQAAcgUAAAAA&#10;">
              <v:fill on="f" focussize="0,0"/>
              <v:stroke on="f"/>
              <v:imagedata o:title=""/>
              <o:lock v:ext="edit" aspectratio="f"/>
              <v:textbox inset="0mm,0mm,0mm,0mm" style="mso-fit-shape-to-text:t;">
                <w:txbxContent>
                  <w:p w14:paraId="6ED11396">
                    <w:pPr>
                      <w:pStyle w:val="20"/>
                    </w:pPr>
                    <w:r>
                      <w:fldChar w:fldCharType="begin"/>
                    </w:r>
                    <w:r>
                      <w:instrText xml:space="preserve"> PAGE  \* MERGEFORMAT </w:instrText>
                    </w:r>
                    <w:r>
                      <w:fldChar w:fldCharType="separate"/>
                    </w:r>
                    <w:r>
                      <w:t>71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B6887D"/>
    <w:multiLevelType w:val="singleLevel"/>
    <w:tmpl w:val="36B6887D"/>
    <w:lvl w:ilvl="0" w:tentative="0">
      <w:start w:val="1"/>
      <w:numFmt w:val="bullet"/>
      <w:pStyle w:val="8"/>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1"/>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iY2JkMjU3NGYzZTEwMzZmMGFkZWViYmNkYWU3NDIifQ=="/>
  </w:docVars>
  <w:rsids>
    <w:rsidRoot w:val="00A1494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B49E2"/>
    <w:rsid w:val="002B7B00"/>
    <w:rsid w:val="002B7C44"/>
    <w:rsid w:val="002C2B17"/>
    <w:rsid w:val="002D3DD0"/>
    <w:rsid w:val="002E1F3A"/>
    <w:rsid w:val="002E298A"/>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92E"/>
    <w:rsid w:val="00406F01"/>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617CC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1295A"/>
    <w:rsid w:val="00B20A45"/>
    <w:rsid w:val="00B20DF2"/>
    <w:rsid w:val="00B22C5C"/>
    <w:rsid w:val="00B24F30"/>
    <w:rsid w:val="00B31ABF"/>
    <w:rsid w:val="00B33BE3"/>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36BE"/>
    <w:rsid w:val="00CF6000"/>
    <w:rsid w:val="00D003F3"/>
    <w:rsid w:val="00D0364F"/>
    <w:rsid w:val="00D06834"/>
    <w:rsid w:val="00D308ED"/>
    <w:rsid w:val="00D36D86"/>
    <w:rsid w:val="00D428AA"/>
    <w:rsid w:val="00D50A34"/>
    <w:rsid w:val="00D53EFA"/>
    <w:rsid w:val="00D94A7C"/>
    <w:rsid w:val="00D95896"/>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2985"/>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1290F7E"/>
    <w:rsid w:val="015D1E09"/>
    <w:rsid w:val="02697903"/>
    <w:rsid w:val="027E0F99"/>
    <w:rsid w:val="02F96569"/>
    <w:rsid w:val="030A6CC4"/>
    <w:rsid w:val="03EA7B21"/>
    <w:rsid w:val="03EE7C5D"/>
    <w:rsid w:val="04D561FA"/>
    <w:rsid w:val="05292B46"/>
    <w:rsid w:val="05303A9D"/>
    <w:rsid w:val="05F83EAE"/>
    <w:rsid w:val="063E7D85"/>
    <w:rsid w:val="063F6012"/>
    <w:rsid w:val="07293586"/>
    <w:rsid w:val="07295285"/>
    <w:rsid w:val="07636392"/>
    <w:rsid w:val="0769037B"/>
    <w:rsid w:val="07770C56"/>
    <w:rsid w:val="08272478"/>
    <w:rsid w:val="08E7092B"/>
    <w:rsid w:val="092217DD"/>
    <w:rsid w:val="093A7294"/>
    <w:rsid w:val="094B3766"/>
    <w:rsid w:val="09876EF2"/>
    <w:rsid w:val="0A263993"/>
    <w:rsid w:val="0A2D3AC2"/>
    <w:rsid w:val="0AA755DF"/>
    <w:rsid w:val="0AB84672"/>
    <w:rsid w:val="0B120D44"/>
    <w:rsid w:val="0B3E7F6B"/>
    <w:rsid w:val="0BD27BF6"/>
    <w:rsid w:val="0BE367C1"/>
    <w:rsid w:val="0BFD4D93"/>
    <w:rsid w:val="0C3B3C7D"/>
    <w:rsid w:val="0C6454DC"/>
    <w:rsid w:val="0C7F3618"/>
    <w:rsid w:val="0CAB2EAE"/>
    <w:rsid w:val="0D621C7D"/>
    <w:rsid w:val="0DB20697"/>
    <w:rsid w:val="0DDB0153"/>
    <w:rsid w:val="0E73034D"/>
    <w:rsid w:val="0F13775A"/>
    <w:rsid w:val="0F1A7B7C"/>
    <w:rsid w:val="0F5F45FE"/>
    <w:rsid w:val="0F9A112B"/>
    <w:rsid w:val="0F9E647B"/>
    <w:rsid w:val="106D2F64"/>
    <w:rsid w:val="10B63710"/>
    <w:rsid w:val="10F10820"/>
    <w:rsid w:val="111C2F7A"/>
    <w:rsid w:val="11665CA1"/>
    <w:rsid w:val="12FB4462"/>
    <w:rsid w:val="13653BA8"/>
    <w:rsid w:val="13951726"/>
    <w:rsid w:val="14396509"/>
    <w:rsid w:val="149A3FDA"/>
    <w:rsid w:val="14DD2C3C"/>
    <w:rsid w:val="16087E1D"/>
    <w:rsid w:val="168C1346"/>
    <w:rsid w:val="17701D14"/>
    <w:rsid w:val="17735226"/>
    <w:rsid w:val="186A78E4"/>
    <w:rsid w:val="189F624C"/>
    <w:rsid w:val="19EE676B"/>
    <w:rsid w:val="1A1C66C0"/>
    <w:rsid w:val="1A291DAA"/>
    <w:rsid w:val="1A42393B"/>
    <w:rsid w:val="1A98216B"/>
    <w:rsid w:val="1AAD45DE"/>
    <w:rsid w:val="1B046F80"/>
    <w:rsid w:val="1B3267B5"/>
    <w:rsid w:val="1B40161D"/>
    <w:rsid w:val="1B441859"/>
    <w:rsid w:val="1B6606B1"/>
    <w:rsid w:val="1B9E321D"/>
    <w:rsid w:val="1C5E7925"/>
    <w:rsid w:val="1CFD070F"/>
    <w:rsid w:val="1D526E45"/>
    <w:rsid w:val="1D5F6196"/>
    <w:rsid w:val="1D6132A5"/>
    <w:rsid w:val="1D8E56D5"/>
    <w:rsid w:val="1DA33335"/>
    <w:rsid w:val="1E666202"/>
    <w:rsid w:val="1E7A43DA"/>
    <w:rsid w:val="1F3F33F9"/>
    <w:rsid w:val="1FDB5818"/>
    <w:rsid w:val="1FE7539E"/>
    <w:rsid w:val="20671BE0"/>
    <w:rsid w:val="20716379"/>
    <w:rsid w:val="20963CB8"/>
    <w:rsid w:val="20A81A1B"/>
    <w:rsid w:val="20B07FB6"/>
    <w:rsid w:val="20B646FB"/>
    <w:rsid w:val="20F44AE4"/>
    <w:rsid w:val="213B74B1"/>
    <w:rsid w:val="21404EAE"/>
    <w:rsid w:val="215A2310"/>
    <w:rsid w:val="21DE318A"/>
    <w:rsid w:val="21EF5B80"/>
    <w:rsid w:val="220846D4"/>
    <w:rsid w:val="22576990"/>
    <w:rsid w:val="22671DC7"/>
    <w:rsid w:val="22F47480"/>
    <w:rsid w:val="23DE1C48"/>
    <w:rsid w:val="23E869F5"/>
    <w:rsid w:val="240210CD"/>
    <w:rsid w:val="244871F4"/>
    <w:rsid w:val="24657DCE"/>
    <w:rsid w:val="24807E75"/>
    <w:rsid w:val="24BF09F7"/>
    <w:rsid w:val="252D53FE"/>
    <w:rsid w:val="25D86A1C"/>
    <w:rsid w:val="25EC2D81"/>
    <w:rsid w:val="277057A2"/>
    <w:rsid w:val="279D2AD1"/>
    <w:rsid w:val="27B0758A"/>
    <w:rsid w:val="28097FF9"/>
    <w:rsid w:val="284952E9"/>
    <w:rsid w:val="291E22D1"/>
    <w:rsid w:val="29206EB8"/>
    <w:rsid w:val="29595666"/>
    <w:rsid w:val="29874881"/>
    <w:rsid w:val="29E325E0"/>
    <w:rsid w:val="2A14628B"/>
    <w:rsid w:val="2A452503"/>
    <w:rsid w:val="2ADE3B38"/>
    <w:rsid w:val="2B0025D7"/>
    <w:rsid w:val="2B361B54"/>
    <w:rsid w:val="2B3E2159"/>
    <w:rsid w:val="2B9B099A"/>
    <w:rsid w:val="2BA936A8"/>
    <w:rsid w:val="2C315A5A"/>
    <w:rsid w:val="2C4B1C25"/>
    <w:rsid w:val="2D9E56F5"/>
    <w:rsid w:val="2E667F96"/>
    <w:rsid w:val="2E8226AB"/>
    <w:rsid w:val="2EAC42FF"/>
    <w:rsid w:val="2ECC2198"/>
    <w:rsid w:val="2F056C25"/>
    <w:rsid w:val="2FD065E6"/>
    <w:rsid w:val="2FD96870"/>
    <w:rsid w:val="2FFD5FB2"/>
    <w:rsid w:val="30580BC9"/>
    <w:rsid w:val="3096797D"/>
    <w:rsid w:val="30977539"/>
    <w:rsid w:val="30A943E2"/>
    <w:rsid w:val="30F074BF"/>
    <w:rsid w:val="311E2ED7"/>
    <w:rsid w:val="315619EE"/>
    <w:rsid w:val="315C449C"/>
    <w:rsid w:val="3174713F"/>
    <w:rsid w:val="31B82709"/>
    <w:rsid w:val="31D05482"/>
    <w:rsid w:val="32400B34"/>
    <w:rsid w:val="329E6876"/>
    <w:rsid w:val="333015F2"/>
    <w:rsid w:val="333F6970"/>
    <w:rsid w:val="334B6320"/>
    <w:rsid w:val="33D934D4"/>
    <w:rsid w:val="33FE2F6A"/>
    <w:rsid w:val="340E07E5"/>
    <w:rsid w:val="34235BF7"/>
    <w:rsid w:val="351E0FBF"/>
    <w:rsid w:val="353F5C21"/>
    <w:rsid w:val="358C5FA8"/>
    <w:rsid w:val="35C15DF1"/>
    <w:rsid w:val="36074A7F"/>
    <w:rsid w:val="36923549"/>
    <w:rsid w:val="36B75FBF"/>
    <w:rsid w:val="36BD0C45"/>
    <w:rsid w:val="37E00298"/>
    <w:rsid w:val="38B302F9"/>
    <w:rsid w:val="38F12CD3"/>
    <w:rsid w:val="38F94775"/>
    <w:rsid w:val="392971ED"/>
    <w:rsid w:val="39325651"/>
    <w:rsid w:val="39693A40"/>
    <w:rsid w:val="39EC618A"/>
    <w:rsid w:val="3A553085"/>
    <w:rsid w:val="3A872856"/>
    <w:rsid w:val="3B3763D1"/>
    <w:rsid w:val="3BC766F2"/>
    <w:rsid w:val="3BCB1002"/>
    <w:rsid w:val="3C2F6E1E"/>
    <w:rsid w:val="3C4F64BA"/>
    <w:rsid w:val="3C7C5CAF"/>
    <w:rsid w:val="3CDA245A"/>
    <w:rsid w:val="3D1E06B7"/>
    <w:rsid w:val="3D2663C7"/>
    <w:rsid w:val="3DC11DFF"/>
    <w:rsid w:val="3E0D73D6"/>
    <w:rsid w:val="3E744092"/>
    <w:rsid w:val="3ED03ACA"/>
    <w:rsid w:val="3EDA0523"/>
    <w:rsid w:val="3F4E3E02"/>
    <w:rsid w:val="3F8400C9"/>
    <w:rsid w:val="3FDE742F"/>
    <w:rsid w:val="407A6407"/>
    <w:rsid w:val="41097535"/>
    <w:rsid w:val="412169AB"/>
    <w:rsid w:val="412F582B"/>
    <w:rsid w:val="41E05650"/>
    <w:rsid w:val="4200449D"/>
    <w:rsid w:val="423A3BCC"/>
    <w:rsid w:val="424E57D2"/>
    <w:rsid w:val="4254135D"/>
    <w:rsid w:val="429C5037"/>
    <w:rsid w:val="42B26C49"/>
    <w:rsid w:val="42E87871"/>
    <w:rsid w:val="433A6FE6"/>
    <w:rsid w:val="43480868"/>
    <w:rsid w:val="434D1A58"/>
    <w:rsid w:val="4350713C"/>
    <w:rsid w:val="436653E0"/>
    <w:rsid w:val="43C4431A"/>
    <w:rsid w:val="43D14851"/>
    <w:rsid w:val="442073EE"/>
    <w:rsid w:val="44B951CC"/>
    <w:rsid w:val="44CD14E0"/>
    <w:rsid w:val="44E525C3"/>
    <w:rsid w:val="44F20B0B"/>
    <w:rsid w:val="452E5F4C"/>
    <w:rsid w:val="45612018"/>
    <w:rsid w:val="45654C8F"/>
    <w:rsid w:val="45795008"/>
    <w:rsid w:val="458946E9"/>
    <w:rsid w:val="45905C8D"/>
    <w:rsid w:val="45A47C0E"/>
    <w:rsid w:val="46577FD6"/>
    <w:rsid w:val="46D955A7"/>
    <w:rsid w:val="47133957"/>
    <w:rsid w:val="473C7BEC"/>
    <w:rsid w:val="477303FC"/>
    <w:rsid w:val="47A07E0C"/>
    <w:rsid w:val="47DD0E9C"/>
    <w:rsid w:val="4870272E"/>
    <w:rsid w:val="49894AD1"/>
    <w:rsid w:val="49DC7715"/>
    <w:rsid w:val="4A023139"/>
    <w:rsid w:val="4A37498A"/>
    <w:rsid w:val="4A3D5A9C"/>
    <w:rsid w:val="4A7B576F"/>
    <w:rsid w:val="4AF561A9"/>
    <w:rsid w:val="4B101F6A"/>
    <w:rsid w:val="4B335C59"/>
    <w:rsid w:val="4BA30719"/>
    <w:rsid w:val="4BCF5981"/>
    <w:rsid w:val="4C2434A0"/>
    <w:rsid w:val="4C4A0649"/>
    <w:rsid w:val="4C7E5ECA"/>
    <w:rsid w:val="4C876AA5"/>
    <w:rsid w:val="4D0E00FB"/>
    <w:rsid w:val="4D176606"/>
    <w:rsid w:val="4DE0153E"/>
    <w:rsid w:val="4DEC4FB0"/>
    <w:rsid w:val="4E075D8A"/>
    <w:rsid w:val="4EC00FAD"/>
    <w:rsid w:val="4F6D6BF6"/>
    <w:rsid w:val="4F9843DC"/>
    <w:rsid w:val="4FB212B0"/>
    <w:rsid w:val="4FC62A8C"/>
    <w:rsid w:val="4FE20F0D"/>
    <w:rsid w:val="4FE51552"/>
    <w:rsid w:val="4FFF0595"/>
    <w:rsid w:val="50504C4B"/>
    <w:rsid w:val="509C6E7C"/>
    <w:rsid w:val="50A270A1"/>
    <w:rsid w:val="5162104E"/>
    <w:rsid w:val="51786D31"/>
    <w:rsid w:val="52C018C8"/>
    <w:rsid w:val="530002C1"/>
    <w:rsid w:val="53A039CC"/>
    <w:rsid w:val="53A1505A"/>
    <w:rsid w:val="53DA6C3C"/>
    <w:rsid w:val="53F80750"/>
    <w:rsid w:val="54063E08"/>
    <w:rsid w:val="543437E8"/>
    <w:rsid w:val="54F73313"/>
    <w:rsid w:val="54F80955"/>
    <w:rsid w:val="555170A7"/>
    <w:rsid w:val="55625148"/>
    <w:rsid w:val="5587536D"/>
    <w:rsid w:val="559B174B"/>
    <w:rsid w:val="55CE0CF4"/>
    <w:rsid w:val="56146B07"/>
    <w:rsid w:val="56B22A9C"/>
    <w:rsid w:val="57B72A76"/>
    <w:rsid w:val="57C3426C"/>
    <w:rsid w:val="57CE1F93"/>
    <w:rsid w:val="588743D1"/>
    <w:rsid w:val="5887701A"/>
    <w:rsid w:val="596B0AF9"/>
    <w:rsid w:val="59AF0BA0"/>
    <w:rsid w:val="59BB7545"/>
    <w:rsid w:val="59BE5287"/>
    <w:rsid w:val="59C0439F"/>
    <w:rsid w:val="5ABE2233"/>
    <w:rsid w:val="5B352A63"/>
    <w:rsid w:val="5B6854AA"/>
    <w:rsid w:val="5B702777"/>
    <w:rsid w:val="5B887278"/>
    <w:rsid w:val="5BCB02CE"/>
    <w:rsid w:val="5BDF5D95"/>
    <w:rsid w:val="5BFE7528"/>
    <w:rsid w:val="5C2E2250"/>
    <w:rsid w:val="5C6F2BEE"/>
    <w:rsid w:val="5D081EC8"/>
    <w:rsid w:val="5E2467F1"/>
    <w:rsid w:val="5F1A2B43"/>
    <w:rsid w:val="5FA82E21"/>
    <w:rsid w:val="5FB837BB"/>
    <w:rsid w:val="60CC405A"/>
    <w:rsid w:val="61821100"/>
    <w:rsid w:val="61E215D8"/>
    <w:rsid w:val="621B3775"/>
    <w:rsid w:val="621E2F85"/>
    <w:rsid w:val="62364782"/>
    <w:rsid w:val="6394356A"/>
    <w:rsid w:val="63C61B2C"/>
    <w:rsid w:val="63D40BE9"/>
    <w:rsid w:val="64102431"/>
    <w:rsid w:val="64167B1A"/>
    <w:rsid w:val="643501F7"/>
    <w:rsid w:val="648A46E4"/>
    <w:rsid w:val="64A5243A"/>
    <w:rsid w:val="64F531DE"/>
    <w:rsid w:val="650A109A"/>
    <w:rsid w:val="65373578"/>
    <w:rsid w:val="65A10B2F"/>
    <w:rsid w:val="65AF1A22"/>
    <w:rsid w:val="66CC0D32"/>
    <w:rsid w:val="670354A0"/>
    <w:rsid w:val="671F124A"/>
    <w:rsid w:val="6755487D"/>
    <w:rsid w:val="677A33C6"/>
    <w:rsid w:val="681F6961"/>
    <w:rsid w:val="68610A2F"/>
    <w:rsid w:val="68805514"/>
    <w:rsid w:val="68E54A7F"/>
    <w:rsid w:val="69316E2F"/>
    <w:rsid w:val="694E2071"/>
    <w:rsid w:val="69766163"/>
    <w:rsid w:val="697A3B33"/>
    <w:rsid w:val="69880CA5"/>
    <w:rsid w:val="698F00A6"/>
    <w:rsid w:val="69D44760"/>
    <w:rsid w:val="6A2A78B7"/>
    <w:rsid w:val="6A520EC7"/>
    <w:rsid w:val="6AD3421A"/>
    <w:rsid w:val="6AF87E20"/>
    <w:rsid w:val="6B322639"/>
    <w:rsid w:val="6BFE65F4"/>
    <w:rsid w:val="6C47323F"/>
    <w:rsid w:val="6C636C38"/>
    <w:rsid w:val="6CE22BE1"/>
    <w:rsid w:val="6CF43F64"/>
    <w:rsid w:val="6DB34098"/>
    <w:rsid w:val="6DB545B6"/>
    <w:rsid w:val="6DE02FB4"/>
    <w:rsid w:val="6E514CED"/>
    <w:rsid w:val="6E9529F6"/>
    <w:rsid w:val="6EB563D5"/>
    <w:rsid w:val="6ED92677"/>
    <w:rsid w:val="6F225983"/>
    <w:rsid w:val="6F651FD5"/>
    <w:rsid w:val="6FFC5590"/>
    <w:rsid w:val="706D1DD0"/>
    <w:rsid w:val="70856B87"/>
    <w:rsid w:val="70B81F5D"/>
    <w:rsid w:val="70D527EE"/>
    <w:rsid w:val="71100C40"/>
    <w:rsid w:val="715B5300"/>
    <w:rsid w:val="71980664"/>
    <w:rsid w:val="71D27F8A"/>
    <w:rsid w:val="71E85A49"/>
    <w:rsid w:val="72553024"/>
    <w:rsid w:val="73122968"/>
    <w:rsid w:val="731F5D5E"/>
    <w:rsid w:val="73C51AD5"/>
    <w:rsid w:val="741E793C"/>
    <w:rsid w:val="74315F1A"/>
    <w:rsid w:val="745E3944"/>
    <w:rsid w:val="7623080F"/>
    <w:rsid w:val="7635099D"/>
    <w:rsid w:val="76696332"/>
    <w:rsid w:val="772E53A2"/>
    <w:rsid w:val="775F730A"/>
    <w:rsid w:val="77762421"/>
    <w:rsid w:val="779F781B"/>
    <w:rsid w:val="77B56B1F"/>
    <w:rsid w:val="780A59CE"/>
    <w:rsid w:val="780F09F4"/>
    <w:rsid w:val="782C33C2"/>
    <w:rsid w:val="78A90480"/>
    <w:rsid w:val="79330A4E"/>
    <w:rsid w:val="7A364017"/>
    <w:rsid w:val="7A6E5B60"/>
    <w:rsid w:val="7A8265E1"/>
    <w:rsid w:val="7AB3655E"/>
    <w:rsid w:val="7B686D42"/>
    <w:rsid w:val="7B841746"/>
    <w:rsid w:val="7C336FB7"/>
    <w:rsid w:val="7C395948"/>
    <w:rsid w:val="7C613431"/>
    <w:rsid w:val="7C6C5AC7"/>
    <w:rsid w:val="7CC6544B"/>
    <w:rsid w:val="7D0239FF"/>
    <w:rsid w:val="7D5E40CD"/>
    <w:rsid w:val="7DCD56F2"/>
    <w:rsid w:val="7DDC1500"/>
    <w:rsid w:val="7E7325D3"/>
    <w:rsid w:val="7E9953F2"/>
    <w:rsid w:val="7F001CE7"/>
    <w:rsid w:val="7F2F0E1B"/>
    <w:rsid w:val="7F471CDC"/>
    <w:rsid w:val="7F4C19DF"/>
    <w:rsid w:val="7FB73E53"/>
    <w:rsid w:val="7FE47E5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semiHidden="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qFormat="1"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nhideWhenUsed="0" w:uiPriority="35" w:semiHidden="0" w:name="caption" w:locked="1"/>
    <w:lsdException w:qFormat="1" w:unhideWhenUsed="0" w:uiPriority="99"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qFormat="1" w:uiPriority="99" w:semiHidden="0" w:name="Body Text 2" w:locked="1"/>
    <w:lsdException w:unhideWhenUsed="0" w:uiPriority="0" w:semiHidden="0" w:name="Body Text 3" w:locked="1"/>
    <w:lsdException w:qFormat="1" w:unhideWhenUsed="0" w:uiPriority="0" w:semiHidden="0" w:name="Body Text Indent 2" w:locked="1"/>
    <w:lsdException w:unhideWhenUsed="0" w:uiPriority="0" w:semiHidden="0" w:name="Body Text Indent 3" w:locked="1"/>
    <w:lsdException w:unhideWhenUsed="0" w:uiPriority="0" w:semiHidden="0" w:name="Block Text" w:locked="1"/>
    <w:lsdException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99"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9">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10">
    <w:name w:val="heading 2"/>
    <w:basedOn w:val="1"/>
    <w:next w:val="1"/>
    <w:unhideWhenUsed/>
    <w:qFormat/>
    <w:locked/>
    <w:uiPriority w:val="0"/>
    <w:pPr>
      <w:spacing w:before="50" w:beforeLines="50" w:after="50" w:afterLines="50"/>
      <w:ind w:firstLine="0" w:firstLineChars="0"/>
      <w:outlineLvl w:val="1"/>
    </w:pPr>
    <w:rPr>
      <w:b/>
      <w:bCs/>
    </w:rPr>
  </w:style>
  <w:style w:type="paragraph" w:styleId="11">
    <w:name w:val="heading 3"/>
    <w:basedOn w:val="1"/>
    <w:next w:val="1"/>
    <w:qFormat/>
    <w:locked/>
    <w:uiPriority w:val="0"/>
    <w:pPr>
      <w:keepNext/>
      <w:keepLines/>
      <w:spacing w:line="360" w:lineRule="auto"/>
      <w:outlineLvl w:val="2"/>
    </w:pPr>
    <w:rPr>
      <w:b/>
      <w:bCs/>
      <w:sz w:val="24"/>
      <w:szCs w:val="32"/>
    </w:rPr>
  </w:style>
  <w:style w:type="character" w:default="1" w:styleId="31">
    <w:name w:val="Default Paragraph Font"/>
    <w:semiHidden/>
    <w:qFormat/>
    <w:uiPriority w:val="0"/>
  </w:style>
  <w:style w:type="table" w:default="1" w:styleId="29">
    <w:name w:val="Normal Table"/>
    <w:semiHidden/>
    <w:qFormat/>
    <w:uiPriority w:val="0"/>
    <w:tblPr>
      <w:tblCellMar>
        <w:top w:w="0" w:type="dxa"/>
        <w:left w:w="108" w:type="dxa"/>
        <w:bottom w:w="0" w:type="dxa"/>
        <w:right w:w="108" w:type="dxa"/>
      </w:tblCellMar>
    </w:tblPr>
  </w:style>
  <w:style w:type="paragraph" w:customStyle="1" w:styleId="2">
    <w:name w:val="Default"/>
    <w:basedOn w:val="3"/>
    <w:next w:val="4"/>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
    <w:name w:val="纯文本1"/>
    <w:basedOn w:val="1"/>
    <w:qFormat/>
    <w:uiPriority w:val="0"/>
    <w:rPr>
      <w:rFonts w:ascii="宋体" w:hAnsi="Courier New" w:cs="Courier New"/>
      <w:szCs w:val="21"/>
    </w:rPr>
  </w:style>
  <w:style w:type="paragraph" w:styleId="4">
    <w:name w:val="Body Text First Indent 2"/>
    <w:basedOn w:val="5"/>
    <w:next w:val="6"/>
    <w:qFormat/>
    <w:locked/>
    <w:uiPriority w:val="0"/>
    <w:pPr>
      <w:adjustRightInd w:val="0"/>
      <w:snapToGrid w:val="0"/>
      <w:ind w:firstLine="420"/>
    </w:pPr>
    <w:rPr>
      <w:sz w:val="32"/>
      <w:szCs w:val="24"/>
    </w:rPr>
  </w:style>
  <w:style w:type="paragraph" w:styleId="5">
    <w:name w:val="Body Text Indent"/>
    <w:basedOn w:val="1"/>
    <w:next w:val="4"/>
    <w:link w:val="38"/>
    <w:qFormat/>
    <w:uiPriority w:val="0"/>
    <w:pPr>
      <w:spacing w:after="120"/>
      <w:ind w:left="420" w:leftChars="200"/>
    </w:pPr>
    <w:rPr>
      <w:kern w:val="0"/>
      <w:sz w:val="24"/>
      <w:szCs w:val="20"/>
    </w:rPr>
  </w:style>
  <w:style w:type="paragraph" w:styleId="6">
    <w:name w:val="Body Text First Indent"/>
    <w:basedOn w:val="7"/>
    <w:next w:val="5"/>
    <w:qFormat/>
    <w:locked/>
    <w:uiPriority w:val="0"/>
    <w:pPr>
      <w:widowControl w:val="0"/>
      <w:spacing w:after="120"/>
      <w:ind w:firstLine="420" w:firstLineChars="100"/>
    </w:pPr>
    <w:rPr>
      <w:kern w:val="2"/>
      <w:sz w:val="21"/>
      <w:szCs w:val="21"/>
    </w:rPr>
  </w:style>
  <w:style w:type="paragraph" w:styleId="7">
    <w:name w:val="Body Text"/>
    <w:basedOn w:val="1"/>
    <w:next w:val="8"/>
    <w:link w:val="37"/>
    <w:qFormat/>
    <w:uiPriority w:val="0"/>
    <w:pPr>
      <w:widowControl/>
      <w:snapToGrid w:val="0"/>
      <w:spacing w:before="60" w:after="160" w:line="259" w:lineRule="auto"/>
      <w:ind w:right="113"/>
    </w:pPr>
    <w:rPr>
      <w:kern w:val="0"/>
      <w:sz w:val="18"/>
      <w:szCs w:val="20"/>
    </w:rPr>
  </w:style>
  <w:style w:type="paragraph" w:styleId="8">
    <w:name w:val="List Bullet 5"/>
    <w:basedOn w:val="1"/>
    <w:qFormat/>
    <w:locked/>
    <w:uiPriority w:val="0"/>
    <w:pPr>
      <w:numPr>
        <w:ilvl w:val="0"/>
        <w:numId w:val="1"/>
      </w:numPr>
    </w:pPr>
  </w:style>
  <w:style w:type="paragraph" w:styleId="12">
    <w:name w:val="Normal Indent"/>
    <w:basedOn w:val="1"/>
    <w:next w:val="1"/>
    <w:qFormat/>
    <w:locked/>
    <w:uiPriority w:val="0"/>
    <w:pPr>
      <w:ind w:firstLine="420"/>
    </w:pPr>
  </w:style>
  <w:style w:type="paragraph" w:styleId="13">
    <w:name w:val="caption"/>
    <w:basedOn w:val="1"/>
    <w:next w:val="1"/>
    <w:qFormat/>
    <w:locked/>
    <w:uiPriority w:val="35"/>
    <w:pPr>
      <w:ind w:firstLine="0" w:firstLineChars="0"/>
      <w:jc w:val="center"/>
    </w:pPr>
    <w:rPr>
      <w:szCs w:val="20"/>
    </w:rPr>
  </w:style>
  <w:style w:type="paragraph" w:styleId="14">
    <w:name w:val="annotation text"/>
    <w:basedOn w:val="1"/>
    <w:link w:val="36"/>
    <w:semiHidden/>
    <w:qFormat/>
    <w:uiPriority w:val="0"/>
    <w:pPr>
      <w:jc w:val="left"/>
    </w:pPr>
    <w:rPr>
      <w:kern w:val="0"/>
      <w:sz w:val="24"/>
      <w:szCs w:val="20"/>
    </w:rPr>
  </w:style>
  <w:style w:type="paragraph" w:styleId="15">
    <w:name w:val="index 6"/>
    <w:basedOn w:val="1"/>
    <w:next w:val="1"/>
    <w:qFormat/>
    <w:locked/>
    <w:uiPriority w:val="0"/>
    <w:pPr>
      <w:spacing w:line="600" w:lineRule="exact"/>
      <w:ind w:left="2100" w:firstLine="480"/>
    </w:pPr>
    <w:rPr>
      <w:rFonts w:ascii="仿宋_GB2312" w:eastAsia="仿宋_GB2312"/>
      <w:sz w:val="28"/>
      <w:szCs w:val="20"/>
    </w:rPr>
  </w:style>
  <w:style w:type="paragraph" w:styleId="16">
    <w:name w:val="Plain Text"/>
    <w:basedOn w:val="1"/>
    <w:qFormat/>
    <w:locked/>
    <w:uiPriority w:val="99"/>
    <w:rPr>
      <w:rFonts w:ascii="宋体" w:hAnsi="Courier New" w:eastAsia="仿宋_GB2312"/>
      <w:sz w:val="28"/>
    </w:rPr>
  </w:style>
  <w:style w:type="paragraph" w:styleId="17">
    <w:name w:val="Date"/>
    <w:basedOn w:val="1"/>
    <w:next w:val="1"/>
    <w:link w:val="39"/>
    <w:qFormat/>
    <w:uiPriority w:val="0"/>
    <w:pPr>
      <w:ind w:left="100" w:leftChars="2500"/>
    </w:pPr>
    <w:rPr>
      <w:kern w:val="0"/>
      <w:sz w:val="24"/>
      <w:szCs w:val="20"/>
    </w:rPr>
  </w:style>
  <w:style w:type="paragraph" w:styleId="18">
    <w:name w:val="Body Text Indent 2"/>
    <w:basedOn w:val="1"/>
    <w:next w:val="1"/>
    <w:qFormat/>
    <w:locked/>
    <w:uiPriority w:val="0"/>
    <w:pPr>
      <w:spacing w:after="120" w:line="480" w:lineRule="auto"/>
      <w:ind w:left="420" w:leftChars="200"/>
    </w:pPr>
    <w:rPr>
      <w:szCs w:val="24"/>
    </w:rPr>
  </w:style>
  <w:style w:type="paragraph" w:styleId="19">
    <w:name w:val="Balloon Text"/>
    <w:basedOn w:val="1"/>
    <w:link w:val="40"/>
    <w:semiHidden/>
    <w:qFormat/>
    <w:uiPriority w:val="0"/>
    <w:rPr>
      <w:kern w:val="0"/>
      <w:sz w:val="18"/>
      <w:szCs w:val="20"/>
    </w:rPr>
  </w:style>
  <w:style w:type="paragraph" w:styleId="20">
    <w:name w:val="footer"/>
    <w:basedOn w:val="1"/>
    <w:link w:val="41"/>
    <w:qFormat/>
    <w:uiPriority w:val="99"/>
    <w:pPr>
      <w:tabs>
        <w:tab w:val="center" w:pos="4153"/>
        <w:tab w:val="right" w:pos="8306"/>
      </w:tabs>
      <w:snapToGrid w:val="0"/>
      <w:jc w:val="left"/>
    </w:pPr>
    <w:rPr>
      <w:kern w:val="0"/>
      <w:sz w:val="18"/>
      <w:szCs w:val="20"/>
    </w:rPr>
  </w:style>
  <w:style w:type="paragraph" w:styleId="21">
    <w:name w:val="header"/>
    <w:basedOn w:val="1"/>
    <w:next w:val="22"/>
    <w:link w:val="42"/>
    <w:qFormat/>
    <w:uiPriority w:val="0"/>
    <w:pPr>
      <w:pBdr>
        <w:bottom w:val="single" w:color="auto" w:sz="6" w:space="1"/>
      </w:pBdr>
      <w:tabs>
        <w:tab w:val="center" w:pos="4153"/>
        <w:tab w:val="right" w:pos="8306"/>
      </w:tabs>
      <w:snapToGrid w:val="0"/>
      <w:jc w:val="center"/>
    </w:pPr>
    <w:rPr>
      <w:kern w:val="0"/>
      <w:sz w:val="18"/>
      <w:szCs w:val="20"/>
    </w:rPr>
  </w:style>
  <w:style w:type="paragraph" w:customStyle="1" w:styleId="22">
    <w:name w:val="样式5"/>
    <w:basedOn w:val="23"/>
    <w:qFormat/>
    <w:uiPriority w:val="0"/>
    <w:pPr>
      <w:snapToGrid w:val="0"/>
      <w:spacing w:beforeLines="20" w:afterLines="20" w:line="480" w:lineRule="exact"/>
      <w:ind w:firstLine="523" w:firstLineChars="218"/>
      <w:jc w:val="both"/>
    </w:pPr>
    <w:rPr>
      <w:i/>
      <w:iCs/>
      <w:kern w:val="2"/>
      <w:sz w:val="24"/>
      <w:szCs w:val="20"/>
    </w:rPr>
  </w:style>
  <w:style w:type="paragraph" w:customStyle="1" w:styleId="23">
    <w:name w:val="正文1"/>
    <w:basedOn w:val="12"/>
    <w:next w:val="1"/>
    <w:qFormat/>
    <w:uiPriority w:val="0"/>
    <w:pPr>
      <w:ind w:firstLine="480"/>
    </w:pPr>
    <w:rPr>
      <w:rFonts w:hAnsi="宋体"/>
      <w:lang w:val="zh-CN"/>
    </w:rPr>
  </w:style>
  <w:style w:type="paragraph" w:styleId="24">
    <w:name w:val="List"/>
    <w:basedOn w:val="1"/>
    <w:next w:val="1"/>
    <w:unhideWhenUsed/>
    <w:qFormat/>
    <w:locked/>
    <w:uiPriority w:val="0"/>
    <w:pPr>
      <w:adjustRightInd w:val="0"/>
      <w:spacing w:line="360" w:lineRule="auto"/>
      <w:ind w:left="-2" w:leftChars="-1" w:right="-108" w:rightChars="-45" w:firstLine="420" w:firstLineChars="200"/>
      <w:jc w:val="left"/>
    </w:pPr>
    <w:rPr>
      <w:rFonts w:ascii="黑体" w:eastAsia="黑体" w:cs="Times New Roman"/>
      <w:kern w:val="0"/>
      <w:sz w:val="20"/>
      <w:szCs w:val="20"/>
    </w:rPr>
  </w:style>
  <w:style w:type="paragraph" w:styleId="25">
    <w:name w:val="table of figures"/>
    <w:basedOn w:val="1"/>
    <w:next w:val="1"/>
    <w:semiHidden/>
    <w:qFormat/>
    <w:locked/>
    <w:uiPriority w:val="99"/>
    <w:pPr>
      <w:jc w:val="center"/>
    </w:pPr>
    <w:rPr>
      <w:rFonts w:eastAsia="楷体_GB2312"/>
      <w:color w:val="000000"/>
      <w:spacing w:val="-4"/>
      <w:szCs w:val="20"/>
    </w:rPr>
  </w:style>
  <w:style w:type="paragraph" w:styleId="26">
    <w:name w:val="Body Text 2"/>
    <w:basedOn w:val="1"/>
    <w:unhideWhenUsed/>
    <w:qFormat/>
    <w:locked/>
    <w:uiPriority w:val="99"/>
    <w:pPr>
      <w:spacing w:after="120" w:line="480" w:lineRule="auto"/>
    </w:pPr>
  </w:style>
  <w:style w:type="paragraph" w:styleId="27">
    <w:name w:val="Normal (Web)"/>
    <w:basedOn w:val="1"/>
    <w:link w:val="43"/>
    <w:qFormat/>
    <w:uiPriority w:val="0"/>
    <w:pPr>
      <w:widowControl/>
      <w:spacing w:beforeAutospacing="1" w:afterAutospacing="1"/>
      <w:jc w:val="left"/>
    </w:pPr>
    <w:rPr>
      <w:rFonts w:ascii="宋体" w:hAnsi="宋体" w:eastAsia="宋体"/>
      <w:kern w:val="0"/>
      <w:sz w:val="24"/>
      <w:szCs w:val="20"/>
    </w:rPr>
  </w:style>
  <w:style w:type="paragraph" w:styleId="28">
    <w:name w:val="annotation subject"/>
    <w:basedOn w:val="14"/>
    <w:next w:val="14"/>
    <w:link w:val="44"/>
    <w:semiHidden/>
    <w:qFormat/>
    <w:uiPriority w:val="0"/>
    <w:rPr>
      <w:b/>
      <w:sz w:val="24"/>
      <w:szCs w:val="20"/>
    </w:rPr>
  </w:style>
  <w:style w:type="table" w:styleId="30">
    <w:name w:val="Table Grid"/>
    <w:basedOn w:val="29"/>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qFormat/>
    <w:locked/>
    <w:uiPriority w:val="0"/>
    <w:rPr>
      <w:b/>
    </w:rPr>
  </w:style>
  <w:style w:type="character" w:styleId="33">
    <w:name w:val="page number"/>
    <w:basedOn w:val="31"/>
    <w:qFormat/>
    <w:locked/>
    <w:uiPriority w:val="0"/>
  </w:style>
  <w:style w:type="character" w:styleId="34">
    <w:name w:val="annotation reference"/>
    <w:semiHidden/>
    <w:qFormat/>
    <w:uiPriority w:val="0"/>
    <w:rPr>
      <w:sz w:val="21"/>
    </w:rPr>
  </w:style>
  <w:style w:type="paragraph" w:customStyle="1" w:styleId="35">
    <w:name w:val="样式 正文文本缩进 + 行距: 1.5 倍行距"/>
    <w:qFormat/>
    <w:uiPriority w:val="0"/>
    <w:pPr>
      <w:widowControl w:val="0"/>
      <w:spacing w:after="120" w:line="360" w:lineRule="auto"/>
      <w:ind w:left="90" w:leftChars="32" w:firstLine="560" w:firstLineChars="200"/>
      <w:jc w:val="both"/>
    </w:pPr>
    <w:rPr>
      <w:rFonts w:ascii="Times New Roman" w:hAnsi="Times New Roman" w:eastAsia="宋体" w:cs="宋体"/>
      <w:lang w:val="en-US" w:eastAsia="zh-CN" w:bidi="ar-SA"/>
    </w:rPr>
  </w:style>
  <w:style w:type="character" w:customStyle="1" w:styleId="36">
    <w:name w:val="批注文字 Char"/>
    <w:link w:val="14"/>
    <w:qFormat/>
    <w:locked/>
    <w:uiPriority w:val="0"/>
    <w:rPr>
      <w:rFonts w:ascii="Times New Roman" w:hAnsi="Times New Roman" w:eastAsia="宋体"/>
      <w:sz w:val="24"/>
    </w:rPr>
  </w:style>
  <w:style w:type="character" w:customStyle="1" w:styleId="37">
    <w:name w:val="正文文本 Char"/>
    <w:link w:val="7"/>
    <w:qFormat/>
    <w:locked/>
    <w:uiPriority w:val="0"/>
    <w:rPr>
      <w:sz w:val="18"/>
    </w:rPr>
  </w:style>
  <w:style w:type="character" w:customStyle="1" w:styleId="38">
    <w:name w:val="正文文本缩进 Char"/>
    <w:link w:val="5"/>
    <w:semiHidden/>
    <w:qFormat/>
    <w:locked/>
    <w:uiPriority w:val="0"/>
    <w:rPr>
      <w:rFonts w:ascii="Times New Roman" w:hAnsi="Times New Roman" w:eastAsia="宋体"/>
      <w:sz w:val="24"/>
    </w:rPr>
  </w:style>
  <w:style w:type="character" w:customStyle="1" w:styleId="39">
    <w:name w:val="日期 Char"/>
    <w:link w:val="17"/>
    <w:qFormat/>
    <w:locked/>
    <w:uiPriority w:val="0"/>
    <w:rPr>
      <w:rFonts w:ascii="Times New Roman" w:hAnsi="Times New Roman" w:eastAsia="宋体"/>
      <w:sz w:val="24"/>
    </w:rPr>
  </w:style>
  <w:style w:type="character" w:customStyle="1" w:styleId="40">
    <w:name w:val="批注框文本 Char"/>
    <w:link w:val="19"/>
    <w:semiHidden/>
    <w:qFormat/>
    <w:locked/>
    <w:uiPriority w:val="0"/>
    <w:rPr>
      <w:rFonts w:ascii="Times New Roman" w:hAnsi="Times New Roman" w:eastAsia="宋体"/>
      <w:sz w:val="18"/>
    </w:rPr>
  </w:style>
  <w:style w:type="character" w:customStyle="1" w:styleId="41">
    <w:name w:val="页脚 Char"/>
    <w:link w:val="20"/>
    <w:qFormat/>
    <w:locked/>
    <w:uiPriority w:val="99"/>
    <w:rPr>
      <w:sz w:val="18"/>
    </w:rPr>
  </w:style>
  <w:style w:type="character" w:customStyle="1" w:styleId="42">
    <w:name w:val="页眉 Char"/>
    <w:link w:val="21"/>
    <w:qFormat/>
    <w:locked/>
    <w:uiPriority w:val="0"/>
    <w:rPr>
      <w:sz w:val="18"/>
    </w:rPr>
  </w:style>
  <w:style w:type="character" w:customStyle="1" w:styleId="43">
    <w:name w:val="普通(网站) Char"/>
    <w:link w:val="27"/>
    <w:qFormat/>
    <w:locked/>
    <w:uiPriority w:val="0"/>
    <w:rPr>
      <w:rFonts w:ascii="宋体" w:hAnsi="宋体" w:eastAsia="宋体"/>
      <w:sz w:val="24"/>
    </w:rPr>
  </w:style>
  <w:style w:type="character" w:customStyle="1" w:styleId="44">
    <w:name w:val="批注主题 Char"/>
    <w:link w:val="28"/>
    <w:semiHidden/>
    <w:qFormat/>
    <w:locked/>
    <w:uiPriority w:val="0"/>
    <w:rPr>
      <w:rFonts w:ascii="Times New Roman" w:hAnsi="Times New Roman" w:eastAsia="宋体"/>
      <w:b/>
      <w:kern w:val="2"/>
      <w:sz w:val="24"/>
    </w:rPr>
  </w:style>
  <w:style w:type="paragraph" w:customStyle="1" w:styleId="45">
    <w:name w:val="表头"/>
    <w:basedOn w:val="46"/>
    <w:next w:val="1"/>
    <w:link w:val="48"/>
    <w:qFormat/>
    <w:uiPriority w:val="0"/>
    <w:pPr>
      <w:snapToGrid w:val="0"/>
      <w:spacing w:line="240" w:lineRule="auto"/>
      <w:ind w:firstLine="0" w:firstLineChars="0"/>
      <w:jc w:val="center"/>
    </w:pPr>
    <w:rPr>
      <w:b/>
      <w:bCs/>
      <w:sz w:val="21"/>
      <w:szCs w:val="21"/>
    </w:rPr>
  </w:style>
  <w:style w:type="paragraph" w:customStyle="1" w:styleId="46">
    <w:name w:val="表格"/>
    <w:basedOn w:val="24"/>
    <w:next w:val="1"/>
    <w:link w:val="47"/>
    <w:qFormat/>
    <w:uiPriority w:val="0"/>
    <w:pPr>
      <w:adjustRightInd w:val="0"/>
      <w:snapToGrid w:val="0"/>
      <w:spacing w:beforeLines="10" w:afterLines="10" w:line="259" w:lineRule="auto"/>
      <w:jc w:val="center"/>
    </w:pPr>
    <w:rPr>
      <w:rFonts w:ascii="宋体"/>
      <w:kern w:val="0"/>
      <w:szCs w:val="20"/>
    </w:rPr>
  </w:style>
  <w:style w:type="character" w:customStyle="1" w:styleId="47">
    <w:name w:val="表格 Char"/>
    <w:link w:val="46"/>
    <w:qFormat/>
    <w:locked/>
    <w:uiPriority w:val="0"/>
    <w:rPr>
      <w:rFonts w:ascii="宋体"/>
      <w:sz w:val="21"/>
    </w:rPr>
  </w:style>
  <w:style w:type="character" w:customStyle="1" w:styleId="48">
    <w:name w:val="表头 Char"/>
    <w:link w:val="45"/>
    <w:qFormat/>
    <w:uiPriority w:val="0"/>
    <w:rPr>
      <w:b/>
      <w:bCs/>
      <w:sz w:val="21"/>
      <w:szCs w:val="21"/>
    </w:rPr>
  </w:style>
  <w:style w:type="paragraph" w:customStyle="1" w:styleId="49">
    <w:name w:val="表格内"/>
    <w:basedOn w:val="1"/>
    <w:qFormat/>
    <w:uiPriority w:val="0"/>
    <w:pPr>
      <w:adjustRightInd w:val="0"/>
      <w:snapToGrid w:val="0"/>
      <w:spacing w:line="360" w:lineRule="exact"/>
      <w:jc w:val="center"/>
    </w:pPr>
    <w:rPr>
      <w:rFonts w:eastAsia="Times New Roman"/>
      <w:snapToGrid w:val="0"/>
      <w:kern w:val="0"/>
      <w:szCs w:val="21"/>
    </w:rPr>
  </w:style>
  <w:style w:type="paragraph" w:customStyle="1" w:styleId="50">
    <w:name w:val="1 表头"/>
    <w:basedOn w:val="1"/>
    <w:qFormat/>
    <w:uiPriority w:val="0"/>
    <w:pPr>
      <w:adjustRightInd w:val="0"/>
      <w:snapToGrid w:val="0"/>
      <w:spacing w:line="240" w:lineRule="auto"/>
      <w:ind w:firstLine="0" w:firstLineChars="0"/>
      <w:jc w:val="center"/>
    </w:pPr>
    <w:rPr>
      <w:b/>
      <w:color w:val="000000"/>
      <w:sz w:val="21"/>
      <w:szCs w:val="21"/>
    </w:rPr>
  </w:style>
  <w:style w:type="character" w:customStyle="1" w:styleId="51">
    <w:name w:val="页脚 字符"/>
    <w:basedOn w:val="31"/>
    <w:qFormat/>
    <w:uiPriority w:val="99"/>
  </w:style>
  <w:style w:type="character" w:customStyle="1" w:styleId="52">
    <w:name w:val="正文文本 字符1"/>
    <w:semiHidden/>
    <w:qFormat/>
    <w:uiPriority w:val="0"/>
    <w:rPr>
      <w:rFonts w:ascii="Times New Roman" w:hAnsi="Times New Roman" w:eastAsia="宋体"/>
      <w:sz w:val="24"/>
    </w:rPr>
  </w:style>
  <w:style w:type="character" w:customStyle="1" w:styleId="53">
    <w:name w:val="日期 字符"/>
    <w:semiHidden/>
    <w:qFormat/>
    <w:uiPriority w:val="0"/>
    <w:rPr>
      <w:rFonts w:ascii="Times New Roman" w:hAnsi="Times New Roman" w:eastAsia="宋体"/>
      <w:sz w:val="24"/>
    </w:rPr>
  </w:style>
  <w:style w:type="character" w:customStyle="1" w:styleId="54">
    <w:name w:val="批注文字 字符1"/>
    <w:semiHidden/>
    <w:qFormat/>
    <w:uiPriority w:val="0"/>
    <w:rPr>
      <w:rFonts w:ascii="Times New Roman" w:hAnsi="Times New Roman" w:eastAsia="宋体"/>
      <w:sz w:val="24"/>
    </w:rPr>
  </w:style>
  <w:style w:type="paragraph" w:customStyle="1" w:styleId="55">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6">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57">
    <w:name w:val="Table Text"/>
    <w:basedOn w:val="1"/>
    <w:semiHidden/>
    <w:qFormat/>
    <w:uiPriority w:val="0"/>
    <w:rPr>
      <w:rFonts w:ascii="Times New Roman" w:hAnsi="Times New Roman" w:eastAsia="Times New Roman" w:cs="Times New Roman"/>
      <w:sz w:val="19"/>
      <w:szCs w:val="19"/>
      <w:lang w:val="en-US" w:eastAsia="en-US" w:bidi="ar-SA"/>
    </w:rPr>
  </w:style>
  <w:style w:type="paragraph" w:customStyle="1" w:styleId="58">
    <w:name w:val="Table Paragraph"/>
    <w:basedOn w:val="1"/>
    <w:qFormat/>
    <w:uiPriority w:val="1"/>
    <w:pPr>
      <w:spacing w:line="240" w:lineRule="auto"/>
      <w:jc w:val="left"/>
    </w:pPr>
    <w:rPr>
      <w:rFonts w:eastAsia="宋体"/>
      <w:kern w:val="0"/>
      <w:sz w:val="22"/>
      <w:szCs w:val="22"/>
      <w:lang w:eastAsia="en-US"/>
    </w:rPr>
  </w:style>
  <w:style w:type="paragraph" w:customStyle="1" w:styleId="59">
    <w:name w:val="表格内容"/>
    <w:basedOn w:val="12"/>
    <w:next w:val="60"/>
    <w:qFormat/>
    <w:uiPriority w:val="0"/>
    <w:pPr>
      <w:spacing w:line="240" w:lineRule="auto"/>
      <w:jc w:val="center"/>
    </w:pPr>
    <w:rPr>
      <w:rFonts w:ascii="Times New Roman" w:hAnsi="Times New Roman" w:eastAsia="宋体" w:cs="Times New Roman"/>
      <w:kern w:val="2"/>
      <w:sz w:val="21"/>
      <w:szCs w:val="24"/>
      <w:lang w:val="zh-TW" w:eastAsia="zh-TW" w:bidi="ar-SA"/>
    </w:rPr>
  </w:style>
  <w:style w:type="paragraph" w:customStyle="1" w:styleId="60">
    <w:name w:val="文本正文"/>
    <w:basedOn w:val="1"/>
    <w:qFormat/>
    <w:uiPriority w:val="0"/>
    <w:pPr>
      <w:ind w:firstLine="480"/>
    </w:pPr>
  </w:style>
  <w:style w:type="paragraph" w:customStyle="1" w:styleId="61">
    <w:name w:val="环评正文"/>
    <w:qFormat/>
    <w:uiPriority w:val="0"/>
    <w:rPr>
      <w:rFonts w:ascii="Times New Roman" w:hAnsi="Times New Roman" w:eastAsia="宋体" w:cs="Times New Roman"/>
      <w:sz w:val="24"/>
    </w:rPr>
  </w:style>
  <w:style w:type="paragraph" w:customStyle="1" w:styleId="62">
    <w:name w:val="表格1"/>
    <w:basedOn w:val="1"/>
    <w:qFormat/>
    <w:uiPriority w:val="0"/>
    <w:pPr>
      <w:widowControl/>
      <w:spacing w:line="240" w:lineRule="auto"/>
      <w:ind w:firstLine="0" w:firstLineChars="0"/>
      <w:jc w:val="center"/>
    </w:pPr>
    <w:rPr>
      <w:color w:val="000000"/>
      <w:kern w:val="0"/>
      <w:sz w:val="21"/>
      <w:szCs w:val="21"/>
    </w:rPr>
  </w:style>
  <w:style w:type="paragraph" w:customStyle="1" w:styleId="63">
    <w:name w:val="正文新"/>
    <w:basedOn w:val="1"/>
    <w:qFormat/>
    <w:uiPriority w:val="0"/>
    <w:pPr>
      <w:spacing w:line="460" w:lineRule="exact"/>
      <w:ind w:firstLine="480" w:firstLineChars="200"/>
    </w:pPr>
    <w:rPr>
      <w:sz w:val="24"/>
    </w:rPr>
  </w:style>
  <w:style w:type="paragraph" w:customStyle="1" w:styleId="64">
    <w:name w:val="德源报告表表格"/>
    <w:qFormat/>
    <w:uiPriority w:val="0"/>
    <w:pPr>
      <w:adjustRightInd w:val="0"/>
      <w:snapToGrid w:val="0"/>
      <w:spacing w:line="360" w:lineRule="exact"/>
      <w:jc w:val="center"/>
    </w:pPr>
    <w:rPr>
      <w:rFonts w:ascii="Times New Roman" w:hAnsi="Times New Roman" w:eastAsia="宋体" w:cs="Times New Roman"/>
      <w:snapToGrid w:val="0"/>
      <w:sz w:val="21"/>
      <w:szCs w:val="21"/>
      <w:lang w:val="en-US" w:eastAsia="zh-CN" w:bidi="ar-SA"/>
    </w:rPr>
  </w:style>
  <w:style w:type="paragraph" w:customStyle="1" w:styleId="65">
    <w:name w:val="样式 首行缩进:  2 字符1"/>
    <w:basedOn w:val="1"/>
    <w:qFormat/>
    <w:uiPriority w:val="0"/>
    <w:pPr>
      <w:adjustRightInd w:val="0"/>
      <w:snapToGrid w:val="0"/>
      <w:spacing w:line="360" w:lineRule="auto"/>
      <w:ind w:firstLine="480" w:firstLineChars="200"/>
    </w:pPr>
    <w:rPr>
      <w:rFonts w:cs="宋体"/>
      <w:sz w:val="24"/>
      <w:lang w:val="en-US" w:eastAsia="zh-CN"/>
    </w:rPr>
  </w:style>
  <w:style w:type="paragraph" w:customStyle="1" w:styleId="66">
    <w:name w:val="报告表正文"/>
    <w:basedOn w:val="67"/>
    <w:qFormat/>
    <w:uiPriority w:val="0"/>
    <w:pPr>
      <w:adjustRightInd w:val="0"/>
      <w:spacing w:line="360" w:lineRule="auto"/>
      <w:ind w:left="0" w:leftChars="0" w:right="0" w:firstLine="482"/>
      <w:jc w:val="both"/>
      <w:textAlignment w:val="baseline"/>
    </w:pPr>
    <w:rPr>
      <w:rFonts w:ascii="Times New Roman" w:hAnsi="Times New Roman" w:eastAsia="宋体"/>
      <w:kern w:val="0"/>
    </w:rPr>
  </w:style>
  <w:style w:type="paragraph" w:customStyle="1" w:styleId="67">
    <w:name w:val="报告正文"/>
    <w:basedOn w:val="68"/>
    <w:qFormat/>
    <w:uiPriority w:val="0"/>
    <w:pPr>
      <w:widowControl w:val="0"/>
      <w:snapToGrid w:val="0"/>
      <w:spacing w:line="360" w:lineRule="auto"/>
      <w:ind w:firstLine="200" w:firstLineChars="200"/>
    </w:pPr>
    <w:rPr>
      <w:rFonts w:ascii="Times New Roman" w:hAnsi="Times New Roman" w:cs="Times New Roman"/>
      <w:snapToGrid w:val="0"/>
      <w:sz w:val="24"/>
      <w:szCs w:val="28"/>
    </w:rPr>
  </w:style>
  <w:style w:type="paragraph" w:customStyle="1" w:styleId="68">
    <w:name w:val="p17"/>
    <w:basedOn w:val="1"/>
    <w:qFormat/>
    <w:uiPriority w:val="0"/>
    <w:pPr>
      <w:widowControl/>
    </w:pPr>
    <w:rPr>
      <w:rFonts w:ascii="宋体" w:hAnsi="宋体" w:cs="宋体"/>
      <w:kern w:val="0"/>
      <w:szCs w:val="21"/>
    </w:rPr>
  </w:style>
  <w:style w:type="paragraph" w:customStyle="1" w:styleId="69">
    <w:name w:val="列出段落11"/>
    <w:basedOn w:val="1"/>
    <w:qFormat/>
    <w:uiPriority w:val="34"/>
    <w:pPr>
      <w:ind w:firstLine="420"/>
    </w:pPr>
  </w:style>
  <w:style w:type="paragraph" w:customStyle="1" w:styleId="70">
    <w:name w:val="M正文"/>
    <w:basedOn w:val="1"/>
    <w:qFormat/>
    <w:uiPriority w:val="0"/>
    <w:pPr>
      <w:ind w:firstLine="200"/>
    </w:pPr>
    <w:rPr>
      <w:szCs w:val="21"/>
    </w:rPr>
  </w:style>
  <w:style w:type="paragraph" w:customStyle="1" w:styleId="71">
    <w:name w:val="表格字体"/>
    <w:basedOn w:val="1"/>
    <w:qFormat/>
    <w:uiPriority w:val="0"/>
    <w:pPr>
      <w:adjustRightInd w:val="0"/>
      <w:snapToGrid w:val="0"/>
      <w:jc w:val="center"/>
    </w:pPr>
    <w:rPr>
      <w:rFonts w:hint="eastAsia"/>
    </w:rPr>
  </w:style>
  <w:style w:type="paragraph" w:customStyle="1" w:styleId="72">
    <w:name w:val="环评标题"/>
    <w:basedOn w:val="61"/>
    <w:qFormat/>
    <w:uiPriority w:val="0"/>
    <w:pPr>
      <w:ind w:firstLine="0" w:firstLineChars="0"/>
    </w:pPr>
    <w:rPr>
      <w:b/>
    </w:rPr>
  </w:style>
  <w:style w:type="paragraph" w:customStyle="1" w:styleId="73">
    <w:name w:val="表头字体"/>
    <w:basedOn w:val="1"/>
    <w:qFormat/>
    <w:uiPriority w:val="0"/>
    <w:pPr>
      <w:spacing w:line="360" w:lineRule="auto"/>
      <w:jc w:val="center"/>
    </w:pPr>
  </w:style>
  <w:style w:type="paragraph" w:customStyle="1" w:styleId="74">
    <w:name w:val="@正文缩进"/>
    <w:basedOn w:val="1"/>
    <w:qFormat/>
    <w:uiPriority w:val="0"/>
    <w:pPr>
      <w:pBdr>
        <w:top w:val="none" w:color="auto" w:sz="0" w:space="3"/>
        <w:left w:val="none" w:color="auto" w:sz="0" w:space="4"/>
        <w:bottom w:val="none" w:color="auto" w:sz="0" w:space="1"/>
        <w:right w:val="none" w:color="auto" w:sz="0" w:space="4"/>
      </w:pBdr>
      <w:spacing w:line="360" w:lineRule="auto"/>
      <w:ind w:firstLine="420" w:firstLineChars="200"/>
      <w:textAlignment w:val="baseline"/>
    </w:pPr>
    <w:rPr>
      <w:sz w:val="24"/>
    </w:rPr>
  </w:style>
  <w:style w:type="paragraph" w:customStyle="1" w:styleId="75">
    <w:name w:val="样式 正文缩进正文缩进2正文缩进 Char Char正文缩进 Char Char Char Char正文缩进 Char ..."/>
    <w:basedOn w:val="12"/>
    <w:qFormat/>
    <w:uiPriority w:val="0"/>
    <w:pPr>
      <w:spacing w:line="360" w:lineRule="auto"/>
      <w:ind w:firstLine="200"/>
    </w:pPr>
    <w:rPr>
      <w:rFonts w:cs="宋体"/>
      <w:sz w:val="24"/>
    </w:rPr>
  </w:style>
  <w:style w:type="paragraph" w:customStyle="1" w:styleId="76">
    <w:name w:val="3博创正文"/>
    <w:basedOn w:val="1"/>
    <w:link w:val="77"/>
    <w:unhideWhenUsed/>
    <w:qFormat/>
    <w:uiPriority w:val="0"/>
  </w:style>
  <w:style w:type="character" w:customStyle="1" w:styleId="77">
    <w:name w:val="3博创正文 Char"/>
    <w:link w:val="76"/>
    <w:qFormat/>
    <w:uiPriority w:val="0"/>
  </w:style>
  <w:style w:type="paragraph" w:customStyle="1" w:styleId="78">
    <w:name w:val="1正文段落"/>
    <w:basedOn w:val="1"/>
    <w:qFormat/>
    <w:uiPriority w:val="0"/>
    <w:pPr>
      <w:spacing w:line="500" w:lineRule="exact"/>
      <w:ind w:firstLine="200" w:firstLineChars="200"/>
      <w:jc w:val="left"/>
    </w:pPr>
    <w:rPr>
      <w:snapToGrid w:val="0"/>
      <w:kern w:val="0"/>
      <w:sz w:val="24"/>
    </w:rPr>
  </w:style>
  <w:style w:type="paragraph" w:customStyle="1" w:styleId="79">
    <w:name w:val="表格内容1"/>
    <w:basedOn w:val="1"/>
    <w:qFormat/>
    <w:uiPriority w:val="0"/>
    <w:pPr>
      <w:tabs>
        <w:tab w:val="left" w:pos="1535"/>
        <w:tab w:val="left" w:pos="3105"/>
        <w:tab w:val="left" w:pos="4676"/>
        <w:tab w:val="left" w:pos="6247"/>
        <w:tab w:val="left" w:pos="7740"/>
        <w:tab w:val="left" w:pos="9288"/>
      </w:tabs>
      <w:adjustRightInd w:val="0"/>
      <w:snapToGrid w:val="0"/>
      <w:spacing w:line="240" w:lineRule="auto"/>
      <w:ind w:firstLine="0" w:firstLineChars="0"/>
      <w:jc w:val="center"/>
      <w:textAlignment w:val="baseline"/>
    </w:pPr>
    <w:rPr>
      <w:rFonts w:ascii="Times New Roman" w:hAnsi="Times New Roman"/>
      <w:sz w:val="21"/>
      <w:szCs w:val="21"/>
    </w:rPr>
  </w:style>
  <w:style w:type="paragraph" w:customStyle="1" w:styleId="80">
    <w:name w:val="表格标题"/>
    <w:basedOn w:val="1"/>
    <w:qFormat/>
    <w:uiPriority w:val="0"/>
    <w:pPr>
      <w:autoSpaceDE w:val="0"/>
      <w:autoSpaceDN w:val="0"/>
      <w:adjustRightInd w:val="0"/>
      <w:snapToGrid w:val="0"/>
      <w:spacing w:line="324" w:lineRule="auto"/>
      <w:ind w:firstLine="422" w:firstLineChars="200"/>
      <w:jc w:val="center"/>
    </w:pPr>
    <w:rPr>
      <w:rFonts w:ascii="宋体" w:hAnsi="宋体"/>
      <w:b/>
      <w:lang w:val="zh-CN"/>
    </w:rPr>
  </w:style>
  <w:style w:type="paragraph" w:customStyle="1" w:styleId="81">
    <w:name w:val="文本"/>
    <w:basedOn w:val="1"/>
    <w:qFormat/>
    <w:uiPriority w:val="0"/>
    <w:pPr>
      <w:adjustRightInd w:val="0"/>
      <w:snapToGrid w:val="0"/>
      <w:spacing w:line="360" w:lineRule="auto"/>
      <w:ind w:firstLine="480" w:firstLineChars="200"/>
      <w:jc w:val="left"/>
    </w:pPr>
    <w:rPr>
      <w:sz w:val="24"/>
    </w:rPr>
  </w:style>
  <w:style w:type="paragraph" w:customStyle="1" w:styleId="82">
    <w:name w:val="Body Text 21"/>
    <w:basedOn w:val="1"/>
    <w:qFormat/>
    <w:uiPriority w:val="0"/>
    <w:pPr>
      <w:spacing w:after="120" w:line="480" w:lineRule="auto"/>
    </w:pPr>
  </w:style>
  <w:style w:type="paragraph" w:styleId="83">
    <w:name w:val="List Paragraph"/>
    <w:basedOn w:val="1"/>
    <w:qFormat/>
    <w:uiPriority w:val="1"/>
    <w:pPr>
      <w:ind w:left="1159" w:hanging="602"/>
    </w:pPr>
    <w:rPr>
      <w:rFonts w:ascii="宋体" w:hAnsi="宋体" w:cs="宋体"/>
      <w:u w:val="single" w:color="000000"/>
      <w:lang w:val="zh-CN" w:bidi="zh-CN"/>
    </w:rPr>
  </w:style>
  <w:style w:type="paragraph" w:customStyle="1" w:styleId="84">
    <w:name w:val="表头  报告书"/>
    <w:basedOn w:val="1"/>
    <w:qFormat/>
    <w:uiPriority w:val="0"/>
    <w:pPr>
      <w:spacing w:before="50" w:beforeLines="50" w:line="360" w:lineRule="auto"/>
      <w:ind w:firstLine="200" w:firstLineChars="200"/>
      <w:jc w:val="center"/>
    </w:pPr>
    <w:rPr>
      <w:rFonts w:hAnsi="宋体"/>
      <w:b/>
      <w:sz w:val="24"/>
      <w:szCs w:val="21"/>
    </w:rPr>
  </w:style>
  <w:style w:type="paragraph" w:customStyle="1" w:styleId="85">
    <w:name w:val="正文(首行缩进)"/>
    <w:basedOn w:val="1"/>
    <w:qFormat/>
    <w:uiPriority w:val="0"/>
    <w:pPr>
      <w:spacing w:line="360" w:lineRule="auto"/>
      <w:ind w:firstLine="540" w:firstLineChars="225"/>
    </w:pPr>
    <w:rPr>
      <w:snapToGrid w:val="0"/>
      <w:color w:val="000000"/>
      <w:kern w:val="0"/>
      <w:sz w:val="24"/>
      <w:szCs w:val="24"/>
    </w:rPr>
  </w:style>
  <w:style w:type="paragraph" w:customStyle="1" w:styleId="86">
    <w:name w:val="xl31"/>
    <w:basedOn w:val="1"/>
    <w:qFormat/>
    <w:uiPriority w:val="0"/>
    <w:pPr>
      <w:widowControl/>
      <w:adjustRightInd/>
      <w:spacing w:before="100" w:beforeLines="0" w:beforeAutospacing="1" w:after="100" w:afterLines="0" w:afterAutospacing="1"/>
      <w:jc w:val="center"/>
      <w:textAlignment w:val="center"/>
    </w:pPr>
    <w:rPr>
      <w:rFonts w:ascii="Arial Unicode MS" w:hAnsi="Arial Unicode MS" w:eastAsia="Arial Unicode MS"/>
      <w:kern w:val="0"/>
      <w:szCs w:val="24"/>
    </w:rPr>
  </w:style>
  <w:style w:type="paragraph" w:customStyle="1" w:styleId="87">
    <w:name w:val="正文26-5.21"/>
    <w:basedOn w:val="1"/>
    <w:qFormat/>
    <w:uiPriority w:val="0"/>
    <w:pPr>
      <w:adjustRightInd w:val="0"/>
      <w:snapToGrid w:val="0"/>
      <w:spacing w:line="520" w:lineRule="exact"/>
      <w:ind w:firstLine="480" w:firstLineChars="200"/>
      <w:textAlignment w:val="baseline"/>
    </w:pPr>
    <w:rPr>
      <w:rFonts w:ascii="Times New Roman" w:hAnsi="Times New Roman" w:eastAsia="宋体" w:cs="宋体"/>
      <w:snapToGrid w:val="0"/>
      <w:sz w:val="24"/>
    </w:rPr>
  </w:style>
  <w:style w:type="table" w:customStyle="1" w:styleId="88">
    <w:name w:val="Table Normal"/>
    <w:unhideWhenUsed/>
    <w:qFormat/>
    <w:uiPriority w:val="0"/>
    <w:tblPr>
      <w:tblCellMar>
        <w:top w:w="0" w:type="dxa"/>
        <w:left w:w="0" w:type="dxa"/>
        <w:bottom w:w="0" w:type="dxa"/>
        <w:right w:w="0" w:type="dxa"/>
      </w:tblCellMar>
    </w:tblPr>
  </w:style>
  <w:style w:type="character" w:customStyle="1" w:styleId="89">
    <w:name w:val="font51"/>
    <w:basedOn w:val="31"/>
    <w:qFormat/>
    <w:uiPriority w:val="0"/>
    <w:rPr>
      <w:rFonts w:ascii="宋体" w:hAnsi="宋体" w:eastAsia="宋体" w:cs="宋体"/>
      <w:b/>
      <w:bCs/>
      <w:color w:val="000000"/>
      <w:sz w:val="16"/>
      <w:szCs w:val="16"/>
      <w:u w:val="none"/>
    </w:rPr>
  </w:style>
  <w:style w:type="character" w:customStyle="1" w:styleId="90">
    <w:name w:val="font61"/>
    <w:basedOn w:val="31"/>
    <w:qFormat/>
    <w:uiPriority w:val="0"/>
    <w:rPr>
      <w:rFonts w:ascii="宋体" w:hAnsi="宋体" w:eastAsia="宋体" w:cs="宋体"/>
      <w:color w:val="000000"/>
      <w:sz w:val="16"/>
      <w:szCs w:val="16"/>
      <w:u w:val="none"/>
    </w:rPr>
  </w:style>
  <w:style w:type="character" w:customStyle="1" w:styleId="91">
    <w:name w:val="font71"/>
    <w:basedOn w:val="31"/>
    <w:qFormat/>
    <w:uiPriority w:val="0"/>
    <w:rPr>
      <w:rFonts w:ascii="Calibri" w:hAnsi="Calibri" w:cs="Calibri"/>
      <w:color w:val="000000"/>
      <w:sz w:val="16"/>
      <w:szCs w:val="16"/>
      <w:u w:val="none"/>
    </w:rPr>
  </w:style>
  <w:style w:type="paragraph" w:customStyle="1" w:styleId="92">
    <w:name w:val="p0"/>
    <w:basedOn w:val="1"/>
    <w:qFormat/>
    <w:uiPriority w:val="0"/>
    <w:pPr>
      <w:widowControl/>
      <w:spacing w:line="365" w:lineRule="atLeast"/>
      <w:ind w:left="1"/>
      <w:textAlignment w:val="bottom"/>
    </w:pPr>
    <w:rPr>
      <w:kern w:val="0"/>
      <w:sz w:val="20"/>
      <w:szCs w:val="20"/>
    </w:rPr>
  </w:style>
  <w:style w:type="paragraph" w:customStyle="1" w:styleId="93">
    <w:name w:val="111首行"/>
    <w:basedOn w:val="1"/>
    <w:qFormat/>
    <w:uiPriority w:val="0"/>
    <w:pPr>
      <w:shd w:val="clear" w:color="auto" w:fill="auto"/>
      <w:spacing w:line="360" w:lineRule="auto"/>
      <w:ind w:firstLine="480" w:firstLineChars="200"/>
    </w:pPr>
    <w:rPr>
      <w:rFonts w:hint="default" w:ascii="Times New Roman" w:hAnsi="Times New Roman" w:cs="Times New Roman"/>
      <w:color w:val="000000" w:themeColor="text1"/>
      <w:sz w:val="24"/>
      <w:szCs w:val="24"/>
      <w14:textFill>
        <w14:solidFill>
          <w14:schemeClr w14:val="tx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extobjs>
    <extobj name="F360BE8B-6686-4F3D-AEAF-501FE73E4058-1">
      <extobjdata type="F360BE8B-6686-4F3D-AEAF-501FE73E4058" data="ewoJIkZpbGVDb250ZW50IiA6ICJVRXNEQkJRQUFBQUlBR0ZxVDExam1sY0dyZ0VBQU9ZREFBQU1BQUFBWkc5amRXMWxiblF1ZUcxc2haTmZUOXN3Rk1YZkorMDdXSDVQc1pPMFRhdGtxR3VCSVpXQkNIK2UzZmdtdFpyWXlIRVlDTzI3enc1VFMwMHI4aERGOTNkOFlwMTduWjYrTkRWNkJ0MEtKVE5NQndRamtJWGlRbFlaN2t3WkpQajB4L2R2NlVJVlhRUFNJUHR4MFFtZTRUZWVsQ0VwS1E4aW5veURPRnFSSUNsR1liQUNGZzNwZURVYUV2aUwwY1BXUEJ5UXdRU2o2enpEajBKaWE0dnM0NnpuU3BhaStsL29pN21xTzJPM29ZY01Ed25GSng2OFl1M0dNYkpQN3A4NE0zRERLdmpOR25DQzg5a3lQL08ycjlXZkN5MjR3M2UzOXdmb2JWZURQbzVkQUZBTENjY2w3Z2cvTmJETlljbTFybWFkVVV2MnFqcHpXTkkwWHl1V3F0ak0zMFA2akM4cnFUUXNvSnhMazV2WCtsZ2NXOTI1a3VhSTVxeUd3bWhSc0hxdVZkdHU3WGJ4cHlkK0g5UGMyRkVTZGJ1WHpYc04zVEN6dGlNUmU4bnQwZmlEdWVlVnpnb2pudnRHWDBvT0w5NVpYTDExdGQzZ3BJc240Vlh5UWdQSVI4SE51aWVUa1Bqd0Y0aHEzWWRDU2ZMeEJ6VXpwZEtOSXh6YXpZN01iZE1OOElWOU9SaVNjQlNRU1JER2lJNm04WGhLaWFkVi9hQjFMZWdkdUxJWHNCU2VDeVVCSFNJYVRlbGtTcUpQNG4yYnZoMzlqYldMZjFCTEF3UVVBQUFBQ0FCaGFrOWRJNDN1Rkh3UEFBREkwZ0FBRHdBQUFIQmhaMlZ6TDNCaFoyVXhMbmh0Yk8wZGEzUGJ4dkY3Wi9vZk1Nd1h1N1ZKUFBtWW9aclJPKzVJTWl2U2p0UnZzQVJSaUVtQ0EwS08xVTk1TjVuR0hjOVluZFpPV2plVHBIRXlqUlBQeEcxSGlac2ZVMU9TUCtVdjlPN3dCZzdBZ1M5QjRqa2ZRbUQzYm0vMzduYjNkdmVFNnN1MzJ5M21scUwzVkswemsrUHliSTVST2x2YXR0cHB6dVN1TlpZdWwzTXYvK3JuUDZ2VzVLYkNYRmtBS0N4QWFleDNsWmtjZkpkajF1UTIrUDNpazZlWHVSenpXMDFyQTV3Y2M2MmpHak81ZGp2SDFIU2xKbmNWZlNZSEVFQlhEUGlIdXF2cFdyZG52VUF2WDFXM2pWM21PbWpQOFh4ZTRuTUZML1FWUlczdUdoQmNxZ2o1RXN2NXdaQ2cwd0hQc1dHbzJ3RmZLZm5CY0RoenVpTGZqQitDZzVZd2xwcW1HN3FzSW9TbDJaWDZvaDg4dTJkb2RmVjNDZ1EzMXE4dFJoQlpVWFpRRDJ3RXZLRjE0OERyOWhDRGc3TVI1alREME5vWWpQcVdyclZhRzZqenZGaXA0S0NiRHBRckJvUzVyS3ZiYzBwVDdXeGdodWNBTnpIQXEzcHpRZFdWTFFNc1J2KzRxb1hnaXFtdXlQdmFudUZ0L3V1OWRuZFYyMVl3TEVGUTNkaHZLUmlxQ0daTlI5RVBXdHRyMzFoUmJpa3RUTE4yZTFWK1RkUFJlZ3FEMUk0SkNpNUV3T0oxUlY5UWV3YXVJWUMrb2lWQVozczlDQ3dIZGtlM3ZpV2I3RWxzRUFTMjRCYm8wNUlxbXc4aEFJcU81RmlQMEgweWh2U1hWS1cxRGJGYjhqNVQzOVZlcisxcWhtYXZjbVlOcld2bkVRRnJXZzkyeXFDdEJRUUN1R0xNL1FQRXpWcElLMnBIc1JFYnltMER5TWhRQVVOMlZ3RXhvR0VnK3RZT01sV1RyWXo2WDl6cjM3MWpQbDJieWNILzVaaWxsdHcwKzFlTmxvTHBHSFYrWFc3dElURUFGVGFUcXpmV2ZhSkNLRXRheDJDVzVMYmEycC9KcmFwZ08vUTBzRk0zWmNCVmpqRUZBS2FkbWRkYUd0QjZMNG5vbjEva0Jac0pJc1o0aDdIUHZqdjU1TUJoREhGeXBqa3JPdmJqN1Vjdi92ekk0V3hCNmNxNjBWWTZ4aGxrejFyOWtMK1N6ZDlpVzFaYkRudlcwMW5tck95c3lYOS8vdnpaeDhjSFQwKysrYXZENEt0Z1YzZXl2alRkRjVaR0N5cTZucU1KbDlSV2EwblQyN0poK1Q1cmtEMEhQTGU4cEd2dHhxN1NEaGlmYWsxWE8wWmRNZmE2ekpJSzdHMTlWMUVNUjVDV3U4UzY2aEY2TG81NmhINkt4NU9DRHNHcXJBUGphZktLTEx6M0JmQUl2SSttZ2ZlOGNVWUY5RHB3K2J5eVFXK3NHVDE1KzhPais5ODRPdlZLNTViYVUyKzQwOGVzYUZzMzdWMk1HTFFmWm9IcHZ1WGl6Y2xiTjV1NnR0Zlp0aEhxSGJtTGMzcTg1UHRQM29LdXBLWDRvcWpiSmdaSDNuenlVcmV3TWVTUmtYT0ZVVFVuRVJJWFhPWDB4b1BqZzBjK0k0VFEwR0pEeGxqd3M0T2dpenM3d0pXQllLR0lBVU16aDRBWTJMelc2WUMyWnVlUzZCa3NBdHRQcTZ2dWFFVzRJR1MxY3dQdVU5WWUrWFhWa0Z1cXNSOHpkckVVTzNhUmpSazdGbGpmQmU1K0FGb3RXR08xbjAwa2N5K2gzOVp5QTY0MGd5YkVzWHBBSXdDL2IwdnA5V3ltanA2K2Vmem9EMzZXZExuVDJ3RWJOS2czM0NOQmdFOEVkZjE0VVFoRFp6dE5uTU9JWU1zMXk3K1ZPREV2NGVISXhlVXFIQTRPRnJIZEE4Y0xBSU5aaDU0WitQOXEwSG4xNEcrYWg1c0FPbzlSbHkyMWkzRy9IUmpPK3k3Z2hGaEY3dStDYk1paEVhazNybXdqMFdGSUFHMFlBUWY3RGROamRiNm1nWTNjQzNaa3ZyYm12V1p3amxJeVZ3NGJOQ1dvVVFUakNFWXN3WUpKT21GQXZLT25FZ2RFTXMzdUVESHpSallpd1J5UlFEQWl1Q1hnZUxqRTBZeE9ZS0k1UEhIa0FnTWIyT1dGYUhqMks1OGRYRlY3VzhHbVYyKzhCcFFoSEMrU1JXQTVCMXBVRjI4cG1JV00zaTdvOXBHZFdRcHZ2MUJEVTBsYWJzZHY5dFN0bTZ0eTd5WlVPU0VQS3VTZjFMV1d1bzJWcmFQNFg5cXgvbUdFNWZZWDN2WWRCUXR4b0s4cStNaUREMmxlUnBJQS9xRVJqVlNURFVQUk85YWV4NktoV01Lc3JtdXZJeXpXOWdYRFNzbWNoczQyT1RKaUZRZ2lTYVFoc1FJclZvYnIwVFcwWU5JQXNWMTVHL1JUZ1paYTJZRk9LaWRKVzBVODhZSk5QVFEza1ROUU5hMTI5T3pBQVFEZTRVa2ZyMkVpT3FnV1BDdlJaM2FCSHhCYTZzZzU4SjNIRytEWDRtMUQ2V3picEhHamk3TGhEb0xQbGljcEx0VENaOS9qMUlQVElzYm1PempMYVN5M3J4V3BNblVhaGQwRW9EaWdnUE1OTG8vazhRc1c0MTRFMm52SWVwcWJ3b2x2MzdodG1PZS91TU1ad3NSNkQyNC9nT1pjQ3pqdXpQWFpsdG9FeDVGNW9Pd1UzWXoybUF2TFZHNjhCTnp1aG55amJtakFWUzlqbHdycTByZmhLdkMvYURibWQyVmQzZ0wwbUNzYnB2cE5PRW55N2treXFlOGE2THFweTkxZHUrOTZGKzVRNjFobmNRdk5YbWQ3U2RWN0JzSUJEL0EwWi85ZU44OTdxTEc4cGN3cFFJNksrenk3WTBDSE9HWkptb2U4SG1OMktscG5ROVBPUWptSzlta3dTdGs1c3hRQlEvQnVsNm1aUE01dlJPeGlINzdSdFJIN2ovLzI0cXNQKzQ4L2UzNzR4ZkhCdytNSDcvVHZQSGx4Lzh2KzRjUGpENzZzRm94dUhOMUNOd29NbGgxK3pDWUFMYm1RbGdzME1WLzRETyt5b3JVVlExZVZrSEt6SVBzNGttc2FzaGJSenVjYWluUEdJTXkzdEo2eUhXTTYxelFZaUlrbEFjKzRNVDJzYXJlVWhoWWxUbUsvRUdHVE9GNElzUkJKRlJuWmtZNG5RakNGU0VJa1E0alplcWRIbEVqeVE0MWdEQ3NCUzdWYXdPd3I1Nlc3RFMxSEpER0l3SjlPRUVFcWg2RWpDU0x3WlV4NFlwZ1FRb1VHRUlZS0lDVEtqNFlQeGlDdXNRVVB3TWFsd1FNYVBLREJBeG84Y0Z2NDdIcG1nZ2RKcXRScE1zclFRWVVHRG1qZzRIUUNCKysvZC96aysvNkg3NTU4K3U3SmozZFAvbnZ2cHgvZWYvNmZlOGNIajd3UmhLT0RmNzM0NkQyQWMvenM4VTgvZkVBRENoYkNXUXdvRUdoYkdsQVlDMUVpeVU4d29ERDRlRVlRVUxCcU1HRDNkbGhCd0lRVmZHaW14K0o5NVR1aWFoMzhJZFd0bGkwS1pXUnFhMnVOalF2QVFBQmJsMSs1T2c4ZUw2Q3hjU3lmcjgydSs1NnRnMGgrUTdnVWVyY3BYTHg0TWV5cnVSVzRNTEpnRWR3Y0kwSGdPaVArU213cFh5eVdFbmdVQXlSRmx5UjNLZlJ1azRzaVNjamhzT1RBV1JBenN3VGhwR0lGQ01PU0JwVFFaWE1oeElXWVdCdDUwMFRlakkwNFFkemxhN1ByQ3hkWWpJUWNWN1JZNHZObHdSVFRCWE1NdjRUanVZajE4ZnhoS2JmTkpteXpHZEhHNDQwS0lpUW1wQWhYc1NtaVZTN0xxT1lMdzdZbmZKV01qRGhyeUUwWDMxbnlHMmlDc1F2UGFzQjVHNGk0QmhFeE14Z1c4S0ZGSE9ZcmxlVER2SzlTMFpYdTJUaUpoOE9ldG9oZFpERUJlZkNUdU9uQSswN2lNRlNIS2c0NSt4ek9zbkcyT3V1SDhHRWQwMGkza3RneGpmWTd4KytZRHVxRkRlVjlGbVBPaE9sOVAxSlBCNzEyNmtyTml4MWdCYmZRRDZja3Y5a0I1MGQ0SWNZdG1ZVzNacnhLbHpRSEk0NHBCMVBpVEtNWll5UUhMdVlzaWNKUWVSaEJTbXZhc2wzTW1ZbGN5MmtVYTVKTnBEdklTZVJiN0lXZjRaTE50R0tib3FKTm5pVngxbWptWmVTWkY3ei9teVVmN0pRU0lhVDZCTFVhY3lVbHVlSncyZzFUUyttUU8rL1ZsR3dHVWlJc1RZbGc0RU9rUk81LzFmLzBXNXJpc0JDeWtlSklwVXduVkRlWmZrelRrK29ZZisza21GYkVST29ucFhOV1B5bFVpdm55aUc5aDBoSktXa0tKSFJFdG9Uem5SM2xhUXVtaTBSSktMM2RURWptZ0paUzBoSktXVU5xRHlIcTg0UGorOXllUHYvM2ZHMjlhdFpSMy85aC85L1ArMS84NCt2c24vVHRQK29jUFQ3NTczUC82TC8zRGUwY1AzZ0kvYUdUQlFzaEdaSUVXVDRhR2tNbUlBaTJlakMrZUxHYWdlRklLVlBwSm1GcEdpYng0MGdvcnhGY1hqb1JtdXZySlVvQmtDVlBRV0NLdG55UmljbGlLVTF0QzZaSHVORlpSU21tcktFdTBpcEpXVVhvQTJUaUgweXJLUWR3eFdrV1puSWtwalNrVEE4eE9VaFhsd05tWWtoU09xYVhLeFlqbHZKQ3lqRExEMlpncHpiYVFUYUk3eEVua1creFZuOW1jUzFxaFRWSFdoUlpRZXRGb0FhWFgzSjFPR29SVW02QldZMDZGa0NzT3A5M2d5UkNIMlBsT2g5RGl5Zk9YRE9rZlBqejY5Z0FtUTFBVkpmengwU0Y0U1pNZUZrSTJraDZwVk91RUVoL3B4MFNUSDZNYndaaFd4RVRLS2N0ak9zUnpSWXpMN3pvYVFqblBpaXptcUQyU21rcUpaZk1sUHZKWWp2b29jeW5POEZ3bHovTHdUM2RtOVNCdmtzaDJXU1doRUVkKzJrK2NhWGVJa3pqb3c1MUJkc2dmcWNCU25QUlRDTXpleDlOeTBxZjFsUzRhcmEvMGNqY2xnUVVTN1lWYWVHeDlaUXhCQlNJZDVUUkpvVTZkZGdGZlllQjRna00yODBFRldtTjVIc01LSjgvK2VmTGozZjd2RC91SDkyZ293VUxJUmlpQldKa1MrMW9JZTdoWVFycEJUVThjZ1Z6OFF3MWpYR3RpSXRHRXlqbTduRmxrQWJ5Q09kTFEyNW1uRmthZ3R6T3YwOXVaTkhwQW93YzBldUIyZlVhaUIvUjI1dmtzUjZDUmcvTVlPVGo2K0lPVHArK2NmUGNJZlJQelQ4K2YzZWwvOXM3eHM4YzBpbUFoWkNPS1FHOWhob2FReVFBQ3ZZVVpld3NUMXBPTitSYW1WSkh5VXNJRnhYTGd1bUFaY3lleVRINFAweTVGaUwrak9CS2lxUzVpY3B5ZkpIZ09YWXYwdkV1NGlFbkU1ZEFrQjc2SnlYRjhuc3ZDVFV5Snkwdmw5RGN4dmVKTmR4VlRLdWJaOHBtL2lsbE9lUlVUckNKNkZaTmV4WFFCMlRoMDA2dVlnL2hrd3lXenVKaFQrdm01aThseDQvcWloV2hlcDRpeGxLS1l4OXlwSlB5bUJmcExBUVNXTDg3R0NTVmczSzN5VzhJVURKOFhzcHVFeVVTU2hVQkNvLyt5QmRGRXVvT2N5SmN0UlBmeUVrR3laV1JpUy9ObGk1UmlReHQyV2xJdTlHcW1GNDFlemZSYXYxUDZ0Z1doUmtHdEFtWjJERiszSUZZZVRqdFNUZWMwd3RucXdmTWhpSERtTXlMMGd1YjV5NGZRcjF2NEVMS1IvVWlsVHNuOEg0UTY1UGN0VW85cWV2SWdoUElmN2dzWDQxb1ZFOHlIOE9QUGgzQmlRallrRUxKblBTRjc4VkxvM2FhWTlFbHZMdW1EMXlNaGFHZENrdm1MK1lJNGovbUNPQi8vT1c5SlRPQnVXSElEWjBEWU5Ma1BrUnRIOHNPZWpGUmY4UmJzNHBsMGFRODJUVENJVGZXWjAwbmxQTEFwREh1NUVYLzFtK1k4UEdLbU9RK2E4L0QwY0Y1ekhvbitWd1EvMlU5NVlKd2tZV0pPMHV5MXh0VzV4ZVVyYTlCKzIycjdrcW1NNC84VU44Y1Awa0hRaVlITkY5Y1dpQnVidEsxWUMybmp5VGdZa3BRVkIwTVFLdU4zTUVxWmREQ3cvb0s5ZUlqL0lEWjFNRHhpcGc0R2RUQThQVXlyZzhHSHIyT2FWTWRiWG91UC81OU50MGJNUU93bjV1c2dJdWJySUVteEg1RWY0bk1rNUFUSll6OHhSYmM4cHVnMlB2WWpsb2VvOFNVaU55SFhySmdWMTB5VWhIRTdadVVNdW1Va254MUpMbzZsYnBsSHpOUXRvMjZacDRkcGRjc3duNzR3cVo1RkJ3bjNHZmhKTzBneEZsM0VXUFFrQjBuaUtvTzdFT1FFeVIya1NvQmNCZU94VkVnZEpLbVU1UDROUzI3YUhDUkpMRTJqZzBSeUdjalhvRUlkSk9vZ2VRRFVRYUlPRXBibzJYS1FyQzV4WkJqNEo3d1FNaXpnaE1kbzhBeHNMaUJYTVI5TTd3aldWVHBvY0lOcEpoSnEwOURjNnhLRmRFUlF3Z3RQUmZSUzRieFVPQUlxUlRKV3BLRllLUkt5VWhxR0ZWaWNTOEpLZVJoVy9FU2lXZUc0b1ZqaHlWanhFUkc5Uk1TMFJHSm14YmVNZVM4Vm5vQUs2VEwyckREUHBLUWxRTFFaMC9VdkRyQkRVcytGU0NpbDhsQnpJUTJ3UTFLekloR3lVaUZnQlIxQWJKMWNMZFRrSmxUVy93ZFFTd01FRkFBQUFBZ0FZV3BQWFNUdzIvZzZBQUFBT2dBQUFBNEFBQUJ5Wld4ekwxOXlaV3h6TG5odGJMT3hyOGpOVVNoTExTck96TSt6VlRMVU0xQlNTTTFMemsvSnpFdTNWU290U2RPMVVMSzM0K1d5Q1VyTlNTd0JxaW5PeUN3bzFnZUtBQUJRU3dNRUZBQUFBQWdBWVdwUFhTVHcyL2c2QUFBQU9nQUFBQk1BQUFCeVpXeHpMM0JoWjJVeFgzSmxiSE11ZUcxc3M3R3Z5TTFSS0VzdEtzN016N05WTXRRelVGSkl6VXZPVDhuTVM3ZFZLaTFKMDdWUXNyZmo1YklKU3MxSkxBR3FLYzdJTENqV0I0b0FBRkJMQXdRVUFBQUFDQUJoYWs5ZGV0V0RYckVEQUFCakh3QUFDUUFBQUhSb1pXMWxMbmh0Yk8xWnpXN1RRQkMrSS9FT3ErWGNKbzVqTzVaaXFyWTBvbEtEU2hNVk9CcDduVmhOMXBIajBwWVRGeDRBQ2ZVQU44U0JDNFVETndSdlUwcmVndGtmNTZmK0lhQ29UU3Z2U28wOW5wbWRuVzltMWgzWDE0NzdQZlNDaEVNL29CWldWc3NZRWVvRXJrODdGajZNdkpVYVhydC85MDY5M1NWOU1vUXJCRVBjb2UwSEZsWjFqQjdaZldMaDBhdDNGMjgvWWNreVlkc01la0hJZVdzcVJxMnU3UVpIRnI1WFVjcDh4T0svVHIrT1BweE9pM01WWExybDhQWFdIWWZRU0FGaHo2c1MxM0EwTEdrYXAzbWU0MmhxVERNNHpUQk54Zk5pbXM1cE5kY3BUMmhWS1dzUXc0eHBxbGhEMFRSSGoya1ZRZE1OMXlNeHJTWmtpZWtxQmk3TmE3dm42VFZkbmJWOWRpMGpaVDk2aXAzVkZKdlVGUDhJMjh0bDFUVGRXZHVsZjZadHI1Y211Q1hRM0lMZE90RWw2Q2s1UXZ5cGtzQVA4QjZRUmhEMjdRZzlQdlNkZzZZOVBMRHdTb0tUY3pmOFhrOHl0MDhHb0xrVjlIdzNqWFhpWURTeEZnSVlvMzNwSnpZU21JajlUWlpKZTd6alU1TDVkTXp4aFBpZGJzUldVMVoxR0VuOFo5ZzM3UUhqYmZUc0tKOXgxNDRpRWxMdVlTV2JkWU4wZkxvZWhzRVI1NFEwYXZrdndXSFZiSkV0NnY2YkFIY0V1R29lTExoQUVnOU5aRHhJYTdEaUh2RUFISk9QR0NpZHoyd2pTckVWcVVqbVlsVVh3WnFQcFNoSXFCa3dJOHNaQVpPanFGNmFDdkZyam43d2R0dW5FVlRhREdjVFBxOG1LNHA4U0VkSUlDRnhLY0wrbG9XOVdvVDlnaEhpS290MHlFK0hxMy9wS2VJODkzWEh6QWgwdGNKbUVlZ0xyZnQ2aHJOZHd1YVY1RU5sVldXanlJcmNyREF5Z05JTU5vdXNXRkJXU0c5bkhiWlZnODNpbU9BaTE1c1Evd0VSMTNtakU2SVIwT2h5ZCttU3Q0UVhGSlBOOU5WdkVsL2VlOWtDMTRYa1RmR3NiT2NKc0ZLNnM1UUNYWFpvdGVwc04vZmk3UFA1eDI4bzJkWWJpNG4yNWkwcUZUbEgrRXlwcU00aHNJQlNVWW5mY1pTNFVQQ2UrVi9qaGF0Yi9pcVJIVWZqTHJSa1NFUnVteHpERVFsL2hHcHhxSUpyZUdzYXZHWS9iMFhCUUpUWS9mV2UzNkVXM2lRVVlpT084Zk9mWjc5L2ZCbTlmejM2L2liOXc0UDBzL3hTa1d6d2QrM1Fka0FqMm43SzEyN1lmYjkzWXVHbTc0VEJNUEFpOU14K1NIeU1KSnF5RnNTaG82VG8zQVdWbmRBZWRHT2RyUUVEaWpIRGpkd0hCTjgyZFhlSUY0a3RVN2ZoaDhQeHpSN0xxVFJFNmswN2hMQWZJc2tCZWphQ0tBcjYvTExOM0FXL1FtL3lDT1NGV3dDMU0wd05tZ2tEZ2tUdENKOHdXcnhkZmllOGY5bEg4L3lEbXdHRWlKZko0b1ZwaFdsTFpab3lZNXF5VEtZdHNkZVd3clRwUjdOVlQ1NVE3QWlTVkVtQk8zbkZQcGovQVZCTEF3UVVBQUFBQ0FCaGFrOWRJL3BBekJjVkFBRDRGZ0FBRGdBQUFIUm9kVzFpYm1GcGJDNXFjR1ZucFZnSlVGTlpsMzRJeXFLSUNJS0FFQmVRSFZvTkhVVWtMVGJ3QnhvUUVGQVEwbWdqVzBPYVRkTVFFcFZOUUtRRmhKWXRzb1N3aUZGSXNFRWdzaVVOTklROWtnZ2hvUVVVa0tUQjhOcHNrNTZaK3FkcXFxZHEvcG43NmxTOSs4NnBXL2M3NTk1enZ2TmtiMlFMd0Q0M0Y0UUxvS0NnQUh3cmZ3QVpHN2p3MSt6L05mNWE1UCs3aG9Mc05hQ3BBa1FCeFlvS1I0RWRtZ3FLbWdxeWZnQUNBQW83LzhNQStNK2hzRU5SYWVjdVpSVlZ0ZDF5QThvK1lJZUNvdUlPSmNXZE81V1U1TnBVdVI1UTB0eTUvOGlKODd1MHZFT1ZqOFpwbjd6enNFcmxtTk9MbmdNKzQzempVOWZpNzZxcTZlZ2UxTk0zT1c1cVptNEJ0ZnNTZHZxTS9ZV3ZuVjFjLzRGdzg3M2s1eDl3K1VyZzllL0Nib1JIUkVZbEpDYmR2SVgrTVRrdFBTTXo2MTUyVGtGaDBhUGlrcDhmbDFiWDFCTHFpUFVOalMydFpFcmJ5MS9hTzNyNytnZG85RjhIaHlZbXA2Wm5tRzltV1Z6ZTR1L3ZscFpYM244US9MRzU5VW00RGY3NStTOWNDb0RpUDZIL0xTNU5PYTRkU2txS1NzcC80VkxZY2VzdkEwMmxuVWRPN05wLzNsczVORTdyNk1rN0t0cE9ENnRlOUtnZU8rWERQM0F0Zmx4Tnh4aktOUkg4QmUzZmtmM3ZnTjM5UHlIN0o3RC93c1VDOWlncXlJT25xQW5BQWFuVXJEb0grRmRGNEhXZlNpYXVMWXZPQkVYb1VzbW05STI3K0IxVzRnREhxbWh1Q3ZVKzlZRERibjQzdTcvRS9wdWJCUi9hUGl0SllVenlhVXIyMXEra3RiQ3BJNU9WUys1bUd6Rkc3NjRIM1hNSFlXS0hUYWxxa3d4QTdKRmt5Z0NCbFhRSGJoUG5LeDJqcXVNaStrUXVHR1ZKTlRXY3FpeldCdk4rNUxNWGlPdlcvS0FCSXhWd1dGQkNSeW8yMTdhQnE0dWsyU0M2ZlVBT1dlTUFlRXlJazFTOW13b2ZDNU9VYjVEekx2U3g4ak8yTG4rc0VmalZFV0pJbHBHK2tVeU9JK1lyUGw1OHdKWldPdFBRSEdtMFE0SjNVTEVMTW41aDc1b0pYNmpGNmRhTVEydHp6dGxkKzJWczdSbHVvYWhnTUR4NU1uTHphbkR3L05Xb1UyOE5mUyttTy9qVEpneThQSXNOTk95aEprT05uajgwV0RRdi9YSkluMmcyM2FBeUtiUmJtV3A4VzZXZjRJdDYyUEF5YVREeVJ1MmNxeDdDTnlmUzNQNUE0MXo4d012a1dIYTdzMlZzWVl6TGVzcnkzM3JBOVcrL0lnMHhBUUtHV052OWRhV0ZwRXdLaVlZb2QrOEpwTkkxc2dQcFBYaVZFUzRLTkw5RlE0U1gwSkpOZS9BUHFPUnpNMTJMRXR3VkdYQTMxS1ptVjRadEduWXYrTW9sd3dFZW1ub1d6UFRhRmJsT1lLL0FXWUdaWlp5SVNrVzUyWlBJNUt3c2lnRlZDYU0xemNpaW1GRWdhNnRVMEp4T3MxMnJ1QWt0WmEyOXJ6eEd3WUhHVzB6NzRqTGhyeCtuajdtemcrb21QaksvZWZXcTAvMGZwcy91TGZCUi9rV3A3NDlUMi82Z1c1b1BmVkdFbS8wVDZhQWRSZjY5L1lpMzgwdWZBK1lEbnA2YW5UYytERDhjZERrWU9MVGhxaDh6MWFCVU54bUZ2SFpxM1BQU3hpVVJoSnUxVGhkcGkyTUVEL0Q4alFYNmVwcklXaHdNM21rNmowc2lvQTNrV2tWK0dYMyt4TlE2dWNtY1l1aXo2TVZuWkRnRU5VVUgvQlRaa1VvWmtJaG5aazY2aG9jcE1RUFVEMms2NUg0eXdTYk9nYnJDR1pBaG9BcTlCVWdhTGgzWnd1bEZac21BVmlLTnFpdU9uRTZDWjBJb1hnUDRCMFluQkhhakwwUTIwbkY4NjN3Sk54amVpN1dVM0hkVWlHamI5MldWZ01mcFowcVB0QXQrK3lQd0N2cEdqRDNuUEJYdjU5NE0zd3JzRklkWlFBa0liNXpoQWZ1ZlBvL3NDV2h0V0xlZ2w3QkRGOVZpdHhZOWlSWlh4NWZmRmNic0xTZVkySVNSbitLTnEzNXJ2N1l4Zkp3MVRXbGEwZloyanRmZnFlMzkxZDhKcEJKQzhXd1Y5UFhqeU10cjIveGpYRmNhSTBjRzdJSjY2V0JIT1JROERiVi9oSS84V2xKT0VzZndPSnBpQ0ZnbE9vRFc2bUZCUzBucmx2eGJpL0MwTGJ6NjdIc0lSSnpTK09Hbjk4bEdlVStqQWpPZVpiOE0waEg2UkhaazVVVkIxSEN4WjkzcmN0akN4L0pEa0ljTU9uOWp1K1FXd2xTOFgxVU5WNFAwVUtmVXFvcjJlSDdPZURzNWExSnpQdXEzTVVSS3VCWDcyNGUvNTY5clBLQzJhbFAxSEErTFQ0RXZ1TGg4bkw0TUNNZG5JM2RqREFSZTNQazhuZ3hJODhmdFNFcXBDSHJOT1VpaHBuZWJDRWlabnlRR2k5czlHZyt3T3NXNzgzQUwrWDBqWGw1VFczbktMc3l0UDZGTnJ5NVRiazVTZ3AxR0Z4a3lnRnZvZUU0R1RIakJZNzNFaCtFTHBWU0pyZjJuaGhuaUo0elZFYVJObFVWaWswdEwvN2ZuS0ZlbUtxSkd0UjU1MVYvN2NkbytnV0NCNnh6dks2Z044N0JBcVRwM0p3MEhYR2wzSWRnWFk1NFZmVnN6Yk5HbzZuS3J2dG56by90ODBaTzNrSUVRV3drZWE0S1cwb1Zvc0hBUngxNFVEcVB1aGV3UUNDa0NDSGNqSTlieHNBem9NU1dYY1pUUTFhSmV2S1pVRFpZZHM3R2w4YVphUXhrdCtRUlhBcmZwampxRjdnV3BLZTZ0TWlBOXpmK09OZnZxWlBPNy9GY1FOVGpLVi8yTkRNZ3NrdnYycmdGNGhGdzZQMmlIQW8zdlBWZ1pzczViSndubENyN1hyMUJ3QS9xcGkzSnp4NC9mazc1T0xyOEptM3o3dm9VOXVBUXhsQUhYNFB0QkF4NXk3U3hYL2F4d0Fwejdza0p3U2xnMEk5VnpLR1d1Q1dTQUVpMDFvSmNGeTRUZndMTnFoUGlKWlRBOHJscStaZnVuYStKenZJUGQ1aGlqTWJ2aDdLUjd6OGlxMEdIR1FRL0QyNEtiaE9vUGJmaEVHZEIzSEpNaUEyb3JzVy94NEZlNEhqdmM1NUNrUzQwRFRqNU51VU1Wa1RORjdUcklaTzBWV3JHaHo2WGYvMGp5YTUrNm5CV2lOVzNpTWRGWVRreXBuMnJjOUszeTBVNHRmVWRjYnp4alVkQVFtTEJVT0FBejZ6MUZjTXZ0ZW10RzlQT3NKZHJqVGNRWEJCdnJ5aUlEc2F1a0FITmRnQlFXU0ZxeHRoZ1kyQ1JZV3VUcTl1TXlzY2FncVFpS2lhTk9iWTBnaFE0U0l2WkVyWFFYSDdsbUx0SUZBNFMzcHpDSWhmd2NuQ3BHTnhUWDhGN1JkOHlnMTRPWGgvSWZ3L2VOWDEwdDFaM3QxcEc4NmxZRjZRT1ZCL2doRHhmeTJXcU1BRUZtVnhoM3hHS1RCdUY3b2Roc0xpTmpIZlZKNDRzZ0Jnazl5Yk5kWTNPUkt1Z0VSRjZOZFgyMC9WSjdLT0c5VHVYTnBxYTVOeXN6OWc5cXdzdTRuRGZNL29maWkrQjV3VmtlY2YyUnlBYzdaczJIMFFKbFFMOVgxcndxaUsrUzBxV0grRW41RHpEbitUVThyNTdJVGtROWdnOFJlb0MyaXg2ZUtSQkFIQ1NZeDRmV0JhTUh5UW9wVFJjYU9KRzZ6TkliWlNZa05tVTR2OG56NllvOWFzL2JMejRjQ0V0L3d0OGllUHMzVy80eDlFalBMYmE4WVhPazV6alRDbWwxdEtCR3o4VWFNWlhjWk45eXYyNGlYU3VHUHVjeGlLQVl1S3lUSDYzOTJJWVgyREM5d1JvU3h0cHJseGhCYVI5emdJWHl6bUNTNnRHUUt5L0E0QVpKZDBTMXZrN2E0cXQ3azRnWkRDS2kwR1JBV3ZMZGR5S3JveGMzSHk5VXFuUWR6N0hNUUJaYitDZTRYWjNJaWZPSnJYMm5VLzNPSmlRd1ZwdlQrV2Y1b2EybGQ0R1NCbmpMMngrdml4dWNUanppc09KTGl6YkNZbU12Tld2UE9tdGZWUGdiVVg1SFh5ZHk0ZnJpeTVKR1hEZ2tyZnVRQU5hZmUrNlV0NlFZL3YxR0RtSmhRMUU2QVNlYnJnM1dvdkYwdkFZV2l1dUJZNDV3VTRNR3BDY2xaV0ljZjVQVzBVek54QmdLVUR5TXZtTmUvWWZrQjdkUllwZnRBSHZmZWVldzFPc0UrYUZWRWswd25TYng3b0tBZFZnU3o3OTlpa2JhSmErYU8vM2tWNDM0WGgvcVA1amNRTURkOEFvVmVhSXovMWpwS3ZsNVcydHU0THVKamg2emxwYm83S2RQc2M5QXRzZ2FjMWp5aE1MWWlTYnk5dUMweUF3ZGpNTkU1L1VuYU5jQmpnb1dqc0ZJS2pISU9qQ0ZwNzZjbGdUUlI4Y3VEaURsbDd5ZmtlbDRlQVlENDUxejV5N2ZvWnh6Ny91OFJHaUltSWpDYW8xUmpGKzR6em5PSi81aEM5N0N2L2I2REpFQjh1eDFaVm1zTGQ5ZDlXaFh6dVdWQzd1ZDBrLzhMTGFxOHF5TnN0QXVxbUhZVDljMStoYlN2Wm16b3hXVHRjMm5vMzk3T24rVmhDKzlGREhsVmxPYUVPOHhNSkVIVTJYdEZYaWNvVTEwM3FneEk3TWRyZVM1WGsvS0VIWWZCNzI1ZUgzd0ZROUROVXhzUnFOYnVSL3pCY3BTdFlkeVozeFR2bEphU1VuaFVUTTdibVZqRGNFN1dQaHFnTlNRbWJTaEVSMVFhYVRmVEw0WitMaDF1dE9aeS81NXRLTFpjeXdaSmo2N1FWdU5md0srV29TMnhWRjRIa2R4UFQ2NGhXYk5xd3hUWVNxNTR3b2xRd1pFcXg1MTEwdTZjdVBGakcxc3VQdmNLYSsyTXIvSnhHRHM4aHJMam1NcmNwSCtpdHVOaFlpdlNkSXd0bHhHcmd4b1c4cXR4VVJJR2pGSVBwdG5kNS9LOTVFQm9GbkdWUGR4dmsyRlNGdktsQUhhYTFDLzltbDRWSFRUK3ZIVDNSYnk3QkRhbE9mYXQ2MGYwbUMzVkJiMlpBUm5VL2dzS3RtejRSTkpmSmF4WUNyUmtBRXZUYVZXbTFJMWVjakh3NTJ0NHRPTks4TkwyMGNKVjl3ODl5TE8vMktoV1VjbDE1aDFmSkZCTUI5OTJqamt4WEs3bUdmbW0zOURzaUxTUDFRNW1uZDYzbVA2Nms5dXRlWFRaZ1AyajJ5aFhFK3RuUHVYR3FmaUN4MlBnRTM4VlI1OExWSlFKclFTTFBmTlFZUzFJQ1Zoa2NNNmljcGdiZmZnZDBzNUVES1IzdVhPeTh6RmlkU3hzNUI5bmFocUJoZkpwZ3ZMK2ZRMVNTZ1I3YzZEOVZFVlFGR2Y0MkVxa3d6UmNjeGZZRzg5cCtaZTdzcnR4UjRXY1hwbEFGa0cwRGo3MEsyOTg0YlQxSVVLYXB2RzdVVDh2dWlaUUplR1JmeEJrQ2xVNitKVDA2MWkrKy9pTktObnFIdXBNYVI3UmwvZ0VSTzl1eXVjckRWNk83cWJUS285akI0U28xakRrU3diQXVxMURIaE9mUTFSa0ROZDEzNlJKWU1Gb1JuWmdqR05IejdMZ052dndHSFJEYW04SUVIRTU3aklmYXZkNmdMWHZqbXYvbEw0SGVrWjhZOWc5a0l1YXIvN1FyNEJtdHJMUjk5R0oxSEsxQTM2V1hPVitOUm9JMEtpc1doSGU4S2VyMCtjZk1MMTczTDEydFBnMll3Mm15cWFqdHBjQ2lEbHhMc2RPRnhZNGRvWWQvK1k1eGM1SFZCSmFVRUw0aGR5RWNFa1lwSzRpeDMxWmZ3UDhRVTUzakh0eG1YaGRFZFRrQ3VBdkY2dEVUc0svS2tpK0J0eG9zQTJOelIxOTljcDFKd2ZRRTljNXVjWktpeExiTmNBRlhZZm1DYXhhYnJKRDhrVGRaT3hObVRKM21BbmhFTkZpSm00cUdSVmZTZUZOZzY5S1hBSS9NYlIyRDRzbThrYkMrOXNIejgyNC9FVXlZcXNlUnVsSXl6WmpMeTdPYXB6TW9SOVBuR20yL3VYYkpONXk4QWNYaTRGcHBjeWJlTHZHKzkySWozMFlMMFAwVTNOcGhaNTFLZmZqUkQxb3ZsZWZKUGJ3UWozTjgwbXQveDl2WXJMQWk2dDMyejA5R253OTB5MjhZeU1IeU9vT0VITmFGQjJrOG02bnJPMnowRnZaMjNndjBzQXo3UWZPVnZZMDRLZDVGQmt3QU9wdmJ3d0g1WHptbGNCUERvTnJvQm1jQ0UwSk9na2o3d00yRWQ5NFhnd1FnYTBaSzJ4K1IyTDNHMjh5QTg3RHQ4dE5RWVRSRm84ZWg4cEoxa0dpSS9kRE5GejFFS0JibkR1c1VrN3l5N1gvc0NoSUdtdU9FbENEQU5oQW1VdXZoZTNXNndFTWtVWE1HNGdZWUdUZzlPRW9sUXcrcDJnVnUzVjk0Njd3TFBOWWhNK013K0RJSzNDSWQwdzhSNCsrV0xRcWd3dzZEYUtMTVUrcm8xbWpWTHJFWTF6Yzg2MU5oV0VLTjFpS1U0R3FJY0xOcVFQczBUeE9LNThwalF0QTk1bkJqVGN2ZnpVSWR5L29LK2V0K0pXc2hFbjZKbEtMRDY2UDRGb2dYNTcvTGdHaS91bjlsUkJwQ2N6MHUzMDFPOWwzcGlSM3FpUWRkdUk5dlpFejYxbHc3cUs1dFNLOVFSQjZ3QmNTYnBIYkQvdHFJYUdEVUQ0RnpSVVhtWjMyNEpaQTNBMWgyTng5ZGdCT04rRkE2TkJ0Sm83TlFXbkZzL1Z0aFhQRzBvNmJLRmR1K0FhbUdOZzZHS3pHNDhUTWtXTzBiamF6aS95ejM3R1dxMDhNcG1ZeTZpRGFzeVNoT0hQeDhqUmhqaXArbWgrdi81NlpVbG9USFAwY3lrRHduY08xbEVQOTdzN1kvWkozVWZkQ01MMi8yaHRzVnRFS2YxZ2FHZnpjWVptN3NOZXYzWGMxdEhyTzNCZEVDQnNCQjhKTGdqdEJIaDVXN2J3R05lMlJ4Kys5a25raXNZdmF1UnhaNlJtdUI1N0s0cTFhMThwWjYxTTVJVmxDR2VNRHJ4OEx1bTBDd3FTeE5ydXh5U09VUm9XcGtsa1M4M3FDTmJMa3Zwem03T3NrUzJxMkE1UHAzNTJnYXdQeWdCNWJoVnJCY2lBT3IxZ0FXMXhvcjVraXVUVDJIREdZYW14NU9SUzNIMklzUGZTK3dHL3VEakNvRjc5WkY3SXJjenErbVdMUklLWmgranJSV1dsbXZNdTFtNVJNVU9sVDZvWWlVWGY4UWdxZFRWRDVhVE5qYlV5dm9aVUxZM2ZKQXlRbERycXJsTEoxTFZvYmd5S1MxMlQ4OC9vMTRHTVRBZHZrWmI0TzdDRWg5d2IxYTBCSm5FWkdsSDZHdmU2ajRFcFVyWHpYTGlHK0N0bVltNlhmUXpjWDlDV3hVV3BSMGd0cDZ3LzJzMmQrbXI4S1dsaHNybTdqUC95anR3eFQ5b3FyZmpOeXcvZ2tkUTMyLzFZWlRMejZUT0hNTzZHc3JSUEJ1aDFxdkpTVVgxeGYrSlpnU0ZwdkpGYlVyV2RBbHYzc2FTZ1g0Y0dpQitZMkwwenpWdXZXdmNTRXVxaXYyd3JYTEYvaHNyQ2ZVL2FqeEJjNENyM1FYTHdMMGpyQ0JFY1JyZlZpNVlCZTZVUU5KdUhiUmRCd1B3ZTV2d1p2Z3pvemMrRzY5L2d6MWRCWHVOWXc0dXVlZERCalU1RmZpRTlPU09UbUxRd1BhYitzWER2NDlTbU4vTlJ5ZC9mUXNZeWMzTXp3Z0w5TEMyaUxtYzVPQ1UyK2paNU5FeVZ4bW9SZlo0Ryt0NWZESWNaODZZb3NMVGNITyt1cWdqUklNMXQzQ01ZV3JFMk9Sc3I1MTVjVHZZUEdHOW1wMGU5MkczU1Zxb2JBc2IyZlRQbXFOTzNZT2x1Nk9va1VPOGNkOGZ4VWtqM0x2VHJ3ajR6aGVuWG9wUEdrZWVmdDdSbWNDTitMK0RwVmk1T1JGUzNGNUN2N3lSckY4UzBJell2VmJpT25BbEppUEl0eUMydjVYbzRGUjJLOUNXcWNGaEZIWU1EM2NQRm1uWHQxL2s5cDN2T21OVVNZQllGWFloUm4vL3BWdzFvSU14ckJha0xKQlpkK0lPa3loR0NaY0MxcUJGNFZmQ1VFQzFwbHFxalgzMEZYdURoYmljcjU0cmhQTWg5L0g3Y05Ya09BRzB2LzBLUlBIRzBFNnZ6cFZYY2RqTG5OdlpNeXhSeFRJeG9YUDFTdjd4REcxV05DS3UvaW53ajkvWStxVGw2ZzFmTE9pUTlJMmRkL3RqNWp0cktROUlwL1grMGdPTWlCWFQ4UWVhVnpIbU90L3N3Ym84ODhia2xwcVQ2bitHMlplaWNDN1JjV1grK0h2V2NQQW5GMTBFRGtET1JReFZxU1Q5Y0R0elFVTzJ0Y012WEpnN2JQMm84SzdMeU80M2MvblFFM1dzOVdXSkZ1dm5XYk5ETko4L3RwK1ZiVVE3RjRIV0Q2RjFyVTM3VG42bVcyRy9ta2ZNYzEybzZUTHcvV2lqT3d6aGNXbGxpTE1xQU5SaXg2OWtJeWs5Z3hFeUJnT1lqcjBKY2o3YzJSK2tXRG1CanE5czVxSmo0QXRibHkwSHNHRFNNSm9YeElYbTY5SGw1MDNVM0dOZnpGWmM1MmZ2U1VUM25MQ2xQM2tHNGo2aXA2MnhmbktBRXZVQnhHK1FIdlNibVNSQm51UDc5UGk4andxNEt3M2ZsQWJxczFQUzJqdUMzeFg2Zkh6c0gwaWJ2UzZwZmM4OFJOMUszSFRCMUZjbStWY0UwTC8xM3FnRlZQZ1Q5aWJUN2pSTmxSTzhoVldPaXg1VEhwUWJ6dWZPTzZQSGlvdFVMV2w2ODJ2WEJlK25SVGh4MVA0YUJ1KzhtckY5T1NDU2lyOFZZU1E0SmhidEdZa0VXNE9tT2l0SXhLUXdjWG1RWVljSUUxTFc0Vk83di9FOXl6SEdpQU15ZVNXZ3E1QnRRVC80YUxlaXU0WG00MG1TQXZ2and0N2RCSjQ1TG1zdkxtVS9xRjRKYUNvWm1abVRBMWxDTzVTRm5IR3F0b01idGZzU0U4R0tHcWQ4QTBiODUzTngrT3RwamNQUXBLZEpzMXRtc3JpejJpM2RMMndSVDh3U1lUUkNuK0lUb1JBNmx1Z1AxUTNXT1pmbno2aHd6NEY4VVJkbnN2d0ZRU3dFQ0ZBTVVBQUFBQ0FCaGFrOWRZNXBYQnE0QkFBRG1Bd0FBREFBSkFBQUFBQUFBQUFBQXRvRUFBQUFBWkc5amRXMWxiblF1ZUcxc1ZWUUZBQWRIWXRCcVVFc0JBaFFERkFBQUFBZ0FZV3BQWFNPTjdoUjhEd0FBeU5JQUFBOEFDUUFBQUFBQUFBQUFBTGFCMkFFQUFIQmhaMlZ6TDNCaFoyVXhMbmh0YkZWVUJRQUhSMkxRYWxCTEFRSVVBeFFBQUFBSUFHRnFUMTBrOE52NE9nQUFBRG9BQUFBT0FBa0FBQUFBQUFBQUFBQzJnWUVSQUFCeVpXeHpMMTl5Wld4ekxuaHRiRlZVQlFBSFIyTFFhbEJMQVFJVUF4UUFBQUFJQUdGcVQxMGs4TnY0T2dBQUFEb0FBQUFUQUFrQUFBQUFBQUFBQUFDMmdlY1JBQUJ5Wld4ekwzQmhaMlV4WDNKbGJITXVlRzFzVlZRRkFBZEhZdEJxVUVzQkFoUURGQUFBQUFnQVlXcFBYWHJWZzE2eEF3QUFZeDhBQUFrQUNRQUFBQUFBQUFBQUFMYUJVaElBQUhSb1pXMWxMbmh0YkZWVUJRQUhSMkxRYWxCTEFRSVVBeFFBQUFBSUFHRnFUMTBqK2tETUZ4VUFBUGdXQUFBT0FBa0FBQUFBQUFBQUFBQzJnU29XQUFCMGFIVnRZbTVoYVd3dWFuQmxaMVZVQlFBSFIyTFFhbEJMQlFZQUFBQUFCZ0FHQUowQkFBQnRLd0FBQUFBPSIsCgkiRmlsZU5hbWUiIDogIue7mOWbvjEuZWRkeCIKfQo="/>
    </extobj>
  </extobjs>
</s:customData>
</file>

<file path=customXml/item2.xml><?xml version="1.0" encoding="utf-8"?>
<contractReview xmlns="http://schemas.wps.cn/vas-ai-hub/contract-review">
  <reviewItems>
    <reviewItem>
      <errorID>6bcee83c-95df-4cf8-a861-abba28f54501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4E730B26</paraID>
      <start>31</start>
      <end>32</end>
      <status>unmodified</status>
      <modifiedWord/>
      <trackRevisions>false</trackRevisions>
    </reviewItem>
    <reviewItem>
      <errorID>50b14584-4812-4a26-88f1-8ded498f9b72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4E730B26</paraID>
      <start>37</start>
      <end>38</end>
      <status>unmodified</status>
      <modifiedWord/>
      <trackRevisions>false</trackRevisions>
    </reviewItem>
    <reviewItem>
      <errorID>5c7969e6-7f29-471d-a9e2-1a0939ae663c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68AF6F56</paraID>
      <start>33</start>
      <end>34</end>
      <status>unmodified</status>
      <modifiedWord/>
      <trackRevisions>false</trackRevisions>
    </reviewItem>
    <reviewItem>
      <errorID>4d79b456-7557-4744-8d89-3de6cb5ebf48</errorID>
      <errorWord>[2015]306号</errorWord>
      <group>L1_Knowledge</group>
      <groupName>知识性问题</groupName>
      <ability>L2_Knowledge</ability>
      <abilityName>其他知识</abilityName>
      <candidateList>
        <item>〔2015〕306号</item>
      </candidateList>
      <explain>发文字号格式错误。</explain>
      <paraID>68AF6F56</paraID>
      <start>57</start>
      <end>67</end>
      <status>unmodified</status>
      <modifiedWord/>
      <trackRevisions>false</trackRevisions>
    </reviewItem>
    <reviewItem>
      <errorID>38c5d82d-9435-45cc-ade3-478d7fd889d2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5AD69533</paraID>
      <start>23</start>
      <end>24</end>
      <status>unmodified</status>
      <modifiedWord/>
      <trackRevisions>false</trackRevisions>
    </reviewItem>
    <reviewItem>
      <errorID>78a52ee8-dd0c-42ce-a1f6-b2f9904efa29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3260595A</paraID>
      <start>62</start>
      <end>63</end>
      <status>unmodified</status>
      <modifiedWord/>
      <trackRevisions>false</trackRevisions>
    </reviewItem>
    <reviewItem>
      <errorID>0da22817-9c87-48d9-8051-00960f0d7ea0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68FFCB77</paraID>
      <start>21</start>
      <end>22</end>
      <status>unmodified</status>
      <modifiedWord/>
      <trackRevisions>false</trackRevisions>
    </reviewItem>
    <reviewItem>
      <errorID>8dc08ef8-b5e1-499a-a10f-e45b417a227d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4CABAD89</paraID>
      <start>21</start>
      <end>22</end>
      <status>unmodified</status>
      <modifiedWord/>
      <trackRevisions>false</trackRevisions>
    </reviewItem>
    <reviewItem>
      <errorID>f736aba7-25a0-40af-ba40-f69b015a08ad</errorID>
      <errorWord>产</errorWord>
      <group>L1_Word</group>
      <groupName>字词问题</groupName>
      <ability>L2_Typo</ability>
      <abilityName>字词错误</abilityName>
      <candidateList>
        <item>产业</item>
      </candidateList>
      <explain/>
      <paraID>24B34D9E</paraID>
      <start>100</start>
      <end>102</end>
      <status>modified</status>
      <modifiedWord>产业</modifiedWord>
      <trackRevisions>false</trackRevisions>
    </reviewItem>
    <reviewItem>
      <errorID>fa655b4a-c432-42fe-8372-d50fea7d6621</errorID>
      <errorWord>新疆自治区</errorWord>
      <group>L1_Word</group>
      <groupName>字词问题</groupName>
      <ability>L2_Typo</ability>
      <abilityName>字词错误</abilityName>
      <candidateList>
        <item>新疆维吾尔自治区</item>
      </candidateList>
      <explain/>
      <paraID>24B34D9E</paraID>
      <start>141</start>
      <end>149</end>
      <status>modified</status>
      <modifiedWord>新疆维吾尔自治区</modifiedWord>
      <trackRevisions>false</trackRevisions>
    </reviewItem>
    <reviewItem>
      <errorID>1f979ba7-204b-4187-af52-5669211912f2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59CD4175</paraID>
      <start>0</start>
      <end>2</end>
      <status>unmodified</status>
      <modifiedWord/>
      <trackRevisions>false</trackRevisions>
    </reviewItem>
    <reviewItem>
      <errorID>5904a108-4a48-4463-99b8-0567312b0cb9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20D189BC</paraID>
      <start>0</start>
      <end>2</end>
      <status>unmodified</status>
      <modifiedWord/>
      <trackRevisions>false</trackRevisions>
    </reviewItem>
    <reviewItem>
      <errorID>08242635-e4b9-49eb-85ca-3ddab7cfab63</errorID>
      <errorWord>需</errorWord>
      <group>L1_Word</group>
      <groupName>字词问题</groupName>
      <ability>L2_Typo</ability>
      <abilityName>字词错误</abilityName>
      <candidateList>
        <item>须</item>
      </candidateList>
      <explain/>
      <paraID>20D189BC</paraID>
      <start>6</start>
      <end>7</end>
      <status>unmodified</status>
      <modifiedWord/>
      <trackRevisions>false</trackRevisions>
    </reviewItem>
    <reviewItem>
      <errorID>ad7fb4ec-c093-4839-9407-16dcbdcab360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26A43371</paraID>
      <start>0</start>
      <end>2</end>
      <status>unmodified</status>
      <modifiedWord/>
      <trackRevisions>false</trackRevisions>
    </reviewItem>
    <reviewItem>
      <errorID>8dd704f3-1c97-47dd-ba6a-e12204b1910c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74204F8E</paraID>
      <start>0</start>
      <end>2</end>
      <status>unmodified</status>
      <modifiedWord/>
      <trackRevisions>false</trackRevisions>
    </reviewItem>
    <reviewItem>
      <errorID>910f763b-c3a7-4838-82cc-0ea054af25dd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53688238</paraID>
      <start>0</start>
      <end>2</end>
      <status>unmodified</status>
      <modifiedWord/>
      <trackRevisions>false</trackRevisions>
    </reviewItem>
    <reviewItem>
      <errorID>d4566590-ba67-4e8b-936f-142ee2e13f87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14E95733</paraID>
      <start>0</start>
      <end>2</end>
      <status>unmodified</status>
      <modifiedWord/>
      <trackRevisions>false</trackRevisions>
    </reviewItem>
    <reviewItem>
      <errorID>32950142-462f-4127-87c0-c9c69c2c75bd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5C34CD65</paraID>
      <start>0</start>
      <end>2</end>
      <status>unmodified</status>
      <modifiedWord/>
      <trackRevisions>false</trackRevisions>
    </reviewItem>
    <reviewItem>
      <errorID>c4e2bf14-eb5e-469e-8c22-b676066cb1b4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2FD92B92</paraID>
      <start>0</start>
      <end>2</end>
      <status>unmodified</status>
      <modifiedWord/>
      <trackRevisions>false</trackRevisions>
    </reviewItem>
    <reviewItem>
      <errorID>4bd2420a-d60f-4521-9f50-6657a6c25008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74BCF7D9</paraID>
      <start>0</start>
      <end>2</end>
      <status>unmodified</status>
      <modifiedWord/>
      <trackRevisions>false</trackRevisions>
    </reviewItem>
    <reviewItem>
      <errorID>8be24b7b-2922-4f0e-8f91-e252576157fe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6A20EF29</paraID>
      <start>0</start>
      <end>2</end>
      <status>unmodified</status>
      <modifiedWord/>
      <trackRevisions>false</trackRevisions>
    </reviewItem>
    <reviewItem>
      <errorID>ae8ce0bf-2d1e-41f8-8606-51b2b27d98a8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59618D73</paraID>
      <start>0</start>
      <end>2</end>
      <status>unmodified</status>
      <modifiedWord/>
      <trackRevisions>false</trackRevisions>
    </reviewItem>
    <reviewItem>
      <errorID>5007a106-8b28-4996-98c8-b0667ac70491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2E14DF98</paraID>
      <start>0</start>
      <end>2</end>
      <status>unmodified</status>
      <modifiedWord/>
      <trackRevisions>false</trackRevisions>
    </reviewItem>
    <reviewItem>
      <errorID>02895e10-531e-403e-a8d2-3ae6350a3582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3D0A27AD</paraID>
      <start>0</start>
      <end>2</end>
      <status>unmodified</status>
      <modifiedWord/>
      <trackRevisions>false</trackRevisions>
    </reviewItem>
    <reviewItem>
      <errorID>e46a7a99-acab-4ef1-9d76-c4523e23f7a7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7A8F9136</paraID>
      <start>0</start>
      <end>2</end>
      <status>unmodified</status>
      <modifiedWord/>
      <trackRevisions>false</trackRevisions>
    </reviewItem>
    <reviewItem>
      <errorID>2ef7bc96-4698-49bd-9360-5dd77e030e9b</errorID>
      <errorWord>生态保护和恢复</errorWord>
      <group>L1_Political</group>
      <groupName>政治性问题</groupName>
      <ability>L2_Keyword</ability>
      <abilityName>固定表述</abilityName>
      <candidateList>
        <item>生态保护修复</item>
      </candidateList>
      <explain>词汇“生态保护修复”在特定场景下为固定表述形式，请确认此处的“生态保护和恢复”是否存在不当。</explain>
      <paraID>3F55B076</paraID>
      <start>18</start>
      <end>25</end>
      <status>unmodified</status>
      <modifiedWord/>
      <trackRevisions>false</trackRevisions>
    </reviewItem>
    <reviewItem>
      <errorID>36a695ed-6ee7-4717-af77-f44cbd455fcd</errorID>
      <errorWord>生态保护和恢复</errorWord>
      <group>L1_Political</group>
      <groupName>政治性问题</groupName>
      <ability>L2_Keyword</ability>
      <abilityName>固定表述</abilityName>
      <candidateList>
        <item>生态保护修复</item>
      </candidateList>
      <explain>词汇“生态保护修复”在特定场景下为固定表述形式，请确认此处的“生态保护和恢复”是否存在不当。</explain>
      <paraID>3F55B076</paraID>
      <start>36</start>
      <end>43</end>
      <status>unmodified</status>
      <modifiedWord/>
      <trackRevisions>false</trackRevisions>
    </reviewItem>
    <reviewItem>
      <errorID>2340fe2e-fedc-43ed-aa40-a1925ee14734</errorID>
      <errorWord>(</errorWord>
      <group>L1_Format</group>
      <groupName>格式问题</groupName>
      <ability>L2_HalfPunc_CN</ability>
      <abilityName>全半角问题</abilityName>
      <candidateList>
        <item>（</item>
      </candidateList>
      <explain>文本全半角错误。</explain>
      <paraID>5F1E4E5A</paraID>
      <start>14</start>
      <end>15</end>
      <status>unmodified</status>
      <modifiedWord/>
      <trackRevisions>false</trackRevisions>
    </reviewItem>
    <reviewItem>
      <errorID>04dc1d54-f486-400d-a727-e7cdad43e1be</errorID>
      <errorWord>)</errorWord>
      <group>L1_Format</group>
      <groupName>格式问题</groupName>
      <ability>L2_HalfPunc_CN</ability>
      <abilityName>全半角问题</abilityName>
      <candidateList>
        <item>）</item>
      </candidateList>
      <explain>文本全半角错误。</explain>
      <paraID>5F1E4E5A</paraID>
      <start>16</start>
      <end>17</end>
      <status>unmodified</status>
      <modifiedWord/>
      <trackRevisions>false</trackRevisions>
    </reviewItem>
    <reviewItem>
      <errorID>8b0a4a5d-aa30-4de6-a9fe-02eea8539829</errorID>
      <errorWord>(</errorWord>
      <group>L1_Format</group>
      <groupName>格式问题</groupName>
      <ability>L2_HalfPunc_CN</ability>
      <abilityName>全半角问题</abilityName>
      <candidateList>
        <item>（</item>
      </candidateList>
      <explain>文本全半角错误。</explain>
      <paraID>5F1E4E5A</paraID>
      <start>51</start>
      <end>52</end>
      <status>unmodified</status>
      <modifiedWord/>
      <trackRevisions>false</trackRevisions>
    </reviewItem>
    <reviewItem>
      <errorID>5285d74e-8914-4dd3-82aa-cf0c0bd0639e</errorID>
      <errorWord>)</errorWord>
      <group>L1_Format</group>
      <groupName>格式问题</groupName>
      <ability>L2_HalfPunc_CN</ability>
      <abilityName>全半角问题</abilityName>
      <candidateList>
        <item>）</item>
      </candidateList>
      <explain>文本全半角错误。</explain>
      <paraID>5F1E4E5A</paraID>
      <start>54</start>
      <end>55</end>
      <status>unmodified</status>
      <modifiedWord/>
      <trackRevisions>false</trackRevisions>
    </reviewItem>
    <reviewItem>
      <errorID>3628ce8d-a3a5-4c53-afd7-996f15b4fedd</errorID>
      <errorWord>(</errorWord>
      <group>L1_Format</group>
      <groupName>格式问题</groupName>
      <ability>L2_HalfPunc_CN</ability>
      <abilityName>全半角问题</abilityName>
      <candidateList>
        <item>（</item>
      </candidateList>
      <explain>文本全半角错误。</explain>
      <paraID>5F1E4E5A</paraID>
      <start>70</start>
      <end>71</end>
      <status>unmodified</status>
      <modifiedWord/>
      <trackRevisions>false</trackRevisions>
    </reviewItem>
    <reviewItem>
      <errorID>c2d7eee7-1732-4e55-bbcf-96b512bec641</errorID>
      <errorWord>)</errorWord>
      <group>L1_Format</group>
      <groupName>格式问题</groupName>
      <ability>L2_HalfPunc_CN</ability>
      <abilityName>全半角问题</abilityName>
      <candidateList>
        <item>）</item>
      </candidateList>
      <explain>文本全半角错误。</explain>
      <paraID>5F1E4E5A</paraID>
      <start>73</start>
      <end>74</end>
      <status>unmodified</status>
      <modifiedWord/>
      <trackRevisions>false</trackRevisions>
    </reviewItem>
    <reviewItem>
      <errorID>3632d4f2-46e2-4fd6-a4d6-bf6d7a03bcaf</errorID>
      <errorWord>(</errorWord>
      <group>L1_Format</group>
      <groupName>格式问题</groupName>
      <ability>L2_HalfPunc_CN</ability>
      <abilityName>全半角问题</abilityName>
      <candidateList>
        <item>（</item>
      </candidateList>
      <explain>文本全半角错误。</explain>
      <paraID>5F1E4E5A</paraID>
      <start>77</start>
      <end>78</end>
      <status>unmodified</status>
      <modifiedWord/>
      <trackRevisions>false</trackRevisions>
    </reviewItem>
    <reviewItem>
      <errorID>a429ff3f-c65d-4527-b168-1641c3d56242</errorID>
      <errorWord>)</errorWord>
      <group>L1_Format</group>
      <groupName>格式问题</groupName>
      <ability>L2_HalfPunc_CN</ability>
      <abilityName>全半角问题</abilityName>
      <candidateList>
        <item>）</item>
      </candidateList>
      <explain>文本全半角错误。</explain>
      <paraID>5F1E4E5A</paraID>
      <start>79</start>
      <end>80</end>
      <status>unmodified</status>
      <modifiedWord/>
      <trackRevisions>false</trackRevisions>
    </reviewItem>
    <reviewItem>
      <errorID>9b00c755-b692-453e-8aed-7c208ccf1490</errorID>
      <errorWord>&lt;</errorWord>
      <group>L1_Format</group>
      <groupName>格式问题</groupName>
      <ability>L2_HalfPunc_CN</ability>
      <abilityName>全半角问题</abilityName>
      <candidateList>
        <item>〈</item>
      </candidateList>
      <explain>文本全半角错误。</explain>
      <paraID> 8434A0A</paraID>
      <start>33</start>
      <end>34</end>
      <status>unmodified</status>
      <modifiedWord/>
      <trackRevisions>false</trackRevisions>
    </reviewItem>
    <reviewItem>
      <errorID>7ae2c8bc-7304-4708-a4f7-3c59011b2f92</errorID>
      <errorWord>&gt;的通知》</errorWord>
      <group>L1_Punc</group>
      <groupName>标点问题</groupName>
      <ability>L2_Punc_CN</ability>
      <abilityName>标点符号问题</abilityName>
      <candidateList>
        <item>〉的通知》</item>
      </candidateList>
      <explain/>
      <paraID> 8434A0A</paraID>
      <start>69</start>
      <end>74</end>
      <status>unmodified</status>
      <modifiedWord/>
      <trackRevisions>false</trackRevisions>
    </reviewItem>
    <reviewItem>
      <errorID>c69c5945-d729-4fe1-81fe-57f43d4ab89c</errorID>
      <errorWord>&lt;</errorWord>
      <group>L1_Format</group>
      <groupName>格式问题</groupName>
      <ability>L2_HalfPunc_CN</ability>
      <abilityName>全半角问题</abilityName>
      <candidateList>
        <item>〈</item>
      </candidateList>
      <explain>文本全半角错误。</explain>
      <paraID>71996717</paraID>
      <start>77</start>
      <end>78</end>
      <status>unmodified</status>
      <modifiedWord/>
      <trackRevisions>false</trackRevisions>
    </reviewItem>
    <reviewItem>
      <errorID>7a5aa48e-d8bf-4400-a13e-2e6c33e71d83</errorID>
      <errorWord>&gt;的通知》</errorWord>
      <group>L1_Punc</group>
      <groupName>标点问题</groupName>
      <ability>L2_Punc_CN</ability>
      <abilityName>标点符号问题</abilityName>
      <candidateList>
        <item>〉的通知》</item>
      </candidateList>
      <explain/>
      <paraID>71996717</paraID>
      <start>113</start>
      <end>118</end>
      <status>unmodified</status>
      <modifiedWord/>
      <trackRevisions>false</trackRevisions>
    </reviewItem>
    <reviewItem>
      <errorID>c42e33b5-44fd-48f2-b89d-0e020192b5a4</errorID>
      <errorWord>，</errorWord>
      <group>L1_Word</group>
      <groupName>字词问题</groupName>
      <ability>L2_Typo</ability>
      <abilityName>字词错误</abilityName>
      <candidateList>
        <item>，对</item>
      </candidateList>
      <explain/>
      <paraID> D5341EA</paraID>
      <start>56</start>
      <end>57</end>
      <status>unmodified</status>
      <modifiedWord/>
      <trackRevisions>false</trackRevisions>
    </reviewItem>
    <reviewItem>
      <errorID>1d1b4a5e-c2cb-40da-a4ff-b48043caa978</errorID>
      <errorWord>目</errorWord>
      <group>L1_Word</group>
      <groupName>字词问题</groupName>
      <ability>L2_Typo</ability>
      <abilityName>字词错误</abilityName>
      <candidateList>
        <item>目在</item>
      </candidateList>
      <explain/>
      <paraID>260E93F2</paraID>
      <start>41</start>
      <end>42</end>
      <status>unmodified</status>
      <modifiedWord/>
      <trackRevisions>false</trackRevisions>
    </reviewItem>
    <reviewItem>
      <errorID>00ed8f43-ad3b-435f-9ca4-36ce187e8cc4</errorID>
      <errorWord>城乡结合部</errorWord>
      <group>L1_Knowledge</group>
      <groupName>知识性问题</groupName>
      <ability>L2_Knowledge</ability>
      <abilityName>其他知识</abilityName>
      <candidateList>
        <item>城乡接合部</item>
      </candidateList>
      <explain/>
      <paraID>1BCD1920</paraID>
      <start>50</start>
      <end>55</end>
      <status>unmodified</status>
      <modifiedWord/>
      <trackRevisions>false</trackRevisions>
    </reviewItem>
    <reviewItem>
      <errorID>a8b8980c-ba35-46a8-9cba-c3c6d165474d</errorID>
      <errorWord>饮用水源保护区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词汇“饮用水水源保护区”在特定场景下为固定表述形式，请确认此处的“饮用水源保护区”是否存在不当。</explain>
      <paraID>2645B46D</paraID>
      <start>116</start>
      <end>123</end>
      <status>unmodified</status>
      <modifiedWord/>
      <trackRevisions>false</trackRevisions>
    </reviewItem>
    <reviewItem>
      <errorID>0cab9b3d-9c0a-4274-8e45-39d912e4abf8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9B664AD</paraID>
      <start>31</start>
      <end>32</end>
      <status>unmodified</status>
      <modifiedWord/>
      <trackRevisions>false</trackRevisions>
    </reviewItem>
    <reviewItem>
      <errorID>a1f3d1b0-9182-42d2-9b4a-998ef504aa42</errorID>
      <errorWord>(</errorWord>
      <group>L1_Format</group>
      <groupName>格式问题</groupName>
      <ability>L2_HalfPunc_CN</ability>
      <abilityName>全半角问题</abilityName>
      <candidateList>
        <item>（</item>
      </candidateList>
      <explain>文本全半角错误。</explain>
      <paraID> 9B664AD</paraID>
      <start>109</start>
      <end>110</end>
      <status>unmodified</status>
      <modifiedWord/>
      <trackRevisions>false</trackRevisions>
    </reviewItem>
    <reviewItem>
      <errorID>b6ee8cdc-b820-4430-9b72-087ad8577be3</errorID>
      <errorWord>)</errorWord>
      <group>L1_Format</group>
      <groupName>格式问题</groupName>
      <ability>L2_HalfPunc_CN</ability>
      <abilityName>全半角问题</abilityName>
      <candidateList>
        <item>）</item>
      </candidateList>
      <explain>文本全半角错误。</explain>
      <paraID> 9B664AD</paraID>
      <start>117</start>
      <end>118</end>
      <status>unmodified</status>
      <modifiedWord/>
      <trackRevisions>false</trackRevisions>
    </reviewItem>
    <reviewItem>
      <errorID>10224ae5-ef1b-41e2-94bc-dc2e907b0d47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9B664AD</paraID>
      <start>127</start>
      <end>128</end>
      <status>unmodified</status>
      <modifiedWord/>
      <trackRevisions>false</trackRevisions>
    </reviewItem>
    <reviewItem>
      <errorID>8656cec0-0221-430a-b17d-93b0670887a0</errorID>
      <errorWord>程</errorWord>
      <group>L1_Word</group>
      <groupName>字词问题</groupName>
      <ability>L2_Typo</ability>
      <abilityName>字词错误</abilityName>
      <candidateList>
        <item>程中</item>
      </candidateList>
      <explain/>
      <paraID>3D7AF61F</paraID>
      <start>18</start>
      <end>19</end>
      <status>unmodified</status>
      <modifiedWord/>
      <trackRevisions>false</trackRevisions>
    </reviewItem>
    <reviewItem>
      <errorID>eb1cd9b3-dfbe-41af-ba5b-0cfc37b0545f</errorID>
      <errorWord>Kw</errorWord>
      <group>L1_Word</group>
      <groupName>字词问题</groupName>
      <ability>L2_Typo</ability>
      <abilityName>字词错误</abilityName>
      <candidateList>
        <item>kW</item>
      </candidateList>
      <explain/>
      <paraID>7F54ECBF</paraID>
      <start>3</start>
      <end>5</end>
      <status>unmodified</status>
      <modifiedWord/>
      <trackRevisions>false</trackRevisions>
    </reviewItem>
    <reviewItem>
      <errorID>ca20e773-d3eb-4b4b-9684-c96826aafe94</errorID>
      <errorWord>学院内</errorWord>
      <group>L1_Word</group>
      <groupName>字词问题</groupName>
      <ability>L2_Typo</ability>
      <abilityName>字词错误</abilityName>
      <candidateList>
        <item>学院</item>
      </candidateList>
      <explain/>
      <paraID>1BA02236</paraID>
      <start>54</start>
      <end>57</end>
      <status>unmodified</status>
      <modifiedWord/>
      <trackRevisions>false</trackRevisions>
    </reviewItem>
    <reviewItem>
      <errorID>0c0a3bbf-8a16-4285-9cff-f98c97bd5048</errorID>
      <errorWord>(</errorWord>
      <group>L1_Format</group>
      <groupName>格式问题</groupName>
      <ability>L2_HalfPunc_CN</ability>
      <abilityName>全半角问题</abilityName>
      <candidateList>
        <item>（</item>
      </candidateList>
      <explain>文本全半角错误。</explain>
      <paraID> 1D353C9</paraID>
      <start>19</start>
      <end>20</end>
      <status>unmodified</status>
      <modifiedWord/>
      <trackRevisions>false</trackRevisions>
    </reviewItem>
    <reviewItem>
      <errorID>a8a7f03a-7aaf-4072-80a1-efcb6be39921</errorID>
      <errorWord>)</errorWord>
      <group>L1_Format</group>
      <groupName>格式问题</groupName>
      <ability>L2_HalfPunc_CN</ability>
      <abilityName>全半角问题</abilityName>
      <candidateList>
        <item>）</item>
      </candidateList>
      <explain>文本全半角错误。</explain>
      <paraID> 1D353C9</paraID>
      <start>32</start>
      <end>33</end>
      <status>unmodified</status>
      <modifiedWord/>
      <trackRevisions>false</trackRevisions>
    </reviewItem>
    <reviewItem>
      <errorID>bf248b5d-ba6a-4899-9046-c99476970944</errorID>
      <errorWord>、和</errorWord>
      <group>L1_Word</group>
      <groupName>字词问题</groupName>
      <ability>L2_Typo</ability>
      <abilityName>字词错误</abilityName>
      <candidateList>
        <item>、</item>
      </candidateList>
      <explain/>
      <paraID>33873D10</paraID>
      <start>111</start>
      <end>113</end>
      <status>unmodified</status>
      <modifiedWord/>
      <trackRevisions>false</trackRevisions>
    </reviewItem>
    <reviewItem>
      <errorID>c5c1e30b-eb56-46f6-8a88-b1882b705642</errorID>
      <errorWord>（</errorWord>
      <group>L1_Format</group>
      <groupName>格式问题</groupName>
      <ability>L2_HalfPunc_CN</ability>
      <abilityName>全半角问题</abilityName>
      <candidateList>
        <item>(</item>
      </candidateList>
      <explain>文本全半角错误。</explain>
      <paraID> 728401C</paraID>
      <start>4</start>
      <end>5</end>
      <status>unmodified</status>
      <modifiedWord/>
      <trackRevisions>false</trackRevisions>
    </reviewItem>
    <reviewItem>
      <errorID>3836074a-0915-4000-a876-915ed04e239b</errorID>
      <errorWord>）</errorWord>
      <group>L1_Format</group>
      <groupName>格式问题</groupName>
      <ability>L2_HalfPunc_CN</ability>
      <abilityName>全半角问题</abilityName>
      <candidateList>
        <item>)</item>
      </candidateList>
      <explain>文本全半角错误。</explain>
      <paraID> 728401C</paraID>
      <start>6</start>
      <end>7</end>
      <status>unmodified</status>
      <modifiedWord/>
      <trackRevisions>false</trackRevisions>
    </reviewItem>
    <reviewItem>
      <errorID>e90343d9-947f-4f65-8f8b-0b609140aa39</errorID>
      <errorWord>（</errorWord>
      <group>L1_Format</group>
      <groupName>格式问题</groupName>
      <ability>L2_HalfPunc_CN</ability>
      <abilityName>全半角问题</abilityName>
      <candidateList>
        <item>(</item>
      </candidateList>
      <explain>文本全半角错误。</explain>
      <paraID>4E4DCA00</paraID>
      <start>4</start>
      <end>5</end>
      <status>unmodified</status>
      <modifiedWord/>
      <trackRevisions>false</trackRevisions>
    </reviewItem>
    <reviewItem>
      <errorID>988d62bf-a97a-4db2-b6a9-a94c39414d43</errorID>
      <errorWord>）</errorWord>
      <group>L1_Format</group>
      <groupName>格式问题</groupName>
      <ability>L2_HalfPunc_CN</ability>
      <abilityName>全半角问题</abilityName>
      <candidateList>
        <item>)</item>
      </candidateList>
      <explain>文本全半角错误。</explain>
      <paraID>4E4DCA00</paraID>
      <start>6</start>
      <end>7</end>
      <status>unmodified</status>
      <modifiedWord/>
      <trackRevisions>false</trackRevisions>
    </reviewItem>
    <reviewItem>
      <errorID>a58c93d8-45e2-410b-bf05-d34c0284b3e2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63409083</paraID>
      <start>0</start>
      <end>2</end>
      <status>unmodified</status>
      <modifiedWord/>
      <trackRevisions>false</trackRevisions>
    </reviewItem>
    <reviewItem>
      <errorID>4daaf078-99bf-4887-a49e-4fb6c4356d49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2F6856A4</paraID>
      <start>125</start>
      <end>126</end>
      <status>unmodified</status>
      <modifiedWord/>
      <trackRevisions>false</trackRevisions>
    </reviewItem>
    <reviewItem>
      <errorID>61fd075e-8422-476d-8cc0-16ba0f1b2ffb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2F6856A4</paraID>
      <start>164</start>
      <end>165</end>
      <status>unmodified</status>
      <modifiedWord/>
      <trackRevisions>false</trackRevisions>
    </reviewItem>
    <reviewItem>
      <errorID>9b7a9f7f-a162-4842-99ba-945646ccbca3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1CB193F8</paraID>
      <start>0</start>
      <end>2</end>
      <status>unmodified</status>
      <modifiedWord/>
      <trackRevisions>false</trackRevisions>
    </reviewItem>
    <reviewItem>
      <errorID>a4e95b30-318c-4b73-995e-555a68b0db82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59483B13</paraID>
      <start>0</start>
      <end>2</end>
      <status>unmodified</status>
      <modifiedWord/>
      <trackRevisions>false</trackRevisions>
    </reviewItem>
    <reviewItem>
      <errorID>a1c6f343-7609-43ab-b029-5a54a1e33963</errorID>
      <errorWord>险</errorWord>
      <group>L1_Word</group>
      <groupName>字词问题</groupName>
      <ability>L2_Typo</ability>
      <abilityName>字词错误</abilityName>
      <candidateList>
        <item>险废</item>
      </candidateList>
      <explain/>
      <paraID>35162AB0</paraID>
      <start>18</start>
      <end>20</end>
      <status>modified</status>
      <modifiedWord>险废</modifiedWord>
      <trackRevisions>false</trackRevisions>
    </reviewItem>
    <reviewItem>
      <errorID>4ccb8d34-f787-46b6-b9cd-db7d626aaf37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5E99FBC6</paraID>
      <start>0</start>
      <end>2</end>
      <status>unmodified</status>
      <modifiedWord/>
      <trackRevisions>false</trackRevisions>
    </reviewItem>
    <reviewItem>
      <errorID>1f44084b-ada2-4657-9293-09ddcb4965e4</errorID>
      <errorWord>IV类</errorWord>
      <group>L1_Knowledge</group>
      <groupName>知识性问题</groupName>
      <ability>L2_Knowledge</ability>
      <abilityName>其他知识</abilityName>
      <candidateList>
        <item>Ⅳ类</item>
      </candidateList>
      <explain>中文环境下罗马数字格式错误。</explain>
      <paraID>122D0305</paraID>
      <start>77</start>
      <end>80</end>
      <status>unmodified</status>
      <modifiedWord/>
      <trackRevisions>false</trackRevisions>
    </reviewItem>
    <reviewItem>
      <errorID>02df0785-6095-4fcb-b1fc-94a954acd1ea</errorID>
      <errorWord>(</errorWord>
      <group>L1_Format</group>
      <groupName>格式问题</groupName>
      <ability>L2_HalfPunc_CN</ability>
      <abilityName>全半角问题</abilityName>
      <candidateList>
        <item>（</item>
      </candidateList>
      <explain>文本全半角错误。</explain>
      <paraID>122D0305</paraID>
      <start>184</start>
      <end>185</end>
      <status>unmodified</status>
      <modifiedWord/>
      <trackRevisions>false</trackRevisions>
    </reviewItem>
    <reviewItem>
      <errorID>8fb1c9ac-9075-429e-b013-f1b547525eee</errorID>
      <errorWord>的</errorWord>
      <group>L1_Word</group>
      <groupName>字词问题</groupName>
      <ability>L2_DDD</ability>
      <abilityName>的地得用法</abilityName>
      <candidateList>
        <item>地</item>
      </candidateList>
      <explain/>
      <paraID>6EE5E4AB</paraID>
      <start>15</start>
      <end>16</end>
      <status>unmodified</status>
      <modifiedWord/>
      <trackRevisions>false</trackRevisions>
    </reviewItem>
    <reviewItem>
      <errorID>6747e8d4-b913-42fe-bcd7-21040004d242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6CC5A46E</paraID>
      <start>0</start>
      <end>2</end>
      <status>unmodified</status>
      <modifiedWord/>
      <trackRevisions>false</trackRevisions>
    </reviewItem>
    <reviewItem>
      <errorID>1e666fd6-d21e-4ad9-9684-75503547e839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559B6ACA</paraID>
      <start>0</start>
      <end>2</end>
      <status>unmodified</status>
      <modifiedWord/>
      <trackRevisions>false</trackRevisions>
    </reviewItem>
    <reviewItem>
      <errorID>7037d8af-8430-41d4-8c0a-1cdc3d8ee661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26D5A7FF</paraID>
      <start>0</start>
      <end>2</end>
      <status>unmodified</status>
      <modifiedWord/>
      <trackRevisions>false</trackRevisions>
    </reviewItem>
    <reviewItem>
      <errorID>480fd698-bed4-4982-b05c-e2824270c3e0</errorID>
      <errorWord>下下</errorWord>
      <group>L1_Word</group>
      <groupName>字词问题</groupName>
      <ability>L2_Typo</ability>
      <abilityName>字词错误</abilityName>
      <candidateList>
        <item>下</item>
      </candidateList>
      <explain/>
      <paraID>6E728260</paraID>
      <start>51</start>
      <end>52</end>
      <status>modified</status>
      <modifiedWord>下</modifiedWord>
      <trackRevisions>false</trackRevisions>
    </reviewItem>
    <reviewItem>
      <errorID>ce1fdb52-db3b-4e1e-826b-3a7f2ae60af2</errorID>
      <errorWord>物</errorWord>
      <group>L1_Word</group>
      <groupName>字词问题</groupName>
      <ability>L2_Typo</ability>
      <abilityName>字词错误</abilityName>
      <candidateList>
        <item>物进</item>
      </candidateList>
      <explain/>
      <paraID>3C428246</paraID>
      <start>5</start>
      <end>6</end>
      <status>unmodified</status>
      <modifiedWord/>
      <trackRevisions>false</trackRevisions>
    </reviewItem>
    <reviewItem>
      <errorID>cb027727-eaad-4c25-ab98-6d5298b4cc7f</errorID>
      <errorWord>邻近区、受事故</errorWord>
      <group>L1_Word</group>
      <groupName>字词问题</groupName>
      <ability>L2_Typo</ability>
      <abilityName>字词错误</abilityName>
      <candidateList>
        <item>邻近区域、受事故</item>
      </candidateList>
      <explain/>
      <paraID>24286EBD</paraID>
      <start>8</start>
      <end>15</end>
      <status>unmodified</status>
      <modifiedWord/>
      <trackRevisions>false</trackRevisions>
    </reviewItem>
    <reviewItem>
      <errorID>21585558-b7fb-4388-b957-799a0a752308</errorID>
      <errorWord>，</errorWord>
      <group>L1_Format</group>
      <groupName>格式问题</groupName>
      <ability>L2_HalfPunc_CN</ability>
      <abilityName>全半角问题</abilityName>
      <candidateList>
        <item>, </item>
      </candidateList>
      <explain>文本全半角错误。</explain>
      <paraID>55290359</paraID>
      <start>14</start>
      <end>15</end>
      <status>unmodified</status>
      <modifiedWord/>
      <trackRevisions>false</trackRevisions>
    </reviewItem>
    <reviewItem>
      <errorID>87ba0703-8c27-4f2b-8c74-b304e2f0a47d</errorID>
      <errorWord>(</errorWord>
      <group>L1_Format</group>
      <groupName>格式问题</groupName>
      <ability>L2_HalfPunc_CN</ability>
      <abilityName>全半角问题</abilityName>
      <candidateList>
        <item>（</item>
      </candidateList>
      <explain>文本全半角错误。</explain>
      <paraID>5159290B</paraID>
      <start>16</start>
      <end>17</end>
      <status>unmodified</status>
      <modifiedWord/>
      <trackRevisions>false</trackRevisions>
    </reviewItem>
    <reviewItem>
      <errorID>c97ab270-0bd8-4672-811f-6e7e05dd7d78</errorID>
      <errorWord>)</errorWord>
      <group>L1_Format</group>
      <groupName>格式问题</groupName>
      <ability>L2_HalfPunc_CN</ability>
      <abilityName>全半角问题</abilityName>
      <candidateList>
        <item>）</item>
      </candidateList>
      <explain>文本全半角错误。</explain>
      <paraID>5159290B</paraID>
      <start>29</start>
      <end>30</end>
      <status>unmodified</status>
      <modifiedWord/>
      <trackRevisions>false</trackRevisions>
    </reviewItem>
    <reviewItem>
      <errorID>31fd2caa-f66f-45dc-a809-59f01fb5df02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5159290B</paraID>
      <start>131</start>
      <end>132</end>
      <status>unmodified</status>
      <modifiedWord/>
      <trackRevisions>false</trackRevisions>
    </reviewItem>
    <reviewItem>
      <errorID>b951d4d0-c3ca-497f-926a-e2c5744fcd69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2CB5FE6F</paraID>
      <start>0</start>
      <end>2</end>
      <status>unmodified</status>
      <modifiedWord/>
      <trackRevisions>false</trackRevisions>
    </reviewItem>
    <reviewItem>
      <errorID>6d8136ae-6eda-45ac-892f-acc74017ad7f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50244579</paraID>
      <start>0</start>
      <end>2</end>
      <status>unmodified</status>
      <modifiedWord/>
      <trackRevisions>false</trackRevisions>
    </reviewItem>
    <reviewItem>
      <errorID>8a8e48cd-8ccb-4f72-9f07-06df7e51824e</errorID>
      <errorWord>及其相关法律</errorWord>
      <group>L1_Word</group>
      <groupName>字词问题</groupName>
      <ability>L2_Typo</ability>
      <abilityName>字词错误</abilityName>
      <candidateList>
        <item>及相关法律</item>
      </candidateList>
      <explain/>
      <paraID>2CC1443C</paraID>
      <start>19</start>
      <end>25</end>
      <status>unmodified</status>
      <modifiedWord/>
      <trackRevisions>false</trackRevisions>
    </reviewItem>
    <reviewItem>
      <errorID>994f2802-1ca6-42ba-a7b3-79a158c1e606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1B57CCFE</paraID>
      <start>0</start>
      <end>2</end>
      <status>unmodified</status>
      <modifiedWord/>
      <trackRevisions>false</trackRevisions>
    </reviewItem>
    <reviewItem>
      <errorID>7cd84a66-22b3-4bd9-ad86-574aa659ebc3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3B85E5B5</paraID>
      <start>26</start>
      <end>29</end>
      <status>unmodified</status>
      <modifiedWord/>
      <trackRevisions>false</trackRevisions>
    </reviewItem>
    <reviewItem>
      <errorID>f9f331c1-6656-47fb-a80d-a55986f1f6d2</errorID>
      <errorWord>(</errorWord>
      <group>L1_Format</group>
      <groupName>格式问题</groupName>
      <ability>L2_HalfPunc_CN</ability>
      <abilityName>全半角问题</abilityName>
      <candidateList>
        <item>（</item>
      </candidateList>
      <explain>文本全半角错误。</explain>
      <paraID>3B85E5B5</paraID>
      <start>89</start>
      <end>90</end>
      <status>unmodified</status>
      <modifiedWord/>
      <trackRevisions>false</trackRevisions>
    </reviewItem>
    <reviewItem>
      <errorID>308785c4-fced-4b77-a353-f511943b6b9f</errorID>
      <errorWord>)</errorWord>
      <group>L1_Format</group>
      <groupName>格式问题</groupName>
      <ability>L2_HalfPunc_CN</ability>
      <abilityName>全半角问题</abilityName>
      <candidateList>
        <item>）</item>
      </candidateList>
      <explain>文本全半角错误。</explain>
      <paraID>3B85E5B5</paraID>
      <start>95</start>
      <end>96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83da44-6321-415f-8593-9619f118594f}">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54</Pages>
  <Words>552</Words>
  <Characters>612</Characters>
  <Lines>13</Lines>
  <Paragraphs>3</Paragraphs>
  <TotalTime>2</TotalTime>
  <ScaleCrop>false</ScaleCrop>
  <LinksUpToDate>false</LinksUpToDate>
  <CharactersWithSpaces>674</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小麦啾</cp:lastModifiedBy>
  <cp:lastPrinted>2024-12-05T10:19:00Z</cp:lastPrinted>
  <dcterms:modified xsi:type="dcterms:W3CDTF">2026-10-30T08:01:54Z</dcterms:modified>
  <dc:title>附件2</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964DC6EC7B2B4A99822393C66F2A8414_13</vt:lpwstr>
  </property>
  <property fmtid="{D5CDD505-2E9C-101B-9397-08002B2CF9AE}" pid="4" name="KSOTemplateDocerSaveRecord">
    <vt:lpwstr>eyJoZGlkIjoiM2Q5NDlmNDc3N2ZkYzk3ZGJmOTUwNTM0Mzc5MTVlNDMiLCJ1c2VySWQiOiIzMjQ5NjUzODcifQ==</vt:lpwstr>
  </property>
</Properties>
</file>