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C4122">
      <w:pPr>
        <w:rPr>
          <w:rFonts w:hint="default" w:ascii="Times New Roman" w:hAnsi="Times New Roman" w:cs="Times New Roman"/>
          <w:color w:val="000000" w:themeColor="text1"/>
          <w:w w:val="100"/>
          <w:position w:val="0"/>
          <w:highlight w:val="none"/>
          <w14:textFill>
            <w14:solidFill>
              <w14:schemeClr w14:val="tx1"/>
            </w14:solidFill>
          </w14:textFill>
        </w:rPr>
      </w:pPr>
    </w:p>
    <w:p w14:paraId="4978CE74">
      <w:pPr>
        <w:rPr>
          <w:rFonts w:hint="default" w:ascii="Times New Roman" w:hAnsi="Times New Roman" w:cs="Times New Roman"/>
          <w:color w:val="000000" w:themeColor="text1"/>
          <w:w w:val="100"/>
          <w:position w:val="0"/>
          <w:highlight w:val="none"/>
          <w14:textFill>
            <w14:solidFill>
              <w14:schemeClr w14:val="tx1"/>
            </w14:solidFill>
          </w14:textFill>
        </w:rPr>
      </w:pPr>
    </w:p>
    <w:p w14:paraId="723797DD">
      <w:pPr>
        <w:rPr>
          <w:rFonts w:hint="default" w:ascii="Times New Roman" w:hAnsi="Times New Roman" w:cs="Times New Roman"/>
          <w:color w:val="000000" w:themeColor="text1"/>
          <w:w w:val="100"/>
          <w:position w:val="0"/>
          <w:highlight w:val="none"/>
          <w14:textFill>
            <w14:solidFill>
              <w14:schemeClr w14:val="tx1"/>
            </w14:solidFill>
          </w14:textFill>
        </w:rPr>
      </w:pPr>
    </w:p>
    <w:p w14:paraId="0CE13674">
      <w:pPr>
        <w:rPr>
          <w:rFonts w:hint="default" w:ascii="Times New Roman" w:hAnsi="Times New Roman" w:cs="Times New Roman"/>
          <w:color w:val="000000" w:themeColor="text1"/>
          <w:w w:val="100"/>
          <w:position w:val="0"/>
          <w:highlight w:val="none"/>
          <w14:textFill>
            <w14:solidFill>
              <w14:schemeClr w14:val="tx1"/>
            </w14:solidFill>
          </w14:textFill>
        </w:rPr>
      </w:pPr>
    </w:p>
    <w:p w14:paraId="4E2E1FA4">
      <w:pPr>
        <w:rPr>
          <w:rFonts w:hint="default" w:ascii="Times New Roman" w:hAnsi="Times New Roman" w:cs="Times New Roman"/>
          <w:color w:val="000000" w:themeColor="text1"/>
          <w:w w:val="100"/>
          <w:position w:val="0"/>
          <w:highlight w:val="none"/>
          <w14:textFill>
            <w14:solidFill>
              <w14:schemeClr w14:val="tx1"/>
            </w14:solidFill>
          </w14:textFill>
        </w:rPr>
      </w:pPr>
    </w:p>
    <w:p w14:paraId="56CA97EC">
      <w:pPr>
        <w:rPr>
          <w:rFonts w:hint="default" w:ascii="Times New Roman" w:hAnsi="Times New Roman" w:cs="Times New Roman"/>
          <w:color w:val="000000" w:themeColor="text1"/>
          <w:w w:val="100"/>
          <w:position w:val="0"/>
          <w:highlight w:val="none"/>
          <w14:textFill>
            <w14:solidFill>
              <w14:schemeClr w14:val="tx1"/>
            </w14:solidFill>
          </w14:textFill>
        </w:rPr>
      </w:pPr>
    </w:p>
    <w:p w14:paraId="2EC0EDAF">
      <w:pPr>
        <w:rPr>
          <w:rFonts w:hint="default" w:ascii="Times New Roman" w:hAnsi="Times New Roman" w:cs="Times New Roman"/>
          <w:color w:val="000000" w:themeColor="text1"/>
          <w:w w:val="100"/>
          <w:position w:val="0"/>
          <w:highlight w:val="none"/>
          <w14:textFill>
            <w14:solidFill>
              <w14:schemeClr w14:val="tx1"/>
            </w14:solidFill>
          </w14:textFill>
        </w:rPr>
      </w:pPr>
    </w:p>
    <w:p w14:paraId="22416DB9">
      <w:pPr>
        <w:rPr>
          <w:rFonts w:hint="default" w:ascii="Times New Roman" w:hAnsi="Times New Roman" w:cs="Times New Roman"/>
          <w:color w:val="000000" w:themeColor="text1"/>
          <w:w w:val="100"/>
          <w:position w:val="0"/>
          <w:highlight w:val="none"/>
          <w14:textFill>
            <w14:solidFill>
              <w14:schemeClr w14:val="tx1"/>
            </w14:solidFill>
          </w14:textFill>
        </w:rPr>
      </w:pPr>
    </w:p>
    <w:p w14:paraId="65550838">
      <w:pPr>
        <w:spacing w:before="305" w:line="180" w:lineRule="auto"/>
        <w:jc w:val="center"/>
        <w:rPr>
          <w:rFonts w:hint="default" w:ascii="Times New Roman" w:hAnsi="Times New Roman" w:eastAsia="微软雅黑" w:cs="Times New Roman"/>
          <w:color w:val="000000" w:themeColor="text1"/>
          <w:w w:val="100"/>
          <w:position w:val="0"/>
          <w:sz w:val="71"/>
          <w:szCs w:val="71"/>
          <w:highlight w:val="none"/>
          <w14:textFill>
            <w14:solidFill>
              <w14:schemeClr w14:val="tx1"/>
            </w14:solidFill>
          </w14:textFill>
        </w:rPr>
      </w:pPr>
      <w:r>
        <w:rPr>
          <w:rFonts w:hint="default" w:ascii="Times New Roman" w:hAnsi="Times New Roman" w:eastAsia="微软雅黑" w:cs="Times New Roman"/>
          <w:color w:val="000000" w:themeColor="text1"/>
          <w:w w:val="100"/>
          <w:position w:val="0"/>
          <w:sz w:val="71"/>
          <w:szCs w:val="71"/>
          <w:highlight w:val="none"/>
          <w14:textFill>
            <w14:solidFill>
              <w14:schemeClr w14:val="tx1"/>
            </w14:solidFill>
          </w14:textFill>
        </w:rPr>
        <w:t>建设项目环境影响报告表</w:t>
      </w:r>
    </w:p>
    <w:p w14:paraId="427DA2D0">
      <w:pPr>
        <w:spacing w:before="325" w:line="228" w:lineRule="auto"/>
        <w:jc w:val="center"/>
        <w:rPr>
          <w:rFonts w:hint="default" w:ascii="Times New Roman" w:hAnsi="Times New Roman" w:eastAsia="楷体" w:cs="Times New Roman"/>
          <w:color w:val="000000" w:themeColor="text1"/>
          <w:w w:val="100"/>
          <w:position w:val="0"/>
          <w:sz w:val="47"/>
          <w:szCs w:val="47"/>
          <w:highlight w:val="none"/>
          <w14:textFill>
            <w14:solidFill>
              <w14:schemeClr w14:val="tx1"/>
            </w14:solidFill>
          </w14:textFill>
        </w:rPr>
      </w:pPr>
      <w:r>
        <w:rPr>
          <w:rFonts w:hint="default" w:ascii="Times New Roman" w:hAnsi="Times New Roman" w:eastAsia="楷体" w:cs="Times New Roman"/>
          <w:color w:val="000000" w:themeColor="text1"/>
          <w:w w:val="100"/>
          <w:position w:val="0"/>
          <w:sz w:val="47"/>
          <w:szCs w:val="47"/>
          <w:highlight w:val="none"/>
          <w14:textFill>
            <w14:solidFill>
              <w14:schemeClr w14:val="tx1"/>
            </w14:solidFill>
          </w14:textFill>
        </w:rPr>
        <w:t>（污染影响类）</w:t>
      </w:r>
    </w:p>
    <w:p w14:paraId="37150669">
      <w:pPr>
        <w:keepNext w:val="0"/>
        <w:keepLines w:val="0"/>
        <w:pageBreakBefore w:val="0"/>
        <w:widowControl w:val="0"/>
        <w:kinsoku/>
        <w:wordWrap/>
        <w:overflowPunct/>
        <w:topLinePunct w:val="0"/>
        <w:autoSpaceDE/>
        <w:autoSpaceDN/>
        <w:bidi w:val="0"/>
        <w:adjustRightInd w:val="0"/>
        <w:snapToGrid/>
        <w:spacing w:line="360" w:lineRule="auto"/>
        <w:ind w:left="0" w:right="0" w:firstLine="0" w:firstLineChars="0"/>
        <w:jc w:val="center"/>
        <w:textAlignment w:val="baseline"/>
        <w:outlineLvl w:val="9"/>
        <w:rPr>
          <w:rFonts w:hint="default" w:ascii="Times New Roman" w:hAnsi="Times New Roman" w:eastAsia="仿宋" w:cs="Times New Roman"/>
          <w:color w:val="000000" w:themeColor="text1"/>
          <w:w w:val="100"/>
          <w:position w:val="0"/>
          <w:sz w:val="24"/>
          <w:szCs w:val="24"/>
          <w:highlight w:val="none"/>
          <w:u w:val="none"/>
          <w:lang w:val="en-US" w:eastAsia="zh-CN"/>
          <w14:textFill>
            <w14:solidFill>
              <w14:schemeClr w14:val="tx1"/>
            </w14:solidFill>
          </w14:textFill>
        </w:rPr>
      </w:pPr>
      <w:r>
        <w:rPr>
          <w:rFonts w:hint="default" w:ascii="Times New Roman" w:hAnsi="Times New Roman" w:eastAsia="仿宋" w:cs="Times New Roman"/>
          <w:color w:val="000000" w:themeColor="text1"/>
          <w:w w:val="100"/>
          <w:position w:val="0"/>
          <w:sz w:val="24"/>
          <w:szCs w:val="24"/>
          <w:highlight w:val="none"/>
          <w:u w:val="none"/>
          <w:lang w:val="en-US" w:eastAsia="zh-CN"/>
          <w14:textFill>
            <w14:solidFill>
              <w14:schemeClr w14:val="tx1"/>
            </w14:solidFill>
          </w14:textFill>
        </w:rPr>
        <w:t>（送审稿）</w:t>
      </w:r>
    </w:p>
    <w:p w14:paraId="5D3EEBC1">
      <w:pPr>
        <w:rPr>
          <w:rFonts w:hint="default" w:ascii="Times New Roman" w:hAnsi="Times New Roman" w:cs="Times New Roman"/>
          <w:color w:val="000000" w:themeColor="text1"/>
          <w:w w:val="100"/>
          <w:position w:val="0"/>
          <w:highlight w:val="none"/>
          <w14:textFill>
            <w14:solidFill>
              <w14:schemeClr w14:val="tx1"/>
            </w14:solidFill>
          </w14:textFill>
        </w:rPr>
      </w:pPr>
    </w:p>
    <w:p w14:paraId="1BD91096">
      <w:pPr>
        <w:rPr>
          <w:rFonts w:hint="default" w:ascii="Times New Roman" w:hAnsi="Times New Roman" w:cs="Times New Roman"/>
          <w:color w:val="000000" w:themeColor="text1"/>
          <w:w w:val="100"/>
          <w:position w:val="0"/>
          <w:highlight w:val="none"/>
          <w14:textFill>
            <w14:solidFill>
              <w14:schemeClr w14:val="tx1"/>
            </w14:solidFill>
          </w14:textFill>
        </w:rPr>
      </w:pPr>
    </w:p>
    <w:p w14:paraId="2310AA0B">
      <w:pPr>
        <w:rPr>
          <w:rFonts w:hint="default" w:ascii="Times New Roman" w:hAnsi="Times New Roman" w:cs="Times New Roman"/>
          <w:color w:val="000000" w:themeColor="text1"/>
          <w:w w:val="100"/>
          <w:position w:val="0"/>
          <w:highlight w:val="none"/>
          <w14:textFill>
            <w14:solidFill>
              <w14:schemeClr w14:val="tx1"/>
            </w14:solidFill>
          </w14:textFill>
        </w:rPr>
      </w:pPr>
    </w:p>
    <w:p w14:paraId="724CC6D3">
      <w:pPr>
        <w:rPr>
          <w:rFonts w:hint="default" w:ascii="Times New Roman" w:hAnsi="Times New Roman" w:cs="Times New Roman"/>
          <w:color w:val="000000" w:themeColor="text1"/>
          <w:w w:val="100"/>
          <w:position w:val="0"/>
          <w:highlight w:val="none"/>
          <w14:textFill>
            <w14:solidFill>
              <w14:schemeClr w14:val="tx1"/>
            </w14:solidFill>
          </w14:textFill>
        </w:rPr>
      </w:pPr>
    </w:p>
    <w:p w14:paraId="3ACD0FAD">
      <w:pPr>
        <w:rPr>
          <w:rFonts w:hint="default" w:ascii="Times New Roman" w:hAnsi="Times New Roman" w:cs="Times New Roman"/>
          <w:color w:val="000000" w:themeColor="text1"/>
          <w:w w:val="100"/>
          <w:position w:val="0"/>
          <w:highlight w:val="none"/>
          <w14:textFill>
            <w14:solidFill>
              <w14:schemeClr w14:val="tx1"/>
            </w14:solidFill>
          </w14:textFill>
        </w:rPr>
      </w:pPr>
    </w:p>
    <w:p w14:paraId="270B43B0">
      <w:pPr>
        <w:rPr>
          <w:rFonts w:hint="default" w:ascii="Times New Roman" w:hAnsi="Times New Roman" w:cs="Times New Roman"/>
          <w:color w:val="000000" w:themeColor="text1"/>
          <w:w w:val="100"/>
          <w:position w:val="0"/>
          <w:highlight w:val="none"/>
          <w14:textFill>
            <w14:solidFill>
              <w14:schemeClr w14:val="tx1"/>
            </w14:solidFill>
          </w14:textFill>
        </w:rPr>
      </w:pPr>
    </w:p>
    <w:p w14:paraId="17A7CACE">
      <w:pPr>
        <w:rPr>
          <w:rFonts w:hint="default" w:ascii="Times New Roman" w:hAnsi="Times New Roman" w:cs="Times New Roman"/>
          <w:color w:val="000000" w:themeColor="text1"/>
          <w:w w:val="100"/>
          <w:position w:val="0"/>
          <w:highlight w:val="none"/>
          <w14:textFill>
            <w14:solidFill>
              <w14:schemeClr w14:val="tx1"/>
            </w14:solidFill>
          </w14:textFill>
        </w:rPr>
      </w:pPr>
    </w:p>
    <w:p w14:paraId="0D71E8C2">
      <w:pPr>
        <w:rPr>
          <w:rFonts w:hint="default" w:ascii="Times New Roman" w:hAnsi="Times New Roman" w:cs="Times New Roman"/>
          <w:color w:val="000000" w:themeColor="text1"/>
          <w:w w:val="100"/>
          <w:position w:val="0"/>
          <w:highlight w:val="none"/>
          <w14:textFill>
            <w14:solidFill>
              <w14:schemeClr w14:val="tx1"/>
            </w14:solidFill>
          </w14:textFill>
        </w:rPr>
      </w:pPr>
    </w:p>
    <w:p w14:paraId="71608F93">
      <w:pPr>
        <w:rPr>
          <w:rFonts w:hint="default" w:ascii="Times New Roman" w:hAnsi="Times New Roman" w:cs="Times New Roman"/>
          <w:color w:val="000000" w:themeColor="text1"/>
          <w:w w:val="100"/>
          <w:position w:val="0"/>
          <w:highlight w:val="none"/>
          <w14:textFill>
            <w14:solidFill>
              <w14:schemeClr w14:val="tx1"/>
            </w14:solidFill>
          </w14:textFill>
        </w:rPr>
      </w:pPr>
    </w:p>
    <w:p w14:paraId="271B9F8C">
      <w:pPr>
        <w:keepNext w:val="0"/>
        <w:keepLines w:val="0"/>
        <w:pageBreakBefore w:val="0"/>
        <w:widowControl w:val="0"/>
        <w:kinsoku/>
        <w:wordWrap/>
        <w:overflowPunct/>
        <w:topLinePunct w:val="0"/>
        <w:autoSpaceDE/>
        <w:autoSpaceDN/>
        <w:bidi w:val="0"/>
        <w:adjustRightInd w:val="0"/>
        <w:snapToGrid/>
        <w:spacing w:line="360" w:lineRule="auto"/>
        <w:ind w:left="0" w:right="0" w:firstLine="0" w:firstLineChars="0"/>
        <w:jc w:val="left"/>
        <w:textAlignment w:val="baseline"/>
        <w:outlineLvl w:val="9"/>
        <w:rPr>
          <w:rFonts w:hint="default" w:ascii="Times New Roman" w:hAnsi="Times New Roman" w:eastAsia="仿宋" w:cs="Times New Roman"/>
          <w:color w:val="000000" w:themeColor="text1"/>
          <w:w w:val="100"/>
          <w:position w:val="0"/>
          <w:sz w:val="35"/>
          <w:szCs w:val="35"/>
          <w:highlight w:val="none"/>
          <w:lang w:val="en-US"/>
          <w14:textFill>
            <w14:solidFill>
              <w14:schemeClr w14:val="tx1"/>
            </w14:solidFill>
          </w14:textFill>
        </w:rPr>
      </w:pPr>
      <w:r>
        <w:rPr>
          <w:rFonts w:hint="default" w:ascii="Times New Roman" w:hAnsi="Times New Roman" w:eastAsia="仿宋" w:cs="Times New Roman"/>
          <w:color w:val="000000" w:themeColor="text1"/>
          <w:w w:val="100"/>
          <w:position w:val="0"/>
          <w:sz w:val="35"/>
          <w:szCs w:val="35"/>
          <w:highlight w:val="none"/>
          <w14:textFill>
            <w14:solidFill>
              <w14:schemeClr w14:val="tx1"/>
            </w14:solidFill>
          </w14:textFill>
        </w:rPr>
        <w:t>项目名称：</w:t>
      </w:r>
      <w:r>
        <w:rPr>
          <w:rFonts w:hint="eastAsia"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振宏机械废硅粉加工前预处理</w:t>
      </w:r>
      <w:r>
        <w:rPr>
          <w:rFonts w:hint="eastAsia"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   </w:t>
      </w:r>
    </w:p>
    <w:p w14:paraId="39C1A8A6">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outlineLvl w:val="9"/>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pPr>
      <w:r>
        <w:rPr>
          <w:rFonts w:hint="default" w:ascii="Times New Roman" w:hAnsi="Times New Roman" w:eastAsia="仿宋" w:cs="Times New Roman"/>
          <w:color w:val="000000" w:themeColor="text1"/>
          <w:w w:val="100"/>
          <w:position w:val="0"/>
          <w:sz w:val="35"/>
          <w:szCs w:val="35"/>
          <w:highlight w:val="none"/>
          <w14:textFill>
            <w14:solidFill>
              <w14:schemeClr w14:val="tx1"/>
            </w14:solidFill>
          </w14:textFill>
        </w:rPr>
        <w:t>建设单位（盖章）：</w:t>
      </w:r>
      <w:r>
        <w:rPr>
          <w:rFonts w:hint="default" w:ascii="Times New Roman" w:hAnsi="Times New Roman" w:eastAsia="仿宋" w:cs="Times New Roman"/>
          <w:color w:val="000000" w:themeColor="text1"/>
          <w:w w:val="100"/>
          <w:position w:val="0"/>
          <w:sz w:val="35"/>
          <w:szCs w:val="35"/>
          <w:highlight w:val="none"/>
          <w:lang w:val="en-US" w:eastAsia="zh-CN"/>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新疆振宏机械制造有限责任公司 </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p>
    <w:p w14:paraId="245E7FF4">
      <w:pPr>
        <w:keepNext w:val="0"/>
        <w:keepLines w:val="0"/>
        <w:pageBreakBefore w:val="0"/>
        <w:widowControl w:val="0"/>
        <w:kinsoku/>
        <w:wordWrap/>
        <w:overflowPunct/>
        <w:topLinePunct w:val="0"/>
        <w:autoSpaceDE/>
        <w:autoSpaceDN/>
        <w:bidi w:val="0"/>
        <w:snapToGrid/>
        <w:spacing w:line="360" w:lineRule="auto"/>
        <w:ind w:left="0" w:right="0"/>
        <w:jc w:val="left"/>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pPr>
      <w:r>
        <w:rPr>
          <w:rFonts w:hint="default" w:ascii="Times New Roman" w:hAnsi="Times New Roman" w:eastAsia="仿宋" w:cs="Times New Roman"/>
          <w:color w:val="000000" w:themeColor="text1"/>
          <w:w w:val="100"/>
          <w:position w:val="0"/>
          <w:sz w:val="35"/>
          <w:szCs w:val="35"/>
          <w:highlight w:val="none"/>
          <w14:textFill>
            <w14:solidFill>
              <w14:schemeClr w14:val="tx1"/>
            </w14:solidFill>
          </w14:textFill>
        </w:rPr>
        <w:t>编制日期：</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二〇二五年</w:t>
      </w:r>
      <w:r>
        <w:rPr>
          <w:rFonts w:hint="eastAsia" w:eastAsia="仿宋" w:cs="Times New Roman"/>
          <w:color w:val="000000" w:themeColor="text1"/>
          <w:w w:val="100"/>
          <w:position w:val="0"/>
          <w:sz w:val="35"/>
          <w:szCs w:val="35"/>
          <w:highlight w:val="none"/>
          <w:u w:val="single"/>
          <w:lang w:val="en-US" w:eastAsia="zh-CN"/>
          <w14:textFill>
            <w14:solidFill>
              <w14:schemeClr w14:val="tx1"/>
            </w14:solidFill>
          </w14:textFill>
        </w:rPr>
        <w:t>十一</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月</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p>
    <w:p w14:paraId="617D0283">
      <w:pPr>
        <w:rPr>
          <w:rFonts w:hint="default" w:ascii="Times New Roman" w:hAnsi="Times New Roman" w:cs="Times New Roman"/>
          <w:color w:val="000000" w:themeColor="text1"/>
          <w:w w:val="100"/>
          <w:position w:val="0"/>
          <w:highlight w:val="none"/>
          <w14:textFill>
            <w14:solidFill>
              <w14:schemeClr w14:val="tx1"/>
            </w14:solidFill>
          </w14:textFill>
        </w:rPr>
      </w:pPr>
    </w:p>
    <w:p w14:paraId="4C5DDE01">
      <w:pPr>
        <w:rPr>
          <w:rFonts w:hint="default" w:ascii="Times New Roman" w:hAnsi="Times New Roman" w:cs="Times New Roman"/>
          <w:color w:val="000000" w:themeColor="text1"/>
          <w:w w:val="100"/>
          <w:position w:val="0"/>
          <w:highlight w:val="none"/>
          <w14:textFill>
            <w14:solidFill>
              <w14:schemeClr w14:val="tx1"/>
            </w14:solidFill>
          </w14:textFill>
        </w:rPr>
      </w:pPr>
    </w:p>
    <w:p w14:paraId="02A02906">
      <w:pPr>
        <w:rPr>
          <w:rFonts w:hint="default" w:ascii="Times New Roman" w:hAnsi="Times New Roman" w:cs="Times New Roman"/>
          <w:color w:val="000000" w:themeColor="text1"/>
          <w:w w:val="100"/>
          <w:position w:val="0"/>
          <w:highlight w:val="none"/>
          <w14:textFill>
            <w14:solidFill>
              <w14:schemeClr w14:val="tx1"/>
            </w14:solidFill>
          </w14:textFill>
        </w:rPr>
      </w:pPr>
    </w:p>
    <w:p w14:paraId="4BFCA250">
      <w:pPr>
        <w:rPr>
          <w:rFonts w:hint="default" w:ascii="Times New Roman" w:hAnsi="Times New Roman" w:cs="Times New Roman"/>
          <w:color w:val="000000" w:themeColor="text1"/>
          <w:w w:val="100"/>
          <w:position w:val="0"/>
          <w:highlight w:val="none"/>
          <w14:textFill>
            <w14:solidFill>
              <w14:schemeClr w14:val="tx1"/>
            </w14:solidFill>
          </w14:textFill>
        </w:rPr>
      </w:pPr>
    </w:p>
    <w:p w14:paraId="0107E203">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t>中华人民共和国生态环境部制</w:t>
      </w:r>
    </w:p>
    <w:p w14:paraId="7EEFC93D">
      <w:pPr>
        <w:adjustRightInd w:val="0"/>
        <w:snapToGrid w:val="0"/>
        <w:spacing w:line="288" w:lineRule="auto"/>
        <w:rPr>
          <w:rFonts w:hint="eastAsia" w:ascii="宋体" w:hAnsi="宋体"/>
          <w:b/>
          <w:color w:val="000000"/>
          <w:sz w:val="24"/>
        </w:rPr>
      </w:pPr>
      <w:r>
        <w:rPr>
          <w:rFonts w:hint="eastAsia" w:ascii="宋体" w:hAnsi="宋体"/>
          <w:b/>
          <w:color w:val="000000"/>
          <w:sz w:val="24"/>
        </w:rPr>
        <w:t>现场踏勘照片</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7"/>
        <w:gridCol w:w="3883"/>
      </w:tblGrid>
      <w:tr w14:paraId="4B5C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jc w:val="center"/>
        </w:trPr>
        <w:tc>
          <w:tcPr>
            <w:tcW w:w="4257" w:type="dxa"/>
            <w:noWrap w:val="0"/>
            <w:vAlign w:val="top"/>
          </w:tcPr>
          <w:p w14:paraId="637F0308">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8" name="图片 8" descr="d219dad1488162f1d65d6a6e014825e8"/>
                  <wp:cNvGraphicFramePr/>
                  <a:graphic xmlns:a="http://schemas.openxmlformats.org/drawingml/2006/main">
                    <a:graphicData uri="http://schemas.openxmlformats.org/drawingml/2006/picture">
                      <pic:pic xmlns:pic="http://schemas.openxmlformats.org/drawingml/2006/picture">
                        <pic:nvPicPr>
                          <pic:cNvPr id="8" name="图片 8" descr="d219dad1488162f1d65d6a6e014825e8"/>
                          <pic:cNvPicPr/>
                        </pic:nvPicPr>
                        <pic:blipFill>
                          <a:blip r:embed="rId6"/>
                          <a:stretch>
                            <a:fillRect/>
                          </a:stretch>
                        </pic:blipFill>
                        <pic:spPr>
                          <a:xfrm>
                            <a:off x="0" y="0"/>
                            <a:ext cx="2520315" cy="2520315"/>
                          </a:xfrm>
                          <a:prstGeom prst="rect">
                            <a:avLst/>
                          </a:prstGeom>
                        </pic:spPr>
                      </pic:pic>
                    </a:graphicData>
                  </a:graphic>
                </wp:inline>
              </w:drawing>
            </w:r>
          </w:p>
        </w:tc>
        <w:tc>
          <w:tcPr>
            <w:tcW w:w="3883" w:type="dxa"/>
            <w:noWrap w:val="0"/>
            <w:vAlign w:val="top"/>
          </w:tcPr>
          <w:p w14:paraId="2A1F74C5">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9" name="图片 9" descr="72e3983c12005f4a27074846ef514a23"/>
                  <wp:cNvGraphicFramePr/>
                  <a:graphic xmlns:a="http://schemas.openxmlformats.org/drawingml/2006/main">
                    <a:graphicData uri="http://schemas.openxmlformats.org/drawingml/2006/picture">
                      <pic:pic xmlns:pic="http://schemas.openxmlformats.org/drawingml/2006/picture">
                        <pic:nvPicPr>
                          <pic:cNvPr id="9" name="图片 9" descr="72e3983c12005f4a27074846ef514a23"/>
                          <pic:cNvPicPr/>
                        </pic:nvPicPr>
                        <pic:blipFill>
                          <a:blip r:embed="rId7"/>
                          <a:stretch>
                            <a:fillRect/>
                          </a:stretch>
                        </pic:blipFill>
                        <pic:spPr>
                          <a:xfrm>
                            <a:off x="0" y="0"/>
                            <a:ext cx="2520315" cy="2520315"/>
                          </a:xfrm>
                          <a:prstGeom prst="rect">
                            <a:avLst/>
                          </a:prstGeom>
                        </pic:spPr>
                      </pic:pic>
                    </a:graphicData>
                  </a:graphic>
                </wp:inline>
              </w:drawing>
            </w:r>
          </w:p>
        </w:tc>
      </w:tr>
      <w:tr w14:paraId="5B73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4257" w:type="dxa"/>
            <w:noWrap w:val="0"/>
            <w:vAlign w:val="top"/>
          </w:tcPr>
          <w:p w14:paraId="3AD01003">
            <w:pPr>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现场勘查图</w:t>
            </w:r>
          </w:p>
        </w:tc>
        <w:tc>
          <w:tcPr>
            <w:tcW w:w="3883" w:type="dxa"/>
            <w:noWrap w:val="0"/>
            <w:vAlign w:val="top"/>
          </w:tcPr>
          <w:p w14:paraId="1239AD6D">
            <w:pPr>
              <w:jc w:val="center"/>
              <w:rPr>
                <w:rFonts w:hint="eastAsia" w:ascii="宋体" w:hAnsi="宋体" w:cs="宋体"/>
                <w:color w:val="000000"/>
                <w:szCs w:val="21"/>
              </w:rPr>
            </w:pPr>
            <w:r>
              <w:rPr>
                <w:rFonts w:hint="eastAsia" w:ascii="宋体" w:hAnsi="宋体" w:cs="宋体"/>
                <w:color w:val="000000"/>
                <w:szCs w:val="21"/>
                <w:lang w:val="en-US" w:eastAsia="zh-CN"/>
              </w:rPr>
              <w:t>现场勘查图</w:t>
            </w:r>
          </w:p>
        </w:tc>
      </w:tr>
      <w:tr w14:paraId="1F38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jc w:val="center"/>
        </w:trPr>
        <w:tc>
          <w:tcPr>
            <w:tcW w:w="4257" w:type="dxa"/>
            <w:noWrap w:val="0"/>
            <w:vAlign w:val="top"/>
          </w:tcPr>
          <w:p w14:paraId="6A449FC3">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10" name="图片 10" descr="77283717e6c7559cd5c8faff34037b58"/>
                  <wp:cNvGraphicFramePr/>
                  <a:graphic xmlns:a="http://schemas.openxmlformats.org/drawingml/2006/main">
                    <a:graphicData uri="http://schemas.openxmlformats.org/drawingml/2006/picture">
                      <pic:pic xmlns:pic="http://schemas.openxmlformats.org/drawingml/2006/picture">
                        <pic:nvPicPr>
                          <pic:cNvPr id="10" name="图片 10" descr="77283717e6c7559cd5c8faff34037b58"/>
                          <pic:cNvPicPr/>
                        </pic:nvPicPr>
                        <pic:blipFill>
                          <a:blip r:embed="rId8"/>
                          <a:stretch>
                            <a:fillRect/>
                          </a:stretch>
                        </pic:blipFill>
                        <pic:spPr>
                          <a:xfrm>
                            <a:off x="0" y="0"/>
                            <a:ext cx="2520315" cy="2520315"/>
                          </a:xfrm>
                          <a:prstGeom prst="rect">
                            <a:avLst/>
                          </a:prstGeom>
                        </pic:spPr>
                      </pic:pic>
                    </a:graphicData>
                  </a:graphic>
                </wp:inline>
              </w:drawing>
            </w:r>
          </w:p>
        </w:tc>
        <w:tc>
          <w:tcPr>
            <w:tcW w:w="3883" w:type="dxa"/>
            <w:noWrap w:val="0"/>
            <w:vAlign w:val="top"/>
          </w:tcPr>
          <w:p w14:paraId="5AE1DC7D">
            <w:pPr>
              <w:jc w:val="both"/>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11" name="图片 11" descr="59eb20e788234880d25a874d1c85103e"/>
                  <wp:cNvGraphicFramePr/>
                  <a:graphic xmlns:a="http://schemas.openxmlformats.org/drawingml/2006/main">
                    <a:graphicData uri="http://schemas.openxmlformats.org/drawingml/2006/picture">
                      <pic:pic xmlns:pic="http://schemas.openxmlformats.org/drawingml/2006/picture">
                        <pic:nvPicPr>
                          <pic:cNvPr id="11" name="图片 11" descr="59eb20e788234880d25a874d1c85103e"/>
                          <pic:cNvPicPr/>
                        </pic:nvPicPr>
                        <pic:blipFill>
                          <a:blip r:embed="rId9"/>
                          <a:stretch>
                            <a:fillRect/>
                          </a:stretch>
                        </pic:blipFill>
                        <pic:spPr>
                          <a:xfrm>
                            <a:off x="0" y="0"/>
                            <a:ext cx="2520315" cy="2520315"/>
                          </a:xfrm>
                          <a:prstGeom prst="rect">
                            <a:avLst/>
                          </a:prstGeom>
                        </pic:spPr>
                      </pic:pic>
                    </a:graphicData>
                  </a:graphic>
                </wp:inline>
              </w:drawing>
            </w:r>
          </w:p>
        </w:tc>
      </w:tr>
      <w:tr w14:paraId="6380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257" w:type="dxa"/>
            <w:noWrap w:val="0"/>
            <w:vAlign w:val="top"/>
          </w:tcPr>
          <w:p w14:paraId="64063159">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现场勘查图</w:t>
            </w:r>
          </w:p>
        </w:tc>
        <w:tc>
          <w:tcPr>
            <w:tcW w:w="3883" w:type="dxa"/>
            <w:noWrap w:val="0"/>
            <w:vAlign w:val="top"/>
          </w:tcPr>
          <w:p w14:paraId="06982A2D">
            <w:pPr>
              <w:jc w:val="center"/>
              <w:rPr>
                <w:rFonts w:hint="eastAsia" w:ascii="宋体" w:hAnsi="宋体" w:cs="宋体"/>
                <w:color w:val="000000"/>
                <w:szCs w:val="21"/>
              </w:rPr>
            </w:pPr>
            <w:r>
              <w:rPr>
                <w:rFonts w:hint="eastAsia" w:ascii="宋体" w:hAnsi="宋体" w:cs="宋体"/>
                <w:color w:val="000000"/>
                <w:szCs w:val="21"/>
                <w:lang w:val="en-US" w:eastAsia="zh-CN"/>
              </w:rPr>
              <w:t>现场勘查图</w:t>
            </w:r>
          </w:p>
        </w:tc>
      </w:tr>
      <w:tr w14:paraId="50A1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jc w:val="center"/>
        </w:trPr>
        <w:tc>
          <w:tcPr>
            <w:tcW w:w="4257" w:type="dxa"/>
            <w:noWrap w:val="0"/>
            <w:vAlign w:val="top"/>
          </w:tcPr>
          <w:p w14:paraId="215EBAC2">
            <w:pPr>
              <w:jc w:val="center"/>
              <w:rPr>
                <w:rFonts w:hint="eastAsia" w:eastAsia="宋体"/>
                <w:b/>
                <w:bCs/>
                <w:color w:val="000000"/>
                <w:lang w:eastAsia="zh-CN"/>
              </w:rPr>
            </w:pPr>
            <w:r>
              <w:rPr>
                <w:rFonts w:hint="eastAsia" w:eastAsia="宋体"/>
                <w:b/>
                <w:bCs/>
                <w:color w:val="000000"/>
                <w:lang w:eastAsia="zh-CN"/>
              </w:rPr>
              <w:drawing>
                <wp:inline distT="0" distB="0" distL="114300" distR="114300">
                  <wp:extent cx="2454275" cy="2491740"/>
                  <wp:effectExtent l="0" t="0" r="3175" b="3810"/>
                  <wp:docPr id="12" name="图片 12" descr="66b2d940a87af720e609b91a2bc18dca"/>
                  <wp:cNvGraphicFramePr/>
                  <a:graphic xmlns:a="http://schemas.openxmlformats.org/drawingml/2006/main">
                    <a:graphicData uri="http://schemas.openxmlformats.org/drawingml/2006/picture">
                      <pic:pic xmlns:pic="http://schemas.openxmlformats.org/drawingml/2006/picture">
                        <pic:nvPicPr>
                          <pic:cNvPr id="12" name="图片 12" descr="66b2d940a87af720e609b91a2bc18dca"/>
                          <pic:cNvPicPr/>
                        </pic:nvPicPr>
                        <pic:blipFill>
                          <a:blip r:embed="rId10"/>
                          <a:stretch>
                            <a:fillRect/>
                          </a:stretch>
                        </pic:blipFill>
                        <pic:spPr>
                          <a:xfrm>
                            <a:off x="0" y="0"/>
                            <a:ext cx="2454275" cy="2491740"/>
                          </a:xfrm>
                          <a:prstGeom prst="rect">
                            <a:avLst/>
                          </a:prstGeom>
                        </pic:spPr>
                      </pic:pic>
                    </a:graphicData>
                  </a:graphic>
                </wp:inline>
              </w:drawing>
            </w:r>
          </w:p>
        </w:tc>
        <w:tc>
          <w:tcPr>
            <w:tcW w:w="3883" w:type="dxa"/>
            <w:noWrap w:val="0"/>
            <w:vAlign w:val="top"/>
          </w:tcPr>
          <w:p w14:paraId="54F0BC7A">
            <w:pPr>
              <w:jc w:val="center"/>
              <w:rPr>
                <w:b/>
                <w:bCs/>
                <w:color w:val="000000"/>
              </w:rPr>
            </w:pPr>
            <w:r>
              <w:drawing>
                <wp:inline distT="0" distB="0" distL="114300" distR="114300">
                  <wp:extent cx="2254250" cy="2425065"/>
                  <wp:effectExtent l="0" t="0" r="12700" b="13335"/>
                  <wp:docPr id="13" name="图片 12"/>
                  <wp:cNvGraphicFramePr/>
                  <a:graphic xmlns:a="http://schemas.openxmlformats.org/drawingml/2006/main">
                    <a:graphicData uri="http://schemas.openxmlformats.org/drawingml/2006/picture">
                      <pic:pic xmlns:pic="http://schemas.openxmlformats.org/drawingml/2006/picture">
                        <pic:nvPicPr>
                          <pic:cNvPr id="13" name="图片 12"/>
                          <pic:cNvPicPr/>
                        </pic:nvPicPr>
                        <pic:blipFill>
                          <a:blip r:embed="rId11"/>
                          <a:stretch>
                            <a:fillRect/>
                          </a:stretch>
                        </pic:blipFill>
                        <pic:spPr>
                          <a:xfrm>
                            <a:off x="0" y="0"/>
                            <a:ext cx="2254250" cy="2425065"/>
                          </a:xfrm>
                          <a:prstGeom prst="rect">
                            <a:avLst/>
                          </a:prstGeom>
                          <a:noFill/>
                          <a:ln>
                            <a:noFill/>
                          </a:ln>
                        </pic:spPr>
                      </pic:pic>
                    </a:graphicData>
                  </a:graphic>
                </wp:inline>
              </w:drawing>
            </w:r>
          </w:p>
        </w:tc>
      </w:tr>
      <w:tr w14:paraId="62B2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257" w:type="dxa"/>
            <w:noWrap w:val="0"/>
            <w:vAlign w:val="top"/>
          </w:tcPr>
          <w:p w14:paraId="3129E8F5">
            <w:pPr>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现场勘查图</w:t>
            </w:r>
          </w:p>
        </w:tc>
        <w:tc>
          <w:tcPr>
            <w:tcW w:w="3883" w:type="dxa"/>
            <w:noWrap w:val="0"/>
            <w:vAlign w:val="top"/>
          </w:tcPr>
          <w:p w14:paraId="6FFB4828">
            <w:pPr>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现场勘查图</w:t>
            </w:r>
          </w:p>
        </w:tc>
      </w:tr>
    </w:tbl>
    <w:p w14:paraId="40825269">
      <w:pPr>
        <w:jc w:val="center"/>
        <w:rPr>
          <w:rFonts w:hint="default" w:ascii="Times New Roman" w:hAnsi="Times New Roman" w:cs="Times New Roman"/>
          <w:b/>
          <w:color w:val="000000" w:themeColor="text1"/>
          <w:w w:val="100"/>
          <w:position w:val="0"/>
          <w:sz w:val="44"/>
          <w:szCs w:val="44"/>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E361246">
      <w:pPr>
        <w:jc w:val="center"/>
        <w:rPr>
          <w:rFonts w:hint="default" w:ascii="Times New Roman" w:hAnsi="Times New Roman" w:cs="Times New Roman"/>
          <w:b/>
          <w:color w:val="000000" w:themeColor="text1"/>
          <w:w w:val="100"/>
          <w:position w:val="0"/>
          <w:sz w:val="44"/>
          <w:szCs w:val="44"/>
          <w:highlight w:val="none"/>
          <w14:textFill>
            <w14:solidFill>
              <w14:schemeClr w14:val="tx1"/>
            </w14:solidFill>
          </w14:textFill>
        </w:rPr>
      </w:pPr>
      <w:r>
        <w:rPr>
          <w:rFonts w:hint="default" w:ascii="Times New Roman" w:hAnsi="Times New Roman" w:cs="Times New Roman"/>
          <w:b/>
          <w:color w:val="000000" w:themeColor="text1"/>
          <w:w w:val="100"/>
          <w:position w:val="0"/>
          <w:sz w:val="44"/>
          <w:szCs w:val="44"/>
          <w:highlight w:val="none"/>
          <w14:textFill>
            <w14:solidFill>
              <w14:schemeClr w14:val="tx1"/>
            </w14:solidFill>
          </w14:textFill>
        </w:rPr>
        <w:t>目  录</w:t>
      </w:r>
    </w:p>
    <w:p w14:paraId="01F75603">
      <w:pPr>
        <w:pStyle w:val="18"/>
        <w:tabs>
          <w:tab w:val="right" w:leader="dot" w:pos="8306"/>
        </w:tabs>
      </w:pP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fldChar w:fldCharType="begin"/>
      </w: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instrText xml:space="preserve"> TOC \o "1-1" \h \z \u </w:instrText>
      </w: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fldChar w:fldCharType="separate"/>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_Toc3762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一、 </w:t>
      </w:r>
      <w:r>
        <w:rPr>
          <w:rFonts w:hint="default" w:ascii="Times New Roman" w:hAnsi="Times New Roman" w:cs="Times New Roman"/>
          <w:w w:val="100"/>
          <w:position w:val="0"/>
          <w:highlight w:val="none"/>
        </w:rPr>
        <w:t>建设项目基本情况</w:t>
      </w:r>
      <w:r>
        <w:tab/>
      </w:r>
      <w:r>
        <w:fldChar w:fldCharType="begin"/>
      </w:r>
      <w:r>
        <w:instrText xml:space="preserve"> PAGEREF _Toc3762 \h </w:instrText>
      </w:r>
      <w:r>
        <w:fldChar w:fldCharType="separate"/>
      </w:r>
      <w:r>
        <w:t>1</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4B259084">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_Toc1036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二、 </w:t>
      </w:r>
      <w:r>
        <w:rPr>
          <w:rFonts w:hint="default" w:ascii="Times New Roman" w:hAnsi="Times New Roman" w:cs="Times New Roman"/>
          <w:w w:val="100"/>
          <w:position w:val="0"/>
          <w:highlight w:val="none"/>
        </w:rPr>
        <w:t>建设项目工程分析</w:t>
      </w:r>
      <w:r>
        <w:tab/>
      </w:r>
      <w:r>
        <w:fldChar w:fldCharType="begin"/>
      </w:r>
      <w:r>
        <w:instrText xml:space="preserve"> PAGEREF _Toc1036 \h </w:instrText>
      </w:r>
      <w:r>
        <w:fldChar w:fldCharType="separate"/>
      </w:r>
      <w:r>
        <w:t>22</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5F3B0C05">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_Toc5920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三、 </w:t>
      </w:r>
      <w:r>
        <w:rPr>
          <w:rFonts w:hint="default" w:ascii="Times New Roman" w:hAnsi="Times New Roman" w:cs="Times New Roman"/>
          <w:w w:val="100"/>
          <w:position w:val="0"/>
          <w:highlight w:val="none"/>
        </w:rPr>
        <w:t>区域环境质量现状、环境保护目标及评价标准</w:t>
      </w:r>
      <w:r>
        <w:tab/>
      </w:r>
      <w:r>
        <w:fldChar w:fldCharType="begin"/>
      </w:r>
      <w:r>
        <w:instrText xml:space="preserve"> PAGEREF _Toc5920 \h </w:instrText>
      </w:r>
      <w:r>
        <w:fldChar w:fldCharType="separate"/>
      </w:r>
      <w:r>
        <w:t>50</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5A11B118">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_Toc7214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四、 </w:t>
      </w:r>
      <w:r>
        <w:rPr>
          <w:rFonts w:hint="default" w:ascii="Times New Roman" w:hAnsi="Times New Roman" w:cs="Times New Roman"/>
          <w:w w:val="100"/>
          <w:position w:val="0"/>
          <w:highlight w:val="none"/>
        </w:rPr>
        <w:t>主要环境影响和保护措施</w:t>
      </w:r>
      <w:r>
        <w:tab/>
      </w:r>
      <w:r>
        <w:fldChar w:fldCharType="begin"/>
      </w:r>
      <w:r>
        <w:instrText xml:space="preserve"> PAGEREF _Toc7214 \h </w:instrText>
      </w:r>
      <w:r>
        <w:fldChar w:fldCharType="separate"/>
      </w:r>
      <w:r>
        <w:t>55</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7E04D52E">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_Toc19222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五、 </w:t>
      </w:r>
      <w:r>
        <w:rPr>
          <w:rFonts w:hint="default" w:ascii="Times New Roman" w:hAnsi="Times New Roman" w:cs="Times New Roman"/>
          <w:w w:val="100"/>
          <w:position w:val="0"/>
          <w:highlight w:val="none"/>
        </w:rPr>
        <w:t>环境保护措施监督检查清单</w:t>
      </w:r>
      <w:r>
        <w:tab/>
      </w:r>
      <w:r>
        <w:fldChar w:fldCharType="begin"/>
      </w:r>
      <w:r>
        <w:instrText xml:space="preserve"> PAGEREF _Toc19222 \h </w:instrText>
      </w:r>
      <w:r>
        <w:fldChar w:fldCharType="separate"/>
      </w:r>
      <w:r>
        <w:t>90</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36BB4A87">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_Toc22867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六、 </w:t>
      </w:r>
      <w:r>
        <w:rPr>
          <w:rFonts w:hint="default" w:ascii="Times New Roman" w:hAnsi="Times New Roman" w:cs="Times New Roman"/>
          <w:w w:val="100"/>
          <w:position w:val="0"/>
          <w:highlight w:val="none"/>
        </w:rPr>
        <w:t>结论</w:t>
      </w:r>
      <w:r>
        <w:tab/>
      </w:r>
      <w:r>
        <w:fldChar w:fldCharType="begin"/>
      </w:r>
      <w:r>
        <w:instrText xml:space="preserve"> PAGEREF _Toc22867 \h </w:instrText>
      </w:r>
      <w:r>
        <w:fldChar w:fldCharType="separate"/>
      </w:r>
      <w:r>
        <w:t>98</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429EBE62">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_Toc7724 </w:instrText>
      </w:r>
      <w:r>
        <w:rPr>
          <w:rFonts w:hint="default" w:ascii="Times New Roman" w:hAnsi="Times New Roman" w:eastAsia="楷体" w:cs="Times New Roman"/>
          <w:w w:val="100"/>
          <w:position w:val="0"/>
          <w:szCs w:val="35"/>
          <w:highlight w:val="none"/>
        </w:rPr>
        <w:fldChar w:fldCharType="separate"/>
      </w:r>
      <w:r>
        <w:rPr>
          <w:rFonts w:hint="eastAsia" w:ascii="宋体" w:hAnsi="宋体" w:eastAsia="宋体" w:cs="宋体"/>
          <w:w w:val="100"/>
          <w:position w:val="0"/>
          <w:szCs w:val="28"/>
          <w:highlight w:val="none"/>
        </w:rPr>
        <w:t>附表</w:t>
      </w:r>
      <w:r>
        <w:tab/>
      </w:r>
      <w:r>
        <w:fldChar w:fldCharType="begin"/>
      </w:r>
      <w:r>
        <w:instrText xml:space="preserve"> PAGEREF _Toc7724 \h </w:instrText>
      </w:r>
      <w:r>
        <w:fldChar w:fldCharType="separate"/>
      </w:r>
      <w:r>
        <w:t>99</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69946978">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_Toc32673 </w:instrText>
      </w:r>
      <w:r>
        <w:rPr>
          <w:rFonts w:hint="default" w:ascii="Times New Roman" w:hAnsi="Times New Roman" w:eastAsia="楷体" w:cs="Times New Roman"/>
          <w:w w:val="100"/>
          <w:position w:val="0"/>
          <w:szCs w:val="35"/>
          <w:highlight w:val="none"/>
        </w:rPr>
        <w:fldChar w:fldCharType="separate"/>
      </w:r>
      <w:r>
        <w:rPr>
          <w:rFonts w:hint="eastAsia" w:ascii="宋体" w:hAnsi="宋体" w:eastAsia="宋体" w:cs="宋体"/>
          <w:bCs/>
          <w:w w:val="100"/>
          <w:position w:val="0"/>
          <w:szCs w:val="48"/>
          <w:highlight w:val="none"/>
          <w:lang w:val="en-US" w:eastAsia="zh-CN"/>
        </w:rPr>
        <w:t>环境风险专项评价</w:t>
      </w:r>
      <w:r>
        <w:tab/>
      </w:r>
      <w:r>
        <w:fldChar w:fldCharType="begin"/>
      </w:r>
      <w:r>
        <w:instrText xml:space="preserve"> PAGEREF _Toc32673 \h </w:instrText>
      </w:r>
      <w:r>
        <w:fldChar w:fldCharType="separate"/>
      </w:r>
      <w:r>
        <w:t>102</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3E4D6DFB">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36677E0A">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13573B9">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932125C">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0" w:name="_Toc3762"/>
      <w:r>
        <w:rPr>
          <w:rFonts w:hint="default" w:ascii="Times New Roman" w:hAnsi="Times New Roman" w:cs="Times New Roman"/>
          <w:color w:val="000000" w:themeColor="text1"/>
          <w:w w:val="100"/>
          <w:position w:val="0"/>
          <w:highlight w:val="none"/>
          <w14:textFill>
            <w14:solidFill>
              <w14:schemeClr w14:val="tx1"/>
            </w14:solidFill>
          </w14:textFill>
        </w:rPr>
        <w:t>建设项目基本情况</w:t>
      </w:r>
      <w:bookmarkEnd w:id="0"/>
    </w:p>
    <w:tbl>
      <w:tblPr>
        <w:tblStyle w:val="22"/>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28" w:type="dxa"/>
        </w:tblCellMar>
      </w:tblPr>
      <w:tblGrid>
        <w:gridCol w:w="1153"/>
        <w:gridCol w:w="3628"/>
        <w:gridCol w:w="1317"/>
        <w:gridCol w:w="2736"/>
      </w:tblGrid>
      <w:tr w14:paraId="4B7F2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245AEBDD">
            <w:pPr>
              <w:pStyle w:val="34"/>
              <w:rPr>
                <w:rStyle w:val="32"/>
                <w:rFonts w:hint="default" w:ascii="Times New Roman" w:hAnsi="Times New Roman" w:eastAsia="宋体"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14:textFill>
                  <w14:solidFill>
                    <w14:schemeClr w14:val="tx1"/>
                  </w14:solidFill>
                </w14:textFill>
              </w:rPr>
              <w:t>建设项目名称</w:t>
            </w:r>
          </w:p>
        </w:tc>
        <w:tc>
          <w:tcPr>
            <w:tcW w:w="4346" w:type="pct"/>
            <w:gridSpan w:val="3"/>
            <w:tcBorders>
              <w:tl2br w:val="nil"/>
              <w:tr2bl w:val="nil"/>
            </w:tcBorders>
            <w:vAlign w:val="center"/>
          </w:tcPr>
          <w:p w14:paraId="5CF7D312">
            <w:pPr>
              <w:pStyle w:val="34"/>
              <w:rPr>
                <w:rStyle w:val="32"/>
                <w:rFonts w:hint="default" w:ascii="Times New Roman" w:hAnsi="Times New Roman" w:eastAsia="宋体"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振宏机械废硅粉加工前预处理</w:t>
            </w:r>
          </w:p>
        </w:tc>
      </w:tr>
      <w:tr w14:paraId="4812A8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35CB39C">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项目代码</w:t>
            </w:r>
          </w:p>
        </w:tc>
        <w:tc>
          <w:tcPr>
            <w:tcW w:w="4346" w:type="pct"/>
            <w:gridSpan w:val="3"/>
            <w:tcBorders>
              <w:tl2br w:val="nil"/>
              <w:tr2bl w:val="nil"/>
            </w:tcBorders>
            <w:vAlign w:val="center"/>
          </w:tcPr>
          <w:p w14:paraId="352769EF">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2503-652312-21-02-675143</w:t>
            </w:r>
          </w:p>
        </w:tc>
      </w:tr>
      <w:tr w14:paraId="15FB13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31B69503">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建设单位联系人</w:t>
            </w:r>
          </w:p>
        </w:tc>
        <w:tc>
          <w:tcPr>
            <w:tcW w:w="2053" w:type="pct"/>
            <w:tcBorders>
              <w:tl2br w:val="nil"/>
              <w:tr2bl w:val="nil"/>
            </w:tcBorders>
            <w:vAlign w:val="center"/>
          </w:tcPr>
          <w:p w14:paraId="72767B73">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陈猛</w:t>
            </w:r>
          </w:p>
        </w:tc>
        <w:tc>
          <w:tcPr>
            <w:tcW w:w="745" w:type="pct"/>
            <w:tcBorders>
              <w:tl2br w:val="nil"/>
              <w:tr2bl w:val="nil"/>
            </w:tcBorders>
            <w:vAlign w:val="center"/>
          </w:tcPr>
          <w:p w14:paraId="2CF32B10">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联系方式</w:t>
            </w:r>
          </w:p>
        </w:tc>
        <w:tc>
          <w:tcPr>
            <w:tcW w:w="1546" w:type="pct"/>
            <w:tcBorders>
              <w:tl2br w:val="nil"/>
              <w:tr2bl w:val="nil"/>
            </w:tcBorders>
            <w:vAlign w:val="center"/>
          </w:tcPr>
          <w:p w14:paraId="28156F95">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15099125761</w:t>
            </w:r>
          </w:p>
        </w:tc>
      </w:tr>
      <w:tr w14:paraId="6A45D0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7378405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建设地点</w:t>
            </w:r>
          </w:p>
        </w:tc>
        <w:tc>
          <w:tcPr>
            <w:tcW w:w="4346" w:type="pct"/>
            <w:gridSpan w:val="3"/>
            <w:tcBorders>
              <w:tl2br w:val="nil"/>
              <w:tr2bl w:val="nil"/>
            </w:tcBorders>
            <w:vAlign w:val="center"/>
          </w:tcPr>
          <w:p w14:paraId="3A2B26BC">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新疆维吾尔自治区昌吉回族自治州昌吉国家高新技术产业开发区建材工业园昌吉市先导工程材料有限责任公司院内1#厂房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w:t>
            </w:r>
          </w:p>
        </w:tc>
      </w:tr>
      <w:tr w14:paraId="571852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4BB4A2A8">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地理坐标</w:t>
            </w:r>
          </w:p>
        </w:tc>
        <w:tc>
          <w:tcPr>
            <w:tcW w:w="4346" w:type="pct"/>
            <w:gridSpan w:val="3"/>
            <w:tcBorders>
              <w:tl2br w:val="nil"/>
              <w:tr2bl w:val="nil"/>
            </w:tcBorders>
            <w:vAlign w:val="center"/>
          </w:tcPr>
          <w:p w14:paraId="67235353">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东经</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87°08</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02.026</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北纬</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44°05</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23.55</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7″</w:t>
            </w:r>
          </w:p>
        </w:tc>
      </w:tr>
      <w:tr w14:paraId="1F5967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3B76EFB8">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国民经济</w:t>
            </w:r>
          </w:p>
          <w:p w14:paraId="134C20CE">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行业类别</w:t>
            </w:r>
          </w:p>
        </w:tc>
        <w:tc>
          <w:tcPr>
            <w:tcW w:w="2053" w:type="pct"/>
            <w:tcBorders>
              <w:tl2br w:val="nil"/>
              <w:tr2bl w:val="nil"/>
            </w:tcBorders>
            <w:vAlign w:val="center"/>
          </w:tcPr>
          <w:p w14:paraId="2B0DE4F7">
            <w:pPr>
              <w:widowControl/>
              <w:ind w:firstLine="0" w:firstLineChars="0"/>
              <w:jc w:val="cente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C4220非金属废料和碎屑加工处理</w:t>
            </w:r>
          </w:p>
        </w:tc>
        <w:tc>
          <w:tcPr>
            <w:tcW w:w="745" w:type="pct"/>
            <w:tcBorders>
              <w:tl2br w:val="nil"/>
              <w:tr2bl w:val="nil"/>
            </w:tcBorders>
            <w:vAlign w:val="center"/>
          </w:tcPr>
          <w:p w14:paraId="027C231B">
            <w:pPr>
              <w:adjustRightInd w:val="0"/>
              <w:snapToGrid w:val="0"/>
              <w:spacing w:line="240" w:lineRule="auto"/>
              <w:ind w:firstLine="0" w:firstLineChars="0"/>
              <w:jc w:val="cente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建设项目行业类别</w:t>
            </w:r>
          </w:p>
        </w:tc>
        <w:tc>
          <w:tcPr>
            <w:tcW w:w="1546" w:type="pct"/>
            <w:tcBorders>
              <w:tl2br w:val="nil"/>
              <w:tr2bl w:val="nil"/>
            </w:tcBorders>
            <w:vAlign w:val="center"/>
          </w:tcPr>
          <w:p w14:paraId="6BD3979B">
            <w:pPr>
              <w:adjustRightInd w:val="0"/>
              <w:snapToGrid w:val="0"/>
              <w:spacing w:line="240" w:lineRule="auto"/>
              <w:ind w:firstLine="0" w:firstLineChars="0"/>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三十九、废弃资源综合利用业-85、</w:t>
            </w:r>
            <w:r>
              <w:rPr>
                <w:rFonts w:hint="eastAsia" w:cs="宋体"/>
                <w:color w:val="000000" w:themeColor="text1"/>
                <w:sz w:val="24"/>
                <w:szCs w:val="24"/>
                <w:highlight w:val="none"/>
                <w14:textFill>
                  <w14:solidFill>
                    <w14:schemeClr w14:val="tx1"/>
                  </w14:solidFill>
                </w14:textFill>
              </w:rPr>
              <w:t>金属废料和碎屑</w:t>
            </w:r>
            <w:r>
              <w:rPr>
                <w:rFonts w:hint="eastAsia" w:cs="宋体"/>
                <w:color w:val="000000" w:themeColor="text1"/>
                <w:sz w:val="24"/>
                <w:szCs w:val="24"/>
                <w:highlight w:val="none"/>
                <w:lang w:eastAsia="zh-CN"/>
                <w14:textFill>
                  <w14:solidFill>
                    <w14:schemeClr w14:val="tx1"/>
                  </w14:solidFill>
                </w14:textFill>
              </w:rPr>
              <w:t>加工</w:t>
            </w:r>
            <w:r>
              <w:rPr>
                <w:rFonts w:hint="eastAsia" w:cs="宋体"/>
                <w:color w:val="000000" w:themeColor="text1"/>
                <w:sz w:val="24"/>
                <w:szCs w:val="24"/>
                <w:highlight w:val="none"/>
                <w:lang w:val="en-US" w:eastAsia="zh-CN"/>
                <w14:textFill>
                  <w14:solidFill>
                    <w14:schemeClr w14:val="tx1"/>
                  </w14:solidFill>
                </w14:textFill>
              </w:rPr>
              <w:t>421</w:t>
            </w:r>
            <w:r>
              <w:rPr>
                <w:rFonts w:hint="eastAsia" w:cs="宋体"/>
                <w:color w:val="000000" w:themeColor="text1"/>
                <w:sz w:val="24"/>
                <w:szCs w:val="24"/>
                <w:highlight w:val="none"/>
                <w:lang w:eastAsia="zh-CN"/>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非金属废料和碎屑加工处理</w:t>
            </w:r>
            <w:r>
              <w:rPr>
                <w:rFonts w:hint="eastAsia" w:cs="宋体"/>
                <w:color w:val="000000" w:themeColor="text1"/>
                <w:sz w:val="24"/>
                <w:szCs w:val="24"/>
                <w:highlight w:val="none"/>
                <w:lang w:val="en-US" w:eastAsia="zh-CN"/>
                <w14:textFill>
                  <w14:solidFill>
                    <w14:schemeClr w14:val="tx1"/>
                  </w14:solidFill>
                </w14:textFill>
              </w:rPr>
              <w:t>422</w:t>
            </w:r>
          </w:p>
        </w:tc>
      </w:tr>
      <w:tr w14:paraId="59EC2D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1CC27A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建设性质</w:t>
            </w:r>
          </w:p>
        </w:tc>
        <w:tc>
          <w:tcPr>
            <w:tcW w:w="2053" w:type="pct"/>
            <w:tcBorders>
              <w:tl2br w:val="nil"/>
              <w:tr2bl w:val="nil"/>
            </w:tcBorders>
            <w:vAlign w:val="center"/>
          </w:tcPr>
          <w:p w14:paraId="779859D8">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新建（迁建）</w:t>
            </w:r>
          </w:p>
          <w:p w14:paraId="5AA1F417">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改建</w:t>
            </w:r>
          </w:p>
          <w:p w14:paraId="5A540611">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扩建</w:t>
            </w:r>
          </w:p>
          <w:p w14:paraId="457DE20B">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技术改造</w:t>
            </w:r>
          </w:p>
        </w:tc>
        <w:tc>
          <w:tcPr>
            <w:tcW w:w="745" w:type="pct"/>
            <w:tcBorders>
              <w:tl2br w:val="nil"/>
              <w:tr2bl w:val="nil"/>
            </w:tcBorders>
            <w:vAlign w:val="center"/>
          </w:tcPr>
          <w:p w14:paraId="4ACE919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建设项目申报情形</w:t>
            </w:r>
          </w:p>
        </w:tc>
        <w:tc>
          <w:tcPr>
            <w:tcW w:w="1546" w:type="pct"/>
            <w:tcBorders>
              <w:tl2br w:val="nil"/>
              <w:tr2bl w:val="nil"/>
            </w:tcBorders>
            <w:vAlign w:val="center"/>
          </w:tcPr>
          <w:p w14:paraId="253E4FC0">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sym w:font="Wingdings 2" w:char="F052"/>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首次申报项目</w:t>
            </w:r>
          </w:p>
          <w:p w14:paraId="2BD1E55B">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□不予批准后再次申报项目</w:t>
            </w:r>
          </w:p>
          <w:p w14:paraId="28B486DC">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□超五年重新审核项目</w:t>
            </w:r>
          </w:p>
          <w:p w14:paraId="2C4C3C4F">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□重大变动重新报批项目</w:t>
            </w:r>
          </w:p>
        </w:tc>
      </w:tr>
      <w:tr w14:paraId="00270A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544FCDC8">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项目审批</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核准/备案</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部门</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选填</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2053" w:type="pct"/>
            <w:tcBorders>
              <w:tl2br w:val="nil"/>
              <w:tr2bl w:val="nil"/>
            </w:tcBorders>
            <w:vAlign w:val="center"/>
          </w:tcPr>
          <w:p w14:paraId="32079B4F">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昌吉市高新技术开发区</w:t>
            </w:r>
          </w:p>
        </w:tc>
        <w:tc>
          <w:tcPr>
            <w:tcW w:w="745" w:type="pct"/>
            <w:tcBorders>
              <w:tl2br w:val="nil"/>
              <w:tr2bl w:val="nil"/>
            </w:tcBorders>
            <w:vAlign w:val="center"/>
          </w:tcPr>
          <w:p w14:paraId="4AB5EF86">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项目审批</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核准/备案</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文号</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选填</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1546" w:type="pct"/>
            <w:tcBorders>
              <w:tl2br w:val="nil"/>
              <w:tr2bl w:val="nil"/>
            </w:tcBorders>
            <w:vAlign w:val="center"/>
          </w:tcPr>
          <w:p w14:paraId="60A5E350">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2504011128652300000004</w:t>
            </w:r>
          </w:p>
        </w:tc>
      </w:tr>
      <w:tr w14:paraId="3B0306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702D1234">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总投资</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万元</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2053" w:type="pct"/>
            <w:tcBorders>
              <w:tl2br w:val="nil"/>
              <w:tr2bl w:val="nil"/>
            </w:tcBorders>
            <w:vAlign w:val="center"/>
          </w:tcPr>
          <w:p w14:paraId="4E735A89">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60</w:t>
            </w:r>
          </w:p>
        </w:tc>
        <w:tc>
          <w:tcPr>
            <w:tcW w:w="745" w:type="pct"/>
            <w:tcBorders>
              <w:tl2br w:val="nil"/>
              <w:tr2bl w:val="nil"/>
            </w:tcBorders>
            <w:vAlign w:val="center"/>
          </w:tcPr>
          <w:p w14:paraId="264CBD70">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环保投资</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万元</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1546" w:type="pct"/>
            <w:tcBorders>
              <w:tl2br w:val="nil"/>
              <w:tr2bl w:val="nil"/>
            </w:tcBorders>
            <w:vAlign w:val="center"/>
          </w:tcPr>
          <w:p w14:paraId="105B710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14</w:t>
            </w:r>
          </w:p>
        </w:tc>
      </w:tr>
      <w:tr w14:paraId="5ABCAD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A63F6AD">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环保投资占比</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2053" w:type="pct"/>
            <w:tcBorders>
              <w:tl2br w:val="nil"/>
              <w:tr2bl w:val="nil"/>
            </w:tcBorders>
            <w:vAlign w:val="center"/>
          </w:tcPr>
          <w:p w14:paraId="556BD58F">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23.3</w:t>
            </w:r>
          </w:p>
        </w:tc>
        <w:tc>
          <w:tcPr>
            <w:tcW w:w="745" w:type="pct"/>
            <w:tcBorders>
              <w:tl2br w:val="nil"/>
              <w:tr2bl w:val="nil"/>
            </w:tcBorders>
            <w:vAlign w:val="center"/>
          </w:tcPr>
          <w:p w14:paraId="209F2872">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施工工期</w:t>
            </w:r>
          </w:p>
        </w:tc>
        <w:tc>
          <w:tcPr>
            <w:tcW w:w="1546" w:type="pct"/>
            <w:tcBorders>
              <w:tl2br w:val="nil"/>
              <w:tr2bl w:val="nil"/>
            </w:tcBorders>
            <w:vAlign w:val="center"/>
          </w:tcPr>
          <w:p w14:paraId="4A62B0F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1个月</w:t>
            </w:r>
          </w:p>
        </w:tc>
      </w:tr>
      <w:tr w14:paraId="20122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6AE7F7A0">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是否开工建设</w:t>
            </w:r>
          </w:p>
        </w:tc>
        <w:tc>
          <w:tcPr>
            <w:tcW w:w="2053" w:type="pct"/>
            <w:tcBorders>
              <w:tl2br w:val="nil"/>
              <w:tr2bl w:val="nil"/>
            </w:tcBorders>
            <w:vAlign w:val="center"/>
          </w:tcPr>
          <w:p w14:paraId="427B76CF">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sym w:font="Wingdings 2" w:char="00A3"/>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否</w:t>
            </w:r>
          </w:p>
          <w:p w14:paraId="2FE57AC0">
            <w:pPr>
              <w:pStyle w:val="34"/>
              <w:jc w:val="left"/>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是</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Fonts w:hint="eastAsia" w:ascii="宋体" w:hAnsi="宋体" w:cs="宋体"/>
                <w:color w:val="000000" w:themeColor="text1"/>
                <w:spacing w:val="13"/>
                <w:sz w:val="24"/>
                <w:szCs w:val="24"/>
                <w:highlight w:val="none"/>
                <w:u w:val="single"/>
                <w:lang w:val="en-US" w:eastAsia="zh-CN"/>
                <w14:textFill>
                  <w14:solidFill>
                    <w14:schemeClr w14:val="tx1"/>
                  </w14:solidFill>
                </w14:textFill>
              </w:rPr>
              <w:t>本项目已租赁厂房并建设一条生产线，于2025年9月开工建设，目前暂未建设完成；违反了《中华人民共和国环境影响评价法》第二十五条：“建设项目的环境影响评价文件未依法经审批部门审查或者审查后未予批准的，建设单位不得开工建设”的规定。项目已停工，目前暂未受到相关环保部门的处罚。</w:t>
            </w:r>
          </w:p>
        </w:tc>
        <w:tc>
          <w:tcPr>
            <w:tcW w:w="745" w:type="pct"/>
            <w:tcBorders>
              <w:tl2br w:val="nil"/>
              <w:tr2bl w:val="nil"/>
            </w:tcBorders>
            <w:vAlign w:val="center"/>
          </w:tcPr>
          <w:p w14:paraId="2AE25591">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用地</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用海</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面积</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m</w:t>
            </w:r>
            <w:r>
              <w:rPr>
                <w:rStyle w:val="32"/>
                <w:rFonts w:hint="default" w:ascii="Times New Roman" w:hAnsi="Times New Roman" w:cs="Times New Roman"/>
                <w:color w:val="000000" w:themeColor="text1"/>
                <w:w w:val="100"/>
                <w:position w:val="0"/>
                <w:sz w:val="24"/>
                <w:szCs w:val="24"/>
                <w:highlight w:val="none"/>
                <w:vertAlign w:val="superscript"/>
                <w14:textFill>
                  <w14:solidFill>
                    <w14:schemeClr w14:val="tx1"/>
                  </w14:solidFill>
                </w14:textFill>
              </w:rPr>
              <w:t>2</w:t>
            </w:r>
            <w:r>
              <w:rPr>
                <w:rStyle w:val="32"/>
                <w:rFonts w:hint="eastAsia" w:cs="Times New Roman"/>
                <w:color w:val="000000" w:themeColor="text1"/>
                <w:w w:val="100"/>
                <w:position w:val="0"/>
                <w:sz w:val="24"/>
                <w:szCs w:val="24"/>
                <w:highlight w:val="none"/>
                <w:vertAlign w:val="superscript"/>
                <w:lang w:eastAsia="zh-CN"/>
                <w14:textFill>
                  <w14:solidFill>
                    <w14:schemeClr w14:val="tx1"/>
                  </w14:solidFill>
                </w14:textFill>
              </w:rPr>
              <w:t>）</w:t>
            </w:r>
          </w:p>
        </w:tc>
        <w:tc>
          <w:tcPr>
            <w:tcW w:w="1546" w:type="pct"/>
            <w:tcBorders>
              <w:tl2br w:val="nil"/>
              <w:tr2bl w:val="nil"/>
            </w:tcBorders>
            <w:vAlign w:val="center"/>
          </w:tcPr>
          <w:p w14:paraId="0548971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项目租赁昌吉市先导工程材料有限责任公司</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已建车间，占地面积为</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1460m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p>
        </w:tc>
      </w:tr>
      <w:tr w14:paraId="483A08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68EB169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专项评价设置情况</w:t>
            </w:r>
          </w:p>
        </w:tc>
        <w:tc>
          <w:tcPr>
            <w:tcW w:w="4346" w:type="pct"/>
            <w:gridSpan w:val="3"/>
            <w:tcBorders>
              <w:tl2br w:val="nil"/>
              <w:tr2bl w:val="nil"/>
            </w:tcBorders>
            <w:vAlign w:val="center"/>
          </w:tcPr>
          <w:p w14:paraId="0C26ADCD">
            <w:pPr>
              <w:pStyle w:val="29"/>
              <w:ind w:left="0" w:leftChars="0" w:firstLine="0" w:firstLineChars="0"/>
              <w:jc w:val="center"/>
              <w:rPr>
                <w:rStyle w:val="32"/>
                <w:rFonts w:hint="eastAsia"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《建设项目环境影响报告表编制技术指南（污染影响类）（试行）》</w:t>
            </w:r>
          </w:p>
          <w:p w14:paraId="0B74B616">
            <w:pPr>
              <w:pStyle w:val="29"/>
              <w:ind w:left="0" w:leftChars="0" w:firstLine="0" w:firstLineChars="0"/>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专项评价设置原则：本项目风险物质盐酸存储量超过临界量，需进行环境风险专项评价。根据生态环境部部长信箱中关于咨询突发环境事件风险物质及临界量确定问题的回复：《企业突发环境事件风险分级方法》（HJ941-2018）中，按照“混合或稀释的风险物质按其组分比例折算成纯物质”原则，浓度低于37%的盐酸应折算为浓度为37%的盐酸，临界量按7.5吨计算Q值。经计算本次项目临界量超过7.5吨，故进行环境风险专项评价。</w:t>
            </w:r>
          </w:p>
        </w:tc>
      </w:tr>
      <w:tr w14:paraId="1DB3B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907" w:hRule="atLeast"/>
        </w:trPr>
        <w:tc>
          <w:tcPr>
            <w:tcW w:w="653" w:type="pct"/>
            <w:tcBorders>
              <w:tl2br w:val="nil"/>
              <w:tr2bl w:val="nil"/>
            </w:tcBorders>
            <w:vAlign w:val="center"/>
          </w:tcPr>
          <w:p w14:paraId="7C7BF72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规划情况</w:t>
            </w:r>
          </w:p>
        </w:tc>
        <w:tc>
          <w:tcPr>
            <w:tcW w:w="4346" w:type="pct"/>
            <w:gridSpan w:val="3"/>
            <w:tcBorders>
              <w:tl2br w:val="nil"/>
              <w:tr2bl w:val="nil"/>
            </w:tcBorders>
            <w:vAlign w:val="center"/>
          </w:tcPr>
          <w:p w14:paraId="20C1F2E0">
            <w:pPr>
              <w:pageBreakBefore w:val="0"/>
              <w:shd w:val="clear" w:color="auto" w:fill="auto"/>
              <w:autoSpaceDE w:val="0"/>
              <w:autoSpaceDN w:val="0"/>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000000" w:themeColor="text1"/>
                <w:w w:val="100"/>
                <w:kern w:val="0"/>
                <w:positio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kern w:val="0"/>
                <w:position w:val="0"/>
                <w:sz w:val="24"/>
                <w:highlight w:val="none"/>
                <w:lang w:val="en-US" w:eastAsia="zh-CN"/>
                <w14:textFill>
                  <w14:solidFill>
                    <w14:schemeClr w14:val="tx1"/>
                  </w14:solidFill>
                </w14:textFill>
              </w:rPr>
              <w:t>规划名称：</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昌吉高新技术产业开发区总体规划</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2014-2030</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kern w:val="0"/>
                <w:position w:val="0"/>
                <w:sz w:val="24"/>
                <w:highlight w:val="none"/>
                <w:lang w:val="en-US" w:eastAsia="zh-CN"/>
                <w14:textFill>
                  <w14:solidFill>
                    <w14:schemeClr w14:val="tx1"/>
                  </w14:solidFill>
                </w14:textFill>
              </w:rPr>
              <w:t>；</w:t>
            </w:r>
          </w:p>
          <w:p w14:paraId="3BF3DEF6">
            <w:pPr>
              <w:autoSpaceDE w:val="0"/>
              <w:autoSpaceDN w:val="0"/>
              <w:adjustRightInd w:val="0"/>
              <w:snapToGrid w:val="0"/>
              <w:spacing w:line="360" w:lineRule="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b/>
                <w:bCs/>
                <w:color w:val="000000" w:themeColor="text1"/>
                <w:kern w:val="0"/>
                <w:sz w:val="24"/>
                <w:highlight w:val="none"/>
                <w14:textFill>
                  <w14:solidFill>
                    <w14:schemeClr w14:val="tx1"/>
                  </w14:solidFill>
                </w14:textFill>
              </w:rPr>
              <w:t>规划审批情况及审批单位：</w:t>
            </w:r>
            <w:r>
              <w:rPr>
                <w:color w:val="000000" w:themeColor="text1"/>
                <w:kern w:val="0"/>
                <w:sz w:val="24"/>
                <w:highlight w:val="none"/>
                <w14:textFill>
                  <w14:solidFill>
                    <w14:schemeClr w14:val="tx1"/>
                  </w14:solidFill>
                </w14:textFill>
              </w:rPr>
              <w:t>新疆维吾尔自治区人民政府于2015年7月批准了《昌吉高新技术产业开发区总体规划（2014—2030年）》</w:t>
            </w:r>
          </w:p>
        </w:tc>
      </w:tr>
      <w:tr w14:paraId="67F6CE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6FE8F8C">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规划环境影响评价情况</w:t>
            </w:r>
          </w:p>
        </w:tc>
        <w:tc>
          <w:tcPr>
            <w:tcW w:w="4346" w:type="pct"/>
            <w:gridSpan w:val="3"/>
            <w:tcBorders>
              <w:tl2br w:val="nil"/>
              <w:tr2bl w:val="nil"/>
            </w:tcBorders>
            <w:vAlign w:val="center"/>
          </w:tcPr>
          <w:p w14:paraId="46F60EBE">
            <w:pPr>
              <w:keepNext w:val="0"/>
              <w:keepLines w:val="0"/>
              <w:pageBreakBefore w:val="0"/>
              <w:widowControl/>
              <w:suppressLineNumbers w:val="0"/>
              <w:shd w:val="clear" w:color="auto" w:fill="auto"/>
              <w:bidi w:val="0"/>
              <w:spacing w:beforeAutospacing="0" w:afterAutospacing="0" w:line="360" w:lineRule="auto"/>
              <w:ind w:left="0" w:leftChars="0" w:right="0"/>
              <w:jc w:val="both"/>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kern w:val="0"/>
                <w:position w:val="0"/>
                <w:sz w:val="24"/>
                <w:highlight w:val="none"/>
                <w:lang w:val="en-US" w:eastAsia="zh-CN"/>
                <w14:textFill>
                  <w14:solidFill>
                    <w14:schemeClr w14:val="tx1"/>
                  </w14:solidFill>
                </w14:textFill>
              </w:rPr>
              <w:t>规划环评名称：</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kern w:val="0"/>
                <w:position w:val="0"/>
                <w:sz w:val="24"/>
                <w:highlight w:val="none"/>
                <w14:textFill>
                  <w14:solidFill>
                    <w14:schemeClr w14:val="tx1"/>
                  </w14:solidFill>
                </w14:textFill>
              </w:rPr>
              <w:t>昌吉高新技术产业开发区总体规划（2014-2030）环境影响报告书</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w:t>
            </w:r>
          </w:p>
          <w:p w14:paraId="782B0587">
            <w:pPr>
              <w:keepNext w:val="0"/>
              <w:keepLines w:val="0"/>
              <w:pageBreakBefore w:val="0"/>
              <w:widowControl/>
              <w:suppressLineNumbers w:val="0"/>
              <w:shd w:val="clear" w:color="auto" w:fill="auto"/>
              <w:bidi w:val="0"/>
              <w:spacing w:beforeAutospacing="0" w:afterAutospacing="0" w:line="360" w:lineRule="auto"/>
              <w:ind w:left="0" w:leftChars="0" w:right="0"/>
              <w:jc w:val="both"/>
              <w:rPr>
                <w:rFonts w:hint="default" w:ascii="Times New Roman" w:hAnsi="Times New Roman" w:cs="Times New Roman"/>
                <w:color w:val="000000" w:themeColor="text1"/>
                <w:w w:val="100"/>
                <w:kern w:val="0"/>
                <w:position w:val="0"/>
                <w:sz w:val="24"/>
                <w:highlight w:val="none"/>
                <w14:textFill>
                  <w14:solidFill>
                    <w14:schemeClr w14:val="tx1"/>
                  </w14:solidFill>
                </w14:textFill>
              </w:rPr>
            </w:pPr>
            <w:r>
              <w:rPr>
                <w:rFonts w:hint="eastAsia" w:cs="Times New Roman"/>
                <w:b/>
                <w:bCs/>
                <w:color w:val="000000" w:themeColor="text1"/>
                <w:w w:val="100"/>
                <w:kern w:val="0"/>
                <w:position w:val="0"/>
                <w:sz w:val="24"/>
                <w:highlight w:val="none"/>
                <w:lang w:val="en-US" w:eastAsia="zh-CN"/>
                <w14:textFill>
                  <w14:solidFill>
                    <w14:schemeClr w14:val="tx1"/>
                  </w14:solidFill>
                </w14:textFill>
              </w:rPr>
              <w:t>召集审查</w:t>
            </w:r>
            <w:r>
              <w:rPr>
                <w:rFonts w:hint="default" w:ascii="Times New Roman" w:hAnsi="Times New Roman" w:eastAsia="宋体" w:cs="Times New Roman"/>
                <w:b/>
                <w:bCs/>
                <w:color w:val="000000" w:themeColor="text1"/>
                <w:w w:val="100"/>
                <w:kern w:val="0"/>
                <w:position w:val="0"/>
                <w:sz w:val="24"/>
                <w:highlight w:val="none"/>
                <w:lang w:val="en-US" w:eastAsia="zh-CN"/>
                <w14:textFill>
                  <w14:solidFill>
                    <w14:schemeClr w14:val="tx1"/>
                  </w14:solidFill>
                </w14:textFill>
              </w:rPr>
              <w:t>机关：</w:t>
            </w:r>
            <w:r>
              <w:rPr>
                <w:rFonts w:hint="eastAsia" w:ascii="宋体" w:hAnsi="宋体" w:eastAsia="宋体" w:cs="宋体"/>
                <w:b w:val="0"/>
                <w:bCs w:val="0"/>
                <w:color w:val="000000" w:themeColor="text1"/>
                <w:w w:val="100"/>
                <w:kern w:val="0"/>
                <w:position w:val="0"/>
                <w:sz w:val="24"/>
                <w:highlight w:val="none"/>
                <w:lang w:val="en-US" w:eastAsia="zh-CN"/>
                <w14:textFill>
                  <w14:solidFill>
                    <w14:schemeClr w14:val="tx1"/>
                  </w14:solidFill>
                </w14:textFill>
              </w:rPr>
              <w:t>原</w:t>
            </w:r>
            <w:r>
              <w:rPr>
                <w:rFonts w:hint="eastAsia" w:ascii="宋体" w:hAnsi="宋体" w:eastAsia="宋体" w:cs="宋体"/>
                <w:color w:val="000000" w:themeColor="text1"/>
                <w:w w:val="100"/>
                <w:kern w:val="0"/>
                <w:position w:val="0"/>
                <w:sz w:val="24"/>
                <w:highlight w:val="none"/>
                <w14:textFill>
                  <w14:solidFill>
                    <w14:schemeClr w14:val="tx1"/>
                  </w14:solidFill>
                </w14:textFill>
              </w:rPr>
              <w:t>新疆维吾尔自治区环境保护厅</w:t>
            </w:r>
          </w:p>
          <w:p w14:paraId="44957491">
            <w:pPr>
              <w:keepNext w:val="0"/>
              <w:keepLines w:val="0"/>
              <w:pageBreakBefore w:val="0"/>
              <w:widowControl/>
              <w:suppressLineNumbers w:val="0"/>
              <w:shd w:val="clear" w:color="auto" w:fill="auto"/>
              <w:bidi w:val="0"/>
              <w:spacing w:beforeAutospacing="0" w:afterAutospacing="0" w:line="360" w:lineRule="auto"/>
              <w:ind w:left="0" w:leftChars="0" w:right="0" w:rightChars="0"/>
              <w:jc w:val="both"/>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cs="Times New Roman"/>
                <w:b/>
                <w:bCs/>
                <w:color w:val="000000" w:themeColor="text1"/>
                <w:w w:val="100"/>
                <w:kern w:val="0"/>
                <w:position w:val="0"/>
                <w:sz w:val="24"/>
                <w:highlight w:val="none"/>
                <w:lang w:val="en-US" w:eastAsia="zh-CN"/>
                <w14:textFill>
                  <w14:solidFill>
                    <w14:schemeClr w14:val="tx1"/>
                  </w14:solidFill>
                </w14:textFill>
              </w:rPr>
              <w:t>审查文件</w:t>
            </w:r>
            <w:r>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t>名称</w:t>
            </w:r>
            <w:r>
              <w:rPr>
                <w:rFonts w:hint="eastAsia" w:cs="Times New Roman"/>
                <w:b/>
                <w:bCs/>
                <w:color w:val="000000" w:themeColor="text1"/>
                <w:w w:val="100"/>
                <w:kern w:val="0"/>
                <w:position w:val="0"/>
                <w:sz w:val="24"/>
                <w:highlight w:val="none"/>
                <w:lang w:val="en-US" w:eastAsia="zh-CN"/>
                <w14:textFill>
                  <w14:solidFill>
                    <w14:schemeClr w14:val="tx1"/>
                  </w14:solidFill>
                </w14:textFill>
              </w:rPr>
              <w:t>及文号</w:t>
            </w:r>
            <w:r>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w w:val="100"/>
                <w:kern w:val="0"/>
                <w:position w:val="0"/>
                <w:sz w:val="24"/>
                <w:highlight w:val="none"/>
                <w14:textFill>
                  <w14:solidFill>
                    <w14:schemeClr w14:val="tx1"/>
                  </w14:solidFill>
                </w14:textFill>
              </w:rPr>
              <w:t>《关于昌吉高新技术产业开发区总体规划（2014-2030）环境影响报告书的审查意见》（新环函</w:t>
            </w:r>
            <w:r>
              <w:rPr>
                <w:rFonts w:hint="default" w:ascii="Times New Roman" w:hAnsi="Times New Roman" w:eastAsia="宋体" w:cs="Times New Roman"/>
                <w:color w:val="000000" w:themeColor="text1"/>
                <w:w w:val="100"/>
                <w:kern w:val="0"/>
                <w:position w:val="0"/>
                <w:sz w:val="24"/>
                <w:szCs w:val="24"/>
                <w:highlight w:val="none"/>
                <w:lang w:val="en-US" w:eastAsia="zh-CN" w:bidi="ar"/>
                <w14:textFill>
                  <w14:solidFill>
                    <w14:schemeClr w14:val="tx1"/>
                  </w14:solidFill>
                </w14:textFill>
              </w:rPr>
              <w:t>〔2015〕</w:t>
            </w:r>
            <w:r>
              <w:rPr>
                <w:rFonts w:hint="default" w:ascii="Times New Roman" w:hAnsi="Times New Roman" w:cs="Times New Roman"/>
                <w:color w:val="000000" w:themeColor="text1"/>
                <w:w w:val="100"/>
                <w:kern w:val="0"/>
                <w:position w:val="0"/>
                <w:sz w:val="24"/>
                <w:highlight w:val="none"/>
                <w14:textFill>
                  <w14:solidFill>
                    <w14:schemeClr w14:val="tx1"/>
                  </w14:solidFill>
                </w14:textFill>
              </w:rPr>
              <w:t>306号）。</w:t>
            </w:r>
          </w:p>
        </w:tc>
      </w:tr>
      <w:tr w14:paraId="2FB51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558C9CD5">
            <w:pPr>
              <w:pageBreakBefore w:val="0"/>
              <w:shd w:val="clear" w:color="auto" w:fill="auto"/>
              <w:autoSpaceDE w:val="0"/>
              <w:autoSpaceDN w:val="0"/>
              <w:bidi w:val="0"/>
              <w:adjustRightInd w:val="0"/>
              <w:snapToGrid w:val="0"/>
              <w:spacing w:beforeAutospacing="0" w:afterAutospacing="0"/>
              <w:ind w:left="0" w:leftChars="0" w:right="0" w:rightChars="0"/>
              <w:jc w:val="cente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规划及规划环境影响评价符合性分析</w:t>
            </w:r>
          </w:p>
        </w:tc>
        <w:tc>
          <w:tcPr>
            <w:tcW w:w="4346" w:type="pct"/>
            <w:gridSpan w:val="3"/>
            <w:tcBorders>
              <w:tl2br w:val="nil"/>
              <w:tr2bl w:val="nil"/>
            </w:tcBorders>
            <w:vAlign w:val="center"/>
          </w:tcPr>
          <w:p w14:paraId="72931104">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1、与《</w:t>
            </w:r>
            <w:r>
              <w:rPr>
                <w:rFonts w:hint="default"/>
                <w:color w:val="000000" w:themeColor="text1"/>
                <w:highlight w:val="none"/>
                <w:lang w:val="en-US" w:eastAsia="zh-CN"/>
                <w14:textFill>
                  <w14:solidFill>
                    <w14:schemeClr w14:val="tx1"/>
                  </w14:solidFill>
                </w14:textFill>
              </w:rPr>
              <w:t>昌吉高新技术产业开发区总体规划</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）》相符性分析</w:t>
            </w:r>
          </w:p>
          <w:p w14:paraId="4F40955C">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w:t>
            </w:r>
            <w:r>
              <w:rPr>
                <w:rFonts w:hint="default"/>
                <w:color w:val="000000" w:themeColor="text1"/>
                <w:highlight w:val="none"/>
                <w:lang w:val="en-US" w:eastAsia="zh-CN"/>
                <w14:textFill>
                  <w14:solidFill>
                    <w14:schemeClr w14:val="tx1"/>
                  </w14:solidFill>
                </w14:textFill>
              </w:rPr>
              <w:t>园区</w:t>
            </w:r>
            <w:r>
              <w:rPr>
                <w:rFonts w:hint="eastAsia"/>
                <w:color w:val="000000" w:themeColor="text1"/>
                <w:highlight w:val="none"/>
                <w:lang w:val="en-US" w:eastAsia="zh-CN"/>
                <w14:textFill>
                  <w14:solidFill>
                    <w14:schemeClr w14:val="tx1"/>
                  </w14:solidFill>
                </w14:textFill>
              </w:rPr>
              <w:t>布局</w:t>
            </w:r>
            <w:r>
              <w:rPr>
                <w:rFonts w:hint="default"/>
                <w:color w:val="000000" w:themeColor="text1"/>
                <w:highlight w:val="none"/>
                <w:lang w:val="en-US" w:eastAsia="zh-CN"/>
                <w14:textFill>
                  <w14:solidFill>
                    <w14:schemeClr w14:val="tx1"/>
                  </w14:solidFill>
                </w14:textFill>
              </w:rPr>
              <w:t>符合性分析</w:t>
            </w:r>
          </w:p>
          <w:p w14:paraId="23229BED">
            <w:pPr>
              <w:pStyle w:val="53"/>
              <w:shd w:val="clear" w:color="auto" w:fill="auto"/>
              <w:tabs>
                <w:tab w:val="left" w:pos="2310"/>
              </w:tabs>
              <w:bidi w:val="0"/>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根据《</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昌吉高新技术产业开发区总体规划</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2014-2030</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昌吉高新技</w:t>
            </w:r>
            <w:r>
              <w:rPr>
                <w:rFonts w:hint="default"/>
                <w:color w:val="000000" w:themeColor="text1"/>
                <w:highlight w:val="none"/>
                <w:lang w:val="en-US" w:eastAsia="zh-CN"/>
                <w14:textFill>
                  <w14:solidFill>
                    <w14:schemeClr w14:val="tx1"/>
                  </w14:solidFill>
                </w14:textFill>
              </w:rPr>
              <w:t>术产业开发区规</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划建设用地总面积51.00平方千米，东到树沟镇行政边界，西到与呼图壁边界，南到乌奎高速路，北到S201省道和新材料产业园边界。本项目位于昌吉高新技术产业开发区总体规划</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2014</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2030年</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所划定的范围内，项目租赁昌吉市先导工程材料有限责任公司</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已建车间</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，用地属于昌吉高新技术产业开发区现规划的工业用地。</w:t>
            </w:r>
            <w:r>
              <w:rPr>
                <w:rFonts w:hint="eastAsia" w:ascii="Times New Roman" w:hAnsi="Times New Roman" w:cs="Times New Roman"/>
                <w:b w:val="0"/>
                <w:bCs w:val="0"/>
                <w:color w:val="000000" w:themeColor="text1"/>
                <w:w w:val="100"/>
                <w:kern w:val="0"/>
                <w:position w:val="0"/>
                <w:sz w:val="24"/>
                <w:highlight w:val="none"/>
                <w:lang w:val="en-US" w:eastAsia="zh-CN"/>
                <w14:textFill>
                  <w14:solidFill>
                    <w14:schemeClr w14:val="tx1"/>
                  </w14:solidFill>
                </w14:textFill>
              </w:rPr>
              <w:t>租赁协议见附件</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3</w:t>
            </w:r>
            <w:r>
              <w:rPr>
                <w:rFonts w:hint="eastAsia" w:ascii="Times New Roman" w:hAnsi="Times New Roman"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本项目与昌吉高新技术产业开发区用地规划图相对位置图与昌吉高新技术产业开发区园区功能区划相对位置图见附图7。</w:t>
            </w:r>
          </w:p>
          <w:p w14:paraId="61391650">
            <w:pPr>
              <w:pStyle w:val="4"/>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w:t>
            </w:r>
            <w:r>
              <w:rPr>
                <w:rFonts w:hint="default"/>
                <w:color w:val="000000" w:themeColor="text1"/>
                <w:highlight w:val="none"/>
                <w14:textFill>
                  <w14:solidFill>
                    <w14:schemeClr w14:val="tx1"/>
                  </w14:solidFill>
                </w14:textFill>
              </w:rPr>
              <w:t>园区规划发展定位符合性分析</w:t>
            </w:r>
          </w:p>
          <w:p w14:paraId="1736574C">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根据《昌吉高新技术产业开发区总体规划（2014-2030）》，</w:t>
            </w:r>
            <w:r>
              <w:rPr>
                <w:rFonts w:hint="default" w:ascii="Times New Roman" w:hAnsi="Times New Roman"/>
                <w:color w:val="000000" w:themeColor="text1"/>
                <w:highlight w:val="none"/>
                <w14:textFill>
                  <w14:solidFill>
                    <w14:schemeClr w14:val="tx1"/>
                  </w14:solidFill>
                </w14:textFill>
              </w:rPr>
              <w:t>园区发展定位：以装备制造业、新材料产业、生物科技和食品产业为主，配套现代服务业，将园区打造成全区重要先进制造业基地，昌吉州生产性服务业创新中心。园区划分为精细化工、工程机械装备制造业、综合产业园（管理服务、装备制造、建材加工）、新材料产业园（新型建材、节能环保材料）等分区。昌吉高新技术产业开发区构建以装备制造、生物制药、新材料、食品产业四大战略性新兴产业为主体，以新一代信息技术为新的经济增长点、以低碳节能产业为特色，以教育培训、现代物流、总部经济、安防监控服务、科技金融为主的现代服务业为配套的现代化高新技术产业园区。是新疆维吾尔自治区重要先进制造业基地，昌吉州生产性服务业创新中</w:t>
            </w:r>
            <w:r>
              <w:rPr>
                <w:rFonts w:hint="default"/>
                <w:color w:val="000000" w:themeColor="text1"/>
                <w:highlight w:val="none"/>
                <w14:textFill>
                  <w14:solidFill>
                    <w14:schemeClr w14:val="tx1"/>
                  </w14:solidFill>
                </w14:textFill>
              </w:rPr>
              <w:t>心。</w:t>
            </w:r>
          </w:p>
          <w:p w14:paraId="52540384">
            <w:pPr>
              <w:pStyle w:val="53"/>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本项目为</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eastAsia"/>
                <w:color w:val="000000" w:themeColor="text1"/>
                <w:highlight w:val="none"/>
                <w:lang w:val="en-US" w:eastAsia="zh-CN"/>
                <w14:textFill>
                  <w14:solidFill>
                    <w14:schemeClr w14:val="tx1"/>
                  </w14:solidFill>
                </w14:textFill>
              </w:rPr>
              <w:t>项目，位于</w:t>
            </w:r>
            <w:r>
              <w:rPr>
                <w:rFonts w:hint="default"/>
                <w:color w:val="000000" w:themeColor="text1"/>
                <w:highlight w:val="none"/>
                <w:lang w:val="en-US" w:eastAsia="zh-CN"/>
                <w14:textFill>
                  <w14:solidFill>
                    <w14:schemeClr w14:val="tx1"/>
                  </w14:solidFill>
                </w14:textFill>
              </w:rPr>
              <w:t>昌吉国家高新技术产业开发区</w:t>
            </w:r>
            <w:r>
              <w:rPr>
                <w:rFonts w:hint="eastAsia"/>
                <w:color w:val="000000" w:themeColor="text1"/>
                <w:highlight w:val="none"/>
                <w:lang w:val="en-US" w:eastAsia="zh-CN"/>
                <w14:textFill>
                  <w14:solidFill>
                    <w14:schemeClr w14:val="tx1"/>
                  </w14:solidFill>
                </w14:textFill>
              </w:rPr>
              <w:t>新材料产业园（主要定位于新型建材、节能环保材料）。项目分二期建设，一期建设一条废硅粉预处理生产线及附属设备，主要包括购置安装搅拌机、压滤机、静压机、摇床等设备，并设2座沉淀水池和1座清水池；二期建设一条废硅渣处理生产线，主要设备为破碎机、球磨机、分级机和浮选机，建成后一期年处理废硅粉12000吨，年产提纯后硅粉（含硅浓度98%）8000吨；二期年处理废硅渣15000吨，年产提纯后硅粉（含硅浓度80%）3000吨，属于制造业—废弃资源综合利用业中</w:t>
            </w:r>
            <w:r>
              <w:rPr>
                <w:rFonts w:hint="eastAsia"/>
                <w:color w:val="000000" w:themeColor="text1"/>
                <w:highlight w:val="none"/>
                <w14:textFill>
                  <w14:solidFill>
                    <w14:schemeClr w14:val="tx1"/>
                  </w14:solidFill>
                </w14:textFill>
              </w:rPr>
              <w:t>非金属废料和碎屑加工处理</w:t>
            </w:r>
            <w:r>
              <w:rPr>
                <w:rFonts w:hint="eastAsia"/>
                <w:color w:val="000000" w:themeColor="text1"/>
                <w:highlight w:val="none"/>
                <w:lang w:val="en-US" w:eastAsia="zh-CN"/>
                <w14:textFill>
                  <w14:solidFill>
                    <w14:schemeClr w14:val="tx1"/>
                  </w14:solidFill>
                </w14:textFill>
              </w:rPr>
              <w:t>类别，符合园区产业定位。</w:t>
            </w:r>
          </w:p>
          <w:p w14:paraId="54203933">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与《昌吉高新技术产业开发区总体规划（2014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2030年）环境影响报告书》及审查意见的符合性分析</w:t>
            </w:r>
          </w:p>
          <w:p w14:paraId="39EB155C">
            <w:pPr>
              <w:pStyle w:val="6"/>
              <w:ind w:left="0" w:leftChars="0" w:firstLine="0" w:firstLineChars="0"/>
              <w:jc w:val="center"/>
              <w:rPr>
                <w:rFonts w:hint="default" w:ascii="Times New Roman" w:hAnsi="Times New Roman" w:cs="Times New Roman"/>
                <w:b/>
                <w:bCs/>
                <w:color w:val="000000" w:themeColor="text1"/>
                <w:spacing w:val="0"/>
                <w:position w:val="0"/>
                <w:szCs w:val="21"/>
                <w:highlight w:val="none"/>
                <w14:textFill>
                  <w14:solidFill>
                    <w14:schemeClr w14:val="tx1"/>
                  </w14:solidFill>
                </w14:textFill>
              </w:rPr>
            </w:pPr>
            <w:r>
              <w:rPr>
                <w:rFonts w:hint="eastAsia"/>
                <w:b/>
                <w:bCs/>
                <w:color w:val="000000" w:themeColor="text1"/>
                <w:szCs w:val="28"/>
                <w:highlight w:val="none"/>
                <w14:textFill>
                  <w14:solidFill>
                    <w14:schemeClr w14:val="tx1"/>
                  </w14:solidFill>
                </w14:textFill>
              </w:rPr>
              <w:t>表1-1    项目与《昌吉高新技术产业开发区总体规划（2014</w:t>
            </w:r>
            <w:r>
              <w:rPr>
                <w:rFonts w:hint="eastAsia"/>
                <w:b/>
                <w:bCs/>
                <w:color w:val="000000" w:themeColor="text1"/>
                <w:szCs w:val="28"/>
                <w:highlight w:val="none"/>
                <w:lang w:eastAsia="zh-CN"/>
                <w14:textFill>
                  <w14:solidFill>
                    <w14:schemeClr w14:val="tx1"/>
                  </w14:solidFill>
                </w14:textFill>
              </w:rPr>
              <w:t>—</w:t>
            </w:r>
            <w:r>
              <w:rPr>
                <w:rFonts w:hint="eastAsia"/>
                <w:b/>
                <w:bCs/>
                <w:color w:val="000000" w:themeColor="text1"/>
                <w:szCs w:val="28"/>
                <w:highlight w:val="none"/>
                <w14:textFill>
                  <w14:solidFill>
                    <w14:schemeClr w14:val="tx1"/>
                  </w14:solidFill>
                </w14:textFill>
              </w:rPr>
              <w:t>2030年）环境影响报告书》及审查意见符合性分析一览表</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2822"/>
              <w:gridCol w:w="129"/>
              <w:gridCol w:w="3830"/>
              <w:gridCol w:w="375"/>
            </w:tblGrid>
            <w:tr w14:paraId="41D9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63ABC690">
                  <w:pPr>
                    <w:pStyle w:val="57"/>
                    <w:bidi w:val="0"/>
                    <w:rPr>
                      <w:rFonts w:hint="eastAsia" w:eastAsia="宋体"/>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序号</w:t>
                  </w:r>
                </w:p>
              </w:tc>
              <w:tc>
                <w:tcPr>
                  <w:tcW w:w="1861" w:type="pct"/>
                  <w:tcBorders>
                    <w:tl2br w:val="nil"/>
                    <w:tr2bl w:val="nil"/>
                  </w:tcBorders>
                  <w:noWrap w:val="0"/>
                  <w:vAlign w:val="center"/>
                </w:tcPr>
                <w:p w14:paraId="3950E37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2611" w:type="pct"/>
                  <w:gridSpan w:val="2"/>
                  <w:tcBorders>
                    <w:tl2br w:val="nil"/>
                    <w:tr2bl w:val="nil"/>
                  </w:tcBorders>
                  <w:noWrap w:val="0"/>
                  <w:vAlign w:val="center"/>
                </w:tcPr>
                <w:p w14:paraId="2F6F1FCC">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项目实际情况</w:t>
                  </w:r>
                </w:p>
              </w:tc>
              <w:tc>
                <w:tcPr>
                  <w:tcW w:w="247" w:type="pct"/>
                  <w:tcBorders>
                    <w:tl2br w:val="nil"/>
                    <w:tr2bl w:val="nil"/>
                  </w:tcBorders>
                  <w:noWrap w:val="0"/>
                  <w:vAlign w:val="center"/>
                </w:tcPr>
                <w:p w14:paraId="2575D0ED">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0B14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000" w:type="pct"/>
                  <w:gridSpan w:val="5"/>
                  <w:tcBorders>
                    <w:tl2br w:val="nil"/>
                    <w:tr2bl w:val="nil"/>
                  </w:tcBorders>
                  <w:noWrap w:val="0"/>
                  <w:vAlign w:val="center"/>
                </w:tcPr>
                <w:p w14:paraId="3637D5D2">
                  <w:pPr>
                    <w:pStyle w:val="57"/>
                    <w:bidi w:val="0"/>
                    <w:rPr>
                      <w:rFonts w:hint="default"/>
                      <w:b/>
                      <w:bCs/>
                      <w:color w:val="000000" w:themeColor="text1"/>
                      <w:sz w:val="21"/>
                      <w:szCs w:val="21"/>
                      <w:highlight w:val="none"/>
                      <w14:textFill>
                        <w14:solidFill>
                          <w14:schemeClr w14:val="tx1"/>
                        </w14:solidFill>
                      </w14:textFill>
                    </w:rPr>
                  </w:pPr>
                  <w:r>
                    <w:rPr>
                      <w:rFonts w:hint="default" w:ascii="Times New Roman" w:hAnsi="Times New Roman" w:eastAsia="宋体"/>
                      <w:b/>
                      <w:bCs/>
                      <w:color w:val="000000" w:themeColor="text1"/>
                      <w:sz w:val="21"/>
                      <w:szCs w:val="21"/>
                      <w:highlight w:val="none"/>
                      <w:lang w:eastAsia="zh-CN"/>
                      <w14:textFill>
                        <w14:solidFill>
                          <w14:schemeClr w14:val="tx1"/>
                        </w14:solidFill>
                      </w14:textFill>
                    </w:rPr>
                    <w:t>《昌吉高新技术产业开发区总体规划（</w:t>
                  </w:r>
                  <w:r>
                    <w:rPr>
                      <w:rFonts w:hint="default" w:ascii="Times New Roman" w:hAnsi="Times New Roman" w:eastAsia="宋体"/>
                      <w:b/>
                      <w:bCs/>
                      <w:color w:val="000000" w:themeColor="text1"/>
                      <w:sz w:val="21"/>
                      <w:szCs w:val="21"/>
                      <w:highlight w:val="none"/>
                      <w:lang w:val="en-US" w:eastAsia="zh-CN"/>
                      <w14:textFill>
                        <w14:solidFill>
                          <w14:schemeClr w14:val="tx1"/>
                        </w14:solidFill>
                      </w14:textFill>
                    </w:rPr>
                    <w:t>2014-2030年</w:t>
                  </w:r>
                  <w:r>
                    <w:rPr>
                      <w:rFonts w:hint="default" w:ascii="Times New Roman" w:hAnsi="Times New Roman" w:eastAsia="宋体"/>
                      <w:b/>
                      <w:bCs/>
                      <w:color w:val="000000" w:themeColor="text1"/>
                      <w:sz w:val="21"/>
                      <w:szCs w:val="21"/>
                      <w:highlight w:val="none"/>
                      <w:lang w:eastAsia="zh-CN"/>
                      <w14:textFill>
                        <w14:solidFill>
                          <w14:schemeClr w14:val="tx1"/>
                        </w14:solidFill>
                      </w14:textFill>
                    </w:rPr>
                    <w:t>）环境影响报告书》</w:t>
                  </w:r>
                </w:p>
              </w:tc>
            </w:tr>
            <w:tr w14:paraId="1CC0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061F2F6">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1</w:t>
                  </w:r>
                </w:p>
              </w:tc>
              <w:tc>
                <w:tcPr>
                  <w:tcW w:w="1861" w:type="pct"/>
                  <w:tcBorders>
                    <w:tl2br w:val="nil"/>
                    <w:tr2bl w:val="nil"/>
                  </w:tcBorders>
                  <w:shd w:val="clear" w:color="auto" w:fill="auto"/>
                  <w:noWrap w:val="0"/>
                  <w:vAlign w:val="center"/>
                </w:tcPr>
                <w:p w14:paraId="5F701D76">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大气环境影响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工业园区主要入驻企业污染物排放对评价区的SO</w:t>
                  </w:r>
                  <w:r>
                    <w:rPr>
                      <w:rFonts w:hint="default" w:ascii="Times New Roman" w:hAnsi="Times New Roman" w:eastAsia="宋体"/>
                      <w:color w:val="000000" w:themeColor="text1"/>
                      <w:sz w:val="21"/>
                      <w:szCs w:val="21"/>
                      <w:highlight w:val="none"/>
                      <w:vertAlign w:val="subscript"/>
                      <w:lang w:eastAsia="zh-CN"/>
                      <w14:textFill>
                        <w14:solidFill>
                          <w14:schemeClr w14:val="tx1"/>
                        </w14:solidFill>
                      </w14:textFill>
                    </w:rPr>
                    <w:t>2</w:t>
                  </w:r>
                  <w:r>
                    <w:rPr>
                      <w:rFonts w:hint="default" w:ascii="Times New Roman" w:hAnsi="Times New Roman" w:eastAsia="宋体"/>
                      <w:color w:val="000000" w:themeColor="text1"/>
                      <w:sz w:val="21"/>
                      <w:szCs w:val="21"/>
                      <w:highlight w:val="none"/>
                      <w:lang w:eastAsia="zh-CN"/>
                      <w14:textFill>
                        <w14:solidFill>
                          <w14:schemeClr w14:val="tx1"/>
                        </w14:solidFill>
                      </w14:textFill>
                    </w:rPr>
                    <w:t>、NOx、TSP浓度最大贡献值较低，主要污染物对评价区各敏感点环境空气质量产生影响较</w:t>
                  </w:r>
                  <w:r>
                    <w:rPr>
                      <w:rFonts w:hint="eastAsia"/>
                      <w:color w:val="000000" w:themeColor="text1"/>
                      <w:sz w:val="21"/>
                      <w:szCs w:val="21"/>
                      <w:highlight w:val="none"/>
                      <w:lang w:eastAsia="zh-CN"/>
                      <w14:textFill>
                        <w14:solidFill>
                          <w14:schemeClr w14:val="tx1"/>
                        </w14:solidFill>
                      </w14:textFill>
                    </w:rPr>
                    <w:t>小</w:t>
                  </w:r>
                  <w:r>
                    <w:rPr>
                      <w:rFonts w:hint="default" w:ascii="Times New Roman" w:hAnsi="Times New Roman" w:eastAsia="宋体"/>
                      <w:color w:val="000000" w:themeColor="text1"/>
                      <w:sz w:val="21"/>
                      <w:szCs w:val="21"/>
                      <w:highlight w:val="none"/>
                      <w:lang w:eastAsia="zh-CN"/>
                      <w14:textFill>
                        <w14:solidFill>
                          <w14:schemeClr w14:val="tx1"/>
                        </w14:solidFill>
                      </w14:textFill>
                    </w:rPr>
                    <w:t>。园区规划期环境影响是可以接受的。</w:t>
                  </w:r>
                </w:p>
              </w:tc>
              <w:tc>
                <w:tcPr>
                  <w:tcW w:w="2611" w:type="pct"/>
                  <w:gridSpan w:val="2"/>
                  <w:tcBorders>
                    <w:tl2br w:val="nil"/>
                    <w:tr2bl w:val="nil"/>
                  </w:tcBorders>
                  <w:noWrap w:val="0"/>
                  <w:vAlign w:val="center"/>
                </w:tcPr>
                <w:p w14:paraId="1265B486">
                  <w:pPr>
                    <w:pStyle w:val="57"/>
                    <w:bidi w:val="0"/>
                    <w:jc w:val="both"/>
                    <w:rPr>
                      <w:rFonts w:hint="default" w:ascii="Times New Roman" w:hAnsi="Times New Roman" w:eastAsia="宋体"/>
                      <w:color w:val="000000" w:themeColor="text1"/>
                      <w:sz w:val="21"/>
                      <w:szCs w:val="21"/>
                      <w:highlight w:val="none"/>
                      <w:lang w:eastAsia="zh-CN"/>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本项目位于昌吉国家高新技术产业开发区</w:t>
                  </w:r>
                  <w:r>
                    <w:rPr>
                      <w:rFonts w:hint="eastAsia"/>
                      <w:color w:val="000000" w:themeColor="text1"/>
                      <w:sz w:val="21"/>
                      <w:szCs w:val="21"/>
                      <w:highlight w:val="none"/>
                      <w:lang w:val="en-US" w:eastAsia="zh-CN"/>
                      <w14:textFill>
                        <w14:solidFill>
                          <w14:schemeClr w14:val="tx1"/>
                        </w14:solidFill>
                      </w14:textFill>
                    </w:rPr>
                    <w:t>新材料产业园</w:t>
                  </w:r>
                  <w:r>
                    <w:rPr>
                      <w:rFonts w:hint="default" w:eastAsia="宋体"/>
                      <w:color w:val="000000" w:themeColor="text1"/>
                      <w:sz w:val="21"/>
                      <w:szCs w:val="21"/>
                      <w:highlight w:val="none"/>
                      <w:lang w:val="en-US" w:eastAsia="zh-CN"/>
                      <w14:textFill>
                        <w14:solidFill>
                          <w14:schemeClr w14:val="tx1"/>
                        </w14:solidFill>
                      </w14:textFill>
                    </w:rPr>
                    <w:t>（主要定位于新型建材</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、节能环保材料）</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本项目一期工程</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酸洗废气、盐酸储罐大、小呼吸废气与预搅拌工序搅拌粉尘经集气罩收集后</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通入碱法喷淋塔经15m高排气筒（DA001）</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；醇基锅炉废气采用低氮燃烧器</w:t>
                  </w:r>
                  <w:r>
                    <w:rPr>
                      <w:rFonts w:hint="eastAsia" w:cs="Times New Roman"/>
                      <w:color w:val="000000" w:themeColor="text1"/>
                      <w:w w:val="100"/>
                      <w:position w:val="0"/>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经15m高排气筒（DA00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；原料堆场与装卸扬尘采用</w:t>
                  </w:r>
                  <w:r>
                    <w:rPr>
                      <w:rFonts w:hint="eastAsia" w:cs="Times New Roman"/>
                      <w:color w:val="000000" w:themeColor="text1"/>
                      <w:w w:val="100"/>
                      <w:position w:val="0"/>
                      <w:sz w:val="21"/>
                      <w:szCs w:val="21"/>
                      <w:highlight w:val="none"/>
                      <w:lang w:val="en-US" w:eastAsia="zh-CN"/>
                      <w14:textFill>
                        <w14:solidFill>
                          <w14:schemeClr w14:val="tx1"/>
                        </w14:solidFill>
                      </w14:textFill>
                    </w:rPr>
                    <w:t>全封闭式并在装卸处进行洒水降尘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的降尘措施</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；烘干废气采用集气罩+袋式除尘+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二期工程</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破碎、球磨工序产生的</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粉尘采用集气罩+袋式除尘+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原料堆场与装卸扬尘采用</w:t>
                  </w:r>
                  <w:r>
                    <w:rPr>
                      <w:rFonts w:hint="eastAsia" w:cs="Times New Roman"/>
                      <w:color w:val="000000" w:themeColor="text1"/>
                      <w:w w:val="100"/>
                      <w:position w:val="0"/>
                      <w:sz w:val="21"/>
                      <w:szCs w:val="21"/>
                      <w:highlight w:val="none"/>
                      <w:lang w:val="en-US" w:eastAsia="zh-CN"/>
                      <w14:textFill>
                        <w14:solidFill>
                          <w14:schemeClr w14:val="tx1"/>
                        </w14:solidFill>
                      </w14:textFill>
                    </w:rPr>
                    <w:t>全封闭式并在装卸处进行洒水降尘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的降尘措施</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；烘干废气采用集气罩+袋式除尘+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cs="Times New Roman"/>
                      <w:color w:val="000000" w:themeColor="text1"/>
                      <w:w w:val="100"/>
                      <w:position w:val="0"/>
                      <w:sz w:val="21"/>
                      <w:szCs w:val="21"/>
                      <w:highlight w:val="none"/>
                      <w:lang w:val="en-US" w:eastAsia="zh-CN"/>
                      <w14:textFill>
                        <w14:solidFill>
                          <w14:schemeClr w14:val="tx1"/>
                        </w14:solidFill>
                      </w14:textFill>
                    </w:rPr>
                    <w:t>。经过上述废气治理措施后废气均可达标排放</w:t>
                  </w:r>
                  <w:r>
                    <w:rPr>
                      <w:rFonts w:hint="eastAsia"/>
                      <w:color w:val="000000" w:themeColor="text1"/>
                      <w:sz w:val="21"/>
                      <w:szCs w:val="21"/>
                      <w:highlight w:val="none"/>
                      <w:lang w:val="en-US" w:eastAsia="zh-CN"/>
                      <w14:textFill>
                        <w14:solidFill>
                          <w14:schemeClr w14:val="tx1"/>
                        </w14:solidFill>
                      </w14:textFill>
                    </w:rPr>
                    <w:t>。</w:t>
                  </w:r>
                </w:p>
              </w:tc>
              <w:tc>
                <w:tcPr>
                  <w:tcW w:w="247" w:type="pct"/>
                  <w:tcBorders>
                    <w:tl2br w:val="nil"/>
                    <w:tr2bl w:val="nil"/>
                  </w:tcBorders>
                  <w:noWrap w:val="0"/>
                  <w:vAlign w:val="center"/>
                </w:tcPr>
                <w:p w14:paraId="711FF2CA">
                  <w:pPr>
                    <w:pStyle w:val="57"/>
                    <w:bidi w:val="0"/>
                    <w:jc w:val="both"/>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230B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11785222">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2</w:t>
                  </w:r>
                </w:p>
              </w:tc>
              <w:tc>
                <w:tcPr>
                  <w:tcW w:w="1861" w:type="pct"/>
                  <w:tcBorders>
                    <w:tl2br w:val="nil"/>
                    <w:tr2bl w:val="nil"/>
                  </w:tcBorders>
                  <w:shd w:val="clear" w:color="auto" w:fill="auto"/>
                  <w:noWrap w:val="0"/>
                  <w:vAlign w:val="center"/>
                </w:tcPr>
                <w:p w14:paraId="3E2ACD52">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水环境影响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依据《新疆维吾尔自治区地下水资源管理条例》和《昌吉市落实井电双控控制取用地下水实施方案》（昌市政办发〔2014〕66号）“除了生活饮用水以外，禁止任何形式的新增取用地下水，确保地下水开采量只减不增”，环评建议：高新区近期应加快落实三屯河地表水作为主要供水水源，辅助开采区域潜水和浅层承压水作为备用水源，远期应争取加大三屯河地表水供给量和采用大流域调水，保障园区用水需求。落实区域地下水总量控制和水位控制的“双控”措施，保证区域水资源采补平衡，并强化水资源管理，按照区域水资源规划在近期园区供水水源采用地表水的基础上，会对园区企业排放废水先经企业自行处理达到《污水综合排放标准》三级标准后排入园区排水管道，最后进入园区污水处理厂，出水水质达到《城镇污水处理厂污染物排放标准》（GB18918-2002）一级B标准，符合《城市杂用水水质标准（绿化）》（GB/T 18920-2002），在园区作为防护林绿化用水使用后，多余废水排放至50公里外的荒漠区作为生态恢复用水，在保证污水处理厂处理达标排放情况下，对荒漠区的生态恢复将产生积极影响。</w:t>
                  </w:r>
                </w:p>
              </w:tc>
              <w:tc>
                <w:tcPr>
                  <w:tcW w:w="2611" w:type="pct"/>
                  <w:gridSpan w:val="2"/>
                  <w:tcBorders>
                    <w:tl2br w:val="nil"/>
                    <w:tr2bl w:val="nil"/>
                  </w:tcBorders>
                  <w:noWrap w:val="0"/>
                  <w:vAlign w:val="center"/>
                </w:tcPr>
                <w:p w14:paraId="6FFB8E8E">
                  <w:pPr>
                    <w:pStyle w:val="57"/>
                    <w:bidi w:val="0"/>
                    <w:jc w:val="both"/>
                    <w:rPr>
                      <w:rFonts w:hint="default" w:ascii="Times New Roman" w:hAnsi="Times New Roman" w:eastAsia="宋体"/>
                      <w:color w:val="000000" w:themeColor="text1"/>
                      <w:sz w:val="21"/>
                      <w:szCs w:val="21"/>
                      <w:highlight w:val="none"/>
                      <w:lang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运营期产生的</w:t>
                  </w:r>
                  <w:r>
                    <w:rPr>
                      <w:rFonts w:hint="eastAsia"/>
                      <w:color w:val="000000" w:themeColor="text1"/>
                      <w:sz w:val="21"/>
                      <w:szCs w:val="21"/>
                      <w:highlight w:val="none"/>
                      <w:lang w:val="en-US" w:eastAsia="zh-CN"/>
                      <w14:textFill>
                        <w14:solidFill>
                          <w14:schemeClr w14:val="tx1"/>
                        </w14:solidFill>
                      </w14:textFill>
                    </w:rPr>
                    <w:t>锅炉排污水（锅炉排污水+软化处理废水）经</w:t>
                  </w:r>
                  <w:r>
                    <w:rPr>
                      <w:rFonts w:hint="default"/>
                      <w:color w:val="000000" w:themeColor="text1"/>
                      <w:sz w:val="21"/>
                      <w:szCs w:val="21"/>
                      <w:highlight w:val="none"/>
                      <w:lang w:val="en-US" w:eastAsia="zh-CN"/>
                      <w14:textFill>
                        <w14:solidFill>
                          <w14:schemeClr w14:val="tx1"/>
                        </w14:solidFill>
                      </w14:textFill>
                    </w:rPr>
                    <w:t>园区</w:t>
                  </w:r>
                  <w:r>
                    <w:rPr>
                      <w:rFonts w:hint="eastAsia"/>
                      <w:color w:val="000000" w:themeColor="text1"/>
                      <w:sz w:val="21"/>
                      <w:szCs w:val="21"/>
                      <w:highlight w:val="none"/>
                      <w:lang w:val="en-US" w:eastAsia="zh-CN"/>
                      <w14:textFill>
                        <w14:solidFill>
                          <w14:schemeClr w14:val="tx1"/>
                        </w14:solidFill>
                      </w14:textFill>
                    </w:rPr>
                    <w:t>污</w:t>
                  </w:r>
                  <w:r>
                    <w:rPr>
                      <w:rFonts w:hint="default"/>
                      <w:color w:val="000000" w:themeColor="text1"/>
                      <w:sz w:val="21"/>
                      <w:szCs w:val="21"/>
                      <w:highlight w:val="none"/>
                      <w:lang w:val="en-US" w:eastAsia="zh-CN"/>
                      <w14:textFill>
                        <w14:solidFill>
                          <w14:schemeClr w14:val="tx1"/>
                        </w14:solidFill>
                      </w14:textFill>
                    </w:rPr>
                    <w:t>水管网，最终</w:t>
                  </w:r>
                  <w:r>
                    <w:rPr>
                      <w:rFonts w:hint="eastAsia"/>
                      <w:color w:val="000000" w:themeColor="text1"/>
                      <w:sz w:val="21"/>
                      <w:szCs w:val="21"/>
                      <w:highlight w:val="none"/>
                      <w:lang w:val="en-US" w:eastAsia="zh-CN"/>
                      <w14:textFill>
                        <w14:solidFill>
                          <w14:schemeClr w14:val="tx1"/>
                        </w14:solidFill>
                      </w14:textFill>
                    </w:rPr>
                    <w:t>排入昌吉高新海天污水处理厂</w:t>
                  </w:r>
                  <w:r>
                    <w:rPr>
                      <w:rFonts w:hint="default"/>
                      <w:color w:val="000000" w:themeColor="text1"/>
                      <w:sz w:val="21"/>
                      <w:szCs w:val="21"/>
                      <w:highlight w:val="none"/>
                      <w:lang w:val="en-US" w:eastAsia="zh-CN"/>
                      <w14:textFill>
                        <w14:solidFill>
                          <w14:schemeClr w14:val="tx1"/>
                        </w14:solidFill>
                      </w14:textFill>
                    </w:rPr>
                    <w:t>处理。</w:t>
                  </w:r>
                  <w:r>
                    <w:rPr>
                      <w:rFonts w:hint="eastAsia"/>
                      <w:color w:val="000000" w:themeColor="text1"/>
                      <w:sz w:val="21"/>
                      <w:szCs w:val="21"/>
                      <w:highlight w:val="none"/>
                      <w:lang w:val="en-US" w:eastAsia="zh-CN"/>
                      <w14:textFill>
                        <w14:solidFill>
                          <w14:schemeClr w14:val="tx1"/>
                        </w14:solidFill>
                      </w14:textFill>
                    </w:rPr>
                    <w:t>其余生产废水循环使用不外排。</w:t>
                  </w:r>
                </w:p>
              </w:tc>
              <w:tc>
                <w:tcPr>
                  <w:tcW w:w="247" w:type="pct"/>
                  <w:tcBorders>
                    <w:tl2br w:val="nil"/>
                    <w:tr2bl w:val="nil"/>
                  </w:tcBorders>
                  <w:noWrap w:val="0"/>
                  <w:vAlign w:val="center"/>
                </w:tcPr>
                <w:p w14:paraId="4011DAF1">
                  <w:pPr>
                    <w:pStyle w:val="57"/>
                    <w:bidi w:val="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19B0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ED8C9A5">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3</w:t>
                  </w:r>
                </w:p>
              </w:tc>
              <w:tc>
                <w:tcPr>
                  <w:tcW w:w="1861" w:type="pct"/>
                  <w:tcBorders>
                    <w:tl2br w:val="nil"/>
                    <w:tr2bl w:val="nil"/>
                  </w:tcBorders>
                  <w:shd w:val="clear" w:color="auto" w:fill="auto"/>
                  <w:noWrap w:val="0"/>
                  <w:vAlign w:val="center"/>
                </w:tcPr>
                <w:p w14:paraId="038291A4">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声环境影响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工业园区声环境现状符合《声环境质量标准》（GB3096-2008）中的相应标准。随着工业园区的建设，一些隔音降噪措施采用后区域声环境质量状况亦能够满足GB3096-2008中的相应标准要求。同时工业园区道路两侧、边界都设置了较宽的绿化带，可有效降低噪声的影响，保障区域声环境质量满足功能区划的要求。</w:t>
                  </w:r>
                </w:p>
              </w:tc>
              <w:tc>
                <w:tcPr>
                  <w:tcW w:w="2611" w:type="pct"/>
                  <w:gridSpan w:val="2"/>
                  <w:tcBorders>
                    <w:tl2br w:val="nil"/>
                    <w:tr2bl w:val="nil"/>
                  </w:tcBorders>
                  <w:noWrap w:val="0"/>
                  <w:vAlign w:val="center"/>
                </w:tcPr>
                <w:p w14:paraId="60FF521D">
                  <w:pPr>
                    <w:pStyle w:val="57"/>
                    <w:bidi w:val="0"/>
                    <w:jc w:val="both"/>
                    <w:rPr>
                      <w:rFonts w:hint="default" w:ascii="Times New Roman" w:hAnsi="Times New Roman" w:eastAsia="宋体"/>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本项目噪声措施采取；</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设备加装减震垫、在厂区入口设置“减速慢行”，“禁止鸣笛”等标识牌，加强设备维护保养，安装隔声门窗</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可有效降低噪声的影响，保障区域声环境质量满足功能区划的要求</w:t>
                  </w:r>
                  <w:r>
                    <w:rPr>
                      <w:rFonts w:hint="eastAsia" w:ascii="Times New Roman" w:hAnsi="Times New Roman" w:eastAsia="宋体"/>
                      <w:color w:val="000000" w:themeColor="text1"/>
                      <w:sz w:val="21"/>
                      <w:szCs w:val="21"/>
                      <w:highlight w:val="none"/>
                      <w:lang w:eastAsia="zh-CN"/>
                      <w14:textFill>
                        <w14:solidFill>
                          <w14:schemeClr w14:val="tx1"/>
                        </w14:solidFill>
                      </w14:textFill>
                    </w:rPr>
                    <w:t>。</w:t>
                  </w:r>
                </w:p>
              </w:tc>
              <w:tc>
                <w:tcPr>
                  <w:tcW w:w="247" w:type="pct"/>
                  <w:tcBorders>
                    <w:tl2br w:val="nil"/>
                    <w:tr2bl w:val="nil"/>
                  </w:tcBorders>
                  <w:noWrap w:val="0"/>
                  <w:vAlign w:val="center"/>
                </w:tcPr>
                <w:p w14:paraId="4960AE62">
                  <w:pPr>
                    <w:pStyle w:val="57"/>
                    <w:bidi w:val="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1171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408334B4">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4</w:t>
                  </w:r>
                </w:p>
              </w:tc>
              <w:tc>
                <w:tcPr>
                  <w:tcW w:w="1861" w:type="pct"/>
                  <w:tcBorders>
                    <w:tl2br w:val="nil"/>
                    <w:tr2bl w:val="nil"/>
                  </w:tcBorders>
                  <w:shd w:val="clear" w:color="auto" w:fill="auto"/>
                  <w:noWrap w:val="0"/>
                  <w:vAlign w:val="center"/>
                </w:tcPr>
                <w:p w14:paraId="15B5CD30">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固体废弃物环境影响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：工业区固废收集、处置系统建成后，生活垃圾、工业固体废物可实现及时清运、填埋。</w:t>
                  </w:r>
                </w:p>
              </w:tc>
              <w:tc>
                <w:tcPr>
                  <w:tcW w:w="2611" w:type="pct"/>
                  <w:gridSpan w:val="2"/>
                  <w:tcBorders>
                    <w:tl2br w:val="nil"/>
                    <w:tr2bl w:val="nil"/>
                  </w:tcBorders>
                  <w:noWrap w:val="0"/>
                  <w:vAlign w:val="center"/>
                </w:tcPr>
                <w:p w14:paraId="28DB4A74">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28CED8C7">
                  <w:pPr>
                    <w:pStyle w:val="57"/>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w:t>
                  </w:r>
                  <w:r>
                    <w:rPr>
                      <w:rFonts w:hint="eastAsia"/>
                      <w:color w:val="000000" w:themeColor="text1"/>
                      <w:highlight w:val="none"/>
                      <w:lang w:val="en-US" w:eastAsia="zh-CN"/>
                      <w14:textFill>
                        <w14:solidFill>
                          <w14:schemeClr w14:val="tx1"/>
                        </w14:solidFill>
                      </w14:textFill>
                    </w:rPr>
                    <w:t>用专用收集桶收集后暂存于危废贮存点，收集桶下方设置托盘，托盘容积需大于废碱液容积，定期交由有资质的单位进行处置</w:t>
                  </w:r>
                </w:p>
                <w:p w14:paraId="5F951689">
                  <w:pPr>
                    <w:pStyle w:val="57"/>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128E4418">
                  <w:pPr>
                    <w:pStyle w:val="57"/>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247" w:type="pct"/>
                  <w:tcBorders>
                    <w:tl2br w:val="nil"/>
                    <w:tr2bl w:val="nil"/>
                  </w:tcBorders>
                  <w:noWrap w:val="0"/>
                  <w:vAlign w:val="center"/>
                </w:tcPr>
                <w:p w14:paraId="66F62844">
                  <w:pPr>
                    <w:pStyle w:val="57"/>
                    <w:bidi w:val="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2A1A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755B9F4E">
                  <w:pPr>
                    <w:pStyle w:val="57"/>
                    <w:bidi w:val="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《昌吉高新技术产业开发区总体规划（2014-2030年）环境影响报告书》</w:t>
                  </w:r>
                </w:p>
                <w:p w14:paraId="18CEDA89">
                  <w:pPr>
                    <w:pStyle w:val="57"/>
                    <w:bidi w:val="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审查意见</w:t>
                  </w:r>
                </w:p>
              </w:tc>
            </w:tr>
            <w:tr w14:paraId="3BC0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4D96BCB1">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1946" w:type="pct"/>
                  <w:gridSpan w:val="2"/>
                  <w:tcBorders>
                    <w:tl2br w:val="nil"/>
                    <w:tr2bl w:val="nil"/>
                  </w:tcBorders>
                  <w:noWrap w:val="0"/>
                  <w:vAlign w:val="center"/>
                </w:tcPr>
                <w:p w14:paraId="642AB7AB">
                  <w:pPr>
                    <w:pStyle w:val="57"/>
                    <w:bidi w:val="0"/>
                    <w:jc w:val="both"/>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t>园区发展定位</w:t>
                  </w:r>
                  <w:r>
                    <w:rPr>
                      <w:rFonts w:hint="eastAsia"/>
                      <w:color w:val="000000" w:themeColor="text1"/>
                      <w:sz w:val="21"/>
                      <w:szCs w:val="21"/>
                      <w:highlight w:val="none"/>
                      <w:lang w:eastAsia="zh-CN"/>
                      <w14:textFill>
                        <w14:solidFill>
                          <w14:schemeClr w14:val="tx1"/>
                        </w14:solidFill>
                      </w14:textFill>
                    </w:rPr>
                    <w:t>：</w:t>
                  </w:r>
                  <w:r>
                    <w:rPr>
                      <w:rFonts w:hint="eastAsia" w:eastAsia="宋体"/>
                      <w:color w:val="000000" w:themeColor="text1"/>
                      <w:sz w:val="21"/>
                      <w:szCs w:val="21"/>
                      <w:highlight w:val="none"/>
                      <w:lang w:eastAsia="zh-CN"/>
                      <w14:textFill>
                        <w14:solidFill>
                          <w14:schemeClr w14:val="tx1"/>
                        </w14:solidFill>
                      </w14:textFill>
                    </w:rPr>
                    <w:t>以装备制造业、新材料产业、生物科技和食品产业为主，配套现代服务业，将</w:t>
                  </w:r>
                  <w:r>
                    <w:rPr>
                      <w:rFonts w:hint="eastAsia"/>
                      <w:color w:val="000000" w:themeColor="text1"/>
                      <w:sz w:val="21"/>
                      <w:szCs w:val="21"/>
                      <w:highlight w:val="none"/>
                      <w:lang w:val="en-US" w:eastAsia="zh-CN"/>
                      <w14:textFill>
                        <w14:solidFill>
                          <w14:schemeClr w14:val="tx1"/>
                        </w14:solidFill>
                      </w14:textFill>
                    </w:rPr>
                    <w:t>园</w:t>
                  </w:r>
                  <w:r>
                    <w:rPr>
                      <w:rFonts w:hint="eastAsia" w:eastAsia="宋体"/>
                      <w:color w:val="000000" w:themeColor="text1"/>
                      <w:sz w:val="21"/>
                      <w:szCs w:val="21"/>
                      <w:highlight w:val="none"/>
                      <w:lang w:eastAsia="zh-CN"/>
                      <w14:textFill>
                        <w14:solidFill>
                          <w14:schemeClr w14:val="tx1"/>
                        </w14:solidFill>
                      </w14:textFill>
                    </w:rPr>
                    <w:t>区打造成为全区重要先进制造业基地，昌吉州生产性服务业创新中心。</w:t>
                  </w:r>
                </w:p>
              </w:tc>
              <w:tc>
                <w:tcPr>
                  <w:tcW w:w="2526" w:type="pct"/>
                  <w:tcBorders>
                    <w:tl2br w:val="nil"/>
                    <w:tr2bl w:val="nil"/>
                  </w:tcBorders>
                  <w:noWrap w:val="0"/>
                  <w:vAlign w:val="center"/>
                </w:tcPr>
                <w:p w14:paraId="25985015">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本项目位于昌吉国家高新技术产业开发区</w:t>
                  </w:r>
                  <w:r>
                    <w:rPr>
                      <w:rFonts w:hint="eastAsia"/>
                      <w:color w:val="000000" w:themeColor="text1"/>
                      <w:sz w:val="21"/>
                      <w:szCs w:val="21"/>
                      <w:highlight w:val="none"/>
                      <w:lang w:val="en-US" w:eastAsia="zh-CN"/>
                      <w14:textFill>
                        <w14:solidFill>
                          <w14:schemeClr w14:val="tx1"/>
                        </w14:solidFill>
                      </w14:textFill>
                    </w:rPr>
                    <w:t>新材料产业园</w:t>
                  </w:r>
                  <w:r>
                    <w:rPr>
                      <w:rFonts w:hint="default" w:eastAsia="宋体"/>
                      <w:color w:val="000000" w:themeColor="text1"/>
                      <w:sz w:val="21"/>
                      <w:szCs w:val="21"/>
                      <w:highlight w:val="none"/>
                      <w:lang w:val="en-US" w:eastAsia="zh-CN"/>
                      <w14:textFill>
                        <w14:solidFill>
                          <w14:schemeClr w14:val="tx1"/>
                        </w14:solidFill>
                      </w14:textFill>
                    </w:rPr>
                    <w:t>（主要定位于新型建材、节能环保材料）</w:t>
                  </w:r>
                  <w:r>
                    <w:rPr>
                      <w:rFonts w:hint="eastAsia"/>
                      <w:color w:val="000000" w:themeColor="text1"/>
                      <w:sz w:val="21"/>
                      <w:szCs w:val="21"/>
                      <w:highlight w:val="none"/>
                      <w:lang w:val="en-US" w:eastAsia="zh-CN"/>
                      <w14:textFill>
                        <w14:solidFill>
                          <w14:schemeClr w14:val="tx1"/>
                        </w14:solidFill>
                      </w14:textFill>
                    </w:rPr>
                    <w:t>，符合园区产业定位。</w:t>
                  </w:r>
                </w:p>
              </w:tc>
              <w:tc>
                <w:tcPr>
                  <w:tcW w:w="247" w:type="pct"/>
                  <w:tcBorders>
                    <w:tl2br w:val="nil"/>
                    <w:tr2bl w:val="nil"/>
                  </w:tcBorders>
                  <w:noWrap w:val="0"/>
                  <w:vAlign w:val="center"/>
                </w:tcPr>
                <w:p w14:paraId="1233384E">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6779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4BFA3352">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1946" w:type="pct"/>
                  <w:gridSpan w:val="2"/>
                  <w:tcBorders>
                    <w:tl2br w:val="nil"/>
                    <w:tr2bl w:val="nil"/>
                  </w:tcBorders>
                  <w:noWrap w:val="0"/>
                  <w:vAlign w:val="center"/>
                </w:tcPr>
                <w:p w14:paraId="37667D1F">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调整园区产业类型，禁止发展高耗水、环境影响较大的行业</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调整园区内用地方案，在一类工业用地布设的三类企业应限期搬迁</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合理规划集中供热规模和选址。</w:t>
                  </w:r>
                </w:p>
              </w:tc>
              <w:tc>
                <w:tcPr>
                  <w:tcW w:w="2526" w:type="pct"/>
                  <w:tcBorders>
                    <w:tl2br w:val="nil"/>
                    <w:tr2bl w:val="nil"/>
                  </w:tcBorders>
                  <w:noWrap w:val="0"/>
                  <w:vAlign w:val="center"/>
                </w:tcPr>
                <w:p w14:paraId="53385F4D">
                  <w:pPr>
                    <w:pStyle w:val="57"/>
                    <w:bidi w:val="0"/>
                    <w:jc w:val="both"/>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本项目不属于</w:t>
                  </w:r>
                  <w:r>
                    <w:rPr>
                      <w:rFonts w:hint="default"/>
                      <w:color w:val="000000" w:themeColor="text1"/>
                      <w:sz w:val="21"/>
                      <w:szCs w:val="21"/>
                      <w:highlight w:val="none"/>
                      <w14:textFill>
                        <w14:solidFill>
                          <w14:schemeClr w14:val="tx1"/>
                        </w14:solidFill>
                      </w14:textFill>
                    </w:rPr>
                    <w:t>高耗</w:t>
                  </w:r>
                  <w:r>
                    <w:rPr>
                      <w:rFonts w:hint="default"/>
                      <w:color w:val="000000" w:themeColor="text1"/>
                      <w:sz w:val="21"/>
                      <w:szCs w:val="21"/>
                      <w:highlight w:val="none"/>
                      <w:lang w:val="en-US" w:eastAsia="zh-CN"/>
                      <w14:textFill>
                        <w14:solidFill>
                          <w14:schemeClr w14:val="tx1"/>
                        </w14:solidFill>
                      </w14:textFill>
                    </w:rPr>
                    <w:t>水、环境影响较大的行业</w:t>
                  </w:r>
                  <w:r>
                    <w:rPr>
                      <w:rFonts w:hint="eastAsia"/>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lang w:val="en-US" w:eastAsia="zh-CN"/>
                      <w14:textFill>
                        <w14:solidFill>
                          <w14:schemeClr w14:val="tx1"/>
                        </w14:solidFill>
                      </w14:textFill>
                    </w:rPr>
                    <w:t>用地属于昌吉高新技术产业开发区现规划的工业用地</w:t>
                  </w:r>
                  <w:r>
                    <w:rPr>
                      <w:rFonts w:hint="eastAsia"/>
                      <w:color w:val="000000" w:themeColor="text1"/>
                      <w:sz w:val="21"/>
                      <w:szCs w:val="21"/>
                      <w:highlight w:val="none"/>
                      <w:lang w:val="en-US" w:eastAsia="zh-CN"/>
                      <w14:textFill>
                        <w14:solidFill>
                          <w14:schemeClr w14:val="tx1"/>
                        </w14:solidFill>
                      </w14:textFill>
                    </w:rPr>
                    <w:t>。</w:t>
                  </w:r>
                </w:p>
              </w:tc>
              <w:tc>
                <w:tcPr>
                  <w:tcW w:w="247" w:type="pct"/>
                  <w:tcBorders>
                    <w:tl2br w:val="nil"/>
                    <w:tr2bl w:val="nil"/>
                  </w:tcBorders>
                  <w:noWrap w:val="0"/>
                  <w:vAlign w:val="center"/>
                </w:tcPr>
                <w:p w14:paraId="49FA0A5C">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3DEC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17F93CD5">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w:t>
                  </w:r>
                </w:p>
              </w:tc>
              <w:tc>
                <w:tcPr>
                  <w:tcW w:w="1946" w:type="pct"/>
                  <w:gridSpan w:val="2"/>
                  <w:tcBorders>
                    <w:tl2br w:val="nil"/>
                    <w:tr2bl w:val="nil"/>
                  </w:tcBorders>
                  <w:noWrap w:val="0"/>
                  <w:vAlign w:val="center"/>
                </w:tcPr>
                <w:p w14:paraId="0D4411FF">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坚持实行入园企业环保准入审核制度，与产业定位方向不符的项目一律不得入园，对于入园的建设项目必须开展</w:t>
                  </w:r>
                  <w:r>
                    <w:rPr>
                      <w:rFonts w:hint="eastAsia"/>
                      <w:color w:val="000000" w:themeColor="text1"/>
                      <w:sz w:val="21"/>
                      <w:szCs w:val="21"/>
                      <w:highlight w:val="none"/>
                      <w:lang w:val="en-US" w:eastAsia="zh-CN"/>
                      <w14:textFill>
                        <w14:solidFill>
                          <w14:schemeClr w14:val="tx1"/>
                        </w14:solidFill>
                      </w14:textFill>
                    </w:rPr>
                    <w:t>建设</w:t>
                  </w:r>
                  <w:r>
                    <w:rPr>
                      <w:rFonts w:hint="default"/>
                      <w:color w:val="000000" w:themeColor="text1"/>
                      <w:sz w:val="21"/>
                      <w:szCs w:val="21"/>
                      <w:highlight w:val="none"/>
                      <w14:textFill>
                        <w14:solidFill>
                          <w14:schemeClr w14:val="tx1"/>
                        </w14:solidFill>
                      </w14:textFill>
                    </w:rPr>
                    <w:t>项目环境影响评价，并严格执行建设项目“三同时”环境管理制度。</w:t>
                  </w:r>
                </w:p>
              </w:tc>
              <w:tc>
                <w:tcPr>
                  <w:tcW w:w="2526" w:type="pct"/>
                  <w:tcBorders>
                    <w:tl2br w:val="nil"/>
                    <w:tr2bl w:val="nil"/>
                  </w:tcBorders>
                  <w:noWrap w:val="0"/>
                  <w:vAlign w:val="center"/>
                </w:tcPr>
                <w:p w14:paraId="3758BD84">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本项目为扩建项目，</w:t>
                  </w:r>
                  <w:r>
                    <w:rPr>
                      <w:rFonts w:hint="default" w:eastAsia="宋体"/>
                      <w:color w:val="000000" w:themeColor="text1"/>
                      <w:sz w:val="21"/>
                      <w:szCs w:val="21"/>
                      <w:highlight w:val="none"/>
                      <w:lang w:val="en-US" w:eastAsia="zh-CN"/>
                      <w14:textFill>
                        <w14:solidFill>
                          <w14:schemeClr w14:val="tx1"/>
                        </w14:solidFill>
                      </w14:textFill>
                    </w:rPr>
                    <w:t>位于昌吉国家高新技术产业开发区</w:t>
                  </w:r>
                  <w:r>
                    <w:rPr>
                      <w:rFonts w:hint="eastAsia"/>
                      <w:color w:val="000000" w:themeColor="text1"/>
                      <w:sz w:val="21"/>
                      <w:szCs w:val="21"/>
                      <w:highlight w:val="none"/>
                      <w:lang w:val="en-US" w:eastAsia="zh-CN"/>
                      <w14:textFill>
                        <w14:solidFill>
                          <w14:schemeClr w14:val="tx1"/>
                        </w14:solidFill>
                      </w14:textFill>
                    </w:rPr>
                    <w:t>新材料产业园</w:t>
                  </w:r>
                  <w:r>
                    <w:rPr>
                      <w:rFonts w:hint="default" w:eastAsia="宋体"/>
                      <w:color w:val="000000" w:themeColor="text1"/>
                      <w:sz w:val="21"/>
                      <w:szCs w:val="21"/>
                      <w:highlight w:val="none"/>
                      <w:lang w:val="en-US" w:eastAsia="zh-CN"/>
                      <w14:textFill>
                        <w14:solidFill>
                          <w14:schemeClr w14:val="tx1"/>
                        </w14:solidFill>
                      </w14:textFill>
                    </w:rPr>
                    <w:t>（主要定位于新型建材、节能环保材料）</w:t>
                  </w:r>
                  <w:r>
                    <w:rPr>
                      <w:rFonts w:hint="eastAsia"/>
                      <w:color w:val="000000" w:themeColor="text1"/>
                      <w:sz w:val="21"/>
                      <w:szCs w:val="21"/>
                      <w:highlight w:val="none"/>
                      <w:lang w:val="en-US" w:eastAsia="zh-CN"/>
                      <w14:textFill>
                        <w14:solidFill>
                          <w14:schemeClr w14:val="tx1"/>
                        </w14:solidFill>
                      </w14:textFill>
                    </w:rPr>
                    <w:t>，符合园区产业定位。</w:t>
                  </w:r>
                </w:p>
              </w:tc>
              <w:tc>
                <w:tcPr>
                  <w:tcW w:w="247" w:type="pct"/>
                  <w:tcBorders>
                    <w:tl2br w:val="nil"/>
                    <w:tr2bl w:val="nil"/>
                  </w:tcBorders>
                  <w:noWrap w:val="0"/>
                  <w:vAlign w:val="center"/>
                </w:tcPr>
                <w:p w14:paraId="76D0E9EE">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69C2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DD14F01">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1946" w:type="pct"/>
                  <w:gridSpan w:val="2"/>
                  <w:tcBorders>
                    <w:tl2br w:val="nil"/>
                    <w:tr2bl w:val="nil"/>
                  </w:tcBorders>
                  <w:noWrap w:val="0"/>
                  <w:vAlign w:val="center"/>
                </w:tcPr>
                <w:p w14:paraId="53A1A19A">
                  <w:pPr>
                    <w:pStyle w:val="57"/>
                    <w:bidi w:val="0"/>
                    <w:jc w:val="both"/>
                    <w:rPr>
                      <w:rFonts w:hint="eastAsia" w:eastAsia="宋体"/>
                      <w:color w:val="000000" w:themeColor="text1"/>
                      <w:sz w:val="21"/>
                      <w:szCs w:val="21"/>
                      <w:highlight w:val="none"/>
                      <w:lang w:eastAsia="zh-CN"/>
                      <w14:textFill>
                        <w14:solidFill>
                          <w14:schemeClr w14:val="tx1"/>
                        </w14:solidFill>
                      </w14:textFill>
                    </w:rPr>
                  </w:pPr>
                  <w:r>
                    <w:rPr>
                      <w:rFonts w:hint="default"/>
                      <w:color w:val="000000" w:themeColor="text1"/>
                      <w:sz w:val="21"/>
                      <w:szCs w:val="21"/>
                      <w:highlight w:val="none"/>
                      <w14:textFill>
                        <w14:solidFill>
                          <w14:schemeClr w14:val="tx1"/>
                        </w14:solidFill>
                      </w14:textFill>
                    </w:rPr>
                    <w:t>园区范围内企业，应办理合法的环保手续，不符合园区规划布局、产业定位的企业应</w:t>
                  </w:r>
                  <w:r>
                    <w:rPr>
                      <w:rFonts w:hint="eastAsia"/>
                      <w:color w:val="000000" w:themeColor="text1"/>
                      <w:sz w:val="21"/>
                      <w:szCs w:val="21"/>
                      <w:highlight w:val="none"/>
                      <w:lang w:val="en-US" w:eastAsia="zh-CN"/>
                      <w14:textFill>
                        <w14:solidFill>
                          <w14:schemeClr w14:val="tx1"/>
                        </w14:solidFill>
                      </w14:textFill>
                    </w:rPr>
                    <w:t>予以</w:t>
                  </w:r>
                  <w:r>
                    <w:rPr>
                      <w:rFonts w:hint="default"/>
                      <w:color w:val="000000" w:themeColor="text1"/>
                      <w:sz w:val="21"/>
                      <w:szCs w:val="21"/>
                      <w:highlight w:val="none"/>
                      <w14:textFill>
                        <w14:solidFill>
                          <w14:schemeClr w14:val="tx1"/>
                        </w14:solidFill>
                      </w14:textFill>
                    </w:rPr>
                    <w:t>搬迁，园区项目须严格</w:t>
                  </w:r>
                  <w:r>
                    <w:rPr>
                      <w:rFonts w:hint="eastAsia"/>
                      <w:color w:val="000000" w:themeColor="text1"/>
                      <w:sz w:val="21"/>
                      <w:szCs w:val="21"/>
                      <w:highlight w:val="none"/>
                      <w:lang w:val="en-US" w:eastAsia="zh-CN"/>
                      <w14:textFill>
                        <w14:solidFill>
                          <w14:schemeClr w14:val="tx1"/>
                        </w14:solidFill>
                      </w14:textFill>
                    </w:rPr>
                    <w:t>落实污染物总量控制要求，提出污染物减排具体方案和保障措施。</w:t>
                  </w:r>
                </w:p>
              </w:tc>
              <w:tc>
                <w:tcPr>
                  <w:tcW w:w="2526" w:type="pct"/>
                  <w:tcBorders>
                    <w:tl2br w:val="nil"/>
                    <w:tr2bl w:val="nil"/>
                  </w:tcBorders>
                  <w:noWrap w:val="0"/>
                  <w:vAlign w:val="center"/>
                </w:tcPr>
                <w:p w14:paraId="18E2EA86">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本项目符合园区产业定位，已进行总量控制指标申请，</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本项目一期工程酸洗废气、盐酸储罐大、小呼吸废气与预搅拌工序搅拌粉尘经集气罩收集后通入碱法喷淋塔经15m高排气筒（DA001）有组织排放；醇基锅炉废气采用低氮燃烧器+布袋除尘器经15m高排气筒（DA002）有组织排放；原料堆场与装卸扬尘采用全</w:t>
                  </w:r>
                  <w:r>
                    <w:rPr>
                      <w:rFonts w:hint="eastAsia"/>
                      <w:color w:val="000000" w:themeColor="text1"/>
                      <w:sz w:val="21"/>
                      <w:szCs w:val="21"/>
                      <w:highlight w:val="none"/>
                      <w:lang w:val="en-US" w:eastAsia="zh-CN"/>
                      <w14:textFill>
                        <w14:solidFill>
                          <w14:schemeClr w14:val="tx1"/>
                        </w14:solidFill>
                      </w14:textFill>
                    </w:rPr>
                    <w:t>封闭式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并在装卸处进行洒水降尘的降尘措施；烘干废气采用集气罩+袋式除尘+15m高排气筒（DA003）有组织排放，二期工程破碎、球磨工序产生的粉尘采用集气罩+袋式除尘+15m高排气筒（DA004）有组织排放，原料堆场与装卸扬尘采用全</w:t>
                  </w:r>
                  <w:r>
                    <w:rPr>
                      <w:rFonts w:hint="eastAsia"/>
                      <w:color w:val="000000" w:themeColor="text1"/>
                      <w:sz w:val="21"/>
                      <w:szCs w:val="21"/>
                      <w:highlight w:val="none"/>
                      <w:lang w:val="en-US" w:eastAsia="zh-CN"/>
                      <w14:textFill>
                        <w14:solidFill>
                          <w14:schemeClr w14:val="tx1"/>
                        </w14:solidFill>
                      </w14:textFill>
                    </w:rPr>
                    <w:t>封闭式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并在装卸处进行洒水降尘的降尘措施；烘干废气采用集气罩+袋式除尘+15m高排气筒（DA003）有组织排放</w:t>
                  </w:r>
                  <w:r>
                    <w:rPr>
                      <w:rFonts w:hint="eastAsia" w:cs="Times New Roman"/>
                      <w:color w:val="000000" w:themeColor="text1"/>
                      <w:w w:val="100"/>
                      <w:position w:val="0"/>
                      <w:sz w:val="21"/>
                      <w:szCs w:val="21"/>
                      <w:highlight w:val="none"/>
                      <w:lang w:val="en-US" w:eastAsia="zh-CN"/>
                      <w14:textFill>
                        <w14:solidFill>
                          <w14:schemeClr w14:val="tx1"/>
                        </w14:solidFill>
                      </w14:textFill>
                    </w:rPr>
                    <w:t>。经上述废气治理措施后满足</w:t>
                  </w:r>
                  <w:r>
                    <w:rPr>
                      <w:rFonts w:hint="eastAsia"/>
                      <w:color w:val="000000" w:themeColor="text1"/>
                      <w:sz w:val="21"/>
                      <w:szCs w:val="21"/>
                      <w:highlight w:val="none"/>
                      <w:lang w:val="en-US" w:eastAsia="zh-CN"/>
                      <w14:textFill>
                        <w14:solidFill>
                          <w14:schemeClr w14:val="tx1"/>
                        </w14:solidFill>
                      </w14:textFill>
                    </w:rPr>
                    <w:t>污染物总量控制要求。</w:t>
                  </w:r>
                </w:p>
              </w:tc>
              <w:tc>
                <w:tcPr>
                  <w:tcW w:w="247" w:type="pct"/>
                  <w:tcBorders>
                    <w:tl2br w:val="nil"/>
                    <w:tr2bl w:val="nil"/>
                  </w:tcBorders>
                  <w:noWrap w:val="0"/>
                  <w:vAlign w:val="center"/>
                </w:tcPr>
                <w:p w14:paraId="53CE043D">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3044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C17892E">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w:t>
                  </w:r>
                </w:p>
              </w:tc>
              <w:tc>
                <w:tcPr>
                  <w:tcW w:w="1861" w:type="pct"/>
                  <w:tcBorders>
                    <w:tl2br w:val="nil"/>
                    <w:tr2bl w:val="nil"/>
                  </w:tcBorders>
                  <w:noWrap w:val="0"/>
                  <w:vAlign w:val="center"/>
                </w:tcPr>
                <w:p w14:paraId="55494FD3">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加快基础设施建设，优先建设集中供热设施</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企业生活、生产废水须经处理达到相应标准后，方可排入园区污水处理厂</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严格按照国家有关规定进行危险废物贮存、处理和处置，产生的固废优先综合利用，不能利用的按规范安全处置。</w:t>
                  </w:r>
                </w:p>
              </w:tc>
              <w:tc>
                <w:tcPr>
                  <w:tcW w:w="2611" w:type="pct"/>
                  <w:gridSpan w:val="2"/>
                  <w:tcBorders>
                    <w:tl2br w:val="nil"/>
                    <w:tr2bl w:val="nil"/>
                  </w:tcBorders>
                  <w:noWrap w:val="0"/>
                  <w:vAlign w:val="center"/>
                </w:tcPr>
                <w:p w14:paraId="78F15A18">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运营期产生的</w:t>
                  </w:r>
                  <w:r>
                    <w:rPr>
                      <w:rFonts w:hint="eastAsia"/>
                      <w:color w:val="000000" w:themeColor="text1"/>
                      <w:sz w:val="21"/>
                      <w:szCs w:val="21"/>
                      <w:highlight w:val="none"/>
                      <w:lang w:val="en-US" w:eastAsia="zh-CN"/>
                      <w14:textFill>
                        <w14:solidFill>
                          <w14:schemeClr w14:val="tx1"/>
                        </w14:solidFill>
                      </w14:textFill>
                    </w:rPr>
                    <w:t>锅炉排污水（锅炉排污水+软化处理废水）经</w:t>
                  </w:r>
                  <w:r>
                    <w:rPr>
                      <w:rFonts w:hint="default"/>
                      <w:color w:val="000000" w:themeColor="text1"/>
                      <w:sz w:val="21"/>
                      <w:szCs w:val="21"/>
                      <w:highlight w:val="none"/>
                      <w:lang w:val="en-US" w:eastAsia="zh-CN"/>
                      <w14:textFill>
                        <w14:solidFill>
                          <w14:schemeClr w14:val="tx1"/>
                        </w14:solidFill>
                      </w14:textFill>
                    </w:rPr>
                    <w:t>园区</w:t>
                  </w:r>
                  <w:r>
                    <w:rPr>
                      <w:rFonts w:hint="eastAsia"/>
                      <w:color w:val="000000" w:themeColor="text1"/>
                      <w:sz w:val="21"/>
                      <w:szCs w:val="21"/>
                      <w:highlight w:val="none"/>
                      <w:lang w:val="en-US" w:eastAsia="zh-CN"/>
                      <w14:textFill>
                        <w14:solidFill>
                          <w14:schemeClr w14:val="tx1"/>
                        </w14:solidFill>
                      </w14:textFill>
                    </w:rPr>
                    <w:t>污</w:t>
                  </w:r>
                  <w:r>
                    <w:rPr>
                      <w:rFonts w:hint="default"/>
                      <w:color w:val="000000" w:themeColor="text1"/>
                      <w:sz w:val="21"/>
                      <w:szCs w:val="21"/>
                      <w:highlight w:val="none"/>
                      <w:lang w:val="en-US" w:eastAsia="zh-CN"/>
                      <w14:textFill>
                        <w14:solidFill>
                          <w14:schemeClr w14:val="tx1"/>
                        </w14:solidFill>
                      </w14:textFill>
                    </w:rPr>
                    <w:t>水管网，最终</w:t>
                  </w:r>
                  <w:r>
                    <w:rPr>
                      <w:rFonts w:hint="eastAsia"/>
                      <w:color w:val="000000" w:themeColor="text1"/>
                      <w:sz w:val="21"/>
                      <w:szCs w:val="21"/>
                      <w:highlight w:val="none"/>
                      <w:lang w:val="en-US" w:eastAsia="zh-CN"/>
                      <w14:textFill>
                        <w14:solidFill>
                          <w14:schemeClr w14:val="tx1"/>
                        </w14:solidFill>
                      </w14:textFill>
                    </w:rPr>
                    <w:t>排入昌吉高新海天污水处理厂</w:t>
                  </w:r>
                  <w:r>
                    <w:rPr>
                      <w:rFonts w:hint="default"/>
                      <w:color w:val="000000" w:themeColor="text1"/>
                      <w:sz w:val="21"/>
                      <w:szCs w:val="21"/>
                      <w:highlight w:val="none"/>
                      <w:lang w:val="en-US" w:eastAsia="zh-CN"/>
                      <w14:textFill>
                        <w14:solidFill>
                          <w14:schemeClr w14:val="tx1"/>
                        </w14:solidFill>
                      </w14:textFill>
                    </w:rPr>
                    <w:t>处理。</w:t>
                  </w:r>
                  <w:r>
                    <w:rPr>
                      <w:rFonts w:hint="eastAsia"/>
                      <w:color w:val="000000" w:themeColor="text1"/>
                      <w:sz w:val="21"/>
                      <w:szCs w:val="21"/>
                      <w:highlight w:val="none"/>
                      <w:lang w:val="en-US" w:eastAsia="zh-CN"/>
                      <w14:textFill>
                        <w14:solidFill>
                          <w14:schemeClr w14:val="tx1"/>
                        </w14:solidFill>
                      </w14:textFill>
                    </w:rPr>
                    <w:t>其余生产废水循环使用不外排。本项目一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3DD4E594">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处置</w:t>
                  </w:r>
                </w:p>
                <w:p w14:paraId="4A5EF14C">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2C201D66">
                  <w:pPr>
                    <w:pStyle w:val="57"/>
                    <w:bidi w:val="0"/>
                    <w:jc w:val="both"/>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247" w:type="pct"/>
                  <w:tcBorders>
                    <w:tl2br w:val="nil"/>
                    <w:tr2bl w:val="nil"/>
                  </w:tcBorders>
                  <w:noWrap w:val="0"/>
                  <w:vAlign w:val="center"/>
                </w:tcPr>
                <w:p w14:paraId="6189C2AA">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D8F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5CC4D6FC">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w:t>
                  </w:r>
                </w:p>
              </w:tc>
              <w:tc>
                <w:tcPr>
                  <w:tcW w:w="1861" w:type="pct"/>
                  <w:tcBorders>
                    <w:tl2br w:val="nil"/>
                    <w:tr2bl w:val="nil"/>
                  </w:tcBorders>
                  <w:noWrap w:val="0"/>
                  <w:vAlign w:val="center"/>
                </w:tcPr>
                <w:p w14:paraId="4E0CEFE4">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大力发展园区循环经济，制定切实可行的一般固体废物、危险废物和生产废水综合利用方案，提高资源利用效率。严格落实污染物总量控制要求，提出污染物减排具体方案及保障措施。</w:t>
                  </w:r>
                </w:p>
              </w:tc>
              <w:tc>
                <w:tcPr>
                  <w:tcW w:w="2611" w:type="pct"/>
                  <w:gridSpan w:val="2"/>
                  <w:tcBorders>
                    <w:tl2br w:val="nil"/>
                    <w:tr2bl w:val="nil"/>
                  </w:tcBorders>
                  <w:noWrap w:val="0"/>
                  <w:vAlign w:val="center"/>
                </w:tcPr>
                <w:p w14:paraId="1E56BD48">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6428A672">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处置</w:t>
                  </w:r>
                </w:p>
                <w:p w14:paraId="642ACC3E">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63C4A79A">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247" w:type="pct"/>
                  <w:tcBorders>
                    <w:tl2br w:val="nil"/>
                    <w:tr2bl w:val="nil"/>
                  </w:tcBorders>
                  <w:noWrap w:val="0"/>
                  <w:vAlign w:val="center"/>
                </w:tcPr>
                <w:p w14:paraId="05E12600">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0DC9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764B30A6">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7</w:t>
                  </w:r>
                </w:p>
              </w:tc>
              <w:tc>
                <w:tcPr>
                  <w:tcW w:w="1861" w:type="pct"/>
                  <w:tcBorders>
                    <w:tl2br w:val="nil"/>
                    <w:tr2bl w:val="nil"/>
                  </w:tcBorders>
                  <w:noWrap w:val="0"/>
                  <w:vAlign w:val="center"/>
                </w:tcPr>
                <w:p w14:paraId="48A1E06A">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建立健全环境管理机构，完善各种环境管理制度、环境风险防控体系、污染防治制度和环境监控体系，确保环境安全在园区基础设施和企业建设项目运营管理中须制定并落实事故风险防范措施和应急预案，配套完善的运行管理设施，防止污染事故的发生</w:t>
                  </w:r>
                </w:p>
              </w:tc>
              <w:tc>
                <w:tcPr>
                  <w:tcW w:w="2611" w:type="pct"/>
                  <w:gridSpan w:val="2"/>
                  <w:tcBorders>
                    <w:tl2br w:val="nil"/>
                    <w:tr2bl w:val="nil"/>
                  </w:tcBorders>
                  <w:noWrap w:val="0"/>
                  <w:vAlign w:val="center"/>
                </w:tcPr>
                <w:p w14:paraId="26F803D6">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制定</w:t>
                  </w:r>
                  <w:r>
                    <w:rPr>
                      <w:rFonts w:hint="eastAsia" w:cs="Times New Roman"/>
                      <w:color w:val="000000" w:themeColor="text1"/>
                      <w:w w:val="100"/>
                      <w:position w:val="0"/>
                      <w:sz w:val="21"/>
                      <w:szCs w:val="21"/>
                      <w:highlight w:val="none"/>
                      <w:lang w:val="en-US" w:eastAsia="zh-CN"/>
                      <w14:textFill>
                        <w14:solidFill>
                          <w14:schemeClr w14:val="tx1"/>
                        </w14:solidFill>
                      </w14:textFill>
                    </w:rPr>
                    <w:t>突发环境事件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应急预案，</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定期进行</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危险废物贮存点</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的安全检查，发现问题及时处理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危险废物贮存库</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内设置消防栓、灭火器等设施，对可能发生的火灾能及时处理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，在厂内进行分区防渗措施</w:t>
                  </w:r>
                </w:p>
              </w:tc>
              <w:tc>
                <w:tcPr>
                  <w:tcW w:w="247" w:type="pct"/>
                  <w:tcBorders>
                    <w:tl2br w:val="nil"/>
                    <w:tr2bl w:val="nil"/>
                  </w:tcBorders>
                  <w:noWrap w:val="0"/>
                  <w:vAlign w:val="center"/>
                </w:tcPr>
                <w:p w14:paraId="33C3644F">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5CCCAF75">
            <w:pPr>
              <w:pStyle w:val="53"/>
              <w:bidi w:val="0"/>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color w:val="000000" w:themeColor="text1"/>
                <w:kern w:val="0"/>
                <w:sz w:val="24"/>
                <w:szCs w:val="24"/>
                <w:highlight w:val="none"/>
                <w14:textFill>
                  <w14:solidFill>
                    <w14:schemeClr w14:val="tx1"/>
                  </w14:solidFill>
                </w14:textFill>
              </w:rPr>
              <w:t>本项目产生的废气经处理后能稳定达标排放，机械设备噪声采用隔声、减震等措施降噪达标排放，固体废物根据相关技术要求妥善处理。综上所述，项目投产后各污染物均能做到稳定达标排放，项目的建设符合《昌吉高新技术产业开发区总体规划（2014-2030）环境影响报告书》及审查意见的要求。</w:t>
            </w:r>
          </w:p>
        </w:tc>
      </w:tr>
      <w:tr w14:paraId="13496E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90" w:hRule="atLeast"/>
        </w:trPr>
        <w:tc>
          <w:tcPr>
            <w:tcW w:w="653" w:type="pct"/>
            <w:tcBorders>
              <w:tl2br w:val="nil"/>
              <w:tr2bl w:val="nil"/>
            </w:tcBorders>
            <w:vAlign w:val="center"/>
          </w:tcPr>
          <w:p w14:paraId="40588EA7">
            <w:pPr>
              <w:pStyle w:val="34"/>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其他符合性分析</w:t>
            </w:r>
          </w:p>
        </w:tc>
        <w:tc>
          <w:tcPr>
            <w:tcW w:w="4346" w:type="pct"/>
            <w:gridSpan w:val="3"/>
            <w:tcBorders>
              <w:tl2br w:val="nil"/>
              <w:tr2bl w:val="nil"/>
            </w:tcBorders>
            <w:vAlign w:val="center"/>
          </w:tcPr>
          <w:p w14:paraId="2991D868">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产业政策符合性分析</w:t>
            </w:r>
          </w:p>
          <w:p w14:paraId="5F438D0C">
            <w:pPr>
              <w:keepNext w:val="0"/>
              <w:keepLines w:val="0"/>
              <w:widowControl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为</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一期</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通过酸洗</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搅拌、压滤、</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重选分级</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、烘干</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等工序对含有硅相的</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废硅粉</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进行提纯</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二期</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通过</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破碎、分级、浮选、压滤、搅拌、</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重选分级</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、烘干</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等工序对含有硅相的</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废硅渣</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进行提纯</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对照《产业结构调整指导目录（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年本）》</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本项目属于</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“鼓励类”</w:t>
            </w:r>
            <w:r>
              <w:rPr>
                <w:rFonts w:hint="eastAsia" w:cs="Times New Roman"/>
                <w:color w:val="000000" w:themeColor="text1"/>
                <w:kern w:val="2"/>
                <w:sz w:val="24"/>
                <w:szCs w:val="24"/>
                <w:highlight w:val="none"/>
                <w:lang w:val="en-US" w:eastAsia="zh-CN" w:bidi="ar-SA"/>
                <w14:textFill>
                  <w14:solidFill>
                    <w14:schemeClr w14:val="tx1"/>
                  </w14:solidFill>
                </w14:textFill>
              </w:rPr>
              <w:t>中“四十二、环境保护与资源节约综合利用-8.废弃物循环利用”</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ascii="宋体" w:hAnsi="宋体" w:eastAsia="宋体" w:cs="宋体"/>
                <w:b w:val="0"/>
                <w:bCs w:val="0"/>
                <w:color w:val="000000" w:themeColor="text1"/>
                <w:sz w:val="24"/>
                <w:szCs w:val="24"/>
                <w:highlight w:val="none"/>
                <w14:textFill>
                  <w14:solidFill>
                    <w14:schemeClr w14:val="tx1"/>
                  </w14:solidFill>
                </w14:textFill>
              </w:rPr>
              <w:t>项目已取得</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昌吉</w:t>
            </w:r>
            <w:r>
              <w:rPr>
                <w:rFonts w:hint="eastAsia" w:cs="Times New Roman"/>
                <w:color w:val="000000" w:themeColor="text1"/>
                <w:kern w:val="2"/>
                <w:sz w:val="24"/>
                <w:szCs w:val="24"/>
                <w:highlight w:val="none"/>
                <w:lang w:val="en-US" w:eastAsia="zh-CN" w:bidi="ar-SA"/>
                <w14:textFill>
                  <w14:solidFill>
                    <w14:schemeClr w14:val="tx1"/>
                  </w14:solidFill>
                </w14:textFill>
              </w:rPr>
              <w:t>高新技术产业开发区产业发展科</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技局</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出具的投资项目备案证，</w:t>
            </w:r>
            <w:r>
              <w:rPr>
                <w:rFonts w:hint="eastAsia" w:cs="Times New Roman"/>
                <w:b w:val="0"/>
                <w:bCs w:val="0"/>
                <w:color w:val="000000" w:themeColor="text1"/>
                <w:sz w:val="24"/>
                <w:szCs w:val="24"/>
                <w:highlight w:val="none"/>
                <w:lang w:eastAsia="zh-CN"/>
                <w14:textFill>
                  <w14:solidFill>
                    <w14:schemeClr w14:val="tx1"/>
                  </w14:solidFill>
                </w14:textFill>
              </w:rPr>
              <w:t>备案</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证号</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2504011128652300000004</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，项目代码</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2503-652312-21-02-675143</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综上所述，本</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项目的建设</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符合</w:t>
            </w:r>
            <w:r>
              <w:rPr>
                <w:rFonts w:hint="eastAsia"/>
                <w:color w:val="000000" w:themeColor="text1"/>
                <w:kern w:val="0"/>
                <w:sz w:val="24"/>
                <w:szCs w:val="24"/>
                <w:highlight w:val="none"/>
                <w14:textFill>
                  <w14:solidFill>
                    <w14:schemeClr w14:val="tx1"/>
                  </w14:solidFill>
                </w14:textFill>
              </w:rPr>
              <w:t>国家和地方现行产业政策</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p>
          <w:p w14:paraId="6D659301">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与《新疆维吾尔自治区生态环境分区管控</w:t>
            </w:r>
            <w:r>
              <w:rPr>
                <w:rFonts w:hint="eastAsia"/>
                <w:color w:val="000000" w:themeColor="text1"/>
                <w:highlight w:val="none"/>
                <w14:textFill>
                  <w14:solidFill>
                    <w14:schemeClr w14:val="tx1"/>
                  </w14:solidFill>
                </w14:textFill>
              </w:rPr>
              <w:t>动态更新成果</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（新环</w:t>
            </w:r>
            <w:r>
              <w:rPr>
                <w:rFonts w:hint="default"/>
                <w:color w:val="000000" w:themeColor="text1"/>
                <w:highlight w:val="none"/>
                <w14:textFill>
                  <w14:solidFill>
                    <w14:schemeClr w14:val="tx1"/>
                  </w14:solidFill>
                </w14:textFill>
              </w:rPr>
              <w:t>环评发〔2024〕157号）的</w:t>
            </w:r>
            <w:r>
              <w:rPr>
                <w:color w:val="000000" w:themeColor="text1"/>
                <w:highlight w:val="none"/>
                <w14:textFill>
                  <w14:solidFill>
                    <w14:schemeClr w14:val="tx1"/>
                  </w14:solidFill>
                </w14:textFill>
              </w:rPr>
              <w:t>符合性分析</w:t>
            </w:r>
          </w:p>
          <w:p w14:paraId="2FC8EDED">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①与生态红线区域保护规划的相符性</w:t>
            </w:r>
          </w:p>
          <w:p w14:paraId="695BE96E">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已建车间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项目占地不涉及自然保护区、森林公园、风景名胜区、世界文化自然遗产、地质公园等禁止开发的区域</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项目选址符合生态保护红线要求。</w:t>
            </w:r>
          </w:p>
          <w:p w14:paraId="555D15EC">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②与环境质量底线相符性分析</w:t>
            </w:r>
          </w:p>
          <w:p w14:paraId="232F1FC2">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环境质量底线就是只能改善不能恶化。大气环境质量底线就是在符合大气环境区域功能区域和</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大气环境管理的基础上，确保大气污染物排放不对区域功能区划造成影响，污染物排放总量低于大气环境容量。</w:t>
            </w:r>
          </w:p>
          <w:p w14:paraId="0AD35BF2">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本项目一期工程酸洗废气、盐酸储罐大、小呼吸废气与预搅拌工序搅拌粉尘经集气罩收集后通入碱法喷淋塔经15m高排气筒（DA001）有组织排放；醇基锅炉废气采用低氮燃烧器+布袋除尘器经15m高排气筒（DA002）有组织排放；原料堆场与装卸扬尘采用全</w:t>
            </w:r>
            <w:r>
              <w:rPr>
                <w:rFonts w:hint="eastAsia" w:cs="Times New Roman"/>
                <w:color w:val="000000" w:themeColor="text1"/>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并在装卸处进行洒水降尘的降尘措施；烘干废气采用集气罩+袋式除尘+15m高排气筒（DA003）有组织排放，二期工程破碎、球磨工序产生的粉尘采用集气罩+袋式除尘+15m高排气筒（DA004）有组织排放，原料堆场与装卸扬尘采用全</w:t>
            </w:r>
            <w:r>
              <w:rPr>
                <w:rFonts w:hint="eastAsia" w:cs="Times New Roman"/>
                <w:color w:val="000000" w:themeColor="text1"/>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并在装卸处进行洒水降尘的降尘措施；烘干废气采用集气罩+袋式除尘+15m高排气筒（DA003）有组织排放。项目产生的排污水和软化处理废水经园区污水管网排入昌吉高新海天污水处理厂。酸洗搅拌后产生的废水排入酸洗沉淀池沉淀后取上清液循环使用不外排</w:t>
            </w:r>
          </w:p>
          <w:p w14:paraId="629E718B">
            <w:pPr>
              <w:pStyle w:val="53"/>
              <w:shd w:val="clear" w:color="auto" w:fill="auto"/>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w:t>
            </w:r>
            <w:r>
              <w:rPr>
                <w:rFonts w:hint="eastAsia" w:cs="Times New Roman"/>
                <w:color w:val="000000" w:themeColor="text1"/>
                <w:highlight w:val="none"/>
                <w:lang w:eastAsia="zh-CN"/>
                <w14:textFill>
                  <w14:solidFill>
                    <w14:schemeClr w14:val="tx1"/>
                  </w14:solidFill>
                </w14:textFill>
              </w:rPr>
              <w:t>废布袋定期由厂家更换回收处理</w:t>
            </w:r>
            <w:r>
              <w:rPr>
                <w:rFonts w:hint="default" w:ascii="Times New Roman" w:hAnsi="Times New Roman" w:eastAsia="宋体" w:cs="Times New Roman"/>
                <w:color w:val="000000" w:themeColor="text1"/>
                <w:highlight w:val="none"/>
                <w:lang w:eastAsia="zh-CN"/>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危险废物：①废润滑油暂存至危险废物贮存点内，</w:t>
            </w:r>
            <w:r>
              <w:rPr>
                <w:rFonts w:hint="eastAsia" w:cs="Times New Roman"/>
                <w:color w:val="000000" w:themeColor="text1"/>
                <w:highlight w:val="none"/>
                <w:lang w:eastAsia="zh-CN"/>
                <w14:textFill>
                  <w14:solidFill>
                    <w14:schemeClr w14:val="tx1"/>
                  </w14:solidFill>
                </w14:textFill>
              </w:rPr>
              <w:t>定期交由有资质单位</w:t>
            </w:r>
            <w:r>
              <w:rPr>
                <w:rFonts w:hint="default" w:ascii="Times New Roman" w:hAnsi="Times New Roman" w:eastAsia="宋体" w:cs="Times New Roman"/>
                <w:color w:val="000000" w:themeColor="text1"/>
                <w:highlight w:val="none"/>
                <w:lang w:eastAsia="zh-CN"/>
                <w14:textFill>
                  <w14:solidFill>
                    <w14:schemeClr w14:val="tx1"/>
                  </w14:solidFill>
                </w14:textFill>
              </w:rPr>
              <w:t>进行处置。②废醇基燃料吨桶暂存至危险废物贮存点内，</w:t>
            </w:r>
            <w:r>
              <w:rPr>
                <w:rFonts w:hint="eastAsia" w:cs="Times New Roman"/>
                <w:color w:val="000000" w:themeColor="text1"/>
                <w:highlight w:val="none"/>
                <w:lang w:eastAsia="zh-CN"/>
                <w14:textFill>
                  <w14:solidFill>
                    <w14:schemeClr w14:val="tx1"/>
                  </w14:solidFill>
                </w14:textFill>
              </w:rPr>
              <w:t>每日交由厂家回收</w:t>
            </w:r>
            <w:r>
              <w:rPr>
                <w:rFonts w:hint="default" w:ascii="Times New Roman" w:hAnsi="Times New Roman" w:eastAsia="宋体" w:cs="Times New Roman"/>
                <w:color w:val="000000" w:themeColor="text1"/>
                <w:highlight w:val="none"/>
                <w:lang w:eastAsia="zh-CN"/>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cs="Times New Roman"/>
                <w:color w:val="000000" w:themeColor="text1"/>
                <w:highlight w:val="none"/>
                <w:lang w:eastAsia="zh-CN"/>
                <w14:textFill>
                  <w14:solidFill>
                    <w14:schemeClr w14:val="tx1"/>
                  </w14:solidFill>
                </w14:textFill>
              </w:rPr>
              <w:t>处置</w:t>
            </w:r>
          </w:p>
          <w:p w14:paraId="3E8A6018">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cs="Times New Roman"/>
                <w:color w:val="000000" w:themeColor="text1"/>
                <w:highlight w:val="none"/>
                <w:lang w:eastAsia="zh-CN"/>
                <w14:textFill>
                  <w14:solidFill>
                    <w14:schemeClr w14:val="tx1"/>
                  </w14:solidFill>
                </w14:textFill>
              </w:rPr>
              <w:t>废布袋定期由厂家更换回收处理</w:t>
            </w:r>
            <w:r>
              <w:rPr>
                <w:rFonts w:hint="default" w:ascii="Times New Roman" w:hAnsi="Times New Roman" w:eastAsia="宋体" w:cs="Times New Roman"/>
                <w:color w:val="000000" w:themeColor="text1"/>
                <w:highlight w:val="none"/>
                <w:lang w:eastAsia="zh-CN"/>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危险废物：①废润滑油暂存至危险废物贮存点内，</w:t>
            </w:r>
            <w:r>
              <w:rPr>
                <w:rFonts w:hint="eastAsia" w:cs="Times New Roman"/>
                <w:color w:val="000000" w:themeColor="text1"/>
                <w:highlight w:val="none"/>
                <w:lang w:eastAsia="zh-CN"/>
                <w14:textFill>
                  <w14:solidFill>
                    <w14:schemeClr w14:val="tx1"/>
                  </w14:solidFill>
                </w14:textFill>
              </w:rPr>
              <w:t>定期交由有资质单位</w:t>
            </w:r>
            <w:r>
              <w:rPr>
                <w:rFonts w:hint="default" w:ascii="Times New Roman" w:hAnsi="Times New Roman" w:eastAsia="宋体" w:cs="Times New Roman"/>
                <w:color w:val="000000" w:themeColor="text1"/>
                <w:highlight w:val="none"/>
                <w:lang w:eastAsia="zh-CN"/>
                <w14:textFill>
                  <w14:solidFill>
                    <w14:schemeClr w14:val="tx1"/>
                  </w14:solidFill>
                </w14:textFill>
              </w:rPr>
              <w:t>进行处置。②废油桶暂存危废贮存点，定期委托资质单位进行处置③浮选药剂包装桶暂存危废贮存点，定期委托资质单位进行处置</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。厂区贮存量较小，在严格落实本次环评提出的各项措施后对周围影响较小，不突破所在区域环境质量底线。</w:t>
            </w:r>
          </w:p>
          <w:p w14:paraId="5FD41214">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③</w:t>
            </w:r>
            <w:r>
              <w:rPr>
                <w:rFonts w:hint="default" w:ascii="Times New Roman" w:hAnsi="Times New Roman" w:eastAsia="宋体" w:cs="Times New Roman"/>
                <w:color w:val="000000" w:themeColor="text1"/>
                <w:highlight w:val="none"/>
                <w:lang w:val="en-US" w:eastAsia="zh-CN"/>
                <w14:textFill>
                  <w14:solidFill>
                    <w14:schemeClr w14:val="tx1"/>
                  </w14:solidFill>
                </w14:textFill>
              </w:rPr>
              <w:t>资源利用上线相符性</w:t>
            </w:r>
          </w:p>
          <w:p w14:paraId="0FFD9536">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运营过程中消耗一定的电量和水资源，项目资源消耗量相对区域资源总量较小，符合资源利用上线要求。</w:t>
            </w:r>
          </w:p>
          <w:p w14:paraId="00E0ECA9">
            <w:pPr>
              <w:pStyle w:val="6"/>
              <w:ind w:left="0" w:leftChars="0" w:firstLine="0" w:firstLineChars="0"/>
              <w:jc w:val="center"/>
              <w:rPr>
                <w:b/>
                <w:bCs/>
                <w:color w:val="000000" w:themeColor="text1"/>
                <w:szCs w:val="28"/>
                <w:highlight w:val="none"/>
                <w14:textFill>
                  <w14:solidFill>
                    <w14:schemeClr w14:val="tx1"/>
                  </w14:solidFill>
                </w14:textFill>
              </w:rPr>
            </w:pPr>
            <w:r>
              <w:rPr>
                <w:rFonts w:hint="eastAsia"/>
                <w:b/>
                <w:bCs/>
                <w:color w:val="000000" w:themeColor="text1"/>
                <w:szCs w:val="28"/>
                <w:highlight w:val="none"/>
                <w14:textFill>
                  <w14:solidFill>
                    <w14:schemeClr w14:val="tx1"/>
                  </w14:solidFill>
                </w14:textFill>
              </w:rPr>
              <w:t>表1-1    项目与</w:t>
            </w:r>
            <w:r>
              <w:rPr>
                <w:b/>
                <w:bCs/>
                <w:color w:val="000000" w:themeColor="text1"/>
                <w:szCs w:val="28"/>
                <w:highlight w:val="none"/>
                <w14:textFill>
                  <w14:solidFill>
                    <w14:schemeClr w14:val="tx1"/>
                  </w14:solidFill>
                </w14:textFill>
              </w:rPr>
              <w:t>《新疆维吾尔自治区生态环境分区管控</w:t>
            </w:r>
            <w:r>
              <w:rPr>
                <w:rFonts w:hint="eastAsia"/>
                <w:b/>
                <w:bCs/>
                <w:color w:val="000000" w:themeColor="text1"/>
                <w:szCs w:val="28"/>
                <w:highlight w:val="none"/>
                <w14:textFill>
                  <w14:solidFill>
                    <w14:schemeClr w14:val="tx1"/>
                  </w14:solidFill>
                </w14:textFill>
              </w:rPr>
              <w:t>动态更新成果</w:t>
            </w:r>
            <w:r>
              <w:rPr>
                <w:b/>
                <w:bCs/>
                <w:color w:val="000000" w:themeColor="text1"/>
                <w:szCs w:val="28"/>
                <w:highlight w:val="none"/>
                <w14:textFill>
                  <w14:solidFill>
                    <w14:schemeClr w14:val="tx1"/>
                  </w14:solidFill>
                </w14:textFill>
              </w:rPr>
              <w:t>》</w:t>
            </w:r>
          </w:p>
          <w:p w14:paraId="7BFDD463">
            <w:pPr>
              <w:pStyle w:val="6"/>
              <w:ind w:left="0" w:leftChars="0" w:firstLine="0" w:firstLineChars="0"/>
              <w:jc w:val="center"/>
              <w:rPr>
                <w:rFonts w:hint="default" w:ascii="Times New Roman" w:hAnsi="Times New Roman" w:cs="Times New Roman"/>
                <w:b/>
                <w:bCs/>
                <w:color w:val="000000" w:themeColor="text1"/>
                <w:spacing w:val="0"/>
                <w:position w:val="0"/>
                <w:szCs w:val="21"/>
                <w:highlight w:val="none"/>
                <w14:textFill>
                  <w14:solidFill>
                    <w14:schemeClr w14:val="tx1"/>
                  </w14:solidFill>
                </w14:textFill>
              </w:rPr>
            </w:pPr>
            <w:r>
              <w:rPr>
                <w:rFonts w:hint="eastAsia"/>
                <w:b/>
                <w:bCs/>
                <w:color w:val="000000" w:themeColor="text1"/>
                <w:szCs w:val="28"/>
                <w:highlight w:val="none"/>
                <w14:textFill>
                  <w14:solidFill>
                    <w14:schemeClr w14:val="tx1"/>
                  </w14:solidFill>
                </w14:textFill>
              </w:rPr>
              <w:t>（新环环评发</w:t>
            </w:r>
            <w:r>
              <w:rPr>
                <w:b/>
                <w:bCs/>
                <w:color w:val="000000" w:themeColor="text1"/>
                <w:szCs w:val="28"/>
                <w:highlight w:val="none"/>
                <w14:textFill>
                  <w14:solidFill>
                    <w14:schemeClr w14:val="tx1"/>
                  </w14:solidFill>
                </w14:textFill>
              </w:rPr>
              <w:t>〔202</w:t>
            </w:r>
            <w:r>
              <w:rPr>
                <w:rFonts w:hint="eastAsia"/>
                <w:b/>
                <w:bCs/>
                <w:color w:val="000000" w:themeColor="text1"/>
                <w:szCs w:val="28"/>
                <w:highlight w:val="none"/>
                <w14:textFill>
                  <w14:solidFill>
                    <w14:schemeClr w14:val="tx1"/>
                  </w14:solidFill>
                </w14:textFill>
              </w:rPr>
              <w:t>4</w:t>
            </w:r>
            <w:r>
              <w:rPr>
                <w:b/>
                <w:bCs/>
                <w:color w:val="000000" w:themeColor="text1"/>
                <w:szCs w:val="28"/>
                <w:highlight w:val="none"/>
                <w14:textFill>
                  <w14:solidFill>
                    <w14:schemeClr w14:val="tx1"/>
                  </w14:solidFill>
                </w14:textFill>
              </w:rPr>
              <w:t>〕</w:t>
            </w:r>
            <w:r>
              <w:rPr>
                <w:rFonts w:hint="eastAsia"/>
                <w:b/>
                <w:bCs/>
                <w:color w:val="000000" w:themeColor="text1"/>
                <w:szCs w:val="28"/>
                <w:highlight w:val="none"/>
                <w14:textFill>
                  <w14:solidFill>
                    <w14:schemeClr w14:val="tx1"/>
                  </w14:solidFill>
                </w14:textFill>
              </w:rPr>
              <w:t>157</w:t>
            </w:r>
            <w:r>
              <w:rPr>
                <w:b/>
                <w:bCs/>
                <w:color w:val="000000" w:themeColor="text1"/>
                <w:szCs w:val="28"/>
                <w:highlight w:val="none"/>
                <w14:textFill>
                  <w14:solidFill>
                    <w14:schemeClr w14:val="tx1"/>
                  </w14:solidFill>
                </w14:textFill>
              </w:rPr>
              <w:t>号</w:t>
            </w:r>
            <w:r>
              <w:rPr>
                <w:rFonts w:hint="eastAsia"/>
                <w:b/>
                <w:bCs/>
                <w:color w:val="000000" w:themeColor="text1"/>
                <w:szCs w:val="28"/>
                <w:highlight w:val="none"/>
                <w14:textFill>
                  <w14:solidFill>
                    <w14:schemeClr w14:val="tx1"/>
                  </w14:solidFill>
                </w14:textFill>
              </w:rPr>
              <w:t>）符合性分析一览表</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Layout w:type="fixed"/>
              <w:tblCellMar>
                <w:top w:w="0" w:type="dxa"/>
                <w:left w:w="108" w:type="dxa"/>
                <w:bottom w:w="0" w:type="dxa"/>
                <w:right w:w="108" w:type="dxa"/>
              </w:tblCellMar>
            </w:tblPr>
            <w:tblGrid>
              <w:gridCol w:w="548"/>
              <w:gridCol w:w="985"/>
              <w:gridCol w:w="2740"/>
              <w:gridCol w:w="2990"/>
              <w:gridCol w:w="330"/>
            </w:tblGrid>
            <w:tr w14:paraId="0B0B5B1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c>
                <w:tcPr>
                  <w:tcW w:w="1009" w:type="pct"/>
                  <w:gridSpan w:val="2"/>
                  <w:tcBorders>
                    <w:top w:val="single" w:color="000000" w:sz="12" w:space="0"/>
                  </w:tcBorders>
                  <w:shd w:val="clear" w:color="auto" w:fill="auto"/>
                  <w:noWrap w:val="0"/>
                  <w:vAlign w:val="center"/>
                </w:tcPr>
                <w:p w14:paraId="3F814ADF">
                  <w:pPr>
                    <w:autoSpaceDE w:val="0"/>
                    <w:autoSpaceDN w:val="0"/>
                    <w:adjustRightInd w:val="0"/>
                    <w:snapToGrid w:val="0"/>
                    <w:jc w:val="center"/>
                    <w:rPr>
                      <w:rFonts w:hint="eastAsia" w:eastAsia="宋体"/>
                      <w:bCs/>
                      <w:color w:val="000000" w:themeColor="text1"/>
                      <w:kern w:val="0"/>
                      <w:szCs w:val="21"/>
                      <w:highlight w:val="none"/>
                      <w:lang w:eastAsia="zh-CN"/>
                      <w14:textFill>
                        <w14:solidFill>
                          <w14:schemeClr w14:val="tx1"/>
                        </w14:solidFill>
                      </w14:textFill>
                    </w:rPr>
                  </w:pPr>
                  <w:r>
                    <w:rPr>
                      <w:bCs/>
                      <w:color w:val="000000" w:themeColor="text1"/>
                      <w:kern w:val="0"/>
                      <w:szCs w:val="21"/>
                      <w:highlight w:val="none"/>
                      <w14:textFill>
                        <w14:solidFill>
                          <w14:schemeClr w14:val="tx1"/>
                        </w14:solidFill>
                      </w14:textFill>
                    </w:rPr>
                    <w:t>管控</w:t>
                  </w:r>
                  <w:r>
                    <w:rPr>
                      <w:rFonts w:hint="eastAsia"/>
                      <w:bCs/>
                      <w:color w:val="000000" w:themeColor="text1"/>
                      <w:kern w:val="0"/>
                      <w:szCs w:val="21"/>
                      <w:highlight w:val="none"/>
                      <w:lang w:val="en-US" w:eastAsia="zh-CN"/>
                      <w14:textFill>
                        <w14:solidFill>
                          <w14:schemeClr w14:val="tx1"/>
                        </w14:solidFill>
                      </w14:textFill>
                    </w:rPr>
                    <w:t>维度</w:t>
                  </w:r>
                </w:p>
              </w:tc>
              <w:tc>
                <w:tcPr>
                  <w:tcW w:w="1804" w:type="pct"/>
                  <w:tcBorders>
                    <w:top w:val="single" w:color="000000" w:sz="12" w:space="0"/>
                  </w:tcBorders>
                  <w:shd w:val="clear" w:color="auto" w:fill="auto"/>
                  <w:noWrap w:val="0"/>
                  <w:vAlign w:val="center"/>
                </w:tcPr>
                <w:p w14:paraId="6FAC1D63">
                  <w:pPr>
                    <w:autoSpaceDE w:val="0"/>
                    <w:autoSpaceDN w:val="0"/>
                    <w:adjustRightInd w:val="0"/>
                    <w:snapToGrid w:val="0"/>
                    <w:jc w:val="center"/>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管控要求</w:t>
                  </w:r>
                </w:p>
              </w:tc>
              <w:tc>
                <w:tcPr>
                  <w:tcW w:w="1968" w:type="pct"/>
                  <w:tcBorders>
                    <w:top w:val="single" w:color="000000" w:sz="12" w:space="0"/>
                  </w:tcBorders>
                  <w:shd w:val="clear" w:color="auto" w:fill="auto"/>
                  <w:noWrap w:val="0"/>
                  <w:vAlign w:val="center"/>
                </w:tcPr>
                <w:p w14:paraId="6A4DA422">
                  <w:pPr>
                    <w:autoSpaceDE w:val="0"/>
                    <w:autoSpaceDN w:val="0"/>
                    <w:adjustRightInd w:val="0"/>
                    <w:snapToGrid w:val="0"/>
                    <w:jc w:val="center"/>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项目情况</w:t>
                  </w:r>
                </w:p>
              </w:tc>
              <w:tc>
                <w:tcPr>
                  <w:tcW w:w="217" w:type="pct"/>
                  <w:tcBorders>
                    <w:top w:val="single" w:color="000000" w:sz="12" w:space="0"/>
                  </w:tcBorders>
                  <w:shd w:val="clear" w:color="auto" w:fill="auto"/>
                  <w:noWrap w:val="0"/>
                  <w:vAlign w:val="center"/>
                </w:tcPr>
                <w:p w14:paraId="4AAEA39F">
                  <w:pPr>
                    <w:autoSpaceDE w:val="0"/>
                    <w:autoSpaceDN w:val="0"/>
                    <w:adjustRightInd w:val="0"/>
                    <w:snapToGrid w:val="0"/>
                    <w:jc w:val="center"/>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符合性</w:t>
                  </w:r>
                </w:p>
              </w:tc>
            </w:tr>
            <w:tr w14:paraId="2E25FD1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c>
                <w:tcPr>
                  <w:tcW w:w="360" w:type="pct"/>
                  <w:vMerge w:val="restart"/>
                  <w:shd w:val="clear" w:color="auto" w:fill="auto"/>
                  <w:noWrap w:val="0"/>
                  <w:vAlign w:val="center"/>
                </w:tcPr>
                <w:p w14:paraId="08346DC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A1空间布局约束</w:t>
                  </w:r>
                </w:p>
              </w:tc>
              <w:tc>
                <w:tcPr>
                  <w:tcW w:w="648" w:type="pct"/>
                  <w:vMerge w:val="restart"/>
                  <w:shd w:val="clear" w:color="auto" w:fill="auto"/>
                  <w:noWrap w:val="0"/>
                  <w:vAlign w:val="center"/>
                </w:tcPr>
                <w:p w14:paraId="20A397E3">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A1.1禁止开发建设的活动</w:t>
                  </w:r>
                </w:p>
              </w:tc>
              <w:tc>
                <w:tcPr>
                  <w:tcW w:w="1804" w:type="pct"/>
                  <w:shd w:val="clear" w:color="auto" w:fill="auto"/>
                  <w:noWrap w:val="0"/>
                  <w:vAlign w:val="center"/>
                </w:tcPr>
                <w:p w14:paraId="408453D7">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〔A1.1-1〕禁止新建、扩建《产业结构调整指导目录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2024年本</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》中淘汰类项目。禁止引入《市场准入负面清单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2022年版</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》禁止准入类事项。</w:t>
                  </w:r>
                </w:p>
              </w:tc>
              <w:tc>
                <w:tcPr>
                  <w:tcW w:w="1968" w:type="pct"/>
                  <w:shd w:val="clear" w:color="auto" w:fill="auto"/>
                  <w:noWrap w:val="0"/>
                  <w:vAlign w:val="center"/>
                </w:tcPr>
                <w:p w14:paraId="6836609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本项目属于《产业结构调整指导目录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2024年本</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lang w:val="en-US" w:eastAsia="zh-CN"/>
                      <w14:textFill>
                        <w14:solidFill>
                          <w14:schemeClr w14:val="tx1"/>
                        </w14:solidFill>
                      </w14:textFill>
                    </w:rPr>
                    <w:t>鼓励类</w:t>
                  </w:r>
                  <w:r>
                    <w:rPr>
                      <w:color w:val="000000" w:themeColor="text1"/>
                      <w:kern w:val="0"/>
                      <w:szCs w:val="21"/>
                      <w:highlight w:val="none"/>
                      <w14:textFill>
                        <w14:solidFill>
                          <w14:schemeClr w14:val="tx1"/>
                        </w14:solidFill>
                      </w14:textFill>
                    </w:rPr>
                    <w:t>项目，不属于《市场准入负面清单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2022年版</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》禁止准入类事项</w:t>
                  </w:r>
                </w:p>
              </w:tc>
              <w:tc>
                <w:tcPr>
                  <w:tcW w:w="217" w:type="pct"/>
                  <w:shd w:val="clear" w:color="auto" w:fill="auto"/>
                  <w:noWrap w:val="0"/>
                  <w:vAlign w:val="center"/>
                </w:tcPr>
                <w:p w14:paraId="523FEF5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3EE95D3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439" w:hRule="atLeast"/>
              </w:trPr>
              <w:tc>
                <w:tcPr>
                  <w:tcW w:w="360" w:type="pct"/>
                  <w:vMerge w:val="continue"/>
                  <w:shd w:val="clear" w:color="auto" w:fill="auto"/>
                  <w:noWrap w:val="0"/>
                  <w:vAlign w:val="center"/>
                </w:tcPr>
                <w:p w14:paraId="4C27C269">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3A420E8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471FCBEC">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[A1.1-3]禁止在饮用水水源保护区、风景名胜区、自然保护区的核心区和缓冲区、城镇居民区、文化教育科学研究区等人口集中区域以及</w:t>
                  </w:r>
                  <w:r>
                    <w:rPr>
                      <w:rFonts w:hint="eastAsia"/>
                      <w:color w:val="000000" w:themeColor="text1"/>
                      <w:kern w:val="0"/>
                      <w:szCs w:val="21"/>
                      <w:highlight w:val="none"/>
                      <w:lang w:eastAsia="zh-CN"/>
                      <w14:textFill>
                        <w14:solidFill>
                          <w14:schemeClr w14:val="tx1"/>
                        </w14:solidFill>
                      </w14:textFill>
                    </w:rPr>
                    <w:t>法律法规</w:t>
                  </w:r>
                  <w:r>
                    <w:rPr>
                      <w:color w:val="000000" w:themeColor="text1"/>
                      <w:kern w:val="0"/>
                      <w:szCs w:val="21"/>
                      <w:highlight w:val="none"/>
                      <w14:textFill>
                        <w14:solidFill>
                          <w14:schemeClr w14:val="tx1"/>
                        </w14:solidFill>
                      </w14:textFill>
                    </w:rPr>
                    <w:t>规定的其他禁止养殖区域建设畜禽养殖场、养殖小区。</w:t>
                  </w:r>
                </w:p>
              </w:tc>
              <w:tc>
                <w:tcPr>
                  <w:tcW w:w="1968" w:type="pct"/>
                  <w:shd w:val="clear" w:color="auto" w:fill="auto"/>
                  <w:noWrap w:val="0"/>
                  <w:vAlign w:val="center"/>
                </w:tcPr>
                <w:p w14:paraId="2DFA7B89">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本项目位于</w:t>
                  </w:r>
                  <w:r>
                    <w:rPr>
                      <w:rFonts w:hint="eastAsia"/>
                      <w:color w:val="000000" w:themeColor="text1"/>
                      <w:kern w:val="0"/>
                      <w:szCs w:val="21"/>
                      <w:highlight w:val="none"/>
                      <w14:textFill>
                        <w14:solidFill>
                          <w14:schemeClr w14:val="tx1"/>
                        </w14:solidFill>
                      </w14:textFill>
                    </w:rPr>
                    <w:t>昌吉高新技术产业开发区</w:t>
                  </w:r>
                  <w:r>
                    <w:rPr>
                      <w:color w:val="000000" w:themeColor="text1"/>
                      <w:kern w:val="0"/>
                      <w:szCs w:val="21"/>
                      <w:highlight w:val="none"/>
                      <w14:textFill>
                        <w14:solidFill>
                          <w14:schemeClr w14:val="tx1"/>
                        </w14:solidFill>
                      </w14:textFill>
                    </w:rPr>
                    <w:t>，评价范围内无自然保护区、风景旅游区、文物保护区及珍稀动物保护区等敏感因素，不涉及生态保护红线。</w:t>
                  </w:r>
                </w:p>
              </w:tc>
              <w:tc>
                <w:tcPr>
                  <w:tcW w:w="217" w:type="pct"/>
                  <w:shd w:val="clear" w:color="auto" w:fill="auto"/>
                  <w:noWrap w:val="0"/>
                  <w:vAlign w:val="center"/>
                </w:tcPr>
                <w:p w14:paraId="1197D2B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03E0A8E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172" w:hRule="atLeast"/>
              </w:trPr>
              <w:tc>
                <w:tcPr>
                  <w:tcW w:w="360" w:type="pct"/>
                  <w:vMerge w:val="continue"/>
                  <w:shd w:val="clear" w:color="auto" w:fill="auto"/>
                  <w:noWrap w:val="0"/>
                  <w:vAlign w:val="center"/>
                </w:tcPr>
                <w:p w14:paraId="7F7A25E2">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5C452495">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A1.2限制开发建设的活动</w:t>
                  </w:r>
                </w:p>
              </w:tc>
              <w:tc>
                <w:tcPr>
                  <w:tcW w:w="1804" w:type="pct"/>
                  <w:shd w:val="clear" w:color="auto" w:fill="auto"/>
                  <w:noWrap w:val="0"/>
                  <w:vAlign w:val="center"/>
                </w:tcPr>
                <w:p w14:paraId="442E041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〔A1.2-1〕严格控制缺水地区、水污染严重区域和敏感区域高耗水、高污染行业发展。</w:t>
                  </w:r>
                </w:p>
              </w:tc>
              <w:tc>
                <w:tcPr>
                  <w:tcW w:w="1968" w:type="pct"/>
                  <w:shd w:val="clear" w:color="auto" w:fill="auto"/>
                  <w:noWrap w:val="0"/>
                  <w:vAlign w:val="center"/>
                </w:tcPr>
                <w:p w14:paraId="26DE960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本项目不属于高耗水、高污染项目。</w:t>
                  </w:r>
                </w:p>
              </w:tc>
              <w:tc>
                <w:tcPr>
                  <w:tcW w:w="217" w:type="pct"/>
                  <w:shd w:val="clear" w:color="auto" w:fill="auto"/>
                  <w:noWrap w:val="0"/>
                  <w:vAlign w:val="center"/>
                </w:tcPr>
                <w:p w14:paraId="286C8105">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3E9DB49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918" w:hRule="atLeast"/>
              </w:trPr>
              <w:tc>
                <w:tcPr>
                  <w:tcW w:w="360" w:type="pct"/>
                  <w:vMerge w:val="continue"/>
                  <w:shd w:val="clear" w:color="auto" w:fill="auto"/>
                  <w:noWrap w:val="0"/>
                  <w:vAlign w:val="center"/>
                </w:tcPr>
                <w:p w14:paraId="49C028A7">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4616EEA6">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76670F8C">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968" w:type="pct"/>
                  <w:shd w:val="clear" w:color="auto" w:fill="auto"/>
                  <w:noWrap w:val="0"/>
                  <w:vAlign w:val="center"/>
                </w:tcPr>
                <w:p w14:paraId="04ADBD2C">
                  <w:pPr>
                    <w:autoSpaceDE w:val="0"/>
                    <w:autoSpaceDN w:val="0"/>
                    <w:adjustRightInd w:val="0"/>
                    <w:snapToGrid w:val="0"/>
                    <w:jc w:val="center"/>
                    <w:rPr>
                      <w:rFonts w:hint="eastAsia"/>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w:t>
                  </w:r>
                  <w:r>
                    <w:rPr>
                      <w:rFonts w:hint="eastAsia"/>
                      <w:color w:val="000000" w:themeColor="text1"/>
                      <w:kern w:val="0"/>
                      <w:szCs w:val="21"/>
                      <w:highlight w:val="none"/>
                      <w:lang w:val="en-US" w:eastAsia="zh-CN"/>
                      <w14:textFill>
                        <w14:solidFill>
                          <w14:schemeClr w14:val="tx1"/>
                        </w14:solidFill>
                      </w14:textFill>
                    </w:rPr>
                    <w:t>不占用永久基本农田、不占用</w:t>
                  </w:r>
                  <w:r>
                    <w:rPr>
                      <w:color w:val="000000" w:themeColor="text1"/>
                      <w:kern w:val="0"/>
                      <w:szCs w:val="21"/>
                      <w:highlight w:val="none"/>
                      <w14:textFill>
                        <w14:solidFill>
                          <w14:schemeClr w14:val="tx1"/>
                        </w14:solidFill>
                      </w14:textFill>
                    </w:rPr>
                    <w:t>耕地、林地或草地</w:t>
                  </w:r>
                  <w:r>
                    <w:rPr>
                      <w:rFonts w:hint="eastAsia"/>
                      <w:color w:val="000000" w:themeColor="text1"/>
                      <w:kern w:val="0"/>
                      <w:szCs w:val="21"/>
                      <w:highlight w:val="none"/>
                      <w14:textFill>
                        <w14:solidFill>
                          <w14:schemeClr w14:val="tx1"/>
                        </w14:solidFill>
                      </w14:textFill>
                    </w:rPr>
                    <w:t>。</w:t>
                  </w:r>
                </w:p>
              </w:tc>
              <w:tc>
                <w:tcPr>
                  <w:tcW w:w="217" w:type="pct"/>
                  <w:shd w:val="clear" w:color="auto" w:fill="auto"/>
                  <w:noWrap w:val="0"/>
                  <w:vAlign w:val="center"/>
                </w:tcPr>
                <w:p w14:paraId="77763BE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0B4EB5F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868" w:hRule="atLeast"/>
              </w:trPr>
              <w:tc>
                <w:tcPr>
                  <w:tcW w:w="360" w:type="pct"/>
                  <w:vMerge w:val="continue"/>
                  <w:shd w:val="clear" w:color="auto" w:fill="auto"/>
                  <w:noWrap w:val="0"/>
                  <w:vAlign w:val="center"/>
                </w:tcPr>
                <w:p w14:paraId="564C63BA">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7A35A648">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A1.3不符合空间布局要求活动的退出要求</w:t>
                  </w:r>
                </w:p>
              </w:tc>
              <w:tc>
                <w:tcPr>
                  <w:tcW w:w="1804" w:type="pct"/>
                  <w:shd w:val="clear" w:color="auto" w:fill="auto"/>
                  <w:noWrap w:val="0"/>
                  <w:vAlign w:val="center"/>
                </w:tcPr>
                <w:p w14:paraId="5F8CA525">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〔A1.3-1〕任何单位和个人不得在水源涵养区、饮用水水源保护区内和河流、湖泊、水库周围建设重化工、涉重金属等工业污染项目；对已建成的工业污染项目，当地人民政府应当组织限期搬迁。</w:t>
                  </w:r>
                </w:p>
              </w:tc>
              <w:tc>
                <w:tcPr>
                  <w:tcW w:w="1968" w:type="pct"/>
                  <w:shd w:val="clear" w:color="auto" w:fill="auto"/>
                  <w:noWrap w:val="0"/>
                  <w:vAlign w:val="center"/>
                </w:tcPr>
                <w:p w14:paraId="4BB2C68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本项目位于</w:t>
                  </w:r>
                  <w:r>
                    <w:rPr>
                      <w:rFonts w:hint="eastAsia"/>
                      <w:color w:val="000000" w:themeColor="text1"/>
                      <w:kern w:val="0"/>
                      <w:szCs w:val="21"/>
                      <w:highlight w:val="none"/>
                      <w14:textFill>
                        <w14:solidFill>
                          <w14:schemeClr w14:val="tx1"/>
                        </w14:solidFill>
                      </w14:textFill>
                    </w:rPr>
                    <w:t>昌吉高新技术产业开发区</w:t>
                  </w:r>
                  <w:r>
                    <w:rPr>
                      <w:color w:val="000000" w:themeColor="text1"/>
                      <w:kern w:val="0"/>
                      <w:szCs w:val="21"/>
                      <w:highlight w:val="none"/>
                      <w14:textFill>
                        <w14:solidFill>
                          <w14:schemeClr w14:val="tx1"/>
                        </w14:solidFill>
                      </w14:textFill>
                    </w:rPr>
                    <w:t>，评价范围内无自然保护区、风景旅游区、文物保护区及珍稀动物保护区等敏感因素，不涉及生态保护红线。</w:t>
                  </w:r>
                </w:p>
              </w:tc>
              <w:tc>
                <w:tcPr>
                  <w:tcW w:w="217" w:type="pct"/>
                  <w:shd w:val="clear" w:color="auto" w:fill="auto"/>
                  <w:noWrap w:val="0"/>
                  <w:vAlign w:val="center"/>
                </w:tcPr>
                <w:p w14:paraId="533F8B1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1E81457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197" w:hRule="atLeast"/>
              </w:trPr>
              <w:tc>
                <w:tcPr>
                  <w:tcW w:w="360" w:type="pct"/>
                  <w:vMerge w:val="continue"/>
                  <w:shd w:val="clear" w:color="auto" w:fill="auto"/>
                  <w:noWrap w:val="0"/>
                  <w:vAlign w:val="center"/>
                </w:tcPr>
                <w:p w14:paraId="056B35E3">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498590A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2769066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〔A1.3-2〕对不符合国家产业政策、严重污染水环境的生产项目全部予以取缔。</w:t>
                  </w:r>
                </w:p>
              </w:tc>
              <w:tc>
                <w:tcPr>
                  <w:tcW w:w="1968" w:type="pct"/>
                  <w:shd w:val="clear" w:color="auto" w:fill="auto"/>
                  <w:noWrap w:val="0"/>
                  <w:vAlign w:val="center"/>
                </w:tcPr>
                <w:p w14:paraId="24F36D7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本项目不属于高耗水、高污染项目。</w:t>
                  </w:r>
                </w:p>
              </w:tc>
              <w:tc>
                <w:tcPr>
                  <w:tcW w:w="217" w:type="pct"/>
                  <w:shd w:val="clear" w:color="auto" w:fill="auto"/>
                  <w:noWrap w:val="0"/>
                  <w:vAlign w:val="center"/>
                </w:tcPr>
                <w:p w14:paraId="7750EAC0">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29E0796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 w:hRule="atLeast"/>
              </w:trPr>
              <w:tc>
                <w:tcPr>
                  <w:tcW w:w="360" w:type="pct"/>
                  <w:vMerge w:val="continue"/>
                  <w:shd w:val="clear" w:color="auto" w:fill="auto"/>
                  <w:noWrap w:val="0"/>
                  <w:vAlign w:val="center"/>
                </w:tcPr>
                <w:p w14:paraId="711245E5">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62425DE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A1.4其他布局要求</w:t>
                  </w:r>
                </w:p>
              </w:tc>
              <w:tc>
                <w:tcPr>
                  <w:tcW w:w="1804" w:type="pct"/>
                  <w:shd w:val="clear" w:color="auto" w:fill="auto"/>
                  <w:noWrap w:val="0"/>
                  <w:vAlign w:val="center"/>
                </w:tcPr>
                <w:p w14:paraId="487712D0">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968" w:type="pct"/>
                  <w:vMerge w:val="restart"/>
                  <w:shd w:val="clear" w:color="auto" w:fill="auto"/>
                  <w:noWrap w:val="0"/>
                  <w:vAlign w:val="center"/>
                </w:tcPr>
                <w:p w14:paraId="66C174C9">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本项目位于</w:t>
                  </w:r>
                  <w:r>
                    <w:rPr>
                      <w:rFonts w:hint="eastAsia"/>
                      <w:color w:val="000000" w:themeColor="text1"/>
                      <w:kern w:val="0"/>
                      <w:szCs w:val="21"/>
                      <w:highlight w:val="none"/>
                      <w14:textFill>
                        <w14:solidFill>
                          <w14:schemeClr w14:val="tx1"/>
                        </w14:solidFill>
                      </w14:textFill>
                    </w:rPr>
                    <w:t>昌吉高新技术产业开发区</w:t>
                  </w:r>
                  <w:r>
                    <w:rPr>
                      <w:color w:val="000000" w:themeColor="text1"/>
                      <w:kern w:val="0"/>
                      <w:szCs w:val="21"/>
                      <w:highlight w:val="none"/>
                      <w14:textFill>
                        <w14:solidFill>
                          <w14:schemeClr w14:val="tx1"/>
                        </w14:solidFill>
                      </w14:textFill>
                    </w:rPr>
                    <w:t>，符合国民经济发展规划</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国土空间规划等</w:t>
                  </w:r>
                  <w:r>
                    <w:rPr>
                      <w:rFonts w:hint="eastAsia"/>
                      <w:color w:val="000000" w:themeColor="text1"/>
                      <w:kern w:val="0"/>
                      <w:szCs w:val="21"/>
                      <w:highlight w:val="none"/>
                      <w14:textFill>
                        <w14:solidFill>
                          <w14:schemeClr w14:val="tx1"/>
                        </w14:solidFill>
                      </w14:textFill>
                    </w:rPr>
                    <w:t>相关</w:t>
                  </w:r>
                  <w:r>
                    <w:rPr>
                      <w:color w:val="000000" w:themeColor="text1"/>
                      <w:kern w:val="0"/>
                      <w:szCs w:val="21"/>
                      <w:highlight w:val="none"/>
                      <w14:textFill>
                        <w14:solidFill>
                          <w14:schemeClr w14:val="tx1"/>
                        </w14:solidFill>
                      </w14:textFill>
                    </w:rPr>
                    <w:t>要求。</w:t>
                  </w:r>
                </w:p>
              </w:tc>
              <w:tc>
                <w:tcPr>
                  <w:tcW w:w="217" w:type="pct"/>
                  <w:shd w:val="clear" w:color="auto" w:fill="auto"/>
                  <w:noWrap w:val="0"/>
                  <w:vAlign w:val="center"/>
                </w:tcPr>
                <w:p w14:paraId="5963DC83">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162EF53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741" w:hRule="atLeast"/>
              </w:trPr>
              <w:tc>
                <w:tcPr>
                  <w:tcW w:w="360" w:type="pct"/>
                  <w:vMerge w:val="continue"/>
                  <w:shd w:val="clear" w:color="auto" w:fill="auto"/>
                  <w:noWrap w:val="0"/>
                  <w:vAlign w:val="center"/>
                </w:tcPr>
                <w:p w14:paraId="3D50350D">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576165EF">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4A67B93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〔A1.4-2〕新建、扩建石化、化工、焦化、有色金属冶炼、平板玻璃项目应布设在依法合规设立并经规划环评的产业园区。</w:t>
                  </w:r>
                </w:p>
              </w:tc>
              <w:tc>
                <w:tcPr>
                  <w:tcW w:w="1968" w:type="pct"/>
                  <w:vMerge w:val="continue"/>
                  <w:shd w:val="clear" w:color="auto" w:fill="auto"/>
                  <w:noWrap w:val="0"/>
                  <w:vAlign w:val="center"/>
                </w:tcPr>
                <w:p w14:paraId="0536F65F">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217" w:type="pct"/>
                  <w:shd w:val="clear" w:color="auto" w:fill="auto"/>
                  <w:noWrap w:val="0"/>
                  <w:vAlign w:val="center"/>
                </w:tcPr>
                <w:p w14:paraId="624B5748">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40D469E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856" w:hRule="atLeast"/>
              </w:trPr>
              <w:tc>
                <w:tcPr>
                  <w:tcW w:w="360" w:type="pct"/>
                  <w:vMerge w:val="restart"/>
                  <w:shd w:val="clear" w:color="auto" w:fill="auto"/>
                  <w:noWrap w:val="0"/>
                  <w:vAlign w:val="center"/>
                </w:tcPr>
                <w:p w14:paraId="40226F79">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A2污染物排放管控</w:t>
                  </w:r>
                </w:p>
              </w:tc>
              <w:tc>
                <w:tcPr>
                  <w:tcW w:w="648" w:type="pct"/>
                  <w:shd w:val="clear" w:color="auto" w:fill="auto"/>
                  <w:noWrap w:val="0"/>
                  <w:vAlign w:val="center"/>
                </w:tcPr>
                <w:p w14:paraId="547E96F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A2.1污染物削减/替代要求</w:t>
                  </w:r>
                </w:p>
              </w:tc>
              <w:tc>
                <w:tcPr>
                  <w:tcW w:w="1804" w:type="pct"/>
                  <w:shd w:val="clear" w:color="auto" w:fill="auto"/>
                  <w:noWrap w:val="0"/>
                  <w:vAlign w:val="center"/>
                </w:tcPr>
                <w:p w14:paraId="3B99C04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〔A2.1-1〕新、改、扩建重点行业建设项目应符合</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三线一单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、产业政策、区域环评、规划环评和行业环境准入管控要求。重点区域的新、改、扩建重点行业建设项目应遵循重点重金属污染物排放</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减量替代</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原则。</w:t>
                  </w:r>
                </w:p>
              </w:tc>
              <w:tc>
                <w:tcPr>
                  <w:tcW w:w="1968" w:type="pct"/>
                  <w:shd w:val="clear" w:color="auto" w:fill="auto"/>
                  <w:noWrap w:val="0"/>
                  <w:vAlign w:val="center"/>
                </w:tcPr>
                <w:p w14:paraId="39E3B1A2">
                  <w:pPr>
                    <w:autoSpaceDE w:val="0"/>
                    <w:autoSpaceDN w:val="0"/>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color w:val="000000" w:themeColor="text1"/>
                      <w:kern w:val="0"/>
                      <w:szCs w:val="21"/>
                      <w:highlight w:val="none"/>
                      <w14:textFill>
                        <w14:solidFill>
                          <w14:schemeClr w14:val="tx1"/>
                        </w14:solidFill>
                      </w14:textFill>
                    </w:rPr>
                    <w:t>本项目废气污染物严格执行污染物</w:t>
                  </w:r>
                  <w:r>
                    <w:rPr>
                      <w:rFonts w:hint="eastAsia"/>
                      <w:color w:val="000000" w:themeColor="text1"/>
                      <w:kern w:val="0"/>
                      <w:szCs w:val="21"/>
                      <w:highlight w:val="none"/>
                      <w14:textFill>
                        <w14:solidFill>
                          <w14:schemeClr w14:val="tx1"/>
                        </w14:solidFill>
                      </w14:textFill>
                    </w:rPr>
                    <w:t>倍量</w:t>
                  </w:r>
                  <w:r>
                    <w:rPr>
                      <w:color w:val="000000" w:themeColor="text1"/>
                      <w:kern w:val="0"/>
                      <w:szCs w:val="21"/>
                      <w:highlight w:val="none"/>
                      <w14:textFill>
                        <w14:solidFill>
                          <w14:schemeClr w14:val="tx1"/>
                        </w14:solidFill>
                      </w14:textFill>
                    </w:rPr>
                    <w:t>替代要求</w:t>
                  </w: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不涉及重点重金属污染物的排放。</w:t>
                  </w:r>
                </w:p>
              </w:tc>
              <w:tc>
                <w:tcPr>
                  <w:tcW w:w="217" w:type="pct"/>
                  <w:shd w:val="clear" w:color="auto" w:fill="auto"/>
                  <w:noWrap w:val="0"/>
                  <w:vAlign w:val="center"/>
                </w:tcPr>
                <w:p w14:paraId="51F5901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1F195A0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71" w:hRule="atLeast"/>
              </w:trPr>
              <w:tc>
                <w:tcPr>
                  <w:tcW w:w="360" w:type="pct"/>
                  <w:vMerge w:val="continue"/>
                  <w:shd w:val="clear" w:color="auto" w:fill="auto"/>
                  <w:noWrap w:val="0"/>
                  <w:vAlign w:val="center"/>
                </w:tcPr>
                <w:p w14:paraId="44CC09C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22FD717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A2.2污染控制措施要求</w:t>
                  </w:r>
                </w:p>
              </w:tc>
              <w:tc>
                <w:tcPr>
                  <w:tcW w:w="1804" w:type="pct"/>
                  <w:shd w:val="clear" w:color="auto" w:fill="auto"/>
                  <w:noWrap w:val="0"/>
                  <w:vAlign w:val="center"/>
                </w:tcPr>
                <w:p w14:paraId="2404491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1968" w:type="pct"/>
                  <w:vMerge w:val="restart"/>
                  <w:shd w:val="clear" w:color="auto" w:fill="auto"/>
                  <w:noWrap w:val="0"/>
                  <w:vAlign w:val="center"/>
                </w:tcPr>
                <w:p w14:paraId="1DB7B886">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本项目大气严格执行特别排放限值。</w:t>
                  </w:r>
                </w:p>
              </w:tc>
              <w:tc>
                <w:tcPr>
                  <w:tcW w:w="217" w:type="pct"/>
                  <w:shd w:val="clear" w:color="auto" w:fill="auto"/>
                  <w:noWrap w:val="0"/>
                  <w:vAlign w:val="center"/>
                </w:tcPr>
                <w:p w14:paraId="3CC09A87">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5D5256E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971" w:hRule="atLeast"/>
              </w:trPr>
              <w:tc>
                <w:tcPr>
                  <w:tcW w:w="360" w:type="pct"/>
                  <w:vMerge w:val="continue"/>
                  <w:shd w:val="clear" w:color="auto" w:fill="auto"/>
                  <w:noWrap w:val="0"/>
                  <w:vAlign w:val="center"/>
                </w:tcPr>
                <w:p w14:paraId="70DF32F3">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2ACEB583">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3C275A8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大宗货物</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公转铁</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、柴油货车治理、锅炉炉窑综合治理等工程项目。全面推行绿色施工，持续推动城市建成区重污染企业搬迁或关闭退出</w:t>
                  </w:r>
                </w:p>
              </w:tc>
              <w:tc>
                <w:tcPr>
                  <w:tcW w:w="1968" w:type="pct"/>
                  <w:vMerge w:val="continue"/>
                  <w:shd w:val="clear" w:color="auto" w:fill="auto"/>
                  <w:noWrap w:val="0"/>
                  <w:vAlign w:val="center"/>
                </w:tcPr>
                <w:p w14:paraId="3A19A848">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217" w:type="pct"/>
                  <w:shd w:val="clear" w:color="auto" w:fill="auto"/>
                  <w:noWrap w:val="0"/>
                  <w:vAlign w:val="center"/>
                </w:tcPr>
                <w:p w14:paraId="3939C004">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75E0FB8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646" w:hRule="atLeast"/>
              </w:trPr>
              <w:tc>
                <w:tcPr>
                  <w:tcW w:w="360" w:type="pct"/>
                  <w:shd w:val="clear" w:color="auto" w:fill="auto"/>
                  <w:noWrap w:val="0"/>
                  <w:vAlign w:val="center"/>
                </w:tcPr>
                <w:p w14:paraId="7168A32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A3环境风险防控</w:t>
                  </w:r>
                </w:p>
              </w:tc>
              <w:tc>
                <w:tcPr>
                  <w:tcW w:w="648" w:type="pct"/>
                  <w:shd w:val="clear" w:color="auto" w:fill="auto"/>
                  <w:noWrap w:val="0"/>
                  <w:vAlign w:val="center"/>
                </w:tcPr>
                <w:p w14:paraId="6CB81AD7">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A3.2联防联控要求</w:t>
                  </w:r>
                </w:p>
              </w:tc>
              <w:tc>
                <w:tcPr>
                  <w:tcW w:w="1804" w:type="pct"/>
                  <w:shd w:val="clear" w:color="auto" w:fill="auto"/>
                  <w:noWrap w:val="0"/>
                  <w:vAlign w:val="center"/>
                </w:tcPr>
                <w:p w14:paraId="6C14295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污</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tc>
              <w:tc>
                <w:tcPr>
                  <w:tcW w:w="1968" w:type="pct"/>
                  <w:shd w:val="clear" w:color="auto" w:fill="auto"/>
                  <w:noWrap w:val="0"/>
                  <w:vAlign w:val="center"/>
                </w:tcPr>
                <w:p w14:paraId="18D3B29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本项目排放的污染物严格执行相关污染物排放标准。</w:t>
                  </w:r>
                </w:p>
              </w:tc>
              <w:tc>
                <w:tcPr>
                  <w:tcW w:w="217" w:type="pct"/>
                  <w:shd w:val="clear" w:color="auto" w:fill="auto"/>
                  <w:noWrap w:val="0"/>
                  <w:vAlign w:val="center"/>
                </w:tcPr>
                <w:p w14:paraId="217D573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5C1CB26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01" w:hRule="atLeast"/>
              </w:trPr>
              <w:tc>
                <w:tcPr>
                  <w:tcW w:w="360" w:type="pct"/>
                  <w:vMerge w:val="restart"/>
                  <w:shd w:val="clear" w:color="auto" w:fill="auto"/>
                  <w:noWrap w:val="0"/>
                  <w:vAlign w:val="center"/>
                </w:tcPr>
                <w:p w14:paraId="2CF974D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A4资源利用要求</w:t>
                  </w:r>
                </w:p>
              </w:tc>
              <w:tc>
                <w:tcPr>
                  <w:tcW w:w="648" w:type="pct"/>
                  <w:shd w:val="clear" w:color="auto" w:fill="auto"/>
                  <w:noWrap w:val="0"/>
                  <w:vAlign w:val="center"/>
                </w:tcPr>
                <w:p w14:paraId="1A9CC178">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A4.4禁燃区要求</w:t>
                  </w:r>
                </w:p>
              </w:tc>
              <w:tc>
                <w:tcPr>
                  <w:tcW w:w="1804" w:type="pct"/>
                  <w:shd w:val="clear" w:color="auto" w:fill="auto"/>
                  <w:noWrap w:val="0"/>
                  <w:vAlign w:val="center"/>
                </w:tcPr>
                <w:p w14:paraId="5F7D5B0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〔A4.4-1〕在禁燃区内，禁止销售、燃用高污染燃料</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禁止新建、扩建燃用高污染燃料的设施。已建成的，应当在规定期限内改用清洁能源。</w:t>
                  </w:r>
                </w:p>
              </w:tc>
              <w:tc>
                <w:tcPr>
                  <w:tcW w:w="1968" w:type="pct"/>
                  <w:shd w:val="clear" w:color="auto" w:fill="auto"/>
                  <w:noWrap w:val="0"/>
                  <w:vAlign w:val="center"/>
                </w:tcPr>
                <w:p w14:paraId="57CC8947">
                  <w:pPr>
                    <w:autoSpaceDE w:val="0"/>
                    <w:autoSpaceDN w:val="0"/>
                    <w:adjustRightInd w:val="0"/>
                    <w:snapToGrid w:val="0"/>
                    <w:jc w:val="center"/>
                    <w:rPr>
                      <w:rFonts w:hint="eastAsia"/>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本项目不使用高污染燃料的设备</w:t>
                  </w:r>
                  <w:r>
                    <w:rPr>
                      <w:rFonts w:hint="eastAsia"/>
                      <w:color w:val="000000" w:themeColor="text1"/>
                      <w:kern w:val="0"/>
                      <w:szCs w:val="21"/>
                      <w:highlight w:val="none"/>
                      <w14:textFill>
                        <w14:solidFill>
                          <w14:schemeClr w14:val="tx1"/>
                        </w14:solidFill>
                      </w14:textFill>
                    </w:rPr>
                    <w:t>。</w:t>
                  </w:r>
                </w:p>
              </w:tc>
              <w:tc>
                <w:tcPr>
                  <w:tcW w:w="217" w:type="pct"/>
                  <w:shd w:val="clear" w:color="auto" w:fill="auto"/>
                  <w:noWrap w:val="0"/>
                  <w:vAlign w:val="center"/>
                </w:tcPr>
                <w:p w14:paraId="73A9FCD0">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52C6B2E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543" w:hRule="atLeast"/>
              </w:trPr>
              <w:tc>
                <w:tcPr>
                  <w:tcW w:w="360" w:type="pct"/>
                  <w:vMerge w:val="continue"/>
                  <w:tcBorders>
                    <w:bottom w:val="single" w:color="000000" w:sz="12" w:space="0"/>
                  </w:tcBorders>
                  <w:shd w:val="clear" w:color="auto" w:fill="auto"/>
                  <w:noWrap w:val="0"/>
                  <w:vAlign w:val="center"/>
                </w:tcPr>
                <w:p w14:paraId="4653689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tcBorders>
                    <w:bottom w:val="single" w:color="000000" w:sz="12" w:space="0"/>
                  </w:tcBorders>
                  <w:shd w:val="clear" w:color="auto" w:fill="auto"/>
                  <w:noWrap w:val="0"/>
                  <w:vAlign w:val="center"/>
                </w:tcPr>
                <w:p w14:paraId="2A0CD42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A4.5资源综合利用</w:t>
                  </w:r>
                </w:p>
              </w:tc>
              <w:tc>
                <w:tcPr>
                  <w:tcW w:w="1804" w:type="pct"/>
                  <w:tcBorders>
                    <w:bottom w:val="single" w:color="000000" w:sz="12" w:space="0"/>
                  </w:tcBorders>
                  <w:shd w:val="clear" w:color="auto" w:fill="auto"/>
                  <w:noWrap w:val="0"/>
                  <w:vAlign w:val="center"/>
                </w:tcPr>
                <w:p w14:paraId="540174A6">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逆向回收</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市</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生活垃圾处理设施，到2025年，全疆城市生活垃圾无害化处理率达到99%以上。</w:t>
                  </w:r>
                </w:p>
              </w:tc>
              <w:tc>
                <w:tcPr>
                  <w:tcW w:w="1968" w:type="pct"/>
                  <w:tcBorders>
                    <w:bottom w:val="single" w:color="000000" w:sz="12" w:space="0"/>
                  </w:tcBorders>
                  <w:shd w:val="clear" w:color="auto" w:fill="auto"/>
                  <w:noWrap w:val="0"/>
                  <w:vAlign w:val="center"/>
                </w:tcPr>
                <w:p w14:paraId="551B06D1">
                  <w:pPr>
                    <w:autoSpaceDE w:val="0"/>
                    <w:autoSpaceDN w:val="0"/>
                    <w:adjustRightInd w:val="0"/>
                    <w:snapToGrid w:val="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本项目一期工程一般工业固废：①废包装物集中收集至厂内原有一般固废贮存间内，定期外售于废品回收站；②外沉池底泥含有硅相，经收集后回用于生产线；③废布袋定期由厂家更换回收</w:t>
                  </w:r>
                  <w:r>
                    <w:rPr>
                      <w:rFonts w:hint="eastAsia" w:cs="Times New Roman"/>
                      <w:color w:val="000000" w:themeColor="text1"/>
                      <w:w w:val="100"/>
                      <w:position w:val="0"/>
                      <w:sz w:val="21"/>
                      <w:szCs w:val="21"/>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2988CDC3">
                  <w:pPr>
                    <w:autoSpaceDE w:val="0"/>
                    <w:autoSpaceDN w:val="0"/>
                    <w:adjustRightInd w:val="0"/>
                    <w:snapToGrid w:val="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w:t>
                  </w:r>
                  <w:r>
                    <w:rPr>
                      <w:rFonts w:hint="eastAsia" w:cs="Times New Roman"/>
                      <w:color w:val="000000" w:themeColor="text1"/>
                      <w:w w:val="100"/>
                      <w:position w:val="0"/>
                      <w:sz w:val="21"/>
                      <w:szCs w:val="21"/>
                      <w:highlight w:val="none"/>
                      <w:lang w:val="en-US" w:eastAsia="zh-CN"/>
                      <w14:textFill>
                        <w14:solidFill>
                          <w14:schemeClr w14:val="tx1"/>
                        </w14:solidFill>
                      </w14:textFill>
                    </w:rPr>
                    <w:t>定期交由有资质单位</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进行处置。②废醇基燃料吨桶暂存至危险废物贮存点内，</w:t>
                  </w:r>
                  <w:r>
                    <w:rPr>
                      <w:rFonts w:hint="eastAsia" w:cs="Times New Roman"/>
                      <w:color w:val="000000" w:themeColor="text1"/>
                      <w:w w:val="100"/>
                      <w:position w:val="0"/>
                      <w:sz w:val="21"/>
                      <w:szCs w:val="21"/>
                      <w:highlight w:val="none"/>
                      <w:lang w:val="en-US" w:eastAsia="zh-CN"/>
                      <w14:textFill>
                        <w14:solidFill>
                          <w14:schemeClr w14:val="tx1"/>
                        </w14:solidFill>
                      </w14:textFill>
                    </w:rPr>
                    <w:t>每日交由厂家回收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cs="Times New Roman"/>
                      <w:color w:val="000000" w:themeColor="text1"/>
                      <w:w w:val="100"/>
                      <w:position w:val="0"/>
                      <w:sz w:val="21"/>
                      <w:szCs w:val="21"/>
                      <w:highlight w:val="none"/>
                      <w:lang w:val="en-US" w:eastAsia="zh-CN"/>
                      <w14:textFill>
                        <w14:solidFill>
                          <w14:schemeClr w14:val="tx1"/>
                        </w14:solidFill>
                      </w14:textFill>
                    </w:rPr>
                    <w:t>处置</w:t>
                  </w:r>
                </w:p>
                <w:p w14:paraId="3EFED17D">
                  <w:pPr>
                    <w:autoSpaceDE w:val="0"/>
                    <w:autoSpaceDN w:val="0"/>
                    <w:adjustRightInd w:val="0"/>
                    <w:snapToGrid w:val="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cs="Times New Roman"/>
                      <w:color w:val="000000" w:themeColor="text1"/>
                      <w:w w:val="100"/>
                      <w:position w:val="0"/>
                      <w:sz w:val="21"/>
                      <w:szCs w:val="21"/>
                      <w:highlight w:val="none"/>
                      <w:lang w:val="en-US" w:eastAsia="zh-CN"/>
                      <w14:textFill>
                        <w14:solidFill>
                          <w14:schemeClr w14:val="tx1"/>
                        </w14:solidFill>
                      </w14:textFill>
                    </w:rPr>
                    <w:t>废布袋定期由厂家更换回收处理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w:t>
                  </w:r>
                </w:p>
                <w:p w14:paraId="6AB1D46D">
                  <w:pPr>
                    <w:autoSpaceDE w:val="0"/>
                    <w:autoSpaceDN w:val="0"/>
                    <w:adjustRightInd w:val="0"/>
                    <w:snapToGrid w:val="0"/>
                    <w:jc w:val="center"/>
                    <w:rPr>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w:t>
                  </w:r>
                  <w:r>
                    <w:rPr>
                      <w:rFonts w:hint="eastAsia" w:cs="Times New Roman"/>
                      <w:color w:val="000000" w:themeColor="text1"/>
                      <w:w w:val="100"/>
                      <w:position w:val="0"/>
                      <w:sz w:val="21"/>
                      <w:szCs w:val="21"/>
                      <w:highlight w:val="none"/>
                      <w:lang w:val="en-US" w:eastAsia="zh-CN"/>
                      <w14:textFill>
                        <w14:solidFill>
                          <w14:schemeClr w14:val="tx1"/>
                        </w14:solidFill>
                      </w14:textFill>
                    </w:rPr>
                    <w:t>定期交由有资质单位</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进行处置。②废油桶暂存危废贮存点，定期委托资质单位进行处置③浮选药剂包装桶暂存危废贮存点，定期委托资质单位进行处置。</w:t>
                  </w:r>
                </w:p>
              </w:tc>
              <w:tc>
                <w:tcPr>
                  <w:tcW w:w="217" w:type="pct"/>
                  <w:tcBorders>
                    <w:bottom w:val="single" w:color="000000" w:sz="12" w:space="0"/>
                  </w:tcBorders>
                  <w:shd w:val="clear" w:color="auto" w:fill="auto"/>
                  <w:noWrap w:val="0"/>
                  <w:vAlign w:val="center"/>
                </w:tcPr>
                <w:p w14:paraId="06387643">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bl>
          <w:p w14:paraId="49EB3D06">
            <w:pPr>
              <w:autoSpaceDE w:val="0"/>
              <w:autoSpaceDN w:val="0"/>
              <w:adjustRightInd w:val="0"/>
              <w:snapToGrid w:val="0"/>
              <w:spacing w:line="360" w:lineRule="auto"/>
              <w:ind w:firstLine="480" w:firstLineChars="200"/>
              <w:jc w:val="left"/>
              <w:rPr>
                <w:rFonts w:hint="default" w:ascii="Times New Roman" w:hAnsi="Times New Roman" w:cs="Times New Roman"/>
                <w:color w:val="000000" w:themeColor="text1"/>
                <w:spacing w:val="0"/>
                <w:position w:val="0"/>
                <w:sz w:val="24"/>
                <w:highlight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14:textFill>
                  <w14:solidFill>
                    <w14:schemeClr w14:val="tx1"/>
                  </w14:solidFill>
                </w14:textFill>
              </w:rPr>
              <w:t>综上，本项目的建设符合《新疆维吾尔自治区生态环境分区管控动态更新成果》（新环环评发〔2024〕157号）</w:t>
            </w:r>
          </w:p>
          <w:p w14:paraId="1E17F4B2">
            <w:pPr>
              <w:pStyle w:val="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ascii="Times New Roman" w:hAnsi="Times New Roman" w:eastAsia="宋体" w:cs="Times New Roman"/>
                <w:color w:val="000000" w:themeColor="text1"/>
                <w:highlight w:val="none"/>
                <w14:textFill>
                  <w14:solidFill>
                    <w14:schemeClr w14:val="tx1"/>
                  </w14:solidFill>
                </w14:textFill>
              </w:rPr>
              <w:t>与</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关于发布昌吉回族自治州生态环境分区管控动态更新成果的公告</w:t>
            </w:r>
            <w:r>
              <w:rPr>
                <w:rFonts w:hint="default" w:ascii="Times New Roman" w:hAnsi="Times New Roman" w:eastAsia="宋体" w:cs="Times New Roman"/>
                <w:color w:val="000000" w:themeColor="text1"/>
                <w:highlight w:val="none"/>
                <w:lang w:val="en-US" w:eastAsia="zh-CN"/>
                <w14:textFill>
                  <w14:solidFill>
                    <w14:schemeClr w14:val="tx1"/>
                  </w14:solidFill>
                </w14:textFill>
              </w:rPr>
              <w:t>（202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年）》</w:t>
            </w:r>
            <w:r>
              <w:rPr>
                <w:rFonts w:ascii="Times New Roman" w:hAnsi="Times New Roman" w:eastAsia="宋体" w:cs="Times New Roman"/>
                <w:color w:val="000000" w:themeColor="text1"/>
                <w:highlight w:val="none"/>
                <w14:textFill>
                  <w14:solidFill>
                    <w14:schemeClr w14:val="tx1"/>
                  </w14:solidFill>
                </w14:textFill>
              </w:rPr>
              <w:t>的符</w:t>
            </w:r>
            <w:r>
              <w:rPr>
                <w:color w:val="000000" w:themeColor="text1"/>
                <w:highlight w:val="none"/>
                <w14:textFill>
                  <w14:solidFill>
                    <w14:schemeClr w14:val="tx1"/>
                  </w14:solidFill>
                </w14:textFill>
              </w:rPr>
              <w:t>合性分析</w:t>
            </w:r>
          </w:p>
          <w:p w14:paraId="4FF4E218">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textAlignment w:val="auto"/>
              <w:outlineLvl w:val="1"/>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根据</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关于发布昌吉回族自治州生态环境分区管控动态更新成果的公告</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（202</w:t>
            </w:r>
            <w:r>
              <w:rPr>
                <w:rFonts w:hint="eastAsia"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年）》</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，本项目位于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已建车间</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，属于重点管控单元，环境管控单元名称为昌吉市</w:t>
            </w:r>
            <w:r>
              <w:rPr>
                <w:rFonts w:hint="eastAsia" w:cs="Times New Roman"/>
                <w:b w:val="0"/>
                <w:bCs w:val="0"/>
                <w:color w:val="000000" w:themeColor="text1"/>
                <w:sz w:val="24"/>
                <w:szCs w:val="24"/>
                <w:highlight w:val="none"/>
                <w:lang w:val="en-US" w:eastAsia="zh-CN"/>
                <w14:textFill>
                  <w14:solidFill>
                    <w14:schemeClr w14:val="tx1"/>
                  </w14:solidFill>
                </w14:textFill>
              </w:rPr>
              <w:t>建成区</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，编码为</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ZH65230120001</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昌吉回族自治州“三线一单”</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环境管控单元分类图详见附图</w:t>
            </w:r>
            <w:r>
              <w:rPr>
                <w:rFonts w:hint="eastAsia"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6F0AEBB2">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textAlignment w:val="auto"/>
              <w:outlineLvl w:val="1"/>
              <w:rPr>
                <w:rFonts w:ascii="宋体" w:hAnsi="宋体" w:eastAsia="宋体" w:cs="宋体"/>
                <w:b w:val="0"/>
                <w:bCs w:val="0"/>
                <w:color w:val="000000" w:themeColor="text1"/>
                <w:sz w:val="24"/>
                <w:szCs w:val="24"/>
                <w:highlight w:val="none"/>
                <w14:textFill>
                  <w14:solidFill>
                    <w14:schemeClr w14:val="tx1"/>
                  </w14:solidFill>
                </w14:textFill>
              </w:rPr>
            </w:pPr>
            <w:r>
              <w:rPr>
                <w:rFonts w:ascii="宋体" w:hAnsi="宋体" w:eastAsia="宋体" w:cs="宋体"/>
                <w:b w:val="0"/>
                <w:bCs w:val="0"/>
                <w:color w:val="000000" w:themeColor="text1"/>
                <w:sz w:val="24"/>
                <w:szCs w:val="24"/>
                <w:highlight w:val="none"/>
                <w14:textFill>
                  <w14:solidFill>
                    <w14:schemeClr w14:val="tx1"/>
                  </w14:solidFill>
                </w14:textFill>
              </w:rPr>
              <w:t>本项目与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关于发布昌吉回族自治州生态环境分区管控动态更新成果的公告</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（202</w:t>
            </w:r>
            <w:r>
              <w:rPr>
                <w:rFonts w:hint="eastAsia"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年）》</w:t>
            </w:r>
            <w:r>
              <w:rPr>
                <w:rFonts w:ascii="宋体" w:hAnsi="宋体" w:eastAsia="宋体" w:cs="宋体"/>
                <w:b w:val="0"/>
                <w:bCs w:val="0"/>
                <w:color w:val="000000" w:themeColor="text1"/>
                <w:sz w:val="24"/>
                <w:szCs w:val="24"/>
                <w:highlight w:val="none"/>
                <w14:textFill>
                  <w14:solidFill>
                    <w14:schemeClr w14:val="tx1"/>
                  </w14:solidFill>
                </w14:textFill>
              </w:rPr>
              <w:t>的符合性分析见表</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1-</w:t>
            </w:r>
            <w:r>
              <w:rPr>
                <w:rFonts w:hint="eastAsia" w:cs="Times New Roman"/>
                <w:b w:val="0"/>
                <w:bCs w:val="0"/>
                <w:color w:val="000000" w:themeColor="text1"/>
                <w:sz w:val="24"/>
                <w:szCs w:val="24"/>
                <w:highlight w:val="none"/>
                <w:lang w:val="en-US" w:eastAsia="zh-CN"/>
                <w14:textFill>
                  <w14:solidFill>
                    <w14:schemeClr w14:val="tx1"/>
                  </w14:solidFill>
                </w14:textFill>
              </w:rPr>
              <w:t>2</w:t>
            </w:r>
            <w:r>
              <w:rPr>
                <w:rFonts w:ascii="宋体" w:hAnsi="宋体" w:eastAsia="宋体" w:cs="宋体"/>
                <w:b w:val="0"/>
                <w:bCs w:val="0"/>
                <w:color w:val="000000" w:themeColor="text1"/>
                <w:sz w:val="24"/>
                <w:szCs w:val="24"/>
                <w:highlight w:val="none"/>
                <w14:textFill>
                  <w14:solidFill>
                    <w14:schemeClr w14:val="tx1"/>
                  </w14:solidFill>
                </w14:textFill>
              </w:rPr>
              <w:t>。</w:t>
            </w:r>
          </w:p>
          <w:p w14:paraId="5E1C0F7F">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outlineLvl w:val="1"/>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ascii="宋体" w:hAnsi="宋体" w:eastAsia="宋体" w:cs="宋体"/>
                <w:b/>
                <w:bCs/>
                <w:color w:val="000000" w:themeColor="text1"/>
                <w:sz w:val="21"/>
                <w:szCs w:val="21"/>
                <w:highlight w:val="none"/>
                <w14:textFill>
                  <w14:solidFill>
                    <w14:schemeClr w14:val="tx1"/>
                  </w14:solidFill>
                </w14:textFill>
              </w:rPr>
              <w:t>表</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 xml:space="preserve">2  </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本项目与</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《关于发布昌吉回族自治州生态环境分区管控动态更新成果的公告（2025年）》</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的符合性分析</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8"/>
              <w:gridCol w:w="3700"/>
              <w:gridCol w:w="325"/>
            </w:tblGrid>
            <w:tr w14:paraId="173C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46" w:type="pct"/>
                  <w:noWrap w:val="0"/>
                  <w:vAlign w:val="center"/>
                </w:tcPr>
                <w:p w14:paraId="7516B230">
                  <w:pPr>
                    <w:autoSpaceDE w:val="0"/>
                    <w:autoSpaceDN w:val="0"/>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管控要求</w:t>
                  </w:r>
                </w:p>
              </w:tc>
              <w:tc>
                <w:tcPr>
                  <w:tcW w:w="2439" w:type="pct"/>
                  <w:noWrap w:val="0"/>
                  <w:vAlign w:val="center"/>
                </w:tcPr>
                <w:p w14:paraId="513A5B77">
                  <w:pPr>
                    <w:autoSpaceDE w:val="0"/>
                    <w:autoSpaceDN w:val="0"/>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项目情况</w:t>
                  </w:r>
                </w:p>
              </w:tc>
              <w:tc>
                <w:tcPr>
                  <w:tcW w:w="214" w:type="pct"/>
                  <w:noWrap w:val="0"/>
                  <w:vAlign w:val="center"/>
                </w:tcPr>
                <w:p w14:paraId="3581EF1C">
                  <w:pPr>
                    <w:autoSpaceDE w:val="0"/>
                    <w:autoSpaceDN w:val="0"/>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符合性</w:t>
                  </w:r>
                </w:p>
              </w:tc>
            </w:tr>
            <w:tr w14:paraId="4D54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5FD5AA2B">
                  <w:pPr>
                    <w:numPr>
                      <w:ilvl w:val="0"/>
                      <w:numId w:val="0"/>
                    </w:numPr>
                    <w:autoSpaceDE w:val="0"/>
                    <w:autoSpaceDN w:val="0"/>
                    <w:adjustRightInd w:val="0"/>
                    <w:snapToGrid w:val="0"/>
                    <w:spacing w:line="240" w:lineRule="auto"/>
                    <w:ind w:leftChars="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1、城市建成区内不得建设高污染的火电、化工、冶金、造纸、钢铁、建材等工业项目；已经建成的，应当逐步搬迁。</w:t>
                  </w:r>
                </w:p>
                <w:p w14:paraId="7CFB6196">
                  <w:pPr>
                    <w:numPr>
                      <w:ilvl w:val="0"/>
                      <w:numId w:val="0"/>
                    </w:numPr>
                    <w:autoSpaceDE w:val="0"/>
                    <w:autoSpaceDN w:val="0"/>
                    <w:adjustRightInd w:val="0"/>
                    <w:snapToGrid w:val="0"/>
                    <w:spacing w:line="240" w:lineRule="auto"/>
                    <w:ind w:leftChars="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2、推进燃气锅炉低氮燃烧改造和65蒸吨/小时及以上燃煤锅炉超低排放改造，到2024年县级及以上城市建成区基本淘汰35蒸吨/小时及以下的燃煤锅炉，“乌-昌-石”区域基本淘汰65蒸吨/小时以下燃煤锅炉。</w:t>
                  </w:r>
                </w:p>
                <w:p w14:paraId="17099E05">
                  <w:pPr>
                    <w:numPr>
                      <w:ilvl w:val="0"/>
                      <w:numId w:val="0"/>
                    </w:numPr>
                    <w:autoSpaceDE w:val="0"/>
                    <w:autoSpaceDN w:val="0"/>
                    <w:adjustRightInd w:val="0"/>
                    <w:snapToGrid w:val="0"/>
                    <w:spacing w:line="240" w:lineRule="auto"/>
                    <w:ind w:leftChars="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3、禁止在集中供热管网覆盖地区，新建、扩建分散燃煤供热锅炉。</w:t>
                  </w:r>
                </w:p>
                <w:p w14:paraId="4B93A9ED">
                  <w:pPr>
                    <w:numPr>
                      <w:ilvl w:val="0"/>
                      <w:numId w:val="0"/>
                    </w:numPr>
                    <w:autoSpaceDE w:val="0"/>
                    <w:autoSpaceDN w:val="0"/>
                    <w:adjustRightInd w:val="0"/>
                    <w:snapToGrid w:val="0"/>
                    <w:spacing w:line="240" w:lineRule="auto"/>
                    <w:ind w:leftChars="0"/>
                    <w:jc w:val="both"/>
                    <w:rPr>
                      <w:rFonts w:hint="default" w:ascii="Times New Roman" w:hAnsi="Times New Roman" w:cs="Times New Roman"/>
                      <w:color w:val="000000" w:themeColor="text1"/>
                      <w:kern w:val="0"/>
                      <w:szCs w:val="21"/>
                      <w:highlight w:val="none"/>
                      <w:vertAlign w:val="baseli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在居民住宅区等人口密集区域和机关、医院、学校、幼儿园、养老院等其他需要特殊保护的区域及其周边，不得新建、改建和扩建易产生恶臭气体的生产项目，或者从事其他产生恶臭气体的生产经营活动。已建成的，应当逐步搬迁或者升级改造。</w:t>
                  </w:r>
                </w:p>
              </w:tc>
              <w:tc>
                <w:tcPr>
                  <w:tcW w:w="2439" w:type="pct"/>
                  <w:noWrap w:val="0"/>
                  <w:vAlign w:val="center"/>
                </w:tcPr>
                <w:p w14:paraId="3C5CD388">
                  <w:pPr>
                    <w:bidi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1、本项目不属于</w:t>
                  </w:r>
                  <w:r>
                    <w:rPr>
                      <w:rFonts w:hint="eastAsia" w:ascii="宋体" w:hAnsi="宋体" w:eastAsia="宋体" w:cs="宋体"/>
                      <w:color w:val="000000" w:themeColor="text1"/>
                      <w:sz w:val="21"/>
                      <w:szCs w:val="21"/>
                      <w:highlight w:val="none"/>
                      <w14:textFill>
                        <w14:solidFill>
                          <w14:schemeClr w14:val="tx1"/>
                        </w14:solidFill>
                      </w14:textFill>
                    </w:rPr>
                    <w:t>高污染的火电、化工、冶金、造纸、钢铁、建材等工业项目</w:t>
                  </w:r>
                </w:p>
                <w:p w14:paraId="3B3BB495">
                  <w:pPr>
                    <w:pStyle w:val="1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本项目不新建燃煤</w:t>
                  </w:r>
                  <w:r>
                    <w:rPr>
                      <w:rFonts w:hint="eastAsia" w:ascii="宋体" w:hAnsi="宋体" w:eastAsia="宋体" w:cs="宋体"/>
                      <w:color w:val="000000" w:themeColor="text1"/>
                      <w:sz w:val="21"/>
                      <w:szCs w:val="21"/>
                      <w:highlight w:val="none"/>
                      <w14:textFill>
                        <w14:solidFill>
                          <w14:schemeClr w14:val="tx1"/>
                        </w14:solidFill>
                      </w14:textFill>
                    </w:rPr>
                    <w:t>机组</w:t>
                  </w:r>
                </w:p>
                <w:p w14:paraId="36341769">
                  <w:pPr>
                    <w:bidi w:val="0"/>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default" w:ascii="宋体" w:hAnsi="宋体" w:eastAsia="宋体" w:cs="宋体"/>
                      <w:color w:val="000000" w:themeColor="text1"/>
                      <w:sz w:val="21"/>
                      <w:szCs w:val="21"/>
                      <w:highlight w:val="none"/>
                      <w:lang w:val="en-US" w:eastAsia="zh-CN"/>
                      <w14:textFill>
                        <w14:solidFill>
                          <w14:schemeClr w14:val="tx1"/>
                        </w14:solidFill>
                      </w14:textFill>
                    </w:rPr>
                    <w:t>本项目位于昌吉国家高新技术产业开发区建材工业园昌吉市先导工程材料有限责任公司院内，不在居民住宅区等人口密集区域</w:t>
                  </w:r>
                </w:p>
              </w:tc>
              <w:tc>
                <w:tcPr>
                  <w:tcW w:w="214" w:type="pct"/>
                  <w:noWrap w:val="0"/>
                  <w:vAlign w:val="center"/>
                </w:tcPr>
                <w:p w14:paraId="084A44C9">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vertAlign w:val="baseline"/>
                      <w:lang w:val="en-US" w:eastAsia="zh-CN"/>
                      <w14:textFill>
                        <w14:solidFill>
                          <w14:schemeClr w14:val="tx1"/>
                        </w14:solidFill>
                      </w14:textFill>
                    </w:rPr>
                    <w:t>符合</w:t>
                  </w:r>
                </w:p>
              </w:tc>
            </w:tr>
            <w:tr w14:paraId="0E75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1A363A03">
                  <w:pPr>
                    <w:numPr>
                      <w:ilvl w:val="0"/>
                      <w:numId w:val="0"/>
                    </w:numPr>
                    <w:autoSpaceDE w:val="0"/>
                    <w:autoSpaceDN w:val="0"/>
                    <w:adjustRightInd w:val="0"/>
                    <w:snapToGrid w:val="0"/>
                    <w:spacing w:line="240" w:lineRule="auto"/>
                    <w:jc w:val="both"/>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1、新（改、扩）建项目应执行最严格的大气污染物排放标准。</w:t>
                  </w:r>
                </w:p>
                <w:p w14:paraId="23B7113B">
                  <w:pPr>
                    <w:numPr>
                      <w:ilvl w:val="0"/>
                      <w:numId w:val="0"/>
                    </w:numPr>
                    <w:autoSpaceDE w:val="0"/>
                    <w:autoSpaceDN w:val="0"/>
                    <w:adjustRightInd w:val="0"/>
                    <w:snapToGrid w:val="0"/>
                    <w:spacing w:line="240" w:lineRule="auto"/>
                    <w:jc w:val="both"/>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2、向城镇污水集中处理设施排放水污染物，应当达到《污水综合排放标准》（GB 8978-1996）要求。排污许可中另有要求的执行许可的标准限值。</w:t>
                  </w:r>
                </w:p>
                <w:p w14:paraId="3507DDFE">
                  <w:pPr>
                    <w:numPr>
                      <w:ilvl w:val="0"/>
                      <w:numId w:val="0"/>
                    </w:numPr>
                    <w:autoSpaceDE w:val="0"/>
                    <w:autoSpaceDN w:val="0"/>
                    <w:adjustRightInd w:val="0"/>
                    <w:snapToGrid w:val="0"/>
                    <w:spacing w:line="240" w:lineRule="auto"/>
                    <w:jc w:val="both"/>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3、“乌-昌-石”区域内，已实施超低排放的涉气排污单位，其实施超低排放改造的污染因子执行超低排放限值，其他污染因子执行特别排放限值和特别控制要求。</w:t>
                  </w:r>
                </w:p>
                <w:p w14:paraId="3BDE580C">
                  <w:pPr>
                    <w:numPr>
                      <w:ilvl w:val="0"/>
                      <w:numId w:val="0"/>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4、施工工地全面落实“六个百分之百”（施工工地周边围挡、物料堆放覆盖、出入车辆冲洗、施工现场地面硬化、拆迁工地湿法作业、渣土车辆密闭运输）。</w:t>
                  </w:r>
                </w:p>
              </w:tc>
              <w:tc>
                <w:tcPr>
                  <w:tcW w:w="2439" w:type="pct"/>
                  <w:noWrap w:val="0"/>
                  <w:vAlign w:val="center"/>
                </w:tcPr>
                <w:p w14:paraId="063287DB">
                  <w:pPr>
                    <w:numPr>
                      <w:ilvl w:val="0"/>
                      <w:numId w:val="0"/>
                    </w:numPr>
                    <w:autoSpaceDE w:val="0"/>
                    <w:autoSpaceDN w:val="0"/>
                    <w:adjustRightInd w:val="0"/>
                    <w:snapToGrid w:val="0"/>
                    <w:spacing w:line="240" w:lineRule="auto"/>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1、本项目</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执行最严格的大气污染物排放标准</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p w14:paraId="666CE826">
                  <w:pPr>
                    <w:pStyle w:val="10"/>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、本项目锅炉排污水（锅炉排污水+软化处理废水）能够达到《污水综合排放标准》（GB8978-1996）</w:t>
                  </w:r>
                  <w:r>
                    <w:rPr>
                      <w:rFonts w:hint="default" w:ascii="Times New Roman" w:hAnsi="Times New Roman" w:cs="Times New Roman"/>
                      <w:color w:val="000000" w:themeColor="text1"/>
                      <w:highlight w:val="none"/>
                      <w:lang w:val="en-US" w:eastAsia="zh-CN"/>
                      <w14:textFill>
                        <w14:solidFill>
                          <w14:schemeClr w14:val="tx1"/>
                        </w14:solidFill>
                      </w14:textFill>
                    </w:rPr>
                    <w:t>表4中三级排放限值</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p w14:paraId="1EF5AB61">
                  <w:pPr>
                    <w:numPr>
                      <w:ilvl w:val="0"/>
                      <w:numId w:val="0"/>
                    </w:numPr>
                    <w:autoSpaceDE w:val="0"/>
                    <w:autoSpaceDN w:val="0"/>
                    <w:adjustRightInd w:val="0"/>
                    <w:snapToGrid w:val="0"/>
                    <w:spacing w:line="240" w:lineRule="auto"/>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r>
                    <w:rPr>
                      <w:rStyle w:val="32"/>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要求</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烟气黑度≤1级）</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p>
                <w:p w14:paraId="1D5D6ED1">
                  <w:pPr>
                    <w:numPr>
                      <w:ilvl w:val="0"/>
                      <w:numId w:val="0"/>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4</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、本项目</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施工工地全面落实“六个百分之百”（施工工地周边围挡、物料堆放覆盖、出入车辆冲洗、施工现场地面硬化、拆迁工地湿法作业、渣土车辆密闭运输）。</w:t>
                  </w:r>
                </w:p>
              </w:tc>
              <w:tc>
                <w:tcPr>
                  <w:tcW w:w="214" w:type="pct"/>
                  <w:noWrap w:val="0"/>
                  <w:vAlign w:val="center"/>
                </w:tcPr>
                <w:p w14:paraId="3D304993">
                  <w:pPr>
                    <w:autoSpaceDE w:val="0"/>
                    <w:autoSpaceDN w:val="0"/>
                    <w:adjustRightInd w:val="0"/>
                    <w:snapToGrid w:val="0"/>
                    <w:spacing w:line="240" w:lineRule="auto"/>
                    <w:jc w:val="center"/>
                    <w:rPr>
                      <w:rFonts w:hint="default" w:ascii="Times New Roman" w:hAnsi="Times New Roman" w:cs="Times New Roman"/>
                      <w:color w:val="000000" w:themeColor="text1"/>
                      <w:kern w:val="0"/>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vertAlign w:val="baseline"/>
                      <w:lang w:val="en-US" w:eastAsia="zh-CN"/>
                      <w14:textFill>
                        <w14:solidFill>
                          <w14:schemeClr w14:val="tx1"/>
                        </w14:solidFill>
                      </w14:textFill>
                    </w:rPr>
                    <w:t>符合</w:t>
                  </w:r>
                </w:p>
              </w:tc>
            </w:tr>
            <w:tr w14:paraId="7EFB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0E116874">
                  <w:pPr>
                    <w:numPr>
                      <w:ilvl w:val="0"/>
                      <w:numId w:val="0"/>
                    </w:numPr>
                    <w:autoSpaceDE w:val="0"/>
                    <w:autoSpaceDN w:val="0"/>
                    <w:adjustRightInd w:val="0"/>
                    <w:snapToGrid w:val="0"/>
                    <w:spacing w:line="240" w:lineRule="auto"/>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1、严格危险化学品废弃处置。对城镇人口密集区现有不符合安全和卫生防护距离要求的危险化学品生产企业，进行定量风险评估，就地改造达标、搬迁进入规范化工园区或关闭退出。</w:t>
                  </w:r>
                </w:p>
                <w:p w14:paraId="6397C2FA">
                  <w:pPr>
                    <w:numPr>
                      <w:ilvl w:val="0"/>
                      <w:numId w:val="0"/>
                    </w:numPr>
                    <w:autoSpaceDE w:val="0"/>
                    <w:autoSpaceDN w:val="0"/>
                    <w:adjustRightInd w:val="0"/>
                    <w:snapToGrid w:val="0"/>
                    <w:spacing w:line="240" w:lineRule="auto"/>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提升饮用水安全保障水平。以县级及以上集中式饮用水水源地为重点，推进饮用水水源保护区规范化建设，统筹推进备用水源或应急水源建设。强化饮用水水源保护区环境应急管理，完善重大突发环境事件的物资和技术储备。针对汇水区、补给区存在兵地跨界的，建立统一的饮用水水源应急和执法机制，共享应急物资。</w:t>
                  </w:r>
                </w:p>
              </w:tc>
              <w:tc>
                <w:tcPr>
                  <w:tcW w:w="2439" w:type="pct"/>
                  <w:noWrap w:val="0"/>
                  <w:vAlign w:val="center"/>
                </w:tcPr>
                <w:p w14:paraId="598252A8">
                  <w:pPr>
                    <w:autoSpaceDE w:val="0"/>
                    <w:autoSpaceDN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本项目一期工程一般工业固废：①废包装物集中收集至厂内原有一般固废贮存间内，定期外售于废品回收站；②外沉池底泥含有硅相，经收集后回用于生产线；③</w:t>
                  </w:r>
                  <w:r>
                    <w:rPr>
                      <w:rFonts w:hint="eastAsia" w:ascii="宋体" w:hAnsi="宋体" w:cs="宋体"/>
                      <w:color w:val="000000" w:themeColor="text1"/>
                      <w:sz w:val="21"/>
                      <w:szCs w:val="21"/>
                      <w:highlight w:val="none"/>
                      <w:lang w:eastAsia="zh-CN"/>
                      <w14:textFill>
                        <w14:solidFill>
                          <w14:schemeClr w14:val="tx1"/>
                        </w14:solidFill>
                      </w14:textFill>
                    </w:rPr>
                    <w:t>废布袋定期由厂家更换回收处理</w:t>
                  </w:r>
                  <w:r>
                    <w:rPr>
                      <w:rFonts w:hint="eastAsia" w:ascii="宋体" w:hAnsi="宋体" w:eastAsia="宋体" w:cs="宋体"/>
                      <w:color w:val="000000" w:themeColor="text1"/>
                      <w:sz w:val="21"/>
                      <w:szCs w:val="21"/>
                      <w:highlight w:val="none"/>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44BBA05B">
                  <w:pPr>
                    <w:autoSpaceDE w:val="0"/>
                    <w:autoSpaceDN w:val="0"/>
                    <w:adjustRightInd w:val="0"/>
                    <w:snapToGrid w:val="0"/>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危险废物：①废润滑油暂存至危险废物贮存点内，</w:t>
                  </w:r>
                  <w:r>
                    <w:rPr>
                      <w:rFonts w:hint="eastAsia" w:ascii="宋体" w:hAnsi="宋体" w:cs="宋体"/>
                      <w:color w:val="000000" w:themeColor="text1"/>
                      <w:sz w:val="21"/>
                      <w:szCs w:val="21"/>
                      <w:highlight w:val="none"/>
                      <w:lang w:eastAsia="zh-CN"/>
                      <w14:textFill>
                        <w14:solidFill>
                          <w14:schemeClr w14:val="tx1"/>
                        </w14:solidFill>
                      </w14:textFill>
                    </w:rPr>
                    <w:t>定期交由有资质单位</w:t>
                  </w:r>
                  <w:r>
                    <w:rPr>
                      <w:rFonts w:hint="eastAsia" w:ascii="宋体" w:hAnsi="宋体" w:eastAsia="宋体" w:cs="宋体"/>
                      <w:color w:val="000000" w:themeColor="text1"/>
                      <w:sz w:val="21"/>
                      <w:szCs w:val="21"/>
                      <w:highlight w:val="none"/>
                      <w14:textFill>
                        <w14:solidFill>
                          <w14:schemeClr w14:val="tx1"/>
                        </w14:solidFill>
                      </w14:textFill>
                    </w:rPr>
                    <w:t>进行处置。②废醇基燃料吨桶暂存至危险废物贮存点内，</w:t>
                  </w:r>
                  <w:r>
                    <w:rPr>
                      <w:rFonts w:hint="eastAsia" w:ascii="宋体" w:hAnsi="宋体" w:cs="宋体"/>
                      <w:color w:val="000000" w:themeColor="text1"/>
                      <w:sz w:val="21"/>
                      <w:szCs w:val="21"/>
                      <w:highlight w:val="none"/>
                      <w:lang w:eastAsia="zh-CN"/>
                      <w14:textFill>
                        <w14:solidFill>
                          <w14:schemeClr w14:val="tx1"/>
                        </w14:solidFill>
                      </w14:textFill>
                    </w:rPr>
                    <w:t>每日交由厂家回收</w:t>
                  </w:r>
                  <w:r>
                    <w:rPr>
                      <w:rFonts w:hint="eastAsia" w:ascii="宋体" w:hAnsi="宋体" w:eastAsia="宋体" w:cs="宋体"/>
                      <w:color w:val="000000" w:themeColor="text1"/>
                      <w:sz w:val="21"/>
                      <w:szCs w:val="21"/>
                      <w:highlight w:val="none"/>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ascii="宋体" w:hAnsi="宋体" w:cs="宋体"/>
                      <w:color w:val="000000" w:themeColor="text1"/>
                      <w:sz w:val="21"/>
                      <w:szCs w:val="21"/>
                      <w:highlight w:val="none"/>
                      <w:lang w:eastAsia="zh-CN"/>
                      <w14:textFill>
                        <w14:solidFill>
                          <w14:schemeClr w14:val="tx1"/>
                        </w14:solidFill>
                      </w14:textFill>
                    </w:rPr>
                    <w:t>处置</w:t>
                  </w:r>
                </w:p>
                <w:p w14:paraId="562B5C14">
                  <w:pPr>
                    <w:autoSpaceDE w:val="0"/>
                    <w:autoSpaceDN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ascii="宋体" w:hAnsi="宋体" w:cs="宋体"/>
                      <w:color w:val="000000" w:themeColor="text1"/>
                      <w:sz w:val="21"/>
                      <w:szCs w:val="21"/>
                      <w:highlight w:val="none"/>
                      <w:lang w:eastAsia="zh-CN"/>
                      <w14:textFill>
                        <w14:solidFill>
                          <w14:schemeClr w14:val="tx1"/>
                        </w14:solidFill>
                      </w14:textFill>
                    </w:rPr>
                    <w:t>废布袋定期由厂家更换回收处理</w:t>
                  </w:r>
                  <w:r>
                    <w:rPr>
                      <w:rFonts w:hint="eastAsia" w:ascii="宋体" w:hAnsi="宋体" w:eastAsia="宋体" w:cs="宋体"/>
                      <w:color w:val="000000" w:themeColor="text1"/>
                      <w:sz w:val="21"/>
                      <w:szCs w:val="21"/>
                      <w:highlight w:val="none"/>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w:t>
                  </w:r>
                </w:p>
                <w:p w14:paraId="60631B3F">
                  <w:pPr>
                    <w:autoSpaceDE w:val="0"/>
                    <w:autoSpaceDN w:val="0"/>
                    <w:adjustRightInd w:val="0"/>
                    <w:snapToGrid w:val="0"/>
                    <w:spacing w:line="240" w:lineRule="auto"/>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危险废物：①废润滑油暂存至危险废物贮存点内，</w:t>
                  </w:r>
                  <w:r>
                    <w:rPr>
                      <w:rFonts w:hint="eastAsia" w:ascii="宋体" w:hAnsi="宋体" w:cs="宋体"/>
                      <w:color w:val="000000" w:themeColor="text1"/>
                      <w:sz w:val="21"/>
                      <w:szCs w:val="21"/>
                      <w:highlight w:val="none"/>
                      <w:lang w:eastAsia="zh-CN"/>
                      <w14:textFill>
                        <w14:solidFill>
                          <w14:schemeClr w14:val="tx1"/>
                        </w14:solidFill>
                      </w14:textFill>
                    </w:rPr>
                    <w:t>定期交由有资质单位</w:t>
                  </w:r>
                  <w:r>
                    <w:rPr>
                      <w:rFonts w:hint="eastAsia" w:ascii="宋体" w:hAnsi="宋体" w:eastAsia="宋体" w:cs="宋体"/>
                      <w:color w:val="000000" w:themeColor="text1"/>
                      <w:sz w:val="21"/>
                      <w:szCs w:val="21"/>
                      <w:highlight w:val="none"/>
                      <w14:textFill>
                        <w14:solidFill>
                          <w14:schemeClr w14:val="tx1"/>
                        </w14:solidFill>
                      </w14:textFill>
                    </w:rPr>
                    <w:t>进行处置。②废油桶暂存危废贮存点，定期委托资质单位进行处置③浮选药剂包装桶暂存危废贮存点，定期委托资质单位进行处置</w:t>
                  </w:r>
                  <w:r>
                    <w:rPr>
                      <w:rFonts w:hint="eastAsia" w:ascii="宋体" w:hAnsi="宋体" w:cs="宋体"/>
                      <w:color w:val="000000" w:themeColor="text1"/>
                      <w:sz w:val="21"/>
                      <w:szCs w:val="21"/>
                      <w:highlight w:val="none"/>
                      <w:lang w:val="en-US" w:eastAsia="zh-CN"/>
                      <w14:textFill>
                        <w14:solidFill>
                          <w14:schemeClr w14:val="tx1"/>
                        </w14:solidFill>
                      </w14:textFill>
                    </w:rPr>
                    <w:t>。厂区贮存量较小，在严格落实本次环评提出的各项措施后对周围影响较小</w:t>
                  </w:r>
                </w:p>
                <w:p w14:paraId="786B1D18">
                  <w:pPr>
                    <w:autoSpaceDE w:val="0"/>
                    <w:autoSpaceDN w:val="0"/>
                    <w:adjustRightInd w:val="0"/>
                    <w:snapToGrid w:val="0"/>
                    <w:spacing w:line="240" w:lineRule="auto"/>
                    <w:jc w:val="center"/>
                    <w:rPr>
                      <w:rFonts w:hint="default" w:eastAsia="宋体"/>
                      <w:color w:val="000000" w:themeColor="text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本项目不涉及</w:t>
                  </w: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214" w:type="pct"/>
                  <w:noWrap w:val="0"/>
                  <w:vAlign w:val="center"/>
                </w:tcPr>
                <w:p w14:paraId="6A33F5F7">
                  <w:pPr>
                    <w:autoSpaceDE w:val="0"/>
                    <w:autoSpaceDN w:val="0"/>
                    <w:adjustRightInd w:val="0"/>
                    <w:snapToGrid w:val="0"/>
                    <w:spacing w:line="240" w:lineRule="auto"/>
                    <w:jc w:val="center"/>
                    <w:rPr>
                      <w:rFonts w:hint="default" w:cs="Times New Roman"/>
                      <w:color w:val="000000" w:themeColor="text1"/>
                      <w:kern w:val="0"/>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vertAlign w:val="baseline"/>
                      <w:lang w:val="en-US" w:eastAsia="zh-CN"/>
                      <w14:textFill>
                        <w14:solidFill>
                          <w14:schemeClr w14:val="tx1"/>
                        </w14:solidFill>
                      </w14:textFill>
                    </w:rPr>
                    <w:t>符合</w:t>
                  </w:r>
                </w:p>
              </w:tc>
            </w:tr>
            <w:tr w14:paraId="7ACB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0CD4D15E">
                  <w:pPr>
                    <w:numPr>
                      <w:ilvl w:val="0"/>
                      <w:numId w:val="0"/>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1、除国家规定新增原料用能不纳入能源消费总量控制的项目和列入国家规划的项目外，“乌-昌-石”等重点区域不再新建、扩建使用煤炭项目。</w:t>
                  </w:r>
                </w:p>
                <w:p w14:paraId="2A814563">
                  <w:pPr>
                    <w:numPr>
                      <w:ilvl w:val="0"/>
                      <w:numId w:val="3"/>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2、禁燃区内禁止销售、燃用原煤、粉煤、各种可燃废物等高污染燃料；禁止新建、扩建燃用高污染燃料的设施，已建设成的，应当在规定的期限内改用清洁能源；严格控制引进高载能项目，禁止建设不符合国家和自治区环境保护标准的项目。</w:t>
                  </w:r>
                </w:p>
              </w:tc>
              <w:tc>
                <w:tcPr>
                  <w:tcW w:w="2439" w:type="pct"/>
                  <w:noWrap w:val="0"/>
                  <w:vAlign w:val="center"/>
                </w:tcPr>
                <w:p w14:paraId="0A24B343">
                  <w:pPr>
                    <w:autoSpaceDE w:val="0"/>
                    <w:autoSpaceDN w:val="0"/>
                    <w:adjustRightInd w:val="0"/>
                    <w:snapToGrid w:val="0"/>
                    <w:spacing w:line="240" w:lineRule="auto"/>
                    <w:jc w:val="center"/>
                    <w:rPr>
                      <w:rFonts w:hint="default" w:eastAsia="宋体"/>
                      <w:color w:val="000000" w:themeColor="text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w:t>
                  </w:r>
                  <w:r>
                    <w:rPr>
                      <w:rFonts w:hint="eastAsia" w:ascii="宋体" w:hAnsi="宋体" w:cs="宋体"/>
                      <w:color w:val="000000" w:themeColor="text1"/>
                      <w:sz w:val="21"/>
                      <w:szCs w:val="21"/>
                      <w:highlight w:val="none"/>
                      <w:lang w:val="en-US" w:eastAsia="zh-CN"/>
                      <w14:textFill>
                        <w14:solidFill>
                          <w14:schemeClr w14:val="tx1"/>
                        </w14:solidFill>
                      </w14:textFill>
                    </w:rPr>
                    <w:t>不涉及</w:t>
                  </w:r>
                </w:p>
              </w:tc>
              <w:tc>
                <w:tcPr>
                  <w:tcW w:w="214" w:type="pct"/>
                  <w:noWrap w:val="0"/>
                  <w:vAlign w:val="center"/>
                </w:tcPr>
                <w:p w14:paraId="4167E8C5">
                  <w:pPr>
                    <w:autoSpaceDE w:val="0"/>
                    <w:autoSpaceDN w:val="0"/>
                    <w:adjustRightInd w:val="0"/>
                    <w:snapToGrid w:val="0"/>
                    <w:spacing w:line="240" w:lineRule="auto"/>
                    <w:jc w:val="center"/>
                    <w:rPr>
                      <w:rFonts w:hint="default" w:cs="Times New Roman"/>
                      <w:color w:val="000000" w:themeColor="text1"/>
                      <w:kern w:val="0"/>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vertAlign w:val="baseline"/>
                      <w:lang w:val="en-US" w:eastAsia="zh-CN"/>
                      <w14:textFill>
                        <w14:solidFill>
                          <w14:schemeClr w14:val="tx1"/>
                        </w14:solidFill>
                      </w14:textFill>
                    </w:rPr>
                    <w:t>符合</w:t>
                  </w:r>
                </w:p>
              </w:tc>
            </w:tr>
          </w:tbl>
          <w:p w14:paraId="2EBA885B">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6、《新疆生态环境保护“十四五”规划》</w:t>
            </w:r>
            <w:r>
              <w:rPr>
                <w:rFonts w:hint="default"/>
                <w:color w:val="000000" w:themeColor="text1"/>
                <w:highlight w:val="none"/>
                <w:lang w:val="en-US" w:eastAsia="zh-CN"/>
                <w14:textFill>
                  <w14:solidFill>
                    <w14:schemeClr w14:val="tx1"/>
                  </w14:solidFill>
                </w14:textFill>
              </w:rPr>
              <w:t>符合性分析</w:t>
            </w:r>
          </w:p>
          <w:p w14:paraId="556EC05B">
            <w:pPr>
              <w:pageBreakBefore w:val="0"/>
              <w:widowControl w:val="0"/>
              <w:kinsoku/>
              <w:wordWrap/>
              <w:overflowPunct/>
              <w:topLinePunct w:val="0"/>
              <w:bidi w:val="0"/>
              <w:spacing w:line="360" w:lineRule="auto"/>
              <w:ind w:firstLine="480" w:firstLineChars="200"/>
              <w:jc w:val="both"/>
              <w:textAlignment w:val="auto"/>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根据自治区党委、自治区人民政府印发《新疆生态环境保护“十四五”规划》相关内容：</w:t>
            </w:r>
          </w:p>
          <w:p w14:paraId="4BAC94C1">
            <w:pPr>
              <w:pageBreakBefore w:val="0"/>
              <w:widowControl w:val="0"/>
              <w:kinsoku/>
              <w:wordWrap/>
              <w:overflowPunct/>
              <w:topLinePunct w:val="0"/>
              <w:bidi w:val="0"/>
              <w:spacing w:line="360" w:lineRule="auto"/>
              <w:ind w:firstLine="480" w:firstLineChars="200"/>
              <w:jc w:val="both"/>
              <w:textAlignment w:val="auto"/>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健全污染防治区域联动机制。进一步加强“乌</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昌</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石</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奎</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独</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乌</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区域和伊宁市及周边区域大气污染同防同治，编制实施大气污染防治中长期规划。推进区域大气污染联防联控，落实兵地统一规划、统一政策、统一标准、统一要求、统一推进的防治管理措施，完善重大项目环境影响评价区域会商机制。建立兵地生态环境联合执法和联合监测长效机制，开展兵地联合执法监测。</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加强环境噪声污染防控。推进危险废物收运体系建设，开展危险废物集中收集贮存试点，提升小微企业、工业园区、检验检测机构、教学科研机构等危险废物收集转运能力。推进兵地统筹、区域合作，实现兵地间、区域间危险废物转移无缝衔接，探索建立危险废物跨区域转移处置补偿机制。</w:t>
            </w:r>
          </w:p>
          <w:p w14:paraId="0D1F848F">
            <w:pPr>
              <w:bidi w:val="0"/>
              <w:spacing w:line="360" w:lineRule="auto"/>
              <w:ind w:firstLine="480" w:firstLineChars="200"/>
              <w:jc w:val="both"/>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本项目位于</w:t>
            </w:r>
            <w:r>
              <w:rPr>
                <w:rFonts w:hint="default"/>
                <w:color w:val="000000" w:themeColor="text1"/>
                <w:sz w:val="24"/>
                <w:szCs w:val="24"/>
                <w:highlight w:val="none"/>
                <w:lang w:val="en-US" w:eastAsia="zh-CN"/>
                <w14:textFill>
                  <w14:solidFill>
                    <w14:schemeClr w14:val="tx1"/>
                  </w14:solidFill>
                </w14:textFill>
              </w:rPr>
              <w:t>昌吉国家高新技术产业开发区建材工业园昌吉市先导工程材料有限责任公司院内1#厂房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项目用地为园区</w:t>
            </w:r>
            <w:r>
              <w:rPr>
                <w:rFonts w:hint="default" w:ascii="Times New Roman" w:hAnsi="Times New Roman" w:eastAsia="宋体" w:cs="Times New Roman"/>
                <w:color w:val="000000" w:themeColor="text1"/>
                <w:sz w:val="24"/>
                <w:szCs w:val="24"/>
                <w:highlight w:val="none"/>
                <w14:textFill>
                  <w14:solidFill>
                    <w14:schemeClr w14:val="tx1"/>
                  </w14:solidFill>
                </w14:textFill>
              </w:rPr>
              <w:t>工业用地，</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生产废水为锅炉排污水（锅炉排污水+软化处理废水）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水管网，最终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排入</w:t>
            </w:r>
            <w:r>
              <w:rPr>
                <w:rFonts w:hint="eastAsia" w:cs="Times New Roman"/>
                <w:color w:val="000000" w:themeColor="text1"/>
                <w:sz w:val="24"/>
                <w:szCs w:val="24"/>
                <w:highlight w:val="none"/>
                <w:lang w:val="en-US" w:eastAsia="zh-CN"/>
                <w14:textFill>
                  <w14:solidFill>
                    <w14:schemeClr w14:val="tx1"/>
                  </w14:solidFill>
                </w14:textFill>
              </w:rPr>
              <w:t>昌吉高新海天污水处理厂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，产生的危险废物集中收集后暂存于危险废物贮存点，定期委托</w:t>
            </w:r>
            <w:r>
              <w:rPr>
                <w:rFonts w:hint="eastAsia" w:cs="Times New Roman"/>
                <w:color w:val="000000" w:themeColor="text1"/>
                <w:sz w:val="24"/>
                <w:szCs w:val="24"/>
                <w:highlight w:val="none"/>
                <w:lang w:val="en-US" w:eastAsia="zh-CN"/>
                <w14:textFill>
                  <w14:solidFill>
                    <w14:schemeClr w14:val="tx1"/>
                  </w14:solidFill>
                </w14:textFill>
              </w:rPr>
              <w:t>有资质的单位进行处置</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产生的废气经过有效的环保设施治理后均能达标排放，</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对环</w:t>
            </w:r>
            <w:r>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t>境造成的影响程度很小</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t>本项目符合《</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新疆生态环境保护“十四五”规划</w:t>
            </w:r>
            <w:r>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t>》的相关要求。</w:t>
            </w:r>
          </w:p>
          <w:p w14:paraId="241D718E">
            <w:pPr>
              <w:numPr>
                <w:ilvl w:val="0"/>
                <w:numId w:val="0"/>
              </w:numPr>
              <w:autoSpaceDE w:val="0"/>
              <w:autoSpaceDN w:val="0"/>
              <w:adjustRightInd w:val="0"/>
              <w:snapToGrid w:val="0"/>
              <w:spacing w:line="360" w:lineRule="auto"/>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val="en-US" w:eastAsia="zh-CN"/>
                <w14:textFill>
                  <w14:solidFill>
                    <w14:schemeClr w14:val="tx1"/>
                  </w14:solidFill>
                </w14:textFill>
              </w:rPr>
              <w:t>7、</w:t>
            </w:r>
            <w:r>
              <w:rPr>
                <w:rFonts w:ascii="宋体" w:hAnsi="宋体" w:eastAsia="宋体" w:cs="宋体"/>
                <w:b/>
                <w:bCs/>
                <w:color w:val="000000" w:themeColor="text1"/>
                <w:sz w:val="24"/>
                <w:szCs w:val="24"/>
                <w:highlight w:val="none"/>
                <w14:textFill>
                  <w14:solidFill>
                    <w14:schemeClr w14:val="tx1"/>
                  </w14:solidFill>
                </w14:textFill>
              </w:rPr>
              <w:t>与</w:t>
            </w:r>
            <w:r>
              <w:rPr>
                <w:rFonts w:hint="eastAsia" w:ascii="宋体" w:hAnsi="宋体" w:cs="宋体"/>
                <w:b/>
                <w:bCs/>
                <w:color w:val="000000" w:themeColor="text1"/>
                <w:sz w:val="24"/>
                <w:szCs w:val="24"/>
                <w:highlight w:val="none"/>
                <w:lang w:eastAsia="zh-CN"/>
                <w14:textFill>
                  <w14:solidFill>
                    <w14:schemeClr w14:val="tx1"/>
                  </w14:solidFill>
                </w14:textFill>
              </w:rPr>
              <w:t>《昌吉回族自治州生态环境保护与建设“十四五”规划》</w:t>
            </w:r>
            <w:r>
              <w:rPr>
                <w:rFonts w:ascii="宋体" w:hAnsi="宋体" w:eastAsia="宋体" w:cs="宋体"/>
                <w:b/>
                <w:bCs/>
                <w:color w:val="000000" w:themeColor="text1"/>
                <w:sz w:val="24"/>
                <w:szCs w:val="24"/>
                <w:highlight w:val="none"/>
                <w14:textFill>
                  <w14:solidFill>
                    <w14:schemeClr w14:val="tx1"/>
                  </w14:solidFill>
                </w14:textFill>
              </w:rPr>
              <w:t>的符合性分析</w:t>
            </w:r>
          </w:p>
          <w:p w14:paraId="4941F58A">
            <w:pPr>
              <w:pStyle w:val="50"/>
              <w:keepNext w:val="0"/>
              <w:keepLines w:val="0"/>
              <w:pageBreakBefore w:val="0"/>
              <w:widowControl w:val="0"/>
              <w:numPr>
                <w:ilvl w:val="0"/>
                <w:numId w:val="0"/>
              </w:numPr>
              <w:kinsoku/>
              <w:wordWrap/>
              <w:overflowPunct/>
              <w:topLinePunct w:val="0"/>
              <w:autoSpaceDE w:val="0"/>
              <w:autoSpaceDN w:val="0"/>
              <w:bidi w:val="0"/>
              <w:adjustRightInd w:val="0"/>
              <w:snapToGrid w:val="0"/>
              <w:spacing w:before="0"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b w:val="0"/>
                <w:bCs w:val="0"/>
                <w:color w:val="000000" w:themeColor="text1"/>
                <w:sz w:val="24"/>
                <w:szCs w:val="24"/>
                <w:highlight w:val="none"/>
                <w:lang w:eastAsia="zh-CN"/>
                <w14:textFill>
                  <w14:solidFill>
                    <w14:schemeClr w14:val="tx1"/>
                  </w14:solidFill>
                </w14:textFill>
              </w:rPr>
              <w:t>《昌吉回族自治州生态环境保护与建设“十四五”规划》</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的总体目标为：“</w:t>
            </w:r>
            <w:r>
              <w:rPr>
                <w:rFonts w:hint="eastAsia" w:ascii="宋体" w:hAnsi="宋体" w:eastAsia="宋体" w:cs="宋体"/>
                <w:color w:val="000000" w:themeColor="text1"/>
                <w:sz w:val="24"/>
                <w:szCs w:val="24"/>
                <w:highlight w:val="none"/>
                <w14:textFill>
                  <w14:solidFill>
                    <w14:schemeClr w14:val="tx1"/>
                  </w14:solidFill>
                </w14:textFill>
              </w:rPr>
              <w:t>锚定二〇三五年远景目标，“十四五”时期，昌吉州生态环境质量得到持续改善。全州</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浓度持续下降，空气质量稳步提升，重污染天气持续减少；水环境质量持续改善，水生态建设得到加强；土壤安全利用水平稳中求进；固体废物与化学品环境风险防控能力明显增强，环境风险有效控制；主要污染物排放总量持续减少，有效控制温室气体排放；生态系统质量和稳定性进一步提升，社会经济发展与生态环境保护进一步融合，生态环境治理体系与治理能力现代化迈出重大步伐，治理效能得到新提升，生态文明建设实现新进步，蓝天白云、清水绿岸、良田沃土成为美丽昌吉的鲜明特征，人民群众生态环境</w:t>
            </w:r>
            <w:r>
              <w:rPr>
                <w:rFonts w:hint="eastAsia" w:ascii="宋体" w:hAnsi="宋体" w:cs="宋体"/>
                <w:color w:val="000000" w:themeColor="text1"/>
                <w:sz w:val="24"/>
                <w:szCs w:val="24"/>
                <w:highlight w:val="none"/>
                <w:lang w:eastAsia="zh-CN"/>
                <w14:textFill>
                  <w14:solidFill>
                    <w14:schemeClr w14:val="tx1"/>
                  </w14:solidFill>
                </w14:textFill>
              </w:rPr>
              <w:t>获得感、幸福感、安全感</w:t>
            </w:r>
            <w:r>
              <w:rPr>
                <w:rFonts w:hint="eastAsia" w:ascii="宋体" w:hAnsi="宋体" w:eastAsia="宋体" w:cs="宋体"/>
                <w:color w:val="000000" w:themeColor="text1"/>
                <w:sz w:val="24"/>
                <w:szCs w:val="24"/>
                <w:highlight w:val="none"/>
                <w14:textFill>
                  <w14:solidFill>
                    <w14:schemeClr w14:val="tx1"/>
                  </w14:solidFill>
                </w14:textFill>
              </w:rPr>
              <w:t>进一步提升</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p>
          <w:p w14:paraId="5F4651F5">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本项目为</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eastAsia"/>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，不属于“三高”项目；项目运营期间固废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均能得到妥善处置，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废水、废气、</w:t>
            </w:r>
            <w:r>
              <w:rPr>
                <w:rFonts w:hint="eastAsia" w:cs="Times New Roman"/>
                <w:color w:val="000000" w:themeColor="text1"/>
                <w:sz w:val="24"/>
                <w:szCs w:val="24"/>
                <w:highlight w:val="none"/>
                <w:lang w:val="en-US" w:eastAsia="zh-CN"/>
                <w14:textFill>
                  <w14:solidFill>
                    <w14:schemeClr w14:val="tx1"/>
                  </w14:solidFill>
                </w14:textFill>
              </w:rPr>
              <w:t>噪声经环保措施处理后均能达标排放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，对当地的生态环境质量产生影响</w:t>
            </w:r>
            <w:r>
              <w:rPr>
                <w:rFonts w:hint="eastAsia" w:cs="Times New Roman"/>
                <w:color w:val="000000" w:themeColor="text1"/>
                <w:sz w:val="24"/>
                <w:szCs w:val="24"/>
                <w:highlight w:val="none"/>
                <w:lang w:val="en-US" w:eastAsia="zh-CN"/>
                <w14:textFill>
                  <w14:solidFill>
                    <w14:schemeClr w14:val="tx1"/>
                  </w14:solidFill>
                </w14:textFill>
              </w:rPr>
              <w:t>较小。因此，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项目建设符合</w:t>
            </w:r>
            <w:r>
              <w:rPr>
                <w:rFonts w:hint="eastAsia" w:cs="Times New Roman"/>
                <w:color w:val="000000" w:themeColor="text1"/>
                <w:sz w:val="24"/>
                <w:szCs w:val="24"/>
                <w:highlight w:val="none"/>
                <w:lang w:eastAsia="zh-CN"/>
                <w14:textFill>
                  <w14:solidFill>
                    <w14:schemeClr w14:val="tx1"/>
                  </w14:solidFill>
                </w14:textFill>
              </w:rPr>
              <w:t>《昌吉回族自治州生态环境保护与建设“十四五”规划》</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的相关要求。</w:t>
            </w:r>
          </w:p>
          <w:p w14:paraId="4348A110">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8、与《新疆维吾尔自治区大气污染防治条例》的符合性分析</w:t>
            </w:r>
          </w:p>
          <w:p w14:paraId="0FB354DE">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outlineLvl w:val="1"/>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pPr>
            <w:r>
              <w:rPr>
                <w:rFonts w:ascii="宋体" w:hAnsi="宋体" w:eastAsia="宋体" w:cs="宋体"/>
                <w:b/>
                <w:bCs/>
                <w:color w:val="000000" w:themeColor="text1"/>
                <w:sz w:val="21"/>
                <w:szCs w:val="21"/>
                <w:highlight w:val="none"/>
                <w14:textFill>
                  <w14:solidFill>
                    <w14:schemeClr w14:val="tx1"/>
                  </w14:solidFill>
                </w14:textFill>
              </w:rPr>
              <w:t>表</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 xml:space="preserve">3  </w:t>
            </w:r>
            <w:r>
              <w:rPr>
                <w:rFonts w:ascii="宋体" w:hAnsi="宋体" w:eastAsia="宋体" w:cs="宋体"/>
                <w:b/>
                <w:bCs/>
                <w:color w:val="000000" w:themeColor="text1"/>
                <w:sz w:val="21"/>
                <w:szCs w:val="21"/>
                <w:highlight w:val="none"/>
                <w14:textFill>
                  <w14:solidFill>
                    <w14:schemeClr w14:val="tx1"/>
                  </w14:solidFill>
                </w14:textFill>
              </w:rPr>
              <w:t xml:space="preserve"> 本项目与</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《新疆维吾尔自治区大气污染防治条例》</w:t>
            </w:r>
            <w:r>
              <w:rPr>
                <w:rFonts w:ascii="宋体" w:hAnsi="宋体" w:eastAsia="宋体" w:cs="宋体"/>
                <w:b/>
                <w:bCs/>
                <w:color w:val="000000" w:themeColor="text1"/>
                <w:sz w:val="21"/>
                <w:szCs w:val="21"/>
                <w:highlight w:val="none"/>
                <w14:textFill>
                  <w14:solidFill>
                    <w14:schemeClr w14:val="tx1"/>
                  </w14:solidFill>
                </w14:textFill>
              </w:rPr>
              <w:t>的符合性分析</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751"/>
              <w:gridCol w:w="2687"/>
              <w:gridCol w:w="504"/>
            </w:tblGrid>
            <w:tr w14:paraId="6DE3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tcBorders>
                    <w:tl2br w:val="nil"/>
                    <w:tr2bl w:val="nil"/>
                  </w:tcBorders>
                  <w:noWrap w:val="0"/>
                  <w:vAlign w:val="center"/>
                </w:tcPr>
                <w:p w14:paraId="7C6183B1">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序号</w:t>
                  </w:r>
                </w:p>
              </w:tc>
              <w:tc>
                <w:tcPr>
                  <w:tcW w:w="2473" w:type="pct"/>
                  <w:tcBorders>
                    <w:tl2br w:val="nil"/>
                    <w:tr2bl w:val="nil"/>
                  </w:tcBorders>
                  <w:noWrap w:val="0"/>
                  <w:vAlign w:val="center"/>
                </w:tcPr>
                <w:p w14:paraId="2345980A">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1772" w:type="pct"/>
                  <w:tcBorders>
                    <w:tl2br w:val="nil"/>
                    <w:tr2bl w:val="nil"/>
                  </w:tcBorders>
                  <w:noWrap w:val="0"/>
                  <w:vAlign w:val="center"/>
                </w:tcPr>
                <w:p w14:paraId="2A622E8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本项目实际情况</w:t>
                  </w:r>
                </w:p>
              </w:tc>
              <w:tc>
                <w:tcPr>
                  <w:tcW w:w="332" w:type="pct"/>
                  <w:tcBorders>
                    <w:tl2br w:val="nil"/>
                    <w:tr2bl w:val="nil"/>
                  </w:tcBorders>
                  <w:noWrap w:val="0"/>
                  <w:vAlign w:val="center"/>
                </w:tcPr>
                <w:p w14:paraId="43B6338D">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2B9B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tcBorders>
                    <w:tl2br w:val="nil"/>
                    <w:tr2bl w:val="nil"/>
                  </w:tcBorders>
                  <w:noWrap w:val="0"/>
                  <w:vAlign w:val="center"/>
                </w:tcPr>
                <w:p w14:paraId="03B0AEC2">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2473" w:type="pct"/>
                  <w:tcBorders>
                    <w:tl2br w:val="nil"/>
                    <w:tr2bl w:val="nil"/>
                  </w:tcBorders>
                  <w:noWrap w:val="0"/>
                  <w:vAlign w:val="center"/>
                </w:tcPr>
                <w:p w14:paraId="73D6E4E4">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推进城市建成区、工业园区实行集中供热，使用清洁燃料。在集中供热管网覆盖区域内，禁止新建、改建、扩建燃煤供热锅炉，集中供热管网覆盖前，已建成使用的燃煤供热锅炉应当限期停止使用</w:t>
                  </w:r>
                  <w:r>
                    <w:rPr>
                      <w:rFonts w:hint="eastAsia" w:ascii="宋体" w:hAnsi="宋体" w:eastAsia="宋体" w:cs="宋体"/>
                      <w:i w:val="0"/>
                      <w:iCs w:val="0"/>
                      <w:caps w:val="0"/>
                      <w:color w:val="000000" w:themeColor="text1"/>
                      <w:spacing w:val="0"/>
                      <w:sz w:val="21"/>
                      <w:szCs w:val="21"/>
                      <w:highlight w:val="none"/>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在集中供热未覆盖的区域，鼓励使用清洁能源替代，推广使用高效节能环保型锅炉。城市人民政府应当限期淘汰不符合国家和自治区规定规模的燃煤锅炉。</w:t>
                  </w:r>
                </w:p>
              </w:tc>
              <w:tc>
                <w:tcPr>
                  <w:tcW w:w="1772" w:type="pct"/>
                  <w:tcBorders>
                    <w:tl2br w:val="nil"/>
                    <w:tr2bl w:val="nil"/>
                  </w:tcBorders>
                  <w:noWrap w:val="0"/>
                  <w:vAlign w:val="center"/>
                </w:tcPr>
                <w:p w14:paraId="1997F9A5">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本项目锅炉使用醇基燃料属于清洁燃料，不使用燃煤锅炉。</w:t>
                  </w:r>
                </w:p>
              </w:tc>
              <w:tc>
                <w:tcPr>
                  <w:tcW w:w="332" w:type="pct"/>
                  <w:tcBorders>
                    <w:tl2br w:val="nil"/>
                    <w:tr2bl w:val="nil"/>
                  </w:tcBorders>
                  <w:noWrap w:val="0"/>
                  <w:vAlign w:val="center"/>
                </w:tcPr>
                <w:p w14:paraId="06F4334C">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DC7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1" w:type="pct"/>
                  <w:tcBorders>
                    <w:tl2br w:val="nil"/>
                    <w:tr2bl w:val="nil"/>
                  </w:tcBorders>
                  <w:noWrap w:val="0"/>
                  <w:vAlign w:val="center"/>
                </w:tcPr>
                <w:p w14:paraId="6D8E9362">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2473" w:type="pct"/>
                  <w:tcBorders>
                    <w:tl2br w:val="nil"/>
                    <w:tr2bl w:val="nil"/>
                  </w:tcBorders>
                  <w:noWrap w:val="0"/>
                  <w:vAlign w:val="center"/>
                </w:tcPr>
                <w:p w14:paraId="3450FF4B">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贮存易产生扬尘的煤炭、煤矸石、煤渣、煤灰、水泥、石灰、石膏、砂土等物料的堆场应当密闭；不能密闭的，贮存单位或者个人应当采取下列防尘措施：</w:t>
                  </w:r>
                </w:p>
                <w:p w14:paraId="65B19C47">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（一）堆场的场坪、路面应当进行硬化处理，并保持路面整洁；</w:t>
                  </w:r>
                </w:p>
                <w:p w14:paraId="72DD5341">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（二）堆场周边应当配备高于堆存物料的围挡、防风抑尘网等设施；</w:t>
                  </w:r>
                </w:p>
                <w:p w14:paraId="08B36603">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（三）按照物料类别采取相应的覆盖、喷淋和围挡等防风抑尘措施。</w:t>
                  </w:r>
                </w:p>
                <w:p w14:paraId="1EDC919E">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露天装卸物料应当采取密闭或者喷淋等抑尘措施；输送的物料应当在装料、卸料处配备吸尘、喷淋等防尘设施。</w:t>
                  </w:r>
                </w:p>
              </w:tc>
              <w:tc>
                <w:tcPr>
                  <w:tcW w:w="1772" w:type="pct"/>
                  <w:tcBorders>
                    <w:tl2br w:val="nil"/>
                    <w:tr2bl w:val="nil"/>
                  </w:tcBorders>
                  <w:noWrap w:val="0"/>
                  <w:vAlign w:val="center"/>
                </w:tcPr>
                <w:p w14:paraId="25E8EE67">
                  <w:pPr>
                    <w:pStyle w:val="57"/>
                    <w:numPr>
                      <w:ilvl w:val="0"/>
                      <w:numId w:val="0"/>
                    </w:numPr>
                    <w:bidi w:val="0"/>
                    <w:ind w:firstLine="0" w:firstLineChars="0"/>
                    <w:rPr>
                      <w:rFonts w:hint="eastAsia"/>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color w:val="000000" w:themeColor="text1"/>
                      <w:sz w:val="21"/>
                      <w:szCs w:val="21"/>
                      <w:lang w:val="en-US" w:eastAsia="zh-CN" w:bidi="ar-SA"/>
                      <w14:textFill>
                        <w14:solidFill>
                          <w14:schemeClr w14:val="tx1"/>
                        </w14:solidFill>
                      </w14:textFill>
                    </w:rPr>
                    <w:t>（一）</w:t>
                  </w:r>
                  <w:r>
                    <w:rPr>
                      <w:rFonts w:hint="eastAsia" w:eastAsia="宋体"/>
                      <w:color w:val="000000" w:themeColor="text1"/>
                      <w:sz w:val="21"/>
                      <w:szCs w:val="21"/>
                      <w:highlight w:val="none"/>
                      <w:lang w:val="en-US" w:eastAsia="zh-CN"/>
                      <w14:textFill>
                        <w14:solidFill>
                          <w14:schemeClr w14:val="tx1"/>
                        </w14:solidFill>
                      </w14:textFill>
                    </w:rPr>
                    <w:t>本项目原料堆存间</w:t>
                  </w:r>
                  <w:r>
                    <w:rPr>
                      <w:rFonts w:hint="default"/>
                      <w:color w:val="000000" w:themeColor="text1"/>
                      <w:sz w:val="21"/>
                      <w:szCs w:val="21"/>
                      <w:highlight w:val="none"/>
                      <w14:textFill>
                        <w14:solidFill>
                          <w14:schemeClr w14:val="tx1"/>
                        </w14:solidFill>
                      </w14:textFill>
                    </w:rPr>
                    <w:t>场坪</w:t>
                  </w:r>
                  <w:r>
                    <w:rPr>
                      <w:rFonts w:hint="eastAsia"/>
                      <w:color w:val="000000" w:themeColor="text1"/>
                      <w:sz w:val="21"/>
                      <w:szCs w:val="21"/>
                      <w:highlight w:val="none"/>
                      <w:lang w:val="en-US" w:eastAsia="zh-CN"/>
                      <w14:textFill>
                        <w14:solidFill>
                          <w14:schemeClr w14:val="tx1"/>
                        </w14:solidFill>
                      </w14:textFill>
                    </w:rPr>
                    <w:t>已硬化处理</w:t>
                  </w:r>
                </w:p>
                <w:p w14:paraId="7A9CAED1">
                  <w:pPr>
                    <w:pStyle w:val="57"/>
                    <w:numPr>
                      <w:ilvl w:val="0"/>
                      <w:numId w:val="0"/>
                    </w:numPr>
                    <w:bidi w:val="0"/>
                    <w:ind w:firstLine="0" w:firstLineChars="0"/>
                    <w:rPr>
                      <w:rFonts w:hint="default"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color w:val="000000" w:themeColor="text1"/>
                      <w:sz w:val="21"/>
                      <w:szCs w:val="21"/>
                      <w:lang w:val="en-US" w:eastAsia="zh-CN" w:bidi="ar-SA"/>
                      <w14:textFill>
                        <w14:solidFill>
                          <w14:schemeClr w14:val="tx1"/>
                        </w14:solidFill>
                      </w14:textFill>
                    </w:rPr>
                    <w:t>（二）</w:t>
                  </w:r>
                  <w:r>
                    <w:rPr>
                      <w:rFonts w:hint="eastAsia" w:cstheme="minorBidi"/>
                      <w:color w:val="000000" w:themeColor="text1"/>
                      <w:sz w:val="21"/>
                      <w:szCs w:val="21"/>
                      <w:lang w:val="en-US" w:eastAsia="zh-CN" w:bidi="ar-SA"/>
                      <w14:textFill>
                        <w14:solidFill>
                          <w14:schemeClr w14:val="tx1"/>
                        </w14:solidFill>
                      </w14:textFill>
                    </w:rPr>
                    <w:t>（三）</w:t>
                  </w:r>
                  <w:r>
                    <w:rPr>
                      <w:rFonts w:hint="eastAsia" w:eastAsia="宋体"/>
                      <w:color w:val="000000" w:themeColor="text1"/>
                      <w:sz w:val="21"/>
                      <w:szCs w:val="21"/>
                      <w:highlight w:val="none"/>
                      <w:lang w:val="en-US" w:eastAsia="zh-CN"/>
                      <w14:textFill>
                        <w14:solidFill>
                          <w14:schemeClr w14:val="tx1"/>
                        </w14:solidFill>
                      </w14:textFill>
                    </w:rPr>
                    <w:t>原料堆存间</w:t>
                  </w:r>
                  <w:r>
                    <w:rPr>
                      <w:rFonts w:hint="eastAsia"/>
                      <w:color w:val="000000" w:themeColor="text1"/>
                      <w:sz w:val="21"/>
                      <w:szCs w:val="21"/>
                      <w:highlight w:val="none"/>
                      <w:lang w:val="en-US" w:eastAsia="zh-CN"/>
                      <w14:textFill>
                        <w14:solidFill>
                          <w14:schemeClr w14:val="tx1"/>
                        </w14:solidFill>
                      </w14:textFill>
                    </w:rPr>
                    <w:t>采用全封闭式并在装卸处进行洒水降尘的降尘措施</w:t>
                  </w:r>
                </w:p>
              </w:tc>
              <w:tc>
                <w:tcPr>
                  <w:tcW w:w="332" w:type="pct"/>
                  <w:tcBorders>
                    <w:tl2br w:val="nil"/>
                    <w:tr2bl w:val="nil"/>
                  </w:tcBorders>
                  <w:noWrap w:val="0"/>
                  <w:vAlign w:val="center"/>
                </w:tcPr>
                <w:p w14:paraId="3896665C">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35341CDB">
            <w:pPr>
              <w:keepNext w:val="0"/>
              <w:keepLines w:val="0"/>
              <w:pageBreakBefore w:val="0"/>
              <w:widowControl/>
              <w:shd w:val="clear"/>
              <w:kinsoku/>
              <w:wordWrap/>
              <w:overflowPunct/>
              <w:topLinePunct w:val="0"/>
              <w:autoSpaceDE/>
              <w:autoSpaceDN/>
              <w:bidi w:val="0"/>
              <w:adjustRightInd/>
              <w:snapToGrid w:val="0"/>
              <w:spacing w:before="0" w:beforeAutospacing="0" w:after="0" w:afterAutospacing="0" w:line="360" w:lineRule="auto"/>
              <w:ind w:right="0"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因</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此本项目符合《新疆维吾尔自治区大气污染防治条例》相关要求。</w:t>
            </w:r>
          </w:p>
          <w:p w14:paraId="556CBA0B">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9、与</w:t>
            </w:r>
            <w:r>
              <w:rPr>
                <w:rFonts w:hint="eastAsia"/>
                <w:color w:val="000000" w:themeColor="text1"/>
                <w:highlight w:val="none"/>
                <w14:textFill>
                  <w14:solidFill>
                    <w14:schemeClr w14:val="tx1"/>
                  </w14:solidFill>
                </w14:textFill>
              </w:rPr>
              <w:t>《关于进一步加强乌鲁木齐、昌吉、石河子、五家渠区域大气环境同防同治的意见》（新政办发</w:t>
            </w:r>
            <w:r>
              <w:rPr>
                <w:color w:val="000000" w:themeColor="text1"/>
                <w:highlight w:val="none"/>
                <w14:textFill>
                  <w14:solidFill>
                    <w14:schemeClr w14:val="tx1"/>
                  </w14:solidFill>
                </w14:textFill>
              </w:rPr>
              <w:t>〔2023〕2</w:t>
            </w:r>
            <w:r>
              <w:rPr>
                <w:rFonts w:hint="eastAsia"/>
                <w:color w:val="000000" w:themeColor="text1"/>
                <w:highlight w:val="none"/>
                <w14:textFill>
                  <w14:solidFill>
                    <w14:schemeClr w14:val="tx1"/>
                  </w14:solidFill>
                </w14:textFill>
              </w:rPr>
              <w:t>9号）的符合性分析</w:t>
            </w:r>
          </w:p>
          <w:p w14:paraId="6A83F121">
            <w:pPr>
              <w:pStyle w:val="6"/>
              <w:snapToGrid/>
              <w:spacing w:line="360" w:lineRule="auto"/>
              <w:ind w:firstLine="480"/>
              <w:jc w:val="both"/>
              <w:textAlignment w:val="baseline"/>
              <w:rPr>
                <w:rFonts w:hint="eastAsia"/>
                <w:color w:val="000000" w:themeColor="text1"/>
                <w:kern w:val="0"/>
                <w:sz w:val="24"/>
                <w:szCs w:val="24"/>
                <w:highlight w:val="none"/>
                <w:lang w:bidi="ar"/>
                <w14:textFill>
                  <w14:solidFill>
                    <w14:schemeClr w14:val="tx1"/>
                  </w14:solidFill>
                </w14:textFill>
              </w:rPr>
            </w:pPr>
            <w:r>
              <w:rPr>
                <w:rFonts w:hint="eastAsia"/>
                <w:color w:val="000000" w:themeColor="text1"/>
                <w:kern w:val="0"/>
                <w:sz w:val="24"/>
                <w:szCs w:val="24"/>
                <w:highlight w:val="none"/>
                <w:lang w:bidi="ar"/>
                <w14:textFill>
                  <w14:solidFill>
                    <w14:schemeClr w14:val="tx1"/>
                  </w14:solidFill>
                </w14:textFill>
              </w:rPr>
              <w:t>根据《关于进一步加强乌鲁木齐、昌吉、石河子、五家渠区域环境同防同治的意见》（新政办发</w:t>
            </w:r>
            <w:r>
              <w:rPr>
                <w:bCs/>
                <w:color w:val="000000" w:themeColor="text1"/>
                <w:sz w:val="24"/>
                <w:szCs w:val="24"/>
                <w:highlight w:val="none"/>
                <w14:textFill>
                  <w14:solidFill>
                    <w14:schemeClr w14:val="tx1"/>
                  </w14:solidFill>
                </w14:textFill>
              </w:rPr>
              <w:t>〔2023〕</w:t>
            </w:r>
            <w:r>
              <w:rPr>
                <w:rFonts w:hint="eastAsia"/>
                <w:color w:val="000000" w:themeColor="text1"/>
                <w:kern w:val="0"/>
                <w:sz w:val="24"/>
                <w:szCs w:val="24"/>
                <w:highlight w:val="none"/>
                <w:lang w:bidi="ar"/>
                <w14:textFill>
                  <w14:solidFill>
                    <w14:schemeClr w14:val="tx1"/>
                  </w14:solidFill>
                </w14:textFill>
              </w:rPr>
              <w:t>29号）文件中规定，乌鲁木齐、昌吉、石河子、五家渠区域需优化产业结构和布局，强化大气污染物综合治理，加强环境监管。</w:t>
            </w:r>
          </w:p>
          <w:p w14:paraId="069144A2">
            <w:pPr>
              <w:bidi w:val="0"/>
              <w:spacing w:line="360" w:lineRule="auto"/>
              <w:ind w:firstLine="480" w:firstLineChars="200"/>
              <w:rPr>
                <w:rFonts w:hint="default" w:ascii="Times New Roman" w:hAnsi="Times New Roman" w:cs="Times New Roman"/>
                <w:color w:val="000000" w:themeColor="text1"/>
                <w:kern w:val="0"/>
                <w:sz w:val="24"/>
                <w:szCs w:val="24"/>
                <w:highlight w:val="none"/>
                <w:lang w:bidi="ar"/>
                <w14:textFill>
                  <w14:solidFill>
                    <w14:schemeClr w14:val="tx1"/>
                  </w14:solidFill>
                </w14:textFill>
              </w:rPr>
            </w:pPr>
            <w:r>
              <w:rPr>
                <w:rFonts w:hint="eastAsia"/>
                <w:color w:val="000000" w:themeColor="text1"/>
                <w:kern w:val="0"/>
                <w:sz w:val="24"/>
                <w:szCs w:val="24"/>
                <w:highlight w:val="none"/>
                <w:lang w:bidi="ar"/>
                <w14:textFill>
                  <w14:solidFill>
                    <w14:schemeClr w14:val="tx1"/>
                  </w14:solidFill>
                </w14:textFill>
              </w:rPr>
              <w:t>本项目</w:t>
            </w:r>
            <w:r>
              <w:rPr>
                <w:rFonts w:hint="eastAsia" w:ascii="Times New Roman" w:hAnsi="Times New Roman" w:eastAsia="宋体"/>
                <w:color w:val="000000" w:themeColor="text1"/>
                <w:kern w:val="0"/>
                <w:sz w:val="24"/>
                <w:szCs w:val="24"/>
                <w:highlight w:val="none"/>
                <w:lang w:bidi="ar"/>
                <w14:textFill>
                  <w14:solidFill>
                    <w14:schemeClr w14:val="tx1"/>
                  </w14:solidFill>
                </w14:textFill>
              </w:rPr>
              <w:t>位于</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已建车间</w:t>
            </w:r>
            <w:r>
              <w:rPr>
                <w:rFonts w:hint="eastAsia" w:ascii="Times New Roman" w:hAnsi="Times New Roman" w:eastAsia="宋体"/>
                <w:color w:val="000000" w:themeColor="text1"/>
                <w:kern w:val="0"/>
                <w:sz w:val="24"/>
                <w:szCs w:val="24"/>
                <w:highlight w:val="none"/>
                <w:lang w:bidi="ar"/>
                <w14:textFill>
                  <w14:solidFill>
                    <w14:schemeClr w14:val="tx1"/>
                  </w14:solidFill>
                </w14:textFill>
              </w:rPr>
              <w:t>，在采取了有效的处置措施后，厂界内执行《大气污染物综合排放</w:t>
            </w:r>
            <w:r>
              <w:rPr>
                <w:rFonts w:hint="eastAsia"/>
                <w:color w:val="000000" w:themeColor="text1"/>
                <w:sz w:val="24"/>
                <w:szCs w:val="24"/>
                <w:highlight w:val="none"/>
                <w14:textFill>
                  <w14:solidFill>
                    <w14:schemeClr w14:val="tx1"/>
                  </w14:solidFill>
                </w14:textFill>
              </w:rPr>
              <w:t>标</w:t>
            </w:r>
            <w:r>
              <w:rPr>
                <w:rFonts w:hint="eastAsia" w:ascii="Times New Roman" w:hAnsi="Times New Roman" w:eastAsia="宋体"/>
                <w:color w:val="000000" w:themeColor="text1"/>
                <w:kern w:val="0"/>
                <w:sz w:val="24"/>
                <w:szCs w:val="24"/>
                <w:highlight w:val="none"/>
                <w:lang w:bidi="ar"/>
                <w14:textFill>
                  <w14:solidFill>
                    <w14:schemeClr w14:val="tx1"/>
                  </w14:solidFill>
                </w14:textFill>
              </w:rPr>
              <w:t>准》（GB16297-1996）表2中标准限值</w:t>
            </w:r>
            <w:r>
              <w:rPr>
                <w:rFonts w:hint="eastAsia" w:ascii="Times New Roman" w:hAnsi="Times New Roman" w:eastAsia="宋体"/>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《锅炉大气污染物排放标准》</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GB-13271-2014</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中表3</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燃油锅炉</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大气污染物特别排放浓度限值</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要</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eastAsia"/>
                <w:color w:val="000000" w:themeColor="text1"/>
                <w:kern w:val="0"/>
                <w:sz w:val="24"/>
                <w:szCs w:val="24"/>
                <w:highlight w:val="none"/>
                <w:lang w:bidi="ar"/>
                <w14:textFill>
                  <w14:solidFill>
                    <w14:schemeClr w14:val="tx1"/>
                  </w14:solidFill>
                </w14:textFill>
              </w:rPr>
              <w:t>，水、噪声污染排放均可达标，固体废物均能得到妥善处置，符合《关于进一步加强乌鲁木齐、昌吉、石河子、五家渠区域环境同防同治的意见》</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（新政办发</w:t>
            </w:r>
            <w:r>
              <w:rPr>
                <w:rFonts w:hint="default" w:ascii="Times New Roman" w:hAnsi="Times New Roman" w:cs="Times New Roman"/>
                <w:color w:val="000000" w:themeColor="text1"/>
                <w:sz w:val="24"/>
                <w:szCs w:val="24"/>
                <w:highlight w:val="none"/>
                <w14:textFill>
                  <w14:solidFill>
                    <w14:schemeClr w14:val="tx1"/>
                  </w14:solidFill>
                </w14:textFill>
              </w:rPr>
              <w:t>〔2023〕</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29号）文件相关规定。</w:t>
            </w:r>
          </w:p>
          <w:p w14:paraId="3B4E556B">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10、与</w:t>
            </w:r>
            <w:r>
              <w:rPr>
                <w:rFonts w:hint="eastAsia"/>
                <w:color w:val="000000" w:themeColor="text1"/>
                <w:highlight w:val="none"/>
                <w14:textFill>
                  <w14:solidFill>
                    <w14:schemeClr w14:val="tx1"/>
                  </w14:solidFill>
                </w14:textFill>
              </w:rPr>
              <w:t>《新疆维吾尔自治区2025年空气质量持续改善行动实施方案》（新政办发</w:t>
            </w:r>
            <w:r>
              <w:rPr>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58</w:t>
            </w:r>
            <w:r>
              <w:rPr>
                <w:rFonts w:hint="eastAsia"/>
                <w:color w:val="000000" w:themeColor="text1"/>
                <w:highlight w:val="none"/>
                <w14:textFill>
                  <w14:solidFill>
                    <w14:schemeClr w14:val="tx1"/>
                  </w14:solidFill>
                </w14:textFill>
              </w:rPr>
              <w:t>号）的符合性分析</w:t>
            </w:r>
          </w:p>
          <w:p w14:paraId="1D921ACA">
            <w:pPr>
              <w:pStyle w:val="35"/>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default"/>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4  </w:t>
            </w:r>
            <w:r>
              <w:rPr>
                <w:color w:val="000000" w:themeColor="text1"/>
                <w:highlight w:val="none"/>
                <w14:textFill>
                  <w14:solidFill>
                    <w14:schemeClr w14:val="tx1"/>
                  </w14:solidFill>
                </w14:textFill>
              </w:rPr>
              <w:t xml:space="preserve"> 本项目与</w:t>
            </w:r>
            <w:r>
              <w:rPr>
                <w:rFonts w:hint="eastAsia"/>
                <w:color w:val="000000" w:themeColor="text1"/>
                <w:highlight w:val="none"/>
                <w14:textFill>
                  <w14:solidFill>
                    <w14:schemeClr w14:val="tx1"/>
                  </w14:solidFill>
                </w14:textFill>
              </w:rPr>
              <w:t>《新疆维吾尔自治区2025年空气质量持续改善行动实施方案》（新政办发</w:t>
            </w:r>
            <w:r>
              <w:rPr>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58</w:t>
            </w:r>
            <w:r>
              <w:rPr>
                <w:rFonts w:hint="eastAsia"/>
                <w:color w:val="000000" w:themeColor="text1"/>
                <w:highlight w:val="none"/>
                <w14:textFill>
                  <w14:solidFill>
                    <w14:schemeClr w14:val="tx1"/>
                  </w14:solidFill>
                </w14:textFill>
              </w:rPr>
              <w:t>号）</w:t>
            </w:r>
            <w:r>
              <w:rPr>
                <w:color w:val="000000" w:themeColor="text1"/>
                <w:highlight w:val="none"/>
                <w14:textFill>
                  <w14:solidFill>
                    <w14:schemeClr w14:val="tx1"/>
                  </w14:solidFill>
                </w14:textFill>
              </w:rPr>
              <w:t>的符合性分析</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3752"/>
              <w:gridCol w:w="2687"/>
              <w:gridCol w:w="504"/>
            </w:tblGrid>
            <w:tr w14:paraId="7E30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16A4EF5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序号</w:t>
                  </w:r>
                </w:p>
              </w:tc>
              <w:tc>
                <w:tcPr>
                  <w:tcW w:w="2474" w:type="pct"/>
                  <w:tcBorders>
                    <w:tl2br w:val="nil"/>
                    <w:tr2bl w:val="nil"/>
                  </w:tcBorders>
                  <w:noWrap w:val="0"/>
                  <w:vAlign w:val="center"/>
                </w:tcPr>
                <w:p w14:paraId="145FDA0B">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1772" w:type="pct"/>
                  <w:tcBorders>
                    <w:tl2br w:val="nil"/>
                    <w:tr2bl w:val="nil"/>
                  </w:tcBorders>
                  <w:noWrap w:val="0"/>
                  <w:vAlign w:val="center"/>
                </w:tcPr>
                <w:p w14:paraId="7A4C0518">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本项目实际情况</w:t>
                  </w:r>
                </w:p>
              </w:tc>
              <w:tc>
                <w:tcPr>
                  <w:tcW w:w="332" w:type="pct"/>
                  <w:tcBorders>
                    <w:tl2br w:val="nil"/>
                    <w:tr2bl w:val="nil"/>
                  </w:tcBorders>
                  <w:noWrap w:val="0"/>
                  <w:vAlign w:val="center"/>
                </w:tcPr>
                <w:p w14:paraId="5FC2566E">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320E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1AF9109E">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2474" w:type="pct"/>
                  <w:tcBorders>
                    <w:tl2br w:val="nil"/>
                    <w:tr2bl w:val="nil"/>
                  </w:tcBorders>
                  <w:noWrap w:val="0"/>
                  <w:vAlign w:val="center"/>
                </w:tcPr>
                <w:p w14:paraId="0308AAD5">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1772" w:type="pct"/>
                  <w:tcBorders>
                    <w:tl2br w:val="nil"/>
                    <w:tr2bl w:val="nil"/>
                  </w:tcBorders>
                  <w:noWrap w:val="0"/>
                  <w:vAlign w:val="center"/>
                </w:tcPr>
                <w:p w14:paraId="7D340C16">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本项目不属于</w:t>
                  </w:r>
                  <w:r>
                    <w:rPr>
                      <w:rFonts w:hint="eastAsia" w:eastAsia="宋体"/>
                      <w:color w:val="000000" w:themeColor="text1"/>
                      <w:sz w:val="21"/>
                      <w:szCs w:val="21"/>
                      <w:highlight w:val="none"/>
                      <w:lang w:eastAsia="zh-CN"/>
                      <w14:textFill>
                        <w14:solidFill>
                          <w14:schemeClr w14:val="tx1"/>
                        </w14:solidFill>
                      </w14:textFill>
                    </w:rPr>
                    <w:t>高耗能、高排放、低水平项目</w:t>
                  </w:r>
                  <w:r>
                    <w:rPr>
                      <w:rFonts w:hint="eastAsia"/>
                      <w:color w:val="000000" w:themeColor="text1"/>
                      <w:sz w:val="21"/>
                      <w:szCs w:val="21"/>
                      <w:highlight w:val="none"/>
                      <w:lang w:eastAsia="zh-CN"/>
                      <w14:textFill>
                        <w14:solidFill>
                          <w14:schemeClr w14:val="tx1"/>
                        </w14:solidFill>
                      </w14:textFill>
                    </w:rPr>
                    <w:t>，</w:t>
                  </w:r>
                  <w:r>
                    <w:rPr>
                      <w:rFonts w:hint="eastAsia" w:eastAsia="宋体"/>
                      <w:color w:val="000000" w:themeColor="text1"/>
                      <w:sz w:val="21"/>
                      <w:szCs w:val="21"/>
                      <w:highlight w:val="none"/>
                      <w:lang w:eastAsia="zh-CN"/>
                      <w14:textFill>
                        <w14:solidFill>
                          <w14:schemeClr w14:val="tx1"/>
                        </w14:solidFill>
                      </w14:textFill>
                    </w:rPr>
                    <w:t>严格落实国家和自治区产业规划、产业政策、生态环境分区管控方案、规划环评、项目环评、节能审查、产能置换、重点污染物总量控制、污染物排放区域削减、碳排放达峰目标等相关要求</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不涉及产能置换。</w:t>
                  </w:r>
                </w:p>
              </w:tc>
              <w:tc>
                <w:tcPr>
                  <w:tcW w:w="332" w:type="pct"/>
                  <w:tcBorders>
                    <w:tl2br w:val="nil"/>
                    <w:tr2bl w:val="nil"/>
                  </w:tcBorders>
                  <w:noWrap w:val="0"/>
                  <w:vAlign w:val="center"/>
                </w:tcPr>
                <w:p w14:paraId="0F5F4EEA">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373A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1D07767C">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2474" w:type="pct"/>
                  <w:tcBorders>
                    <w:tl2br w:val="nil"/>
                    <w:tr2bl w:val="nil"/>
                  </w:tcBorders>
                  <w:noWrap w:val="0"/>
                  <w:vAlign w:val="center"/>
                </w:tcPr>
                <w:p w14:paraId="4DD4E741">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持续推进工业炉窑清洁能源替代。有序推进以电代煤，稳妥推进以气代煤。联防联控区原则上不再新增燃料类煤气发生炉，新改扩建加热炉、热处理炉、干燥炉、熔化炉原则上采用清洁低碳能源；安全稳妥推进使用高污染燃料的工业炉窑改用工业余热、电能、天然气等；燃料类煤气发生炉实行清洁能源替代，或因地制宜采取园区（集群）集中供气、分散使用方式；逐步淘汰固定床间歇式煤气发生炉。</w:t>
                  </w:r>
                </w:p>
              </w:tc>
              <w:tc>
                <w:tcPr>
                  <w:tcW w:w="1772" w:type="pct"/>
                  <w:tcBorders>
                    <w:tl2br w:val="nil"/>
                    <w:tr2bl w:val="nil"/>
                  </w:tcBorders>
                  <w:noWrap w:val="0"/>
                  <w:vAlign w:val="center"/>
                </w:tcPr>
                <w:p w14:paraId="1275463D">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w:t>
                  </w:r>
                  <w:r>
                    <w:rPr>
                      <w:rFonts w:hint="default"/>
                      <w:color w:val="000000" w:themeColor="text1"/>
                      <w:sz w:val="21"/>
                      <w:szCs w:val="21"/>
                      <w:highlight w:val="none"/>
                      <w14:textFill>
                        <w14:solidFill>
                          <w14:schemeClr w14:val="tx1"/>
                        </w14:solidFill>
                      </w14:textFill>
                    </w:rPr>
                    <w:t>不新增燃料类煤气发生炉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新建醇基锅炉为酸洗搅拌工序提供蒸汽，属于利用</w:t>
                  </w:r>
                  <w:r>
                    <w:rPr>
                      <w:rFonts w:hint="default"/>
                      <w:color w:val="000000" w:themeColor="text1"/>
                      <w:sz w:val="21"/>
                      <w:szCs w:val="21"/>
                      <w:highlight w:val="none"/>
                      <w14:textFill>
                        <w14:solidFill>
                          <w14:schemeClr w14:val="tx1"/>
                        </w14:solidFill>
                      </w14:textFill>
                    </w:rPr>
                    <w:t>清洁能源替代</w:t>
                  </w:r>
                  <w:r>
                    <w:rPr>
                      <w:rFonts w:hint="eastAsia"/>
                      <w:color w:val="000000" w:themeColor="text1"/>
                      <w:sz w:val="21"/>
                      <w:szCs w:val="21"/>
                      <w:highlight w:val="none"/>
                      <w:lang w:val="en-US" w:eastAsia="zh-CN"/>
                      <w14:textFill>
                        <w14:solidFill>
                          <w14:schemeClr w14:val="tx1"/>
                        </w14:solidFill>
                      </w14:textFill>
                    </w:rPr>
                    <w:t>燃煤。</w:t>
                  </w:r>
                </w:p>
              </w:tc>
              <w:tc>
                <w:tcPr>
                  <w:tcW w:w="332" w:type="pct"/>
                  <w:tcBorders>
                    <w:tl2br w:val="nil"/>
                    <w:tr2bl w:val="nil"/>
                  </w:tcBorders>
                  <w:noWrap w:val="0"/>
                  <w:vAlign w:val="center"/>
                </w:tcPr>
                <w:p w14:paraId="31E112A1">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FD6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6175B108">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w:t>
                  </w:r>
                </w:p>
              </w:tc>
              <w:tc>
                <w:tcPr>
                  <w:tcW w:w="2474" w:type="pct"/>
                  <w:tcBorders>
                    <w:tl2br w:val="nil"/>
                    <w:tr2bl w:val="nil"/>
                  </w:tcBorders>
                  <w:noWrap w:val="0"/>
                  <w:vAlign w:val="center"/>
                </w:tcPr>
                <w:p w14:paraId="14D74DEB">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强化挥发性有机物和氮氧化物综合治理。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1772" w:type="pct"/>
                  <w:tcBorders>
                    <w:tl2br w:val="nil"/>
                    <w:tr2bl w:val="nil"/>
                  </w:tcBorders>
                  <w:noWrap w:val="0"/>
                  <w:vAlign w:val="center"/>
                </w:tcPr>
                <w:p w14:paraId="03124384">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本项目一期工程酸洗废气、盐酸储罐大、小呼吸废气与预搅拌工序搅拌粉尘经集气罩收集后通入碱法喷淋塔经15m高排气筒（DA001）有组织排放；醇基锅炉废气采用低氮燃烧器+布袋除尘器经15m高排气筒（DA002）有组织排放；原料堆场与装卸扬尘采用全封闭式并在装卸处进行洒水降尘的降尘措施；烘干废气采用集气罩+袋式除尘+15m高排气筒（DA003）有组织排放，二期工程破碎、球磨工序产生的粉尘采用集气罩+袋式除尘+15m高排气筒（DA004）有组织排放，原料堆场与装卸扬尘采用全封闭式并在装卸处进行洒水降尘的降尘措施；烘干废气采用集气罩+袋式除尘+15m高排气筒（DA003）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已对</w:t>
                  </w:r>
                  <w:r>
                    <w:rPr>
                      <w:rFonts w:hint="default"/>
                      <w:color w:val="000000" w:themeColor="text1"/>
                      <w:sz w:val="21"/>
                      <w:szCs w:val="21"/>
                      <w:highlight w:val="none"/>
                      <w14:textFill>
                        <w14:solidFill>
                          <w14:schemeClr w14:val="tx1"/>
                        </w14:solidFill>
                      </w14:textFill>
                    </w:rPr>
                    <w:t>氮氧化物</w:t>
                  </w:r>
                  <w:r>
                    <w:rPr>
                      <w:rFonts w:hint="eastAsia"/>
                      <w:color w:val="000000" w:themeColor="text1"/>
                      <w:sz w:val="21"/>
                      <w:szCs w:val="21"/>
                      <w:highlight w:val="none"/>
                      <w:lang w:val="en-US" w:eastAsia="zh-CN"/>
                      <w14:textFill>
                        <w14:solidFill>
                          <w14:schemeClr w14:val="tx1"/>
                        </w14:solidFill>
                      </w14:textFill>
                    </w:rPr>
                    <w:t>进行有效治理，治理后可达标排放。</w:t>
                  </w:r>
                </w:p>
              </w:tc>
              <w:tc>
                <w:tcPr>
                  <w:tcW w:w="332" w:type="pct"/>
                  <w:tcBorders>
                    <w:tl2br w:val="nil"/>
                    <w:tr2bl w:val="nil"/>
                  </w:tcBorders>
                  <w:noWrap w:val="0"/>
                  <w:vAlign w:val="center"/>
                </w:tcPr>
                <w:p w14:paraId="0922296C">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4ED9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4EC5789">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2474" w:type="pct"/>
                  <w:tcBorders>
                    <w:tl2br w:val="nil"/>
                    <w:tr2bl w:val="nil"/>
                  </w:tcBorders>
                  <w:noWrap w:val="0"/>
                  <w:vAlign w:val="center"/>
                </w:tcPr>
                <w:p w14:paraId="43A44F8B">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完善重污染天气应急机制。适时修订重污染天气应急预案，规范预警启动、响应、解除工作流程。加强多部门联合研判会商，提高7—10天空气质量的预测预报准确率，适时开展重污染过程成因分析、应对成效评估。核发排污许可证的涉气企业纳入应急减排清单管理。统筹推进大气污染联防联控工作，严格落实重污染天气应对各地属地责任、部门监管责任、企业主体责任。</w:t>
                  </w:r>
                </w:p>
              </w:tc>
              <w:tc>
                <w:tcPr>
                  <w:tcW w:w="1772" w:type="pct"/>
                  <w:tcBorders>
                    <w:tl2br w:val="nil"/>
                    <w:tr2bl w:val="nil"/>
                  </w:tcBorders>
                  <w:noWrap w:val="0"/>
                  <w:vAlign w:val="center"/>
                </w:tcPr>
                <w:p w14:paraId="1F05141D">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已要求企业</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制定</w:t>
                  </w:r>
                  <w:r>
                    <w:rPr>
                      <w:rFonts w:hint="eastAsia" w:cs="Times New Roman"/>
                      <w:color w:val="000000" w:themeColor="text1"/>
                      <w:w w:val="100"/>
                      <w:position w:val="0"/>
                      <w:sz w:val="21"/>
                      <w:szCs w:val="21"/>
                      <w:highlight w:val="none"/>
                      <w:lang w:val="en-US" w:eastAsia="zh-CN"/>
                      <w14:textFill>
                        <w14:solidFill>
                          <w14:schemeClr w14:val="tx1"/>
                        </w14:solidFill>
                      </w14:textFill>
                    </w:rPr>
                    <w:t>突发环境事件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应急预案</w:t>
                  </w:r>
                </w:p>
              </w:tc>
              <w:tc>
                <w:tcPr>
                  <w:tcW w:w="332" w:type="pct"/>
                  <w:tcBorders>
                    <w:tl2br w:val="nil"/>
                    <w:tr2bl w:val="nil"/>
                  </w:tcBorders>
                  <w:noWrap w:val="0"/>
                  <w:vAlign w:val="center"/>
                </w:tcPr>
                <w:p w14:paraId="0EC92B82">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6B178C96">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11、与《工业料堆场扬尘整治规范》（DB-65/T-4061-2017）</w:t>
            </w:r>
            <w:r>
              <w:rPr>
                <w:rFonts w:hint="default"/>
                <w:color w:val="000000" w:themeColor="text1"/>
                <w:highlight w:val="none"/>
                <w:lang w:val="en-US" w:eastAsia="zh-CN"/>
                <w14:textFill>
                  <w14:solidFill>
                    <w14:schemeClr w14:val="tx1"/>
                  </w14:solidFill>
                </w14:textFill>
              </w:rPr>
              <w:t>符合性分析</w:t>
            </w:r>
          </w:p>
          <w:p w14:paraId="545F147B">
            <w:pPr>
              <w:pStyle w:val="35"/>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default"/>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5  </w:t>
            </w:r>
            <w:r>
              <w:rPr>
                <w:color w:val="000000" w:themeColor="text1"/>
                <w:highlight w:val="none"/>
                <w14:textFill>
                  <w14:solidFill>
                    <w14:schemeClr w14:val="tx1"/>
                  </w14:solidFill>
                </w14:textFill>
              </w:rPr>
              <w:t xml:space="preserve"> 本项目与</w:t>
            </w:r>
            <w:r>
              <w:rPr>
                <w:rFonts w:hint="eastAsia"/>
                <w:color w:val="000000" w:themeColor="text1"/>
                <w:highlight w:val="none"/>
                <w:lang w:val="en-US" w:eastAsia="zh-CN"/>
                <w14:textFill>
                  <w14:solidFill>
                    <w14:schemeClr w14:val="tx1"/>
                  </w14:solidFill>
                </w14:textFill>
              </w:rPr>
              <w:t>《工业料堆场扬尘整治规范》（DB-65/T-4061-2017）</w:t>
            </w:r>
            <w:r>
              <w:rPr>
                <w:color w:val="000000" w:themeColor="text1"/>
                <w:highlight w:val="none"/>
                <w14:textFill>
                  <w14:solidFill>
                    <w14:schemeClr w14:val="tx1"/>
                  </w14:solidFill>
                </w14:textFill>
              </w:rPr>
              <w:t>的符合性分析</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3752"/>
              <w:gridCol w:w="2687"/>
              <w:gridCol w:w="504"/>
            </w:tblGrid>
            <w:tr w14:paraId="5022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0" w:type="pct"/>
                  <w:tcBorders>
                    <w:tl2br w:val="nil"/>
                    <w:tr2bl w:val="nil"/>
                  </w:tcBorders>
                  <w:noWrap w:val="0"/>
                  <w:vAlign w:val="center"/>
                </w:tcPr>
                <w:p w14:paraId="316AC723">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序号</w:t>
                  </w:r>
                </w:p>
              </w:tc>
              <w:tc>
                <w:tcPr>
                  <w:tcW w:w="2474" w:type="pct"/>
                  <w:tcBorders>
                    <w:tl2br w:val="nil"/>
                    <w:tr2bl w:val="nil"/>
                  </w:tcBorders>
                  <w:noWrap w:val="0"/>
                  <w:vAlign w:val="center"/>
                </w:tcPr>
                <w:p w14:paraId="5DADCB82">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1772" w:type="pct"/>
                  <w:tcBorders>
                    <w:tl2br w:val="nil"/>
                    <w:tr2bl w:val="nil"/>
                  </w:tcBorders>
                  <w:noWrap w:val="0"/>
                  <w:vAlign w:val="center"/>
                </w:tcPr>
                <w:p w14:paraId="3A426D1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本项目实际情况</w:t>
                  </w:r>
                </w:p>
              </w:tc>
              <w:tc>
                <w:tcPr>
                  <w:tcW w:w="332" w:type="pct"/>
                  <w:tcBorders>
                    <w:tl2br w:val="nil"/>
                    <w:tr2bl w:val="nil"/>
                  </w:tcBorders>
                  <w:noWrap w:val="0"/>
                  <w:vAlign w:val="center"/>
                </w:tcPr>
                <w:p w14:paraId="514882B0">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6782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1AF5E75">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2474" w:type="pct"/>
                  <w:tcBorders>
                    <w:tl2br w:val="nil"/>
                    <w:tr2bl w:val="nil"/>
                  </w:tcBorders>
                  <w:shd w:val="clear" w:color="auto" w:fill="auto"/>
                  <w:noWrap w:val="0"/>
                  <w:vAlign w:val="center"/>
                </w:tcPr>
                <w:p w14:paraId="311AE0B2">
                  <w:pPr>
                    <w:pStyle w:val="57"/>
                    <w:bidi w:val="0"/>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工业料堆场与生产车间布置，应根据HJ/T55的要求，作业程序合理设置。原、燃料堆场及全厂性仓库（棚）宜集中布置在原、燃料进厂处或靠近主要用户的一个区域内</w:t>
                  </w:r>
                </w:p>
              </w:tc>
              <w:tc>
                <w:tcPr>
                  <w:tcW w:w="1772" w:type="pct"/>
                  <w:tcBorders>
                    <w:tl2br w:val="nil"/>
                    <w:tr2bl w:val="nil"/>
                  </w:tcBorders>
                  <w:noWrap w:val="0"/>
                  <w:vAlign w:val="center"/>
                </w:tcPr>
                <w:p w14:paraId="5FC418B9">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本项目原料堆场与成品堆场均采取全密闭措施</w:t>
                  </w:r>
                  <w:r>
                    <w:rPr>
                      <w:rFonts w:hint="eastAsia"/>
                      <w:color w:val="000000" w:themeColor="text1"/>
                      <w:sz w:val="21"/>
                      <w:szCs w:val="21"/>
                      <w:highlight w:val="none"/>
                      <w:lang w:val="en-US" w:eastAsia="zh-CN"/>
                      <w14:textFill>
                        <w14:solidFill>
                          <w14:schemeClr w14:val="tx1"/>
                        </w14:solidFill>
                      </w14:textFill>
                    </w:rPr>
                    <w:t>，装卸口采取洒水降尘措施</w:t>
                  </w:r>
                  <w:r>
                    <w:rPr>
                      <w:rFonts w:hint="eastAsia" w:eastAsia="宋体"/>
                      <w:color w:val="000000" w:themeColor="text1"/>
                      <w:sz w:val="21"/>
                      <w:szCs w:val="21"/>
                      <w:highlight w:val="none"/>
                      <w:lang w:val="en-US" w:eastAsia="zh-CN"/>
                      <w14:textFill>
                        <w14:solidFill>
                          <w14:schemeClr w14:val="tx1"/>
                        </w14:solidFill>
                      </w14:textFill>
                    </w:rPr>
                    <w:t>，原料堆场布置在原熔炼车间进口处，便于运输，成品</w:t>
                  </w:r>
                  <w:r>
                    <w:rPr>
                      <w:rFonts w:hint="eastAsia"/>
                      <w:color w:val="000000" w:themeColor="text1"/>
                      <w:sz w:val="21"/>
                      <w:szCs w:val="21"/>
                      <w:highlight w:val="none"/>
                      <w:lang w:val="en-US" w:eastAsia="zh-CN"/>
                      <w14:textFill>
                        <w14:solidFill>
                          <w14:schemeClr w14:val="tx1"/>
                        </w14:solidFill>
                      </w14:textFill>
                    </w:rPr>
                    <w:t>与现有项目成品相同，成品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依托现有项目原有成品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w:t>
                  </w:r>
                  <w:r>
                    <w:rPr>
                      <w:rFonts w:hint="eastAsia" w:eastAsia="宋体"/>
                      <w:color w:val="000000" w:themeColor="text1"/>
                      <w:sz w:val="21"/>
                      <w:szCs w:val="21"/>
                      <w:highlight w:val="none"/>
                      <w:lang w:val="en-US" w:eastAsia="zh-CN"/>
                      <w14:textFill>
                        <w14:solidFill>
                          <w14:schemeClr w14:val="tx1"/>
                        </w14:solidFill>
                      </w14:textFill>
                    </w:rPr>
                    <w:t>布置</w:t>
                  </w:r>
                  <w:r>
                    <w:rPr>
                      <w:rFonts w:hint="eastAsia"/>
                      <w:color w:val="000000" w:themeColor="text1"/>
                      <w:sz w:val="21"/>
                      <w:szCs w:val="21"/>
                      <w:highlight w:val="none"/>
                      <w:lang w:val="en-US" w:eastAsia="zh-CN"/>
                      <w14:textFill>
                        <w14:solidFill>
                          <w14:schemeClr w14:val="tx1"/>
                        </w14:solidFill>
                      </w14:textFill>
                    </w:rPr>
                    <w:t>于</w:t>
                  </w:r>
                  <w:r>
                    <w:rPr>
                      <w:rFonts w:hint="eastAsia" w:eastAsia="宋体"/>
                      <w:color w:val="000000" w:themeColor="text1"/>
                      <w:sz w:val="21"/>
                      <w:szCs w:val="21"/>
                      <w:highlight w:val="none"/>
                      <w:lang w:val="en-US" w:eastAsia="zh-CN"/>
                      <w14:textFill>
                        <w14:solidFill>
                          <w14:schemeClr w14:val="tx1"/>
                        </w14:solidFill>
                      </w14:textFill>
                    </w:rPr>
                    <w:t>原熔炼车间内生产线旁，便于成品储存</w:t>
                  </w:r>
                </w:p>
              </w:tc>
              <w:tc>
                <w:tcPr>
                  <w:tcW w:w="332" w:type="pct"/>
                  <w:tcBorders>
                    <w:tl2br w:val="nil"/>
                    <w:tr2bl w:val="nil"/>
                  </w:tcBorders>
                  <w:noWrap w:val="0"/>
                  <w:vAlign w:val="center"/>
                </w:tcPr>
                <w:p w14:paraId="2E5D3C56">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6C47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C04A169">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2474" w:type="pct"/>
                  <w:tcBorders>
                    <w:tl2br w:val="nil"/>
                    <w:tr2bl w:val="nil"/>
                  </w:tcBorders>
                  <w:shd w:val="clear" w:color="auto" w:fill="auto"/>
                  <w:noWrap w:val="0"/>
                  <w:vAlign w:val="center"/>
                </w:tcPr>
                <w:p w14:paraId="6CAB8FBE">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工业料堆场应布置在厂区的最小风频方向上，其长边应平行于厂区的主导风向</w:t>
                  </w:r>
                </w:p>
              </w:tc>
              <w:tc>
                <w:tcPr>
                  <w:tcW w:w="1772" w:type="pct"/>
                  <w:tcBorders>
                    <w:tl2br w:val="nil"/>
                    <w:tr2bl w:val="nil"/>
                  </w:tcBorders>
                  <w:noWrap w:val="0"/>
                  <w:vAlign w:val="center"/>
                </w:tcPr>
                <w:p w14:paraId="3F7AD674">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本项目原料堆场布置在原熔炼车间进口处，便于运输，成品</w:t>
                  </w:r>
                  <w:r>
                    <w:rPr>
                      <w:rFonts w:hint="eastAsia"/>
                      <w:color w:val="000000" w:themeColor="text1"/>
                      <w:sz w:val="21"/>
                      <w:szCs w:val="21"/>
                      <w:highlight w:val="none"/>
                      <w:lang w:val="en-US" w:eastAsia="zh-CN"/>
                      <w14:textFill>
                        <w14:solidFill>
                          <w14:schemeClr w14:val="tx1"/>
                        </w14:solidFill>
                      </w14:textFill>
                    </w:rPr>
                    <w:t>与现有项目成品相同，成品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依托现有项目原有成品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w:t>
                  </w:r>
                  <w:r>
                    <w:rPr>
                      <w:rFonts w:hint="eastAsia" w:eastAsia="宋体"/>
                      <w:color w:val="000000" w:themeColor="text1"/>
                      <w:sz w:val="21"/>
                      <w:szCs w:val="21"/>
                      <w:highlight w:val="none"/>
                      <w:lang w:val="en-US" w:eastAsia="zh-CN"/>
                      <w14:textFill>
                        <w14:solidFill>
                          <w14:schemeClr w14:val="tx1"/>
                        </w14:solidFill>
                      </w14:textFill>
                    </w:rPr>
                    <w:t>布置</w:t>
                  </w:r>
                  <w:r>
                    <w:rPr>
                      <w:rFonts w:hint="eastAsia"/>
                      <w:color w:val="000000" w:themeColor="text1"/>
                      <w:sz w:val="21"/>
                      <w:szCs w:val="21"/>
                      <w:highlight w:val="none"/>
                      <w:lang w:val="en-US" w:eastAsia="zh-CN"/>
                      <w14:textFill>
                        <w14:solidFill>
                          <w14:schemeClr w14:val="tx1"/>
                        </w14:solidFill>
                      </w14:textFill>
                    </w:rPr>
                    <w:t>于</w:t>
                  </w:r>
                  <w:r>
                    <w:rPr>
                      <w:rFonts w:hint="eastAsia" w:eastAsia="宋体"/>
                      <w:color w:val="000000" w:themeColor="text1"/>
                      <w:sz w:val="21"/>
                      <w:szCs w:val="21"/>
                      <w:highlight w:val="none"/>
                      <w:lang w:val="en-US" w:eastAsia="zh-CN"/>
                      <w14:textFill>
                        <w14:solidFill>
                          <w14:schemeClr w14:val="tx1"/>
                        </w14:solidFill>
                      </w14:textFill>
                    </w:rPr>
                    <w:t>原熔炼车间内生产线旁，便于成品储存，原料与成品堆场位于厂区东北侧，属于</w:t>
                  </w: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厂区的最小风频方向上</w:t>
                  </w:r>
                  <w:r>
                    <w:rPr>
                      <w:rFonts w:hint="eastAsia" w:ascii="sans-serif" w:hAnsi="sans-serif" w:eastAsia="宋体" w:cs="sans-serif"/>
                      <w:i w:val="0"/>
                      <w:iCs w:val="0"/>
                      <w:caps w:val="0"/>
                      <w:color w:val="000000" w:themeColor="text1"/>
                      <w:spacing w:val="0"/>
                      <w:sz w:val="21"/>
                      <w:szCs w:val="21"/>
                      <w:highlight w:val="none"/>
                      <w:shd w:val="clear" w:fill="FFFFFF"/>
                      <w:lang w:eastAsia="zh-CN"/>
                      <w14:textFill>
                        <w14:solidFill>
                          <w14:schemeClr w14:val="tx1"/>
                        </w14:solidFill>
                      </w14:textFill>
                    </w:rPr>
                    <w:t>。</w:t>
                  </w:r>
                </w:p>
              </w:tc>
              <w:tc>
                <w:tcPr>
                  <w:tcW w:w="332" w:type="pct"/>
                  <w:tcBorders>
                    <w:tl2br w:val="nil"/>
                    <w:tr2bl w:val="nil"/>
                  </w:tcBorders>
                  <w:noWrap w:val="0"/>
                  <w:vAlign w:val="center"/>
                </w:tcPr>
                <w:p w14:paraId="59CE8745">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5133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0813385">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w:t>
                  </w:r>
                </w:p>
              </w:tc>
              <w:tc>
                <w:tcPr>
                  <w:tcW w:w="2474" w:type="pct"/>
                  <w:tcBorders>
                    <w:tl2br w:val="nil"/>
                    <w:tr2bl w:val="nil"/>
                  </w:tcBorders>
                  <w:noWrap w:val="0"/>
                  <w:vAlign w:val="center"/>
                </w:tcPr>
                <w:p w14:paraId="342DBBB6">
                  <w:pPr>
                    <w:pStyle w:val="57"/>
                    <w:bidi w:val="0"/>
                    <w:rPr>
                      <w:rFonts w:hint="default"/>
                      <w:color w:val="000000" w:themeColor="text1"/>
                      <w:sz w:val="21"/>
                      <w:szCs w:val="21"/>
                      <w:highlight w:val="none"/>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对工业料堆场内装卸、运输等作业过程中，易产生扬尘污染的物料必须采取封闭、遮盖、洒水降</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尘措施，密闭输送物料必须在装料、卸料处配备吸尘、喷淋防尘措施</w:t>
                  </w:r>
                </w:p>
              </w:tc>
              <w:tc>
                <w:tcPr>
                  <w:tcW w:w="1772" w:type="pct"/>
                  <w:tcBorders>
                    <w:tl2br w:val="nil"/>
                    <w:tr2bl w:val="nil"/>
                  </w:tcBorders>
                  <w:noWrap w:val="0"/>
                  <w:vAlign w:val="center"/>
                </w:tcPr>
                <w:p w14:paraId="2DDCF20A">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本项目原料堆场与成品堆场均采取全密闭措施，</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在装料、卸料处</w:t>
                  </w:r>
                  <w:r>
                    <w:rPr>
                      <w:rFonts w:hint="eastAsia" w:ascii="sans-serif" w:hAnsi="sans-serif" w:eastAsia="宋体" w:cs="sans-serif"/>
                      <w:i w:val="0"/>
                      <w:iCs w:val="0"/>
                      <w:caps w:val="0"/>
                      <w:color w:val="000000" w:themeColor="text1"/>
                      <w:spacing w:val="0"/>
                      <w:sz w:val="21"/>
                      <w:szCs w:val="21"/>
                      <w:highlight w:val="none"/>
                      <w:shd w:val="clear" w:fill="FFFFFF"/>
                      <w:lang w:val="en-US" w:eastAsia="zh-CN"/>
                      <w14:textFill>
                        <w14:solidFill>
                          <w14:schemeClr w14:val="tx1"/>
                        </w14:solidFill>
                      </w14:textFill>
                    </w:rPr>
                    <w:t>采取洒水降尘</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措施</w:t>
                  </w:r>
                </w:p>
              </w:tc>
              <w:tc>
                <w:tcPr>
                  <w:tcW w:w="332" w:type="pct"/>
                  <w:tcBorders>
                    <w:tl2br w:val="nil"/>
                    <w:tr2bl w:val="nil"/>
                  </w:tcBorders>
                  <w:noWrap w:val="0"/>
                  <w:vAlign w:val="center"/>
                </w:tcPr>
                <w:p w14:paraId="3C9BC0FC">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01A7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shd w:val="clear" w:color="auto" w:fill="auto"/>
                  <w:noWrap w:val="0"/>
                  <w:vAlign w:val="center"/>
                </w:tcPr>
                <w:p w14:paraId="3491E325">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2474" w:type="pct"/>
                  <w:tcBorders>
                    <w:tl2br w:val="nil"/>
                    <w:tr2bl w:val="nil"/>
                  </w:tcBorders>
                  <w:noWrap w:val="0"/>
                  <w:vAlign w:val="center"/>
                </w:tcPr>
                <w:p w14:paraId="706C01FC">
                  <w:pPr>
                    <w:pStyle w:val="57"/>
                    <w:bidi w:val="0"/>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对于工业料堆场的坡面、场坪和路面等，必须采取铺装、硬化、定期喷洒抑尘剂或稳定剂等措</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施。</w:t>
                  </w:r>
                </w:p>
              </w:tc>
              <w:tc>
                <w:tcPr>
                  <w:tcW w:w="1772" w:type="pct"/>
                  <w:tcBorders>
                    <w:tl2br w:val="nil"/>
                    <w:tr2bl w:val="nil"/>
                  </w:tcBorders>
                  <w:noWrap w:val="0"/>
                  <w:vAlign w:val="center"/>
                </w:tcPr>
                <w:p w14:paraId="0DF8B751">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本项目堆场地面采取硬化措施，定期洒水降尘</w:t>
                  </w:r>
                </w:p>
              </w:tc>
              <w:tc>
                <w:tcPr>
                  <w:tcW w:w="332" w:type="pct"/>
                  <w:tcBorders>
                    <w:tl2br w:val="nil"/>
                    <w:tr2bl w:val="nil"/>
                  </w:tcBorders>
                  <w:noWrap w:val="0"/>
                  <w:vAlign w:val="center"/>
                </w:tcPr>
                <w:p w14:paraId="4358222D">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B29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shd w:val="clear" w:color="auto" w:fill="auto"/>
                  <w:noWrap w:val="0"/>
                  <w:vAlign w:val="center"/>
                </w:tcPr>
                <w:p w14:paraId="774A5D92">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w:t>
                  </w:r>
                </w:p>
              </w:tc>
              <w:tc>
                <w:tcPr>
                  <w:tcW w:w="2474" w:type="pct"/>
                  <w:tcBorders>
                    <w:tl2br w:val="nil"/>
                    <w:tr2bl w:val="nil"/>
                  </w:tcBorders>
                  <w:noWrap w:val="0"/>
                  <w:vAlign w:val="center"/>
                </w:tcPr>
                <w:p w14:paraId="1E6C7C9A">
                  <w:pPr>
                    <w:pStyle w:val="57"/>
                    <w:bidi w:val="0"/>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工业料堆场需设置料区和道路界限的标识线，对散落地面的物料等进行及时清理和清洗，保持</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道路干净、整洁，必须落实专人进行保洁工作，保持环境整洁</w:t>
                  </w:r>
                </w:p>
              </w:tc>
              <w:tc>
                <w:tcPr>
                  <w:tcW w:w="1772" w:type="pct"/>
                  <w:tcBorders>
                    <w:tl2br w:val="nil"/>
                    <w:tr2bl w:val="nil"/>
                  </w:tcBorders>
                  <w:noWrap w:val="0"/>
                  <w:vAlign w:val="center"/>
                </w:tcPr>
                <w:p w14:paraId="2B6A1D72">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本环评要求项目堆场</w:t>
                  </w: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设置料区和道路界限的标识线，对散落地面的物料等进行及时清理和清洗，保持</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道路干净、整洁</w:t>
                  </w:r>
                  <w:r>
                    <w:rPr>
                      <w:rFonts w:hint="eastAsia" w:ascii="sans-serif" w:hAnsi="sans-serif" w:eastAsia="宋体" w:cs="sans-serif"/>
                      <w:i w:val="0"/>
                      <w:iCs w:val="0"/>
                      <w:caps w:val="0"/>
                      <w:color w:val="000000" w:themeColor="text1"/>
                      <w:spacing w:val="0"/>
                      <w:sz w:val="21"/>
                      <w:szCs w:val="21"/>
                      <w:highlight w:val="none"/>
                      <w:shd w:val="clear" w:fill="FFFFFF"/>
                      <w:lang w:eastAsia="zh-CN"/>
                      <w14:textFill>
                        <w14:solidFill>
                          <w14:schemeClr w14:val="tx1"/>
                        </w14:solidFill>
                      </w14:textFill>
                    </w:rPr>
                    <w:t>，</w:t>
                  </w:r>
                  <w:r>
                    <w:rPr>
                      <w:rFonts w:hint="eastAsia" w:ascii="sans-serif" w:hAnsi="sans-serif" w:eastAsia="宋体" w:cs="sans-serif"/>
                      <w:i w:val="0"/>
                      <w:iCs w:val="0"/>
                      <w:caps w:val="0"/>
                      <w:color w:val="000000" w:themeColor="text1"/>
                      <w:spacing w:val="0"/>
                      <w:sz w:val="21"/>
                      <w:szCs w:val="21"/>
                      <w:highlight w:val="none"/>
                      <w:shd w:val="clear" w:fill="FFFFFF"/>
                      <w:lang w:val="en-US" w:eastAsia="zh-CN"/>
                      <w14:textFill>
                        <w14:solidFill>
                          <w14:schemeClr w14:val="tx1"/>
                        </w14:solidFill>
                      </w14:textFill>
                    </w:rPr>
                    <w:t>有专人</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进行保洁工作，保持环境整洁</w:t>
                  </w:r>
                </w:p>
              </w:tc>
              <w:tc>
                <w:tcPr>
                  <w:tcW w:w="332" w:type="pct"/>
                  <w:tcBorders>
                    <w:tl2br w:val="nil"/>
                    <w:tr2bl w:val="nil"/>
                  </w:tcBorders>
                  <w:noWrap w:val="0"/>
                  <w:vAlign w:val="center"/>
                </w:tcPr>
                <w:p w14:paraId="755B8763">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782E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shd w:val="clear" w:color="auto" w:fill="auto"/>
                  <w:noWrap w:val="0"/>
                  <w:vAlign w:val="center"/>
                </w:tcPr>
                <w:p w14:paraId="1DBFAB38">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w:t>
                  </w:r>
                </w:p>
              </w:tc>
              <w:tc>
                <w:tcPr>
                  <w:tcW w:w="2474" w:type="pct"/>
                  <w:tcBorders>
                    <w:tl2br w:val="nil"/>
                    <w:tr2bl w:val="nil"/>
                  </w:tcBorders>
                  <w:noWrap w:val="0"/>
                  <w:vAlign w:val="center"/>
                </w:tcPr>
                <w:p w14:paraId="5B8631C0">
                  <w:pPr>
                    <w:pStyle w:val="57"/>
                    <w:bidi w:val="0"/>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应管理和维护好料堆场堆存、装卸、输送和扬尘污染防治的设施、设备和场所，保证其正常运</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行和使用，并设立图形标志牌</w:t>
                  </w:r>
                </w:p>
              </w:tc>
              <w:tc>
                <w:tcPr>
                  <w:tcW w:w="1772" w:type="pct"/>
                  <w:tcBorders>
                    <w:tl2br w:val="nil"/>
                    <w:tr2bl w:val="nil"/>
                  </w:tcBorders>
                  <w:noWrap w:val="0"/>
                  <w:vAlign w:val="center"/>
                </w:tcPr>
                <w:p w14:paraId="30AB7008">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定期对污染处理设施进行检查与维护</w:t>
                  </w:r>
                </w:p>
              </w:tc>
              <w:tc>
                <w:tcPr>
                  <w:tcW w:w="332" w:type="pct"/>
                  <w:tcBorders>
                    <w:tl2br w:val="nil"/>
                    <w:tr2bl w:val="nil"/>
                  </w:tcBorders>
                  <w:noWrap w:val="0"/>
                  <w:vAlign w:val="center"/>
                </w:tcPr>
                <w:p w14:paraId="2430668F">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1EB78515">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w:t>
            </w:r>
            <w:r>
              <w:rPr>
                <w:rFonts w:hint="default"/>
                <w:color w:val="000000" w:themeColor="text1"/>
                <w:highlight w:val="none"/>
                <w:lang w:val="en-US" w:eastAsia="zh-CN"/>
                <w14:textFill>
                  <w14:solidFill>
                    <w14:schemeClr w14:val="tx1"/>
                  </w14:solidFill>
                </w14:textFill>
              </w:rPr>
              <w:t>选址的符合性分析</w:t>
            </w:r>
          </w:p>
          <w:p w14:paraId="014A3B3D">
            <w:pPr>
              <w:snapToGrid w:val="0"/>
              <w:spacing w:line="360" w:lineRule="auto"/>
              <w:ind w:firstLine="480" w:firstLineChars="200"/>
              <w:jc w:val="left"/>
              <w:rPr>
                <w:rFonts w:hint="eastAsia"/>
                <w:color w:val="000000" w:themeColor="text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本次建设于新疆振宏机械制造有限责任公司</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原熔炼车间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西侧，</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租赁昌吉市先导工程材料有限责任公司1#厂房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已建车间（面积为840m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）以及</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东侧</w:t>
            </w:r>
            <w:r>
              <w:rPr>
                <w:rFonts w:hint="eastAsia" w:cs="Times New Roman"/>
                <w:color w:val="000000" w:themeColor="text1"/>
                <w:w w:val="100"/>
                <w:position w:val="0"/>
                <w:sz w:val="24"/>
                <w:szCs w:val="24"/>
                <w:highlight w:val="none"/>
                <w:lang w:val="en-US" w:eastAsia="zh-CN"/>
                <w14:textFill>
                  <w14:solidFill>
                    <w14:schemeClr w14:val="tx1"/>
                  </w14:solidFill>
                </w14:textFill>
              </w:rPr>
              <w:t>设备棚</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（面积为620m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北侧隔科韵路为新疆鑫润达建材有限公司，西侧为新疆恒泰新型建材有限公司，南侧为新疆朝阳电缆有限公司，东侧为昌吉市政建设（集团）有限公司</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本项目为扩建项目，一期扩建一条废硅粉预处理生产线，二期扩建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一条废</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硅渣处理生产线，</w:t>
            </w:r>
            <w:r>
              <w:rPr>
                <w:rFonts w:hint="eastAsia"/>
                <w:color w:val="000000" w:themeColor="text1"/>
                <w:sz w:val="24"/>
                <w:szCs w:val="24"/>
                <w:highlight w:val="none"/>
                <w14:textFill>
                  <w14:solidFill>
                    <w14:schemeClr w14:val="tx1"/>
                  </w14:solidFill>
                </w14:textFill>
              </w:rPr>
              <w:t>供水、供电依托原有。生产线场地位于厂区北部，办公区位于厂区东部。</w:t>
            </w:r>
          </w:p>
          <w:p w14:paraId="2FB55F31">
            <w:pPr>
              <w:autoSpaceDE w:val="0"/>
              <w:autoSpaceDN w:val="0"/>
              <w:adjustRightInd w:val="0"/>
              <w:snapToGrid w:val="0"/>
              <w:spacing w:line="360" w:lineRule="auto"/>
              <w:ind w:firstLine="480" w:firstLineChars="200"/>
              <w:rPr>
                <w:rFonts w:hint="default"/>
                <w:color w:val="000000" w:themeColor="text1"/>
                <w:highlight w:val="none"/>
                <w14:textFill>
                  <w14:solidFill>
                    <w14:schemeClr w14:val="tx1"/>
                  </w14:solidFill>
                </w14:textFill>
              </w:rPr>
            </w:pPr>
            <w:r>
              <w:rPr>
                <w:color w:val="000000" w:themeColor="text1"/>
                <w:sz w:val="24"/>
                <w:szCs w:val="24"/>
                <w:highlight w:val="none"/>
                <w14:textFill>
                  <w14:solidFill>
                    <w14:schemeClr w14:val="tx1"/>
                  </w14:solidFill>
                </w14:textFill>
              </w:rPr>
              <w:t>根据现场勘查，</w:t>
            </w:r>
            <w:r>
              <w:rPr>
                <w:rFonts w:hint="eastAsia"/>
                <w:color w:val="000000" w:themeColor="text1"/>
                <w:sz w:val="24"/>
                <w:szCs w:val="24"/>
                <w:highlight w:val="none"/>
                <w14:textFill>
                  <w14:solidFill>
                    <w14:schemeClr w14:val="tx1"/>
                  </w14:solidFill>
                </w14:textFill>
              </w:rPr>
              <w:t>场址所在地不属于</w:t>
            </w:r>
            <w:r>
              <w:rPr>
                <w:rFonts w:hint="eastAsia"/>
                <w:color w:val="000000" w:themeColor="text1"/>
                <w:sz w:val="24"/>
                <w:szCs w:val="24"/>
                <w:highlight w:val="none"/>
                <w:lang w:val="en-US" w:eastAsia="zh-CN"/>
                <w14:textFill>
                  <w14:solidFill>
                    <w14:schemeClr w14:val="tx1"/>
                  </w14:solidFill>
                </w14:textFill>
              </w:rPr>
              <w:t>基本农田</w:t>
            </w:r>
            <w:r>
              <w:rPr>
                <w:rFonts w:hint="eastAsia"/>
                <w:color w:val="000000" w:themeColor="text1"/>
                <w:sz w:val="24"/>
                <w:szCs w:val="24"/>
                <w:highlight w:val="none"/>
                <w14:textFill>
                  <w14:solidFill>
                    <w14:schemeClr w14:val="tx1"/>
                  </w14:solidFill>
                </w14:textFill>
              </w:rPr>
              <w:t>，所在地及附近无矿产资源，无农业保护区、自然保护区、文物保护区、风景名胜区、饮用水水源保护区及其</w:t>
            </w:r>
            <w:r>
              <w:rPr>
                <w:rFonts w:hint="eastAsia"/>
                <w:color w:val="000000" w:themeColor="text1"/>
                <w:sz w:val="24"/>
                <w:szCs w:val="24"/>
                <w:highlight w:val="none"/>
                <w:lang w:eastAsia="zh-CN"/>
                <w14:textFill>
                  <w14:solidFill>
                    <w14:schemeClr w14:val="tx1"/>
                  </w14:solidFill>
                </w14:textFill>
              </w:rPr>
              <w:t>他</w:t>
            </w:r>
            <w:r>
              <w:rPr>
                <w:rFonts w:hint="eastAsia"/>
                <w:color w:val="000000" w:themeColor="text1"/>
                <w:sz w:val="24"/>
                <w:szCs w:val="24"/>
                <w:highlight w:val="none"/>
                <w14:textFill>
                  <w14:solidFill>
                    <w14:schemeClr w14:val="tx1"/>
                  </w14:solidFill>
                </w14:textFill>
              </w:rPr>
              <w:t>需要特别保护的区域</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综上，本项目的选址较为合理</w:t>
            </w:r>
            <w:r>
              <w:rPr>
                <w:color w:val="000000" w:themeColor="text1"/>
                <w:sz w:val="24"/>
                <w:szCs w:val="24"/>
                <w:highlight w:val="none"/>
                <w14:textFill>
                  <w14:solidFill>
                    <w14:schemeClr w14:val="tx1"/>
                  </w14:solidFill>
                </w14:textFill>
              </w:rPr>
              <w:t>。</w:t>
            </w:r>
          </w:p>
        </w:tc>
      </w:tr>
    </w:tbl>
    <w:p w14:paraId="785450BD">
      <w:pPr>
        <w:widowControl/>
        <w:jc w:val="left"/>
        <w:rPr>
          <w:rFonts w:hint="default" w:ascii="Times New Roman" w:hAnsi="Times New Roman" w:eastAsia="黑体" w:cs="Times New Roman"/>
          <w:bCs/>
          <w:color w:val="000000" w:themeColor="text1"/>
          <w:w w:val="100"/>
          <w:kern w:val="44"/>
          <w:position w:val="0"/>
          <w:sz w:val="28"/>
          <w:szCs w:val="44"/>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7A30409E">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1" w:name="_Toc1036"/>
      <w:r>
        <w:rPr>
          <w:rFonts w:hint="default" w:ascii="Times New Roman" w:hAnsi="Times New Roman" w:cs="Times New Roman"/>
          <w:color w:val="000000" w:themeColor="text1"/>
          <w:w w:val="100"/>
          <w:position w:val="0"/>
          <w:highlight w:val="none"/>
          <w14:textFill>
            <w14:solidFill>
              <w14:schemeClr w14:val="tx1"/>
            </w14:solidFill>
          </w14:textFill>
        </w:rPr>
        <w:t>建设项目工程分析</w:t>
      </w:r>
      <w:bookmarkEnd w:id="1"/>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7"/>
        <w:gridCol w:w="8323"/>
      </w:tblGrid>
      <w:tr w14:paraId="30F20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62" w:hRule="atLeast"/>
          <w:jc w:val="center"/>
        </w:trPr>
        <w:tc>
          <w:tcPr>
            <w:tcW w:w="615" w:type="dxa"/>
            <w:tcBorders>
              <w:tl2br w:val="nil"/>
              <w:tr2bl w:val="nil"/>
            </w:tcBorders>
            <w:vAlign w:val="center"/>
          </w:tcPr>
          <w:p w14:paraId="3F69D0A4">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建设内容</w:t>
            </w:r>
          </w:p>
        </w:tc>
        <w:tc>
          <w:tcPr>
            <w:tcW w:w="7907" w:type="dxa"/>
            <w:tcBorders>
              <w:tl2br w:val="nil"/>
              <w:tr2bl w:val="nil"/>
            </w:tcBorders>
          </w:tcPr>
          <w:p w14:paraId="22FECCC8">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项目背景</w:t>
            </w:r>
          </w:p>
          <w:p w14:paraId="710840FA">
            <w:pPr>
              <w:spacing w:line="360" w:lineRule="auto"/>
              <w:ind w:firstLine="480" w:firstLineChars="200"/>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新疆振宏机械制造有限责任公司成立于2009年，统一社会信用代码为91650105895646810，注册地址为新疆昌吉州昌吉高新技术开发区景秀路19号，公司主要经营范围为非金属矿物制造，合成材料制造（不含危险化学品），密封用填料制造；金属成型机床制造，金属结构制造，金属材料制造，金属工具出售，非金属废料和碎屑加工处理等。</w:t>
            </w:r>
          </w:p>
          <w:p w14:paraId="3D2C1F0D">
            <w:pPr>
              <w:spacing w:line="360" w:lineRule="auto"/>
              <w:ind w:firstLine="480" w:firstLineChars="200"/>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2022年，新疆振宏机械制造有限责任公司委托昌吉市新瑞鑫诚环保咨询服务有限公司编制了《</w:t>
            </w:r>
            <w:r>
              <w:rPr>
                <w:rFonts w:hint="eastAsia" w:cs="Times New Roman"/>
                <w:color w:val="000000" w:themeColor="text1"/>
                <w:w w:val="100"/>
                <w:position w:val="0"/>
                <w:sz w:val="24"/>
                <w:szCs w:val="24"/>
                <w:highlight w:val="none"/>
                <w:lang w:val="en-US" w:eastAsia="zh-CN"/>
                <w14:textFill>
                  <w14:solidFill>
                    <w14:schemeClr w14:val="tx1"/>
                  </w14:solidFill>
                </w14:textFill>
              </w:rPr>
              <w:t>新疆振宏机械制造有限公司硅废粉回收再加工利用项目环境影响报告表</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》并</w:t>
            </w:r>
            <w:r>
              <w:rPr>
                <w:rFonts w:hint="eastAsia" w:cs="Times New Roman"/>
                <w:color w:val="000000" w:themeColor="text1"/>
                <w:w w:val="100"/>
                <w:position w:val="0"/>
                <w:sz w:val="24"/>
                <w:szCs w:val="24"/>
                <w:highlight w:val="none"/>
                <w:lang w:val="en-US" w:eastAsia="zh-CN"/>
                <w14:textFill>
                  <w14:solidFill>
                    <w14:schemeClr w14:val="tx1"/>
                  </w14:solidFill>
                </w14:textFill>
              </w:rPr>
              <w:t>于2022年7月21日</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取得</w:t>
            </w:r>
            <w:r>
              <w:rPr>
                <w:rFonts w:hint="eastAsia" w:cs="Times New Roman"/>
                <w:color w:val="000000" w:themeColor="text1"/>
                <w:w w:val="100"/>
                <w:position w:val="0"/>
                <w:sz w:val="24"/>
                <w:szCs w:val="24"/>
                <w:highlight w:val="none"/>
                <w:lang w:val="en-US" w:eastAsia="zh-CN"/>
                <w14:textFill>
                  <w14:solidFill>
                    <w14:schemeClr w14:val="tx1"/>
                  </w14:solidFill>
                </w14:textFill>
              </w:rPr>
              <w:t>《关于新疆振宏机械制造有限公司硅废粉回收再加工利用项目环境影响报告表的批复》（</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昌高环发</w:t>
            </w:r>
            <w:r>
              <w:rPr>
                <w:rFonts w:hint="eastAsia" w:cs="Times New Roman"/>
                <w:color w:val="000000" w:themeColor="text1"/>
                <w:w w:val="100"/>
                <w:position w:val="0"/>
                <w:sz w:val="24"/>
                <w:szCs w:val="24"/>
                <w:highlight w:val="none"/>
                <w:lang w:val="en-US" w:eastAsia="zh-CN"/>
                <w14:textFill>
                  <w14:solidFill>
                    <w14:schemeClr w14:val="tx1"/>
                  </w14:solidFill>
                </w14:textFill>
              </w:rPr>
              <w:t>〔2022〕33号）</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，2024年5月通过了该项目的竣工环境保护验收，产能为年产14000吨光伏硅块。</w:t>
            </w:r>
          </w:p>
          <w:p w14:paraId="1188912B">
            <w:pPr>
              <w:spacing w:line="360" w:lineRule="auto"/>
              <w:ind w:firstLine="480" w:firstLineChars="200"/>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随着电子和光伏产业的不断发展，行业对硅材料的纯度标准越来越严格。通过</w:t>
            </w:r>
            <w:r>
              <w:rPr>
                <w:rFonts w:hint="eastAsia" w:cs="Times New Roman"/>
                <w:color w:val="000000" w:themeColor="text1"/>
                <w:w w:val="100"/>
                <w:position w:val="0"/>
                <w:sz w:val="24"/>
                <w:szCs w:val="24"/>
                <w:highlight w:val="none"/>
                <w:lang w:val="en-US" w:eastAsia="zh-CN"/>
                <w14:textFill>
                  <w14:solidFill>
                    <w14:schemeClr w14:val="tx1"/>
                  </w14:solidFill>
                </w14:textFill>
              </w:rPr>
              <w:t>对硅粉熔炼</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前的提纯，可以有效减少杂质对产品质量的影响，提高产品的良品率。在半导体和光伏产业中，产品的良品率直接关系到生产成本和企业的经济效益。高良品率意味着更少的废品和次品，降低了生产成本，提高了企业的市场竞争力。在市场竞争日益激烈的今天，客户对硅产品的质量和性能要求越来越高。只有提供高纯度、高质量的硅产品，企业才能在市场中占据优势地位。提纯后的硅粉能够满足高端客户的需求，为企业带来更多的市场机会和利润空间。</w:t>
            </w:r>
            <w:r>
              <w:rPr>
                <w:rFonts w:hint="eastAsia" w:cs="Times New Roman"/>
                <w:color w:val="000000" w:themeColor="text1"/>
                <w:w w:val="100"/>
                <w:position w:val="0"/>
                <w:sz w:val="24"/>
                <w:szCs w:val="24"/>
                <w:highlight w:val="none"/>
                <w:lang w:val="en-US" w:eastAsia="zh-CN"/>
                <w14:textFill>
                  <w14:solidFill>
                    <w14:schemeClr w14:val="tx1"/>
                  </w14:solidFill>
                </w14:textFill>
              </w:rPr>
              <w:t>故</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新疆振宏机械制造有限责任公司</w:t>
            </w:r>
            <w:r>
              <w:rPr>
                <w:rFonts w:hint="eastAsia" w:cs="Times New Roman"/>
                <w:color w:val="000000" w:themeColor="text1"/>
                <w:w w:val="100"/>
                <w:position w:val="0"/>
                <w:sz w:val="24"/>
                <w:szCs w:val="24"/>
                <w:highlight w:val="none"/>
                <w:lang w:val="en-US" w:eastAsia="zh-CN"/>
                <w14:textFill>
                  <w14:solidFill>
                    <w14:schemeClr w14:val="tx1"/>
                  </w14:solidFill>
                </w14:textFill>
              </w:rPr>
              <w:t>于2025年，</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计划分</w:t>
            </w:r>
            <w:r>
              <w:rPr>
                <w:rFonts w:hint="eastAsia" w:cs="Times New Roman"/>
                <w:color w:val="000000" w:themeColor="text1"/>
                <w:w w:val="100"/>
                <w:position w:val="0"/>
                <w:sz w:val="24"/>
                <w:szCs w:val="24"/>
                <w:highlight w:val="none"/>
                <w:lang w:val="en-US" w:eastAsia="zh-CN"/>
                <w14:textFill>
                  <w14:solidFill>
                    <w14:schemeClr w14:val="tx1"/>
                  </w14:solidFill>
                </w14:textFill>
              </w:rPr>
              <w:t>两</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期进行</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项目建</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设和开发。</w:t>
            </w:r>
            <w:r>
              <w:rPr>
                <w:rFonts w:hint="eastAsia" w:cs="Times New Roman"/>
                <w:color w:val="000000" w:themeColor="text1"/>
                <w:w w:val="100"/>
                <w:position w:val="0"/>
                <w:sz w:val="24"/>
                <w:szCs w:val="24"/>
                <w:highlight w:val="none"/>
                <w:lang w:val="en-US" w:eastAsia="zh-CN"/>
                <w14:textFill>
                  <w14:solidFill>
                    <w14:schemeClr w14:val="tx1"/>
                  </w14:solidFill>
                </w14:textFill>
              </w:rPr>
              <w:t>一</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期年处理废硅粉12000吨，年产提纯后硅粉（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98%）8000吨；</w:t>
            </w:r>
            <w:r>
              <w:rPr>
                <w:rFonts w:hint="eastAsia" w:cs="Times New Roman"/>
                <w:color w:val="000000" w:themeColor="text1"/>
                <w:w w:val="100"/>
                <w:position w:val="0"/>
                <w:sz w:val="24"/>
                <w:szCs w:val="24"/>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期年处理</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硅渣15000吨，年产提纯后硅粉（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80%）3000吨。</w:t>
            </w:r>
          </w:p>
          <w:p w14:paraId="435D8A78">
            <w:pPr>
              <w:pStyle w:val="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建设内容</w:t>
            </w:r>
          </w:p>
          <w:p w14:paraId="4AD21233">
            <w:pPr>
              <w:spacing w:line="360" w:lineRule="auto"/>
              <w:ind w:firstLine="480" w:firstLineChars="200"/>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新疆振宏机械制造有限责任公司</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租赁昌吉市先导工程材料有限责任公司1#厂房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已建车间（面积为840m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）以及</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东侧</w:t>
            </w:r>
            <w:r>
              <w:rPr>
                <w:rFonts w:hint="eastAsia" w:cs="Times New Roman"/>
                <w:color w:val="000000" w:themeColor="text1"/>
                <w:w w:val="100"/>
                <w:position w:val="0"/>
                <w:sz w:val="24"/>
                <w:szCs w:val="24"/>
                <w:highlight w:val="none"/>
                <w:lang w:val="en-US" w:eastAsia="zh-CN"/>
                <w14:textFill>
                  <w14:solidFill>
                    <w14:schemeClr w14:val="tx1"/>
                  </w14:solidFill>
                </w14:textFill>
              </w:rPr>
              <w:t>设备棚</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（面积为620m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），位于振宏机械原熔炼车间西侧，与原熔炼车间相距10m</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一</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期建设一条废硅粉预处理生产线及附属设备，主要包括购置安装搅拌机、压滤机、静压机、摇床等设备，并设2座沉淀水池和1座清水池；</w:t>
            </w:r>
            <w:r>
              <w:rPr>
                <w:rFonts w:hint="eastAsia" w:cs="Times New Roman"/>
                <w:color w:val="000000" w:themeColor="text1"/>
                <w:w w:val="100"/>
                <w:position w:val="0"/>
                <w:sz w:val="24"/>
                <w:szCs w:val="24"/>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期建设一条</w:t>
            </w:r>
            <w:r>
              <w:rPr>
                <w:rFonts w:hint="eastAsia" w:cs="Times New Roman"/>
                <w:color w:val="000000" w:themeColor="text1"/>
                <w:w w:val="100"/>
                <w:position w:val="0"/>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硅渣处理生产线，主要设备为破碎机、球磨机、分级机和浮选机。生产规模：</w:t>
            </w:r>
          </w:p>
          <w:p w14:paraId="34359494">
            <w:pPr>
              <w:spacing w:line="360" w:lineRule="auto"/>
              <w:ind w:firstLine="482" w:firstLineChars="200"/>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position w:val="0"/>
                <w:sz w:val="24"/>
                <w:szCs w:val="24"/>
                <w:highlight w:val="none"/>
                <w:lang w:val="en-US" w:eastAsia="zh-CN"/>
                <w14:textFill>
                  <w14:solidFill>
                    <w14:schemeClr w14:val="tx1"/>
                  </w14:solidFill>
                </w14:textFill>
              </w:rPr>
              <w:t>一期：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年处理废硅粉12000吨，年产提纯后硅粉（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98%）8000吨；</w:t>
            </w:r>
          </w:p>
          <w:p w14:paraId="3E070469">
            <w:pPr>
              <w:spacing w:line="360" w:lineRule="auto"/>
              <w:ind w:firstLine="482" w:firstLineChars="200"/>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position w:val="0"/>
                <w:sz w:val="24"/>
                <w:szCs w:val="24"/>
                <w:highlight w:val="none"/>
                <w:lang w:val="en-US" w:eastAsia="zh-CN"/>
                <w14:textFill>
                  <w14:solidFill>
                    <w14:schemeClr w14:val="tx1"/>
                  </w14:solidFill>
                </w14:textFill>
              </w:rPr>
              <w:t>二期：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年处理</w:t>
            </w:r>
            <w:r>
              <w:rPr>
                <w:rFonts w:hint="eastAsia" w:cs="Times New Roman"/>
                <w:color w:val="000000" w:themeColor="text1"/>
                <w:w w:val="100"/>
                <w:position w:val="0"/>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硅渣15000吨，年产提纯后硅粉（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80%）3000吨。</w:t>
            </w:r>
            <w:r>
              <w:rPr>
                <w:rFonts w:hint="default" w:ascii="Times New Roman" w:hAnsi="Times New Roman" w:cs="Times New Roman"/>
                <w:b w:val="0"/>
                <w:bCs w:val="0"/>
                <w:color w:val="000000" w:themeColor="text1"/>
                <w:w w:val="100"/>
                <w:position w:val="0"/>
                <w:sz w:val="24"/>
                <w:szCs w:val="24"/>
                <w:highlight w:val="none"/>
                <w:lang w:val="en-US" w:eastAsia="zh-CN"/>
                <w14:textFill>
                  <w14:solidFill>
                    <w14:schemeClr w14:val="tx1"/>
                  </w14:solidFill>
                </w14:textFill>
              </w:rPr>
              <w:t>本项目组成一览表详见表2-1。</w:t>
            </w:r>
          </w:p>
          <w:p w14:paraId="332A0390">
            <w:pPr>
              <w:pStyle w:val="36"/>
              <w:pageBreakBefore w:val="0"/>
              <w:shd w:val="clear" w:color="auto" w:fill="auto"/>
              <w:bidi w:val="0"/>
              <w:spacing w:before="0" w:beforeAutospacing="0" w:after="0" w:afterAutospacing="0"/>
              <w:ind w:left="0" w:leftChars="0" w:right="0"/>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表2-1</w:t>
            </w:r>
            <w:r>
              <w:rPr>
                <w:rFonts w:hint="eastAsia" w:ascii="Times New Roman" w:cs="Times New Roman"/>
                <w:color w:val="000000" w:themeColor="text1"/>
                <w:w w:val="100"/>
                <w:position w:val="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w w:val="100"/>
                <w:position w:val="0"/>
                <w:highlight w:val="none"/>
                <w14:textFill>
                  <w14:solidFill>
                    <w14:schemeClr w14:val="tx1"/>
                  </w14:solidFill>
                </w14:textFill>
              </w:rPr>
              <w:t>项目组成一览表</w:t>
            </w:r>
          </w:p>
          <w:tbl>
            <w:tblPr>
              <w:tblStyle w:val="21"/>
              <w:tblW w:w="494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1"/>
              <w:gridCol w:w="723"/>
              <w:gridCol w:w="723"/>
              <w:gridCol w:w="4790"/>
              <w:gridCol w:w="1066"/>
            </w:tblGrid>
            <w:tr w14:paraId="27BAF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tcBorders>
                    <w:bottom w:val="single" w:color="auto" w:sz="12" w:space="0"/>
                  </w:tcBorders>
                  <w:noWrap w:val="0"/>
                  <w:vAlign w:val="center"/>
                </w:tcPr>
                <w:p w14:paraId="59CADAB9">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工程类别</w:t>
                  </w:r>
                </w:p>
              </w:tc>
              <w:tc>
                <w:tcPr>
                  <w:tcW w:w="1446" w:type="dxa"/>
                  <w:gridSpan w:val="2"/>
                  <w:tcBorders>
                    <w:bottom w:val="single" w:color="auto" w:sz="12" w:space="0"/>
                  </w:tcBorders>
                  <w:noWrap w:val="0"/>
                  <w:vAlign w:val="center"/>
                </w:tcPr>
                <w:p w14:paraId="2F7A314A">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工程名称</w:t>
                  </w:r>
                </w:p>
              </w:tc>
              <w:tc>
                <w:tcPr>
                  <w:tcW w:w="4790" w:type="dxa"/>
                  <w:tcBorders>
                    <w:bottom w:val="single" w:color="auto" w:sz="12" w:space="0"/>
                  </w:tcBorders>
                  <w:noWrap w:val="0"/>
                  <w:vAlign w:val="center"/>
                </w:tcPr>
                <w:p w14:paraId="5D6E137A">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主要</w:t>
                  </w:r>
                  <w:r>
                    <w:rPr>
                      <w:rFonts w:hint="eastAsia" w:cs="Times New Roman"/>
                      <w:b/>
                      <w:bCs/>
                      <w:color w:val="000000" w:themeColor="text1"/>
                      <w:w w:val="100"/>
                      <w:position w:val="0"/>
                      <w:sz w:val="21"/>
                      <w:szCs w:val="21"/>
                      <w:highlight w:val="none"/>
                      <w:lang w:val="en-US" w:eastAsia="zh-CN"/>
                      <w14:textFill>
                        <w14:solidFill>
                          <w14:schemeClr w14:val="tx1"/>
                        </w14:solidFill>
                      </w14:textFill>
                    </w:rPr>
                    <w:t>建设</w:t>
                  </w: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内容</w:t>
                  </w:r>
                </w:p>
              </w:tc>
              <w:tc>
                <w:tcPr>
                  <w:tcW w:w="1066" w:type="dxa"/>
                  <w:tcBorders>
                    <w:bottom w:val="single" w:color="auto" w:sz="12" w:space="0"/>
                  </w:tcBorders>
                  <w:noWrap w:val="0"/>
                  <w:vAlign w:val="center"/>
                </w:tcPr>
                <w:p w14:paraId="40E4EE6F">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备注</w:t>
                  </w:r>
                </w:p>
              </w:tc>
            </w:tr>
            <w:tr w14:paraId="2DB5E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21" w:type="dxa"/>
                  <w:vMerge w:val="restart"/>
                  <w:tcBorders>
                    <w:top w:val="single" w:color="auto" w:sz="12" w:space="0"/>
                  </w:tcBorders>
                  <w:noWrap w:val="0"/>
                  <w:vAlign w:val="center"/>
                </w:tcPr>
                <w:p w14:paraId="14040CD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主体工程</w:t>
                  </w:r>
                </w:p>
              </w:tc>
              <w:tc>
                <w:tcPr>
                  <w:tcW w:w="723" w:type="dxa"/>
                  <w:vMerge w:val="restart"/>
                  <w:tcBorders>
                    <w:top w:val="single" w:color="auto" w:sz="12" w:space="0"/>
                  </w:tcBorders>
                  <w:noWrap w:val="0"/>
                  <w:vAlign w:val="center"/>
                </w:tcPr>
                <w:p w14:paraId="6584DE1F">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车间</w:t>
                  </w:r>
                </w:p>
              </w:tc>
              <w:tc>
                <w:tcPr>
                  <w:tcW w:w="723" w:type="dxa"/>
                  <w:tcBorders>
                    <w:top w:val="single" w:color="auto" w:sz="4" w:space="0"/>
                    <w:bottom w:val="single" w:color="auto" w:sz="4" w:space="0"/>
                  </w:tcBorders>
                  <w:noWrap w:val="0"/>
                  <w:vAlign w:val="center"/>
                </w:tcPr>
                <w:p w14:paraId="32F83007">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tcBorders>
                    <w:top w:val="single" w:color="auto" w:sz="12" w:space="0"/>
                  </w:tcBorders>
                  <w:noWrap w:val="0"/>
                  <w:vAlign w:val="center"/>
                </w:tcPr>
                <w:p w14:paraId="0F7C1312">
                  <w:pPr>
                    <w:pStyle w:val="38"/>
                    <w:shd w:val="clear" w:color="auto" w:fill="auto"/>
                    <w:spacing w:line="240" w:lineRule="auto"/>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一</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期建设一条废硅粉预处理生产线及附属设备，主要包括购置安装搅拌机、压滤机、静压机、摇床等设备；</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租赁已建车间，</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混凝土结构</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10</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14</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6</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占</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地面积</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总计为</w:t>
                  </w:r>
                  <w:r>
                    <w:rPr>
                      <w:rFonts w:hint="eastAsia" w:cs="Times New Roman"/>
                      <w:color w:val="000000" w:themeColor="text1"/>
                      <w:w w:val="100"/>
                      <w:position w:val="0"/>
                      <w:sz w:val="21"/>
                      <w:szCs w:val="21"/>
                      <w:highlight w:val="none"/>
                      <w:lang w:val="en-US" w:eastAsia="zh-CN"/>
                      <w14:textFill>
                        <w14:solidFill>
                          <w14:schemeClr w14:val="tx1"/>
                        </w14:solidFill>
                      </w14:textFill>
                    </w:rPr>
                    <w:t>840</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w:t>
                  </w:r>
                </w:p>
              </w:tc>
              <w:tc>
                <w:tcPr>
                  <w:tcW w:w="1066" w:type="dxa"/>
                  <w:vMerge w:val="restart"/>
                  <w:tcBorders>
                    <w:top w:val="single" w:color="auto" w:sz="12" w:space="0"/>
                  </w:tcBorders>
                  <w:noWrap w:val="0"/>
                  <w:vAlign w:val="center"/>
                </w:tcPr>
                <w:p w14:paraId="5B0F497C">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生产线新建，车间租赁已建车间</w:t>
                  </w:r>
                </w:p>
              </w:tc>
            </w:tr>
            <w:tr w14:paraId="64195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21" w:type="dxa"/>
                  <w:vMerge w:val="continue"/>
                  <w:noWrap w:val="0"/>
                  <w:vAlign w:val="center"/>
                </w:tcPr>
                <w:p w14:paraId="0E2F8C32">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tcBorders>
                    <w:bottom w:val="single" w:color="auto" w:sz="4" w:space="0"/>
                  </w:tcBorders>
                  <w:noWrap w:val="0"/>
                  <w:vAlign w:val="center"/>
                </w:tcPr>
                <w:p w14:paraId="21C4F2ED">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tcBorders>
                    <w:top w:val="single" w:color="auto" w:sz="4" w:space="0"/>
                    <w:bottom w:val="single" w:color="auto" w:sz="4" w:space="0"/>
                  </w:tcBorders>
                  <w:noWrap w:val="0"/>
                  <w:vAlign w:val="center"/>
                </w:tcPr>
                <w:p w14:paraId="0642A231">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二期</w:t>
                  </w:r>
                </w:p>
              </w:tc>
              <w:tc>
                <w:tcPr>
                  <w:tcW w:w="4790" w:type="dxa"/>
                  <w:tcBorders>
                    <w:bottom w:val="single" w:color="auto" w:sz="4" w:space="0"/>
                  </w:tcBorders>
                  <w:noWrap w:val="0"/>
                  <w:vAlign w:val="center"/>
                </w:tcPr>
                <w:p w14:paraId="59F03CCC">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二</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期建设一条</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废</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硅渣处理生产线，主要设备为破碎机、球磨机、分级机和浮选机</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。租赁已建车间</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，彩钢板结构</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7</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14</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6</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占</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地面积</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总计为</w:t>
                  </w:r>
                  <w:r>
                    <w:rPr>
                      <w:rFonts w:hint="eastAsia" w:cs="Times New Roman"/>
                      <w:color w:val="000000" w:themeColor="text1"/>
                      <w:w w:val="100"/>
                      <w:position w:val="0"/>
                      <w:sz w:val="21"/>
                      <w:szCs w:val="21"/>
                      <w:highlight w:val="none"/>
                      <w:lang w:val="en-US" w:eastAsia="zh-CN"/>
                      <w14:textFill>
                        <w14:solidFill>
                          <w14:schemeClr w14:val="tx1"/>
                        </w14:solidFill>
                      </w14:textFill>
                    </w:rPr>
                    <w:t>620</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w:t>
                  </w:r>
                </w:p>
              </w:tc>
              <w:tc>
                <w:tcPr>
                  <w:tcW w:w="1066" w:type="dxa"/>
                  <w:vMerge w:val="continue"/>
                  <w:tcBorders>
                    <w:bottom w:val="single" w:color="auto" w:sz="4" w:space="0"/>
                  </w:tcBorders>
                  <w:noWrap w:val="0"/>
                  <w:vAlign w:val="center"/>
                </w:tcPr>
                <w:p w14:paraId="12E5F08C">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r>
            <w:tr w14:paraId="0455AE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restart"/>
                  <w:noWrap w:val="0"/>
                  <w:vAlign w:val="center"/>
                </w:tcPr>
                <w:p w14:paraId="25572D1A">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储运工程</w:t>
                  </w:r>
                </w:p>
              </w:tc>
              <w:tc>
                <w:tcPr>
                  <w:tcW w:w="723" w:type="dxa"/>
                  <w:noWrap w:val="0"/>
                  <w:vAlign w:val="center"/>
                </w:tcPr>
                <w:p w14:paraId="54F41564">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p>
              </w:tc>
              <w:tc>
                <w:tcPr>
                  <w:tcW w:w="723" w:type="dxa"/>
                  <w:noWrap w:val="0"/>
                  <w:vAlign w:val="center"/>
                </w:tcPr>
                <w:p w14:paraId="214BB2DF">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一期与二期</w:t>
                  </w:r>
                </w:p>
              </w:tc>
              <w:tc>
                <w:tcPr>
                  <w:tcW w:w="4790" w:type="dxa"/>
                  <w:noWrap w:val="0"/>
                  <w:vAlign w:val="center"/>
                </w:tcPr>
                <w:p w14:paraId="795247EB">
                  <w:pPr>
                    <w:pageBreakBefore w:val="0"/>
                    <w:shd w:val="clear" w:color="auto" w:fill="auto"/>
                    <w:bidi w:val="0"/>
                    <w:spacing w:beforeAutospacing="0" w:afterAutospacing="0"/>
                    <w:ind w:left="0" w:leftChars="0" w:right="0"/>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一期二期</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均依托</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振宏机械原</w:t>
                  </w:r>
                  <w:r>
                    <w:rPr>
                      <w:rFonts w:hint="eastAsia" w:cs="Times New Roman"/>
                      <w:color w:val="000000" w:themeColor="text1"/>
                      <w:w w:val="100"/>
                      <w:position w:val="0"/>
                      <w:sz w:val="21"/>
                      <w:szCs w:val="21"/>
                      <w:highlight w:val="none"/>
                      <w:lang w:val="en-US" w:eastAsia="zh-CN"/>
                      <w14:textFill>
                        <w14:solidFill>
                          <w14:schemeClr w14:val="tx1"/>
                        </w14:solidFill>
                      </w14:textFill>
                    </w:rPr>
                    <w:t>熔炼</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车间</w:t>
                  </w:r>
                  <w:r>
                    <w:rPr>
                      <w:rFonts w:hint="eastAsia" w:cs="Times New Roman"/>
                      <w:color w:val="000000" w:themeColor="text1"/>
                      <w:w w:val="100"/>
                      <w:position w:val="0"/>
                      <w:sz w:val="21"/>
                      <w:szCs w:val="21"/>
                      <w:highlight w:val="none"/>
                      <w:lang w:val="en-US" w:eastAsia="zh-CN"/>
                      <w14:textFill>
                        <w14:solidFill>
                          <w14:schemeClr w14:val="tx1"/>
                        </w14:solidFill>
                      </w14:textFill>
                    </w:rPr>
                    <w:t>内</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振宏机械原</w:t>
                  </w:r>
                  <w:r>
                    <w:rPr>
                      <w:rFonts w:hint="eastAsia" w:cs="Times New Roman"/>
                      <w:color w:val="000000" w:themeColor="text1"/>
                      <w:w w:val="100"/>
                      <w:position w:val="0"/>
                      <w:sz w:val="21"/>
                      <w:szCs w:val="21"/>
                      <w:highlight w:val="none"/>
                      <w:lang w:val="en-US" w:eastAsia="zh-CN"/>
                      <w14:textFill>
                        <w14:solidFill>
                          <w14:schemeClr w14:val="tx1"/>
                        </w14:solidFill>
                      </w14:textFill>
                    </w:rPr>
                    <w:t>熔炼</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车间</w:t>
                  </w:r>
                  <w:r>
                    <w:rPr>
                      <w:rFonts w:hint="eastAsia" w:cs="Times New Roman"/>
                      <w:color w:val="000000" w:themeColor="text1"/>
                      <w:w w:val="100"/>
                      <w:position w:val="0"/>
                      <w:sz w:val="21"/>
                      <w:szCs w:val="21"/>
                      <w:highlight w:val="none"/>
                      <w:lang w:val="en-US" w:eastAsia="zh-CN"/>
                      <w14:textFill>
                        <w14:solidFill>
                          <w14:schemeClr w14:val="tx1"/>
                        </w14:solidFill>
                      </w14:textFill>
                    </w:rPr>
                    <w:t>内</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间之前用于进行废硅粉、硅渣原料堆存，本项目对原熔炼工序原料进行提纯，故不新设</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间，仅对原料堆存间进行扩建以及密闭措施），原料堆存间位于原熔炼车间东侧厂房外，封闭式储存。</w:t>
                  </w:r>
                </w:p>
              </w:tc>
              <w:tc>
                <w:tcPr>
                  <w:tcW w:w="1066" w:type="dxa"/>
                  <w:noWrap w:val="0"/>
                  <w:vAlign w:val="center"/>
                </w:tcPr>
                <w:p w14:paraId="2EB1AB6A">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65510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77900F5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61549E34">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成品堆存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p>
              </w:tc>
              <w:tc>
                <w:tcPr>
                  <w:tcW w:w="723" w:type="dxa"/>
                  <w:noWrap w:val="0"/>
                  <w:vAlign w:val="center"/>
                </w:tcPr>
                <w:p w14:paraId="756E247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一期与二期</w:t>
                  </w:r>
                </w:p>
              </w:tc>
              <w:tc>
                <w:tcPr>
                  <w:tcW w:w="4790" w:type="dxa"/>
                  <w:noWrap w:val="0"/>
                  <w:vAlign w:val="center"/>
                </w:tcPr>
                <w:p w14:paraId="4A001F60">
                  <w:pPr>
                    <w:pageBreakBefore w:val="0"/>
                    <w:shd w:val="clear" w:color="auto" w:fill="auto"/>
                    <w:bidi w:val="0"/>
                    <w:spacing w:beforeAutospacing="0" w:afterAutospacing="0"/>
                    <w:ind w:left="0" w:leftChars="0" w:right="0"/>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项目成品直接进入原熔炼车间进行熔炼，熔炼后储存于原熔炼车间成品堆存间（位于原熔炼车间厂房西侧），故本项目不设</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成品堆存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p>
              </w:tc>
              <w:tc>
                <w:tcPr>
                  <w:tcW w:w="1066" w:type="dxa"/>
                  <w:noWrap w:val="0"/>
                  <w:vAlign w:val="center"/>
                </w:tcPr>
                <w:p w14:paraId="11D159C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w:t>
                  </w:r>
                </w:p>
              </w:tc>
            </w:tr>
            <w:tr w14:paraId="2A9AE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5552A78A">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6CA99F9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盐酸储罐</w:t>
                  </w:r>
                </w:p>
              </w:tc>
              <w:tc>
                <w:tcPr>
                  <w:tcW w:w="723" w:type="dxa"/>
                  <w:noWrap w:val="0"/>
                  <w:vAlign w:val="center"/>
                </w:tcPr>
                <w:p w14:paraId="4AFE67D4">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16812659">
                  <w:pPr>
                    <w:pageBreakBefore w:val="0"/>
                    <w:shd w:val="clear" w:color="auto" w:fill="auto"/>
                    <w:bidi w:val="0"/>
                    <w:spacing w:beforeAutospacing="0" w:afterAutospacing="0"/>
                    <w:ind w:left="0" w:leftChars="0" w:right="0"/>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1#厂房西南侧新建1个30m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盐酸储罐，储罐类型为固定顶常压储罐，充装系数为0.8。</w:t>
                  </w:r>
                </w:p>
              </w:tc>
              <w:tc>
                <w:tcPr>
                  <w:tcW w:w="1066" w:type="dxa"/>
                  <w:noWrap w:val="0"/>
                  <w:vAlign w:val="center"/>
                </w:tcPr>
                <w:p w14:paraId="78A5D0FE">
                  <w:pPr>
                    <w:pageBreakBefore w:val="0"/>
                    <w:shd w:val="clear" w:color="auto" w:fill="auto"/>
                    <w:bidi w:val="0"/>
                    <w:spacing w:beforeAutospacing="0" w:afterAutospacing="0"/>
                    <w:ind w:left="0" w:leftChars="0" w:right="0"/>
                    <w:jc w:val="center"/>
                    <w:rPr>
                      <w:rFonts w:hint="eastAsia"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7FB6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77D364BB">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01E76B9C">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燃料储存间</w:t>
                  </w:r>
                </w:p>
              </w:tc>
              <w:tc>
                <w:tcPr>
                  <w:tcW w:w="723" w:type="dxa"/>
                  <w:noWrap w:val="0"/>
                  <w:vAlign w:val="center"/>
                </w:tcPr>
                <w:p w14:paraId="59775DEF">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47306D33">
                  <w:pPr>
                    <w:pageBreakBefore w:val="0"/>
                    <w:shd w:val="clear" w:color="auto" w:fill="auto"/>
                    <w:bidi w:val="0"/>
                    <w:spacing w:beforeAutospacing="0" w:afterAutospacing="0"/>
                    <w:ind w:left="0" w:leftChars="0" w:right="0"/>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醇基锅炉旁新建一座燃料储存间，面积为4m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cs="Times New Roman"/>
                      <w:color w:val="000000" w:themeColor="text1"/>
                      <w:w w:val="100"/>
                      <w:position w:val="0"/>
                      <w:sz w:val="21"/>
                      <w:szCs w:val="21"/>
                      <w:highlight w:val="none"/>
                      <w:lang w:val="en-US" w:eastAsia="zh-CN"/>
                      <w14:textFill>
                        <w14:solidFill>
                          <w14:schemeClr w14:val="tx1"/>
                        </w14:solidFill>
                      </w14:textFill>
                    </w:rPr>
                    <w:t>，容积为8m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，醇基燃料每日现买现用，不在厂房内进行大量储存，只储存一天的用量（2t）。</w:t>
                  </w:r>
                </w:p>
              </w:tc>
              <w:tc>
                <w:tcPr>
                  <w:tcW w:w="1066" w:type="dxa"/>
                  <w:noWrap w:val="0"/>
                  <w:vAlign w:val="center"/>
                </w:tcPr>
                <w:p w14:paraId="737F3AFF">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9628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4EB7D7DF">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32116A7B">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危废贮存点</w:t>
                  </w:r>
                </w:p>
              </w:tc>
              <w:tc>
                <w:tcPr>
                  <w:tcW w:w="723" w:type="dxa"/>
                  <w:noWrap w:val="0"/>
                  <w:vAlign w:val="center"/>
                </w:tcPr>
                <w:p w14:paraId="5A30CA93">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0F241DB4">
                  <w:pPr>
                    <w:pageBreakBefore w:val="0"/>
                    <w:shd w:val="clear" w:color="auto" w:fill="auto"/>
                    <w:bidi w:val="0"/>
                    <w:spacing w:beforeAutospacing="0" w:afterAutospacing="0"/>
                    <w:ind w:left="0" w:leftChars="0" w:right="0"/>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7"/>
                      <w:highlight w:val="none"/>
                      <w:lang w:val="en-US" w:eastAsia="zh-CN"/>
                      <w14:textFill>
                        <w14:solidFill>
                          <w14:schemeClr w14:val="tx1"/>
                        </w14:solidFill>
                      </w14:textFill>
                    </w:rPr>
                    <w:t>新建一座</w:t>
                  </w:r>
                  <w:r>
                    <w:rPr>
                      <w:rFonts w:hint="eastAsia" w:cs="Times New Roman"/>
                      <w:color w:val="000000" w:themeColor="text1"/>
                      <w:w w:val="100"/>
                      <w:position w:val="0"/>
                      <w:sz w:val="21"/>
                      <w:szCs w:val="21"/>
                      <w:highlight w:val="none"/>
                      <w:lang w:val="en-US" w:eastAsia="zh-CN"/>
                      <w14:textFill>
                        <w14:solidFill>
                          <w14:schemeClr w14:val="tx1"/>
                        </w14:solidFill>
                      </w14:textFill>
                    </w:rPr>
                    <w:t>危废贮存点，主要贮存废润滑油、废醇基燃料吨桶、废油桶、废金属盐、浮选药剂包装桶，占地面积10m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cs="Times New Roman"/>
                      <w:color w:val="000000" w:themeColor="text1"/>
                      <w:w w:val="100"/>
                      <w:position w:val="0"/>
                      <w:sz w:val="21"/>
                      <w:szCs w:val="21"/>
                      <w:highlight w:val="none"/>
                      <w:lang w:val="en-US" w:eastAsia="zh-CN"/>
                      <w14:textFill>
                        <w14:solidFill>
                          <w14:schemeClr w14:val="tx1"/>
                        </w14:solidFill>
                      </w14:textFill>
                    </w:rPr>
                    <w:t>，最大储存能力为废润滑油1t，废醇基燃料吨桶1t、废油桶0.5t、浮选药剂包装桶6t，废碱液500m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t>地面</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防渗结构</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由下至上：</w:t>
                  </w:r>
                  <w:r>
                    <w:rPr>
                      <w:rFonts w:hint="eastAsia"/>
                      <w:color w:val="000000" w:themeColor="text1"/>
                      <w:highlight w:val="none"/>
                      <w:vertAlign w:val="baseline"/>
                      <w14:textFill>
                        <w14:solidFill>
                          <w14:schemeClr w14:val="tx1"/>
                        </w14:solidFill>
                      </w14:textFill>
                    </w:rPr>
                    <w:t>15cm水泥基础层+2mm厚高密度聚乙烯（HDPE）防渗膜+2mm环氧树脂地坪漆，渗透系数≤10</w:t>
                  </w:r>
                  <w:r>
                    <w:rPr>
                      <w:rFonts w:hint="eastAsia"/>
                      <w:color w:val="000000" w:themeColor="text1"/>
                      <w:highlight w:val="none"/>
                      <w:vertAlign w:val="superscript"/>
                      <w14:textFill>
                        <w14:solidFill>
                          <w14:schemeClr w14:val="tx1"/>
                        </w14:solidFill>
                      </w14:textFill>
                    </w:rPr>
                    <w:t>-10</w:t>
                  </w:r>
                  <w:r>
                    <w:rPr>
                      <w:rFonts w:hint="eastAsia"/>
                      <w:color w:val="000000" w:themeColor="text1"/>
                      <w:highlight w:val="none"/>
                      <w:vertAlign w:val="baseline"/>
                      <w14:textFill>
                        <w14:solidFill>
                          <w14:schemeClr w14:val="tx1"/>
                        </w14:solidFill>
                      </w14:textFill>
                    </w:rPr>
                    <w:t>cm/s</w:t>
                  </w:r>
                  <w:r>
                    <w:rPr>
                      <w:rFonts w:hint="eastAsia"/>
                      <w:color w:val="000000" w:themeColor="text1"/>
                      <w:highlight w:val="none"/>
                      <w:vertAlign w:val="baseline"/>
                      <w:lang w:eastAsia="zh-CN"/>
                      <w14:textFill>
                        <w14:solidFill>
                          <w14:schemeClr w14:val="tx1"/>
                        </w14:solidFill>
                      </w14:textFill>
                    </w:rPr>
                    <w:t>；</w:t>
                  </w:r>
                  <w:r>
                    <w:rPr>
                      <w:rFonts w:hint="eastAsia"/>
                      <w:color w:val="000000" w:themeColor="text1"/>
                      <w:highlight w:val="none"/>
                      <w:vertAlign w:val="baseline"/>
                      <w14:textFill>
                        <w14:solidFill>
                          <w14:schemeClr w14:val="tx1"/>
                        </w14:solidFill>
                      </w14:textFill>
                    </w:rPr>
                    <w:t>裙角刷</w:t>
                  </w:r>
                  <w:r>
                    <w:rPr>
                      <w:rFonts w:hint="eastAsia"/>
                      <w:color w:val="000000" w:themeColor="text1"/>
                      <w:highlight w:val="none"/>
                      <w:vertAlign w:val="baseline"/>
                      <w:lang w:val="en-US" w:eastAsia="zh-CN"/>
                      <w14:textFill>
                        <w14:solidFill>
                          <w14:schemeClr w14:val="tx1"/>
                        </w14:solidFill>
                      </w14:textFill>
                    </w:rPr>
                    <w:t>0.8m</w:t>
                  </w:r>
                  <w:r>
                    <w:rPr>
                      <w:rFonts w:hint="eastAsia"/>
                      <w:color w:val="000000" w:themeColor="text1"/>
                      <w:highlight w:val="none"/>
                      <w:vertAlign w:val="baseline"/>
                      <w14:textFill>
                        <w14:solidFill>
                          <w14:schemeClr w14:val="tx1"/>
                        </w14:solidFill>
                      </w14:textFill>
                    </w:rPr>
                    <w:t>高环氧树脂地坪漆</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w:t>
                  </w:r>
                </w:p>
              </w:tc>
              <w:tc>
                <w:tcPr>
                  <w:tcW w:w="1066" w:type="dxa"/>
                  <w:noWrap w:val="0"/>
                  <w:vAlign w:val="center"/>
                </w:tcPr>
                <w:p w14:paraId="3E20CE2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67E3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restart"/>
                  <w:noWrap w:val="0"/>
                  <w:vAlign w:val="center"/>
                </w:tcPr>
                <w:p w14:paraId="5E409C49">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辅助工程</w:t>
                  </w:r>
                </w:p>
              </w:tc>
              <w:tc>
                <w:tcPr>
                  <w:tcW w:w="723" w:type="dxa"/>
                  <w:noWrap w:val="0"/>
                  <w:vAlign w:val="center"/>
                </w:tcPr>
                <w:p w14:paraId="13E9506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沉淀池</w:t>
                  </w:r>
                </w:p>
              </w:tc>
              <w:tc>
                <w:tcPr>
                  <w:tcW w:w="723" w:type="dxa"/>
                  <w:noWrap w:val="0"/>
                  <w:vAlign w:val="center"/>
                </w:tcPr>
                <w:p w14:paraId="41A10384">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3F7C65F1">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w:t>
                  </w:r>
                  <w:r>
                    <w:rPr>
                      <w:rFonts w:hint="default" w:cs="Times New Roman"/>
                      <w:color w:val="000000" w:themeColor="text1"/>
                      <w:w w:val="100"/>
                      <w:position w:val="0"/>
                      <w:sz w:val="21"/>
                      <w:szCs w:val="21"/>
                      <w:highlight w:val="none"/>
                      <w:lang w:val="en-US" w:eastAsia="zh-CN"/>
                      <w14:textFill>
                        <w14:solidFill>
                          <w14:schemeClr w14:val="tx1"/>
                        </w14:solidFill>
                      </w14:textFill>
                    </w:rPr>
                    <w:t>2座重选沉淀池（尺寸均为11.3×</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，有效容积为2×85m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，混凝土结构；1座外沉池</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19</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10</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4</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，有效容积为665m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，混凝土结构；2座酸洗沉淀池</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10</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，有效容积为2×75m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，耐酸腐蚀防渗+混凝土结构。</w:t>
                  </w:r>
                </w:p>
              </w:tc>
              <w:tc>
                <w:tcPr>
                  <w:tcW w:w="1066" w:type="dxa"/>
                  <w:noWrap w:val="0"/>
                  <w:vAlign w:val="center"/>
                </w:tcPr>
                <w:p w14:paraId="3299887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0AAEE4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0B1616ED">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723" w:type="dxa"/>
                  <w:noWrap w:val="0"/>
                  <w:vAlign w:val="center"/>
                </w:tcPr>
                <w:p w14:paraId="27AE6521">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清水池</w:t>
                  </w:r>
                </w:p>
              </w:tc>
              <w:tc>
                <w:tcPr>
                  <w:tcW w:w="723" w:type="dxa"/>
                  <w:noWrap w:val="0"/>
                  <w:vAlign w:val="center"/>
                </w:tcPr>
                <w:p w14:paraId="058EFA63">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12C3A616">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新建1座清水池</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5</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，有效容积为37.5m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，混凝土结构。</w:t>
                  </w:r>
                </w:p>
              </w:tc>
              <w:tc>
                <w:tcPr>
                  <w:tcW w:w="1066" w:type="dxa"/>
                  <w:noWrap w:val="0"/>
                  <w:vAlign w:val="center"/>
                </w:tcPr>
                <w:p w14:paraId="3E6FBA07">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6B92F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0DEBFA82">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723" w:type="dxa"/>
                  <w:noWrap w:val="0"/>
                  <w:vAlign w:val="center"/>
                </w:tcPr>
                <w:p w14:paraId="7AF41A3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锅炉房</w:t>
                  </w:r>
                </w:p>
              </w:tc>
              <w:tc>
                <w:tcPr>
                  <w:tcW w:w="723" w:type="dxa"/>
                  <w:noWrap w:val="0"/>
                  <w:vAlign w:val="center"/>
                </w:tcPr>
                <w:p w14:paraId="6F8C0A0A">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798E1538">
                  <w:pPr>
                    <w:pageBreakBefore w:val="0"/>
                    <w:shd w:val="clear" w:color="auto" w:fill="auto"/>
                    <w:bidi w:val="0"/>
                    <w:spacing w:beforeAutospacing="0" w:afterAutospacing="0"/>
                    <w:ind w:left="0" w:leftChars="0" w:right="0"/>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新建一座锅炉房，内设一台2</w:t>
                  </w:r>
                  <w:r>
                    <w:rPr>
                      <w:rFonts w:hint="default" w:cs="Times New Roman"/>
                      <w:color w:val="000000" w:themeColor="text1"/>
                      <w:w w:val="100"/>
                      <w:position w:val="0"/>
                      <w:sz w:val="21"/>
                      <w:szCs w:val="21"/>
                      <w:highlight w:val="none"/>
                      <w:lang w:val="en-US" w:eastAsia="zh-CN"/>
                      <w14:textFill>
                        <w14:solidFill>
                          <w14:schemeClr w14:val="tx1"/>
                        </w14:solidFill>
                      </w14:textFill>
                    </w:rPr>
                    <w:t>t/h</w:t>
                  </w:r>
                  <w:r>
                    <w:rPr>
                      <w:rFonts w:hint="eastAsia" w:cs="Times New Roman"/>
                      <w:color w:val="000000" w:themeColor="text1"/>
                      <w:w w:val="100"/>
                      <w:position w:val="0"/>
                      <w:sz w:val="21"/>
                      <w:szCs w:val="21"/>
                      <w:highlight w:val="none"/>
                      <w:lang w:val="en-US" w:eastAsia="zh-CN"/>
                      <w14:textFill>
                        <w14:solidFill>
                          <w14:schemeClr w14:val="tx1"/>
                        </w14:solidFill>
                      </w14:textFill>
                    </w:rPr>
                    <w:t>醇基锅炉用于为酸洗搅拌工序提供蒸汽，配套碱洗设备，主要包括</w:t>
                  </w:r>
                  <w:r>
                    <w:rPr>
                      <w:rFonts w:hint="default" w:cs="Times New Roman"/>
                      <w:color w:val="000000" w:themeColor="text1"/>
                      <w:w w:val="100"/>
                      <w:position w:val="0"/>
                      <w:sz w:val="21"/>
                      <w:szCs w:val="21"/>
                      <w:highlight w:val="none"/>
                      <w:lang w:val="en-US" w:eastAsia="zh-CN"/>
                      <w14:textFill>
                        <w14:solidFill>
                          <w14:schemeClr w14:val="tx1"/>
                        </w14:solidFill>
                      </w14:textFill>
                    </w:rPr>
                    <w:t>碱洗水池（尺寸2×3×2m）、碱洗塔、碱洗水泵、废气风机</w:t>
                  </w:r>
                  <w:r>
                    <w:rPr>
                      <w:rFonts w:hint="eastAsia" w:cs="Times New Roman"/>
                      <w:color w:val="000000" w:themeColor="text1"/>
                      <w:w w:val="100"/>
                      <w:position w:val="0"/>
                      <w:sz w:val="21"/>
                      <w:szCs w:val="21"/>
                      <w:highlight w:val="none"/>
                      <w:lang w:val="en-US" w:eastAsia="zh-CN"/>
                      <w14:textFill>
                        <w14:solidFill>
                          <w14:schemeClr w14:val="tx1"/>
                        </w14:solidFill>
                      </w14:textFill>
                    </w:rPr>
                    <w:t>。</w:t>
                  </w:r>
                </w:p>
              </w:tc>
              <w:tc>
                <w:tcPr>
                  <w:tcW w:w="1066" w:type="dxa"/>
                  <w:noWrap w:val="0"/>
                  <w:vAlign w:val="center"/>
                </w:tcPr>
                <w:p w14:paraId="76EA2A5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714D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31A0FC77">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1446" w:type="dxa"/>
                  <w:gridSpan w:val="2"/>
                  <w:noWrap w:val="0"/>
                  <w:vAlign w:val="center"/>
                </w:tcPr>
                <w:p w14:paraId="3C1DAFF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办公室</w:t>
                  </w:r>
                </w:p>
              </w:tc>
              <w:tc>
                <w:tcPr>
                  <w:tcW w:w="4790" w:type="dxa"/>
                  <w:noWrap w:val="0"/>
                  <w:vAlign w:val="center"/>
                </w:tcPr>
                <w:p w14:paraId="5FE82557">
                  <w:pPr>
                    <w:pageBreakBefore w:val="0"/>
                    <w:shd w:val="clear" w:color="auto" w:fill="auto"/>
                    <w:bidi w:val="0"/>
                    <w:spacing w:beforeAutospacing="0" w:afterAutospacing="0"/>
                    <w:ind w:left="0" w:leftChars="0" w:right="0"/>
                    <w:jc w:val="both"/>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依托厂内原有办公室</w:t>
                  </w:r>
                </w:p>
              </w:tc>
              <w:tc>
                <w:tcPr>
                  <w:tcW w:w="1066" w:type="dxa"/>
                  <w:noWrap w:val="0"/>
                  <w:vAlign w:val="center"/>
                </w:tcPr>
                <w:p w14:paraId="7ACB3FE9">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70E95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vMerge w:val="restart"/>
                  <w:noWrap w:val="0"/>
                  <w:vAlign w:val="center"/>
                </w:tcPr>
                <w:p w14:paraId="5FD6230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公用工程</w:t>
                  </w:r>
                </w:p>
              </w:tc>
              <w:tc>
                <w:tcPr>
                  <w:tcW w:w="1446" w:type="dxa"/>
                  <w:gridSpan w:val="2"/>
                  <w:noWrap w:val="0"/>
                  <w:vAlign w:val="center"/>
                </w:tcPr>
                <w:p w14:paraId="3A69A73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供水</w:t>
                  </w:r>
                </w:p>
              </w:tc>
              <w:tc>
                <w:tcPr>
                  <w:tcW w:w="4790" w:type="dxa"/>
                  <w:noWrap w:val="0"/>
                  <w:vAlign w:val="center"/>
                </w:tcPr>
                <w:p w14:paraId="71812868">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园区供水</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管网</w:t>
                  </w:r>
                  <w:r>
                    <w:rPr>
                      <w:rFonts w:hint="default" w:ascii="Times New Roman" w:hAnsi="Times New Roman" w:cs="Times New Roman"/>
                      <w:color w:val="000000" w:themeColor="text1"/>
                      <w:w w:val="100"/>
                      <w:position w:val="0"/>
                      <w:sz w:val="21"/>
                      <w:szCs w:val="21"/>
                      <w:highlight w:val="none"/>
                      <w:lang w:eastAsia="zh-CN"/>
                      <w14:textFill>
                        <w14:solidFill>
                          <w14:schemeClr w14:val="tx1"/>
                        </w14:solidFill>
                      </w14:textFill>
                    </w:rPr>
                    <w:t>。</w:t>
                  </w:r>
                </w:p>
              </w:tc>
              <w:tc>
                <w:tcPr>
                  <w:tcW w:w="1066" w:type="dxa"/>
                  <w:noWrap w:val="0"/>
                  <w:vAlign w:val="center"/>
                </w:tcPr>
                <w:p w14:paraId="0AC8DF2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w:t>
                  </w:r>
                </w:p>
              </w:tc>
            </w:tr>
            <w:tr w14:paraId="07EDC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262FB6C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037506F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供电</w:t>
                  </w:r>
                </w:p>
              </w:tc>
              <w:tc>
                <w:tcPr>
                  <w:tcW w:w="4790" w:type="dxa"/>
                  <w:noWrap w:val="0"/>
                  <w:vAlign w:val="center"/>
                </w:tcPr>
                <w:p w14:paraId="5E021C20">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施工期用电</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园区供电</w:t>
                  </w:r>
                  <w:r>
                    <w:rPr>
                      <w:rFonts w:hint="eastAsia" w:cs="Times New Roman"/>
                      <w:color w:val="000000" w:themeColor="text1"/>
                      <w:w w:val="100"/>
                      <w:position w:val="0"/>
                      <w:sz w:val="21"/>
                      <w:szCs w:val="21"/>
                      <w:highlight w:val="none"/>
                      <w:lang w:val="en-US" w:eastAsia="zh-CN"/>
                      <w14:textFill>
                        <w14:solidFill>
                          <w14:schemeClr w14:val="tx1"/>
                        </w14:solidFill>
                      </w14:textFill>
                    </w:rPr>
                    <w:t>与厂内原有配电箱，运营期用电</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园区供电</w:t>
                  </w:r>
                  <w:r>
                    <w:rPr>
                      <w:rFonts w:hint="eastAsia" w:cs="Times New Roman"/>
                      <w:color w:val="000000" w:themeColor="text1"/>
                      <w:w w:val="100"/>
                      <w:position w:val="0"/>
                      <w:sz w:val="21"/>
                      <w:szCs w:val="21"/>
                      <w:highlight w:val="none"/>
                      <w:lang w:val="en-US" w:eastAsia="zh-CN"/>
                      <w14:textFill>
                        <w14:solidFill>
                          <w14:schemeClr w14:val="tx1"/>
                        </w14:solidFill>
                      </w14:textFill>
                    </w:rPr>
                    <w:t>与新建配电室。</w:t>
                  </w:r>
                </w:p>
              </w:tc>
              <w:tc>
                <w:tcPr>
                  <w:tcW w:w="1066" w:type="dxa"/>
                  <w:noWrap w:val="0"/>
                  <w:vAlign w:val="center"/>
                </w:tcPr>
                <w:p w14:paraId="4815302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w:t>
                  </w:r>
                </w:p>
              </w:tc>
            </w:tr>
            <w:tr w14:paraId="2813EC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4758D08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745493C2">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排水</w:t>
                  </w:r>
                </w:p>
              </w:tc>
              <w:tc>
                <w:tcPr>
                  <w:tcW w:w="4790" w:type="dxa"/>
                  <w:noWrap w:val="0"/>
                  <w:vAlign w:val="center"/>
                </w:tcPr>
                <w:p w14:paraId="1276BC5D">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运营期产生的</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锅炉排污水（锅炉排污水+软化处理废水）经</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污</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水管网，最终</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排入</w:t>
                  </w:r>
                  <w:r>
                    <w:rPr>
                      <w:rFonts w:hint="eastAsia" w:cs="Times New Roman"/>
                      <w:color w:val="000000" w:themeColor="text1"/>
                      <w:w w:val="100"/>
                      <w:position w:val="0"/>
                      <w:sz w:val="21"/>
                      <w:szCs w:val="21"/>
                      <w:highlight w:val="none"/>
                      <w:lang w:val="en-US" w:eastAsia="zh-CN"/>
                      <w14:textFill>
                        <w14:solidFill>
                          <w14:schemeClr w14:val="tx1"/>
                        </w14:solidFill>
                      </w14:textFill>
                    </w:rPr>
                    <w:t>昌吉高新海天污水处理厂</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处理</w:t>
                  </w: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其余生产废水循环使用不外排。</w:t>
                  </w:r>
                </w:p>
              </w:tc>
              <w:tc>
                <w:tcPr>
                  <w:tcW w:w="1066" w:type="dxa"/>
                  <w:noWrap w:val="0"/>
                  <w:vAlign w:val="center"/>
                </w:tcPr>
                <w:p w14:paraId="6C6BB7F2">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w:t>
                  </w:r>
                </w:p>
              </w:tc>
            </w:tr>
            <w:tr w14:paraId="4F866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571CBB8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3A71586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供暖</w:t>
                  </w:r>
                </w:p>
              </w:tc>
              <w:tc>
                <w:tcPr>
                  <w:tcW w:w="4790" w:type="dxa"/>
                  <w:noWrap w:val="0"/>
                  <w:vAlign w:val="center"/>
                </w:tcPr>
                <w:p w14:paraId="7A7A478A">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冬季</w:t>
                  </w:r>
                  <w:r>
                    <w:rPr>
                      <w:rFonts w:hint="eastAsia" w:cs="Times New Roman"/>
                      <w:color w:val="000000" w:themeColor="text1"/>
                      <w:w w:val="100"/>
                      <w:position w:val="0"/>
                      <w:sz w:val="21"/>
                      <w:szCs w:val="21"/>
                      <w:highlight w:val="none"/>
                      <w:lang w:val="en-US" w:eastAsia="zh-CN"/>
                      <w14:textFill>
                        <w14:solidFill>
                          <w14:schemeClr w14:val="tx1"/>
                        </w14:solidFill>
                      </w14:textFill>
                    </w:rPr>
                    <w:t>生产车间利用锅炉蒸汽余热供暖，办公室采用电采暖</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w:t>
                  </w:r>
                </w:p>
              </w:tc>
              <w:tc>
                <w:tcPr>
                  <w:tcW w:w="1066" w:type="dxa"/>
                  <w:noWrap w:val="0"/>
                  <w:vAlign w:val="center"/>
                </w:tcPr>
                <w:p w14:paraId="6301815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w:t>
                  </w:r>
                </w:p>
              </w:tc>
            </w:tr>
            <w:tr w14:paraId="42E8F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restart"/>
                  <w:noWrap w:val="0"/>
                  <w:vAlign w:val="center"/>
                </w:tcPr>
                <w:p w14:paraId="0FE2085B">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环保工程</w:t>
                  </w:r>
                </w:p>
              </w:tc>
              <w:tc>
                <w:tcPr>
                  <w:tcW w:w="723" w:type="dxa"/>
                  <w:vMerge w:val="restart"/>
                  <w:noWrap w:val="0"/>
                  <w:vAlign w:val="center"/>
                </w:tcPr>
                <w:p w14:paraId="1AEDD17D">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废气治理</w:t>
                  </w:r>
                </w:p>
              </w:tc>
              <w:tc>
                <w:tcPr>
                  <w:tcW w:w="723" w:type="dxa"/>
                  <w:vMerge w:val="restart"/>
                  <w:noWrap w:val="0"/>
                  <w:vAlign w:val="center"/>
                </w:tcPr>
                <w:p w14:paraId="1BA92F05">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5C16E0FD">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酸洗废气、盐酸储罐大、小呼吸废气与预搅拌工序搅拌粉尘经集气罩收集后通入碱法喷淋塔经15m高排气筒（DA001）有组织排放；醇基锅炉废气采用低氮燃烧器+布袋除尘器经15m高排气筒（DA002）有组织排放；烘干废气采用集气罩+袋式除尘+15m高排气筒（DA003）有组织排放</w:t>
                  </w:r>
                  <w:r>
                    <w:rPr>
                      <w:rFonts w:hint="eastAsia"/>
                      <w:color w:val="000000" w:themeColor="text1"/>
                      <w:sz w:val="21"/>
                      <w:szCs w:val="21"/>
                      <w:highlight w:val="none"/>
                      <w:lang w:val="en-US" w:eastAsia="zh-CN"/>
                      <w14:textFill>
                        <w14:solidFill>
                          <w14:schemeClr w14:val="tx1"/>
                        </w14:solidFill>
                      </w14:textFill>
                    </w:rPr>
                    <w:t>。</w:t>
                  </w:r>
                </w:p>
              </w:tc>
              <w:tc>
                <w:tcPr>
                  <w:tcW w:w="1066" w:type="dxa"/>
                  <w:noWrap w:val="0"/>
                  <w:vAlign w:val="center"/>
                </w:tcPr>
                <w:p w14:paraId="61F6C7B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390D81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continue"/>
                  <w:noWrap w:val="0"/>
                  <w:vAlign w:val="center"/>
                </w:tcPr>
                <w:p w14:paraId="1D262B5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vMerge w:val="continue"/>
                  <w:noWrap w:val="0"/>
                  <w:vAlign w:val="center"/>
                </w:tcPr>
                <w:p w14:paraId="3BEF3762">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pPr>
                </w:p>
              </w:tc>
              <w:tc>
                <w:tcPr>
                  <w:tcW w:w="723" w:type="dxa"/>
                  <w:vMerge w:val="continue"/>
                  <w:noWrap w:val="0"/>
                  <w:vAlign w:val="center"/>
                </w:tcPr>
                <w:p w14:paraId="49BA26C5">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4790" w:type="dxa"/>
                  <w:noWrap w:val="0"/>
                  <w:vAlign w:val="center"/>
                </w:tcPr>
                <w:p w14:paraId="68C98ABC">
                  <w:pPr>
                    <w:pageBreakBefore w:val="0"/>
                    <w:shd w:val="clear" w:color="auto" w:fill="auto"/>
                    <w:bidi w:val="0"/>
                    <w:spacing w:beforeAutospacing="0" w:afterAutospacing="0"/>
                    <w:ind w:left="0" w:leftChars="0" w:right="0"/>
                    <w:jc w:val="both"/>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原料堆场与装卸扬尘采用全</w:t>
                  </w:r>
                  <w:r>
                    <w:rPr>
                      <w:rFonts w:hint="eastAsia"/>
                      <w:color w:val="000000" w:themeColor="text1"/>
                      <w:sz w:val="21"/>
                      <w:szCs w:val="21"/>
                      <w:highlight w:val="none"/>
                      <w:lang w:val="en-US" w:eastAsia="zh-CN"/>
                      <w14:textFill>
                        <w14:solidFill>
                          <w14:schemeClr w14:val="tx1"/>
                        </w14:solidFill>
                      </w14:textFill>
                    </w:rPr>
                    <w:t>封闭式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并在装卸处进行洒水降尘的降尘措施</w:t>
                  </w:r>
                </w:p>
              </w:tc>
              <w:tc>
                <w:tcPr>
                  <w:tcW w:w="1066" w:type="dxa"/>
                  <w:noWrap w:val="0"/>
                  <w:vAlign w:val="center"/>
                </w:tcPr>
                <w:p w14:paraId="3C978801">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2A2D6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continue"/>
                  <w:noWrap w:val="0"/>
                  <w:vAlign w:val="center"/>
                </w:tcPr>
                <w:p w14:paraId="52250BC6">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499644DF">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restart"/>
                  <w:noWrap w:val="0"/>
                  <w:vAlign w:val="center"/>
                </w:tcPr>
                <w:p w14:paraId="6C9670E6">
                  <w:pPr>
                    <w:pageBreakBefore w:val="0"/>
                    <w:shd w:val="clear" w:color="auto" w:fill="auto"/>
                    <w:bidi w:val="0"/>
                    <w:spacing w:beforeAutospacing="0" w:afterAutospacing="0"/>
                    <w:ind w:left="0" w:leftChars="0" w:right="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二期</w:t>
                  </w:r>
                </w:p>
              </w:tc>
              <w:tc>
                <w:tcPr>
                  <w:tcW w:w="4790" w:type="dxa"/>
                  <w:noWrap w:val="0"/>
                  <w:vAlign w:val="center"/>
                </w:tcPr>
                <w:p w14:paraId="521E73BA">
                  <w:pPr>
                    <w:pageBreakBefore w:val="0"/>
                    <w:shd w:val="clear" w:color="auto" w:fill="auto"/>
                    <w:bidi w:val="0"/>
                    <w:spacing w:beforeAutospacing="0" w:afterAutospacing="0"/>
                    <w:ind w:left="0" w:leftChars="0" w:right="0"/>
                    <w:jc w:val="both"/>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破碎、球磨工序产生的粉尘采用集气罩+袋式除尘+15m高排气筒（DA004）有组织排放；烘干废气采用集气罩+袋式除尘+15m高排气筒（DA003）有组织排放。</w:t>
                  </w:r>
                </w:p>
              </w:tc>
              <w:tc>
                <w:tcPr>
                  <w:tcW w:w="1066" w:type="dxa"/>
                  <w:noWrap w:val="0"/>
                  <w:vAlign w:val="center"/>
                </w:tcPr>
                <w:p w14:paraId="2525B858">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3879E6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continue"/>
                  <w:noWrap w:val="0"/>
                  <w:vAlign w:val="center"/>
                </w:tcPr>
                <w:p w14:paraId="2E1AB65E">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188C33DC">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1DC8C685">
                  <w:pPr>
                    <w:pageBreakBefore w:val="0"/>
                    <w:shd w:val="clear" w:color="auto" w:fill="auto"/>
                    <w:bidi w:val="0"/>
                    <w:spacing w:beforeAutospacing="0" w:afterAutospacing="0"/>
                    <w:ind w:left="0" w:leftChars="0" w:right="0"/>
                    <w:jc w:val="center"/>
                    <w:rPr>
                      <w:rFonts w:hint="default"/>
                      <w:color w:val="000000" w:themeColor="text1"/>
                      <w:highlight w:val="none"/>
                      <w:lang w:val="en-US" w:eastAsia="zh-CN"/>
                      <w14:textFill>
                        <w14:solidFill>
                          <w14:schemeClr w14:val="tx1"/>
                        </w14:solidFill>
                      </w14:textFill>
                    </w:rPr>
                  </w:pPr>
                </w:p>
              </w:tc>
              <w:tc>
                <w:tcPr>
                  <w:tcW w:w="4790" w:type="dxa"/>
                  <w:noWrap w:val="0"/>
                  <w:vAlign w:val="center"/>
                </w:tcPr>
                <w:p w14:paraId="1479D829">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原料堆场与装卸扬尘采用全</w:t>
                  </w:r>
                  <w:r>
                    <w:rPr>
                      <w:rFonts w:hint="eastAsia" w:cs="Times New Roman"/>
                      <w:color w:val="000000" w:themeColor="text1"/>
                      <w:w w:val="100"/>
                      <w:position w:val="0"/>
                      <w:sz w:val="21"/>
                      <w:szCs w:val="21"/>
                      <w:highlight w:val="none"/>
                      <w:lang w:val="en-US" w:eastAsia="zh-CN"/>
                      <w14:textFill>
                        <w14:solidFill>
                          <w14:schemeClr w14:val="tx1"/>
                        </w14:solidFill>
                      </w14:textFill>
                    </w:rPr>
                    <w:t>封闭式</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并在装卸处进行洒水降尘的降尘措施</w:t>
                  </w:r>
                  <w:r>
                    <w:rPr>
                      <w:rFonts w:hint="eastAsia" w:cs="Times New Roman"/>
                      <w:color w:val="000000" w:themeColor="text1"/>
                      <w:w w:val="100"/>
                      <w:position w:val="0"/>
                      <w:sz w:val="21"/>
                      <w:szCs w:val="21"/>
                      <w:highlight w:val="none"/>
                      <w:lang w:val="en-US" w:eastAsia="zh-CN"/>
                      <w14:textFill>
                        <w14:solidFill>
                          <w14:schemeClr w14:val="tx1"/>
                        </w14:solidFill>
                      </w14:textFill>
                    </w:rPr>
                    <w:t>。</w:t>
                  </w:r>
                </w:p>
              </w:tc>
              <w:tc>
                <w:tcPr>
                  <w:tcW w:w="1066" w:type="dxa"/>
                  <w:noWrap w:val="0"/>
                  <w:vAlign w:val="center"/>
                </w:tcPr>
                <w:p w14:paraId="64D9D87E">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213F3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1F42201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25D843C6">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废水治理</w:t>
                  </w:r>
                </w:p>
              </w:tc>
              <w:tc>
                <w:tcPr>
                  <w:tcW w:w="723" w:type="dxa"/>
                  <w:noWrap w:val="0"/>
                  <w:vAlign w:val="center"/>
                </w:tcPr>
                <w:p w14:paraId="5B5AD2AF">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27D0F996">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运营期产生的</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锅炉排污水（锅炉排污水+软化处理废水）经</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污</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水管网，最终</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排入</w:t>
                  </w:r>
                  <w:r>
                    <w:rPr>
                      <w:rFonts w:hint="eastAsia" w:cs="Times New Roman"/>
                      <w:color w:val="000000" w:themeColor="text1"/>
                      <w:w w:val="100"/>
                      <w:position w:val="0"/>
                      <w:sz w:val="21"/>
                      <w:szCs w:val="21"/>
                      <w:highlight w:val="none"/>
                      <w:lang w:val="en-US" w:eastAsia="zh-CN"/>
                      <w14:textFill>
                        <w14:solidFill>
                          <w14:schemeClr w14:val="tx1"/>
                        </w14:solidFill>
                      </w14:textFill>
                    </w:rPr>
                    <w:t>昌吉高新海天污水处理厂</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其余生产废水循环使用不外排。</w:t>
                  </w:r>
                </w:p>
              </w:tc>
              <w:tc>
                <w:tcPr>
                  <w:tcW w:w="1066" w:type="dxa"/>
                  <w:noWrap w:val="0"/>
                  <w:vAlign w:val="center"/>
                </w:tcPr>
                <w:p w14:paraId="7BFDEB5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依托园区管网</w:t>
                  </w:r>
                </w:p>
              </w:tc>
            </w:tr>
            <w:tr w14:paraId="326DE4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721" w:type="dxa"/>
                  <w:vMerge w:val="continue"/>
                  <w:noWrap w:val="0"/>
                  <w:vAlign w:val="center"/>
                </w:tcPr>
                <w:p w14:paraId="47C87F8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4DB21C09">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噪声治理</w:t>
                  </w:r>
                </w:p>
              </w:tc>
              <w:tc>
                <w:tcPr>
                  <w:tcW w:w="723" w:type="dxa"/>
                  <w:noWrap w:val="0"/>
                  <w:vAlign w:val="center"/>
                </w:tcPr>
                <w:p w14:paraId="35DC1836">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一期与二期</w:t>
                  </w:r>
                </w:p>
              </w:tc>
              <w:tc>
                <w:tcPr>
                  <w:tcW w:w="4790" w:type="dxa"/>
                  <w:noWrap w:val="0"/>
                  <w:vAlign w:val="center"/>
                </w:tcPr>
                <w:p w14:paraId="728349FA">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设备加装减震垫、在厂区入口设置“减速慢行”，“禁止鸣笛”等标识牌，加强设备维护保养，安装隔声门窗</w:t>
                  </w:r>
                </w:p>
              </w:tc>
              <w:tc>
                <w:tcPr>
                  <w:tcW w:w="1066" w:type="dxa"/>
                  <w:noWrap w:val="0"/>
                  <w:vAlign w:val="center"/>
                </w:tcPr>
                <w:p w14:paraId="7CE3C59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w:t>
                  </w:r>
                </w:p>
              </w:tc>
            </w:tr>
            <w:tr w14:paraId="3E00D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721" w:type="dxa"/>
                  <w:vMerge w:val="continue"/>
                  <w:noWrap w:val="0"/>
                  <w:vAlign w:val="center"/>
                </w:tcPr>
                <w:p w14:paraId="65D4EB3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vMerge w:val="restart"/>
                  <w:noWrap w:val="0"/>
                  <w:vAlign w:val="center"/>
                </w:tcPr>
                <w:p w14:paraId="7BE87880">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固废治理</w:t>
                  </w:r>
                </w:p>
              </w:tc>
              <w:tc>
                <w:tcPr>
                  <w:tcW w:w="723" w:type="dxa"/>
                  <w:noWrap w:val="0"/>
                  <w:vAlign w:val="center"/>
                </w:tcPr>
                <w:p w14:paraId="1606AA74">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3A9AABC4">
                  <w:pPr>
                    <w:pageBreakBefore w:val="0"/>
                    <w:shd w:val="clear" w:color="auto" w:fill="auto"/>
                    <w:bidi w:val="0"/>
                    <w:spacing w:beforeAutospacing="0" w:afterAutospacing="0"/>
                    <w:ind w:left="0" w:leftChars="0" w:right="0"/>
                    <w:jc w:val="both"/>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4FD1488C">
                  <w:pPr>
                    <w:pageBreakBefore w:val="0"/>
                    <w:shd w:val="clear" w:color="auto" w:fill="auto"/>
                    <w:bidi w:val="0"/>
                    <w:spacing w:beforeAutospacing="0" w:afterAutospacing="0"/>
                    <w:ind w:left="0" w:leftChars="0" w:right="0"/>
                    <w:jc w:val="both"/>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处置。</w:t>
                  </w:r>
                </w:p>
              </w:tc>
              <w:tc>
                <w:tcPr>
                  <w:tcW w:w="1066" w:type="dxa"/>
                  <w:vMerge w:val="restart"/>
                  <w:noWrap w:val="0"/>
                  <w:vAlign w:val="center"/>
                </w:tcPr>
                <w:p w14:paraId="60FC7E7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一般固废</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eastAsia" w:cs="Times New Roman"/>
                      <w:color w:val="000000" w:themeColor="text1"/>
                      <w:w w:val="100"/>
                      <w:position w:val="0"/>
                      <w:sz w:val="21"/>
                      <w:szCs w:val="21"/>
                      <w:highlight w:val="none"/>
                      <w:lang w:val="en-US" w:eastAsia="zh-CN"/>
                      <w14:textFill>
                        <w14:solidFill>
                          <w14:schemeClr w14:val="tx1"/>
                        </w14:solidFill>
                      </w14:textFill>
                    </w:rPr>
                    <w:t>原有一般固废贮存库，新建危险废物贮存点</w:t>
                  </w:r>
                </w:p>
              </w:tc>
            </w:tr>
            <w:tr w14:paraId="4D186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721" w:type="dxa"/>
                  <w:vMerge w:val="continue"/>
                  <w:noWrap w:val="0"/>
                  <w:vAlign w:val="center"/>
                </w:tcPr>
                <w:p w14:paraId="50163ED2">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60B9CFA3">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noWrap w:val="0"/>
                  <w:vAlign w:val="center"/>
                </w:tcPr>
                <w:p w14:paraId="4101752D">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二期</w:t>
                  </w:r>
                </w:p>
              </w:tc>
              <w:tc>
                <w:tcPr>
                  <w:tcW w:w="4790" w:type="dxa"/>
                  <w:noWrap w:val="0"/>
                  <w:vAlign w:val="center"/>
                </w:tcPr>
                <w:p w14:paraId="107F1E2B">
                  <w:pPr>
                    <w:pageBreakBefore w:val="0"/>
                    <w:shd w:val="clear" w:color="auto" w:fill="auto"/>
                    <w:bidi w:val="0"/>
                    <w:spacing w:beforeAutospacing="0" w:afterAutospacing="0"/>
                    <w:ind w:left="0" w:leftChars="0" w:right="0"/>
                    <w:jc w:val="both"/>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15F546D8">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1066" w:type="dxa"/>
                  <w:vMerge w:val="continue"/>
                  <w:noWrap w:val="0"/>
                  <w:vAlign w:val="center"/>
                </w:tcPr>
                <w:p w14:paraId="677B1928">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p>
              </w:tc>
            </w:tr>
            <w:tr w14:paraId="45C88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39F1EA75">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407844D3">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环境风险</w:t>
                  </w:r>
                </w:p>
              </w:tc>
              <w:tc>
                <w:tcPr>
                  <w:tcW w:w="4790" w:type="dxa"/>
                  <w:noWrap w:val="0"/>
                  <w:vAlign w:val="center"/>
                </w:tcPr>
                <w:p w14:paraId="3EFE5971">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制定</w:t>
                  </w:r>
                  <w:r>
                    <w:rPr>
                      <w:rFonts w:hint="eastAsia" w:cs="Times New Roman"/>
                      <w:color w:val="000000" w:themeColor="text1"/>
                      <w:w w:val="100"/>
                      <w:position w:val="0"/>
                      <w:sz w:val="21"/>
                      <w:szCs w:val="21"/>
                      <w:highlight w:val="none"/>
                      <w:lang w:val="en-US" w:eastAsia="zh-CN"/>
                      <w14:textFill>
                        <w14:solidFill>
                          <w14:schemeClr w14:val="tx1"/>
                        </w14:solidFill>
                      </w14:textFill>
                    </w:rPr>
                    <w:t>突发环境事件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应急预案，</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定期进行</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危险废物贮存点</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的安全检查，发现问题及时处理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危险废物贮存库</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内设置消防栓、灭火器等设施，对可能发生的火灾能及时处理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，在厂内进行分区防渗措施</w:t>
                  </w:r>
                </w:p>
              </w:tc>
              <w:tc>
                <w:tcPr>
                  <w:tcW w:w="1066" w:type="dxa"/>
                  <w:noWrap w:val="0"/>
                  <w:vAlign w:val="center"/>
                </w:tcPr>
                <w:p w14:paraId="3836AB37">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w:t>
                  </w:r>
                </w:p>
              </w:tc>
            </w:tr>
          </w:tbl>
          <w:p w14:paraId="64B16A76">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主要生产设备</w:t>
            </w:r>
          </w:p>
          <w:p w14:paraId="12076130">
            <w:pPr>
              <w:pStyle w:val="29"/>
              <w:ind w:left="0" w:leftChars="0" w:firstLine="480" w:firstLineChars="200"/>
              <w:rPr>
                <w:rFonts w:hint="default" w:ascii="Times New Roman" w:hAnsi="Times New Roman" w:cs="Times New Roman"/>
                <w:snapToGrid w:val="0"/>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snapToGrid w:val="0"/>
                <w:color w:val="000000" w:themeColor="text1"/>
                <w:w w:val="100"/>
                <w:kern w:val="0"/>
                <w:position w:val="0"/>
                <w:sz w:val="24"/>
                <w:highlight w:val="none"/>
                <w14:textFill>
                  <w14:solidFill>
                    <w14:schemeClr w14:val="tx1"/>
                  </w14:solidFill>
                </w14:textFill>
              </w:rPr>
              <w:t>本项目主要生产设备情况见表2-2</w:t>
            </w:r>
          </w:p>
          <w:p w14:paraId="4184B872">
            <w:pPr>
              <w:pStyle w:val="29"/>
              <w:spacing w:line="240" w:lineRule="auto"/>
              <w:ind w:left="0" w:leftChars="0" w:firstLine="422" w:firstLineChars="200"/>
              <w:jc w:val="center"/>
              <w:rPr>
                <w:rFonts w:hint="default" w:ascii="Times New Roman" w:hAnsi="Times New Roman" w:cs="Times New Roman"/>
                <w:b/>
                <w:bCs/>
                <w:snapToGrid w:val="0"/>
                <w:color w:val="000000" w:themeColor="text1"/>
                <w:w w:val="100"/>
                <w:kern w:val="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表2-2</w:t>
            </w: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w w:val="100"/>
                <w:position w:val="0"/>
                <w:sz w:val="21"/>
                <w:szCs w:val="21"/>
                <w:highlight w:val="none"/>
                <w14:textFill>
                  <w14:solidFill>
                    <w14:schemeClr w14:val="tx1"/>
                  </w14:solidFill>
                </w14:textFill>
              </w:rPr>
              <w:t>主要</w:t>
            </w: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生产设备一览表</w:t>
            </w:r>
          </w:p>
          <w:tbl>
            <w:tblPr>
              <w:tblStyle w:val="21"/>
              <w:tblW w:w="494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231"/>
              <w:gridCol w:w="3570"/>
              <w:gridCol w:w="675"/>
              <w:gridCol w:w="650"/>
              <w:gridCol w:w="1124"/>
            </w:tblGrid>
            <w:tr w14:paraId="7425D3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773" w:type="dxa"/>
                  <w:tcBorders>
                    <w:bottom w:val="single" w:color="auto" w:sz="12" w:space="0"/>
                  </w:tcBorders>
                  <w:shd w:val="clear" w:color="auto" w:fill="auto"/>
                  <w:tcMar>
                    <w:top w:w="113" w:type="dxa"/>
                    <w:bottom w:w="113" w:type="dxa"/>
                  </w:tcMar>
                  <w:vAlign w:val="center"/>
                </w:tcPr>
                <w:p w14:paraId="1C1AE61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序号</w:t>
                  </w:r>
                </w:p>
              </w:tc>
              <w:tc>
                <w:tcPr>
                  <w:tcW w:w="1231" w:type="dxa"/>
                  <w:tcBorders>
                    <w:bottom w:val="single" w:color="auto" w:sz="12" w:space="0"/>
                  </w:tcBorders>
                  <w:shd w:val="clear" w:color="auto" w:fill="auto"/>
                  <w:tcMar>
                    <w:top w:w="113" w:type="dxa"/>
                    <w:bottom w:w="113" w:type="dxa"/>
                  </w:tcMar>
                  <w:vAlign w:val="center"/>
                </w:tcPr>
                <w:p w14:paraId="155AF68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设备名称</w:t>
                  </w:r>
                </w:p>
              </w:tc>
              <w:tc>
                <w:tcPr>
                  <w:tcW w:w="3570" w:type="dxa"/>
                  <w:tcBorders>
                    <w:bottom w:val="single" w:color="auto" w:sz="12" w:space="0"/>
                  </w:tcBorders>
                  <w:shd w:val="clear" w:color="auto" w:fill="auto"/>
                  <w:tcMar>
                    <w:top w:w="113" w:type="dxa"/>
                    <w:bottom w:w="113" w:type="dxa"/>
                  </w:tcMar>
                  <w:vAlign w:val="center"/>
                </w:tcPr>
                <w:p w14:paraId="4277103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规格型号</w:t>
                  </w:r>
                </w:p>
              </w:tc>
              <w:tc>
                <w:tcPr>
                  <w:tcW w:w="675" w:type="dxa"/>
                  <w:tcBorders>
                    <w:bottom w:val="single" w:color="auto" w:sz="12" w:space="0"/>
                  </w:tcBorders>
                  <w:shd w:val="clear" w:color="auto" w:fill="auto"/>
                  <w:tcMar>
                    <w:top w:w="113" w:type="dxa"/>
                    <w:bottom w:w="113" w:type="dxa"/>
                  </w:tcMar>
                  <w:vAlign w:val="center"/>
                </w:tcPr>
                <w:p w14:paraId="12D23C1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单位</w:t>
                  </w:r>
                </w:p>
              </w:tc>
              <w:tc>
                <w:tcPr>
                  <w:tcW w:w="650" w:type="dxa"/>
                  <w:tcBorders>
                    <w:bottom w:val="single" w:color="auto" w:sz="12" w:space="0"/>
                  </w:tcBorders>
                  <w:shd w:val="clear" w:color="auto" w:fill="auto"/>
                  <w:tcMar>
                    <w:top w:w="113" w:type="dxa"/>
                    <w:bottom w:w="113" w:type="dxa"/>
                  </w:tcMar>
                  <w:vAlign w:val="center"/>
                </w:tcPr>
                <w:p w14:paraId="746A162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数量</w:t>
                  </w:r>
                </w:p>
              </w:tc>
              <w:tc>
                <w:tcPr>
                  <w:tcW w:w="1124" w:type="dxa"/>
                  <w:tcBorders>
                    <w:bottom w:val="single" w:color="auto" w:sz="12" w:space="0"/>
                  </w:tcBorders>
                  <w:shd w:val="clear" w:color="auto" w:fill="auto"/>
                  <w:tcMar>
                    <w:top w:w="113" w:type="dxa"/>
                    <w:bottom w:w="113" w:type="dxa"/>
                  </w:tcMar>
                  <w:vAlign w:val="center"/>
                </w:tcPr>
                <w:p w14:paraId="34E2F96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备注</w:t>
                  </w:r>
                </w:p>
              </w:tc>
            </w:tr>
            <w:tr w14:paraId="195980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op w:val="single" w:color="auto" w:sz="12" w:space="0"/>
                    <w:tl2br w:val="nil"/>
                    <w:tr2bl w:val="nil"/>
                  </w:tcBorders>
                  <w:shd w:val="clear" w:color="auto" w:fill="auto"/>
                  <w:tcMar>
                    <w:top w:w="113" w:type="dxa"/>
                    <w:bottom w:w="113" w:type="dxa"/>
                  </w:tcMar>
                  <w:vAlign w:val="center"/>
                </w:tcPr>
                <w:p w14:paraId="609864C6">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op w:val="single" w:color="auto" w:sz="12" w:space="0"/>
                    <w:tl2br w:val="nil"/>
                    <w:tr2bl w:val="nil"/>
                  </w:tcBorders>
                  <w:shd w:val="clear" w:color="auto" w:fill="auto"/>
                  <w:tcMar>
                    <w:top w:w="113" w:type="dxa"/>
                    <w:bottom w:w="113" w:type="dxa"/>
                  </w:tcMar>
                  <w:vAlign w:val="center"/>
                </w:tcPr>
                <w:p w14:paraId="77C1AF4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搅拌罐</w:t>
                  </w:r>
                </w:p>
              </w:tc>
              <w:tc>
                <w:tcPr>
                  <w:tcW w:w="3570" w:type="dxa"/>
                  <w:tcBorders>
                    <w:top w:val="single" w:color="auto" w:sz="12" w:space="0"/>
                    <w:tl2br w:val="nil"/>
                    <w:tr2bl w:val="nil"/>
                  </w:tcBorders>
                  <w:shd w:val="clear" w:color="auto" w:fill="auto"/>
                  <w:tcMar>
                    <w:top w:w="113" w:type="dxa"/>
                    <w:bottom w:w="113" w:type="dxa"/>
                  </w:tcMar>
                  <w:vAlign w:val="center"/>
                </w:tcPr>
                <w:p w14:paraId="50B42EC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Φ2500×3000mm，电机功率11kW</w:t>
                  </w:r>
                </w:p>
              </w:tc>
              <w:tc>
                <w:tcPr>
                  <w:tcW w:w="675" w:type="dxa"/>
                  <w:tcBorders>
                    <w:top w:val="single" w:color="auto" w:sz="12" w:space="0"/>
                    <w:tl2br w:val="nil"/>
                    <w:tr2bl w:val="nil"/>
                  </w:tcBorders>
                  <w:shd w:val="clear" w:color="auto" w:fill="auto"/>
                  <w:tcMar>
                    <w:top w:w="113" w:type="dxa"/>
                    <w:bottom w:w="113" w:type="dxa"/>
                  </w:tcMar>
                  <w:vAlign w:val="center"/>
                </w:tcPr>
                <w:p w14:paraId="0200922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op w:val="single" w:color="auto" w:sz="12" w:space="0"/>
                    <w:tl2br w:val="nil"/>
                    <w:tr2bl w:val="nil"/>
                  </w:tcBorders>
                  <w:shd w:val="clear" w:color="auto" w:fill="auto"/>
                  <w:tcMar>
                    <w:top w:w="113" w:type="dxa"/>
                    <w:bottom w:w="113" w:type="dxa"/>
                  </w:tcMar>
                  <w:vAlign w:val="center"/>
                </w:tcPr>
                <w:p w14:paraId="08A8B57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7</w:t>
                  </w:r>
                </w:p>
              </w:tc>
              <w:tc>
                <w:tcPr>
                  <w:tcW w:w="1124" w:type="dxa"/>
                  <w:tcBorders>
                    <w:top w:val="single" w:color="auto" w:sz="12" w:space="0"/>
                    <w:tl2br w:val="nil"/>
                    <w:tr2bl w:val="nil"/>
                  </w:tcBorders>
                  <w:shd w:val="clear" w:color="auto" w:fill="auto"/>
                  <w:tcMar>
                    <w:top w:w="113" w:type="dxa"/>
                    <w:bottom w:w="113" w:type="dxa"/>
                  </w:tcMar>
                  <w:vAlign w:val="center"/>
                </w:tcPr>
                <w:p w14:paraId="67A6D82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63885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3E3A06E7">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548DDF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搅拌罐</w:t>
                  </w:r>
                </w:p>
              </w:tc>
              <w:tc>
                <w:tcPr>
                  <w:tcW w:w="3570" w:type="dxa"/>
                  <w:tcBorders>
                    <w:tl2br w:val="nil"/>
                    <w:tr2bl w:val="nil"/>
                  </w:tcBorders>
                  <w:shd w:val="clear" w:color="auto" w:fill="auto"/>
                  <w:tcMar>
                    <w:top w:w="113" w:type="dxa"/>
                    <w:bottom w:w="113" w:type="dxa"/>
                  </w:tcMar>
                  <w:vAlign w:val="center"/>
                </w:tcPr>
                <w:p w14:paraId="568AD47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Φ1800×2200mm，电机功率11kW</w:t>
                  </w:r>
                </w:p>
              </w:tc>
              <w:tc>
                <w:tcPr>
                  <w:tcW w:w="675" w:type="dxa"/>
                  <w:tcBorders>
                    <w:tl2br w:val="nil"/>
                    <w:tr2bl w:val="nil"/>
                  </w:tcBorders>
                  <w:shd w:val="clear" w:color="auto" w:fill="auto"/>
                  <w:tcMar>
                    <w:top w:w="113" w:type="dxa"/>
                    <w:bottom w:w="113" w:type="dxa"/>
                  </w:tcMar>
                  <w:vAlign w:val="center"/>
                </w:tcPr>
                <w:p w14:paraId="032DE41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2809296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1124" w:type="dxa"/>
                  <w:tcBorders>
                    <w:tl2br w:val="nil"/>
                    <w:tr2bl w:val="nil"/>
                  </w:tcBorders>
                  <w:shd w:val="clear" w:color="auto" w:fill="auto"/>
                  <w:tcMar>
                    <w:top w:w="113" w:type="dxa"/>
                    <w:bottom w:w="113" w:type="dxa"/>
                  </w:tcMar>
                  <w:vAlign w:val="center"/>
                </w:tcPr>
                <w:p w14:paraId="10228703">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二</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期</w:t>
                  </w:r>
                </w:p>
              </w:tc>
            </w:tr>
            <w:tr w14:paraId="1F252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77E590DE">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5EAE7C8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3570" w:type="dxa"/>
                  <w:tcBorders>
                    <w:tl2br w:val="nil"/>
                    <w:tr2bl w:val="nil"/>
                  </w:tcBorders>
                  <w:shd w:val="clear" w:color="auto" w:fill="auto"/>
                  <w:tcMar>
                    <w:top w:w="113" w:type="dxa"/>
                    <w:bottom w:w="113" w:type="dxa"/>
                  </w:tcMar>
                  <w:vAlign w:val="center"/>
                </w:tcPr>
                <w:p w14:paraId="529C958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t/h；额定蒸汽压力</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0.8</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MPa；</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饱和</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蒸汽温度</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175</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℃；燃料：</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w:t>
                  </w:r>
                </w:p>
              </w:tc>
              <w:tc>
                <w:tcPr>
                  <w:tcW w:w="675" w:type="dxa"/>
                  <w:tcBorders>
                    <w:tl2br w:val="nil"/>
                    <w:tr2bl w:val="nil"/>
                  </w:tcBorders>
                  <w:shd w:val="clear" w:color="auto" w:fill="auto"/>
                  <w:tcMar>
                    <w:top w:w="113" w:type="dxa"/>
                    <w:bottom w:w="113" w:type="dxa"/>
                  </w:tcMar>
                  <w:vAlign w:val="center"/>
                </w:tcPr>
                <w:p w14:paraId="46F3B52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66CCAAF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F97CB2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23F1F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3087530D">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B1DB4F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3570" w:type="dxa"/>
                  <w:tcBorders>
                    <w:tl2br w:val="nil"/>
                    <w:tr2bl w:val="nil"/>
                  </w:tcBorders>
                  <w:shd w:val="clear" w:color="auto" w:fill="auto"/>
                  <w:tcMar>
                    <w:top w:w="113" w:type="dxa"/>
                    <w:bottom w:w="113" w:type="dxa"/>
                  </w:tcMar>
                  <w:vAlign w:val="center"/>
                </w:tcPr>
                <w:p w14:paraId="54A22E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25kW</w:t>
                  </w:r>
                </w:p>
              </w:tc>
              <w:tc>
                <w:tcPr>
                  <w:tcW w:w="675" w:type="dxa"/>
                  <w:tcBorders>
                    <w:tl2br w:val="nil"/>
                    <w:tr2bl w:val="nil"/>
                  </w:tcBorders>
                  <w:shd w:val="clear" w:color="auto" w:fill="auto"/>
                  <w:tcMar>
                    <w:top w:w="113" w:type="dxa"/>
                    <w:bottom w:w="113" w:type="dxa"/>
                  </w:tcMar>
                  <w:vAlign w:val="center"/>
                </w:tcPr>
                <w:p w14:paraId="7F8CB4E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37F12B5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1124" w:type="dxa"/>
                  <w:tcBorders>
                    <w:tl2br w:val="nil"/>
                    <w:tr2bl w:val="nil"/>
                  </w:tcBorders>
                  <w:shd w:val="clear" w:color="auto" w:fill="auto"/>
                  <w:tcMar>
                    <w:top w:w="113" w:type="dxa"/>
                    <w:bottom w:w="113" w:type="dxa"/>
                  </w:tcMar>
                  <w:vAlign w:val="center"/>
                </w:tcPr>
                <w:p w14:paraId="35FC528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38536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0858C62B">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110BD5E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3570" w:type="dxa"/>
                  <w:tcBorders>
                    <w:tl2br w:val="nil"/>
                    <w:tr2bl w:val="nil"/>
                  </w:tcBorders>
                  <w:shd w:val="clear" w:color="auto" w:fill="auto"/>
                  <w:tcMar>
                    <w:top w:w="113" w:type="dxa"/>
                    <w:bottom w:w="113" w:type="dxa"/>
                  </w:tcMar>
                  <w:vAlign w:val="center"/>
                </w:tcPr>
                <w:p w14:paraId="094F5EC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1.5kW</w:t>
                  </w:r>
                </w:p>
              </w:tc>
              <w:tc>
                <w:tcPr>
                  <w:tcW w:w="675" w:type="dxa"/>
                  <w:tcBorders>
                    <w:tl2br w:val="nil"/>
                    <w:tr2bl w:val="nil"/>
                  </w:tcBorders>
                  <w:shd w:val="clear" w:color="auto" w:fill="auto"/>
                  <w:tcMar>
                    <w:top w:w="113" w:type="dxa"/>
                    <w:bottom w:w="113" w:type="dxa"/>
                  </w:tcMar>
                  <w:vAlign w:val="center"/>
                </w:tcPr>
                <w:p w14:paraId="0F43160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054EE8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9</w:t>
                  </w:r>
                </w:p>
              </w:tc>
              <w:tc>
                <w:tcPr>
                  <w:tcW w:w="1124" w:type="dxa"/>
                  <w:tcBorders>
                    <w:tl2br w:val="nil"/>
                    <w:tr2bl w:val="nil"/>
                  </w:tcBorders>
                  <w:shd w:val="clear" w:color="auto" w:fill="auto"/>
                  <w:tcMar>
                    <w:top w:w="113" w:type="dxa"/>
                    <w:bottom w:w="113" w:type="dxa"/>
                  </w:tcMar>
                  <w:vAlign w:val="center"/>
                </w:tcPr>
                <w:p w14:paraId="500F3D7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207A5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444534C2">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4008CE8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3570" w:type="dxa"/>
                  <w:tcBorders>
                    <w:tl2br w:val="nil"/>
                    <w:tr2bl w:val="nil"/>
                  </w:tcBorders>
                  <w:shd w:val="clear" w:color="auto" w:fill="auto"/>
                  <w:tcMar>
                    <w:top w:w="113" w:type="dxa"/>
                    <w:bottom w:w="113" w:type="dxa"/>
                  </w:tcMar>
                  <w:vAlign w:val="center"/>
                </w:tcPr>
                <w:p w14:paraId="0A8284F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37kW</w:t>
                  </w:r>
                </w:p>
              </w:tc>
              <w:tc>
                <w:tcPr>
                  <w:tcW w:w="675" w:type="dxa"/>
                  <w:tcBorders>
                    <w:tl2br w:val="nil"/>
                    <w:tr2bl w:val="nil"/>
                  </w:tcBorders>
                  <w:shd w:val="clear" w:color="auto" w:fill="auto"/>
                  <w:tcMar>
                    <w:top w:w="113" w:type="dxa"/>
                    <w:bottom w:w="113" w:type="dxa"/>
                  </w:tcMar>
                  <w:vAlign w:val="center"/>
                </w:tcPr>
                <w:p w14:paraId="63F4C04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47E18B9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030194B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41202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279170E1">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1446DC5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3570" w:type="dxa"/>
                  <w:tcBorders>
                    <w:tl2br w:val="nil"/>
                    <w:tr2bl w:val="nil"/>
                  </w:tcBorders>
                  <w:shd w:val="clear" w:color="auto" w:fill="auto"/>
                  <w:tcMar>
                    <w:top w:w="113" w:type="dxa"/>
                    <w:bottom w:w="113" w:type="dxa"/>
                  </w:tcMar>
                  <w:vAlign w:val="center"/>
                </w:tcPr>
                <w:p w14:paraId="49B5355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碱洗水泵1.5kW</w:t>
                  </w:r>
                </w:p>
              </w:tc>
              <w:tc>
                <w:tcPr>
                  <w:tcW w:w="675" w:type="dxa"/>
                  <w:tcBorders>
                    <w:tl2br w:val="nil"/>
                    <w:tr2bl w:val="nil"/>
                  </w:tcBorders>
                  <w:shd w:val="clear" w:color="auto" w:fill="auto"/>
                  <w:tcMar>
                    <w:top w:w="113" w:type="dxa"/>
                    <w:bottom w:w="113" w:type="dxa"/>
                  </w:tcMar>
                  <w:vAlign w:val="center"/>
                </w:tcPr>
                <w:p w14:paraId="2833562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座</w:t>
                  </w:r>
                </w:p>
              </w:tc>
              <w:tc>
                <w:tcPr>
                  <w:tcW w:w="650" w:type="dxa"/>
                  <w:tcBorders>
                    <w:tl2br w:val="nil"/>
                    <w:tr2bl w:val="nil"/>
                  </w:tcBorders>
                  <w:shd w:val="clear" w:color="auto" w:fill="auto"/>
                  <w:tcMar>
                    <w:top w:w="113" w:type="dxa"/>
                    <w:bottom w:w="113" w:type="dxa"/>
                  </w:tcMar>
                  <w:vAlign w:val="center"/>
                </w:tcPr>
                <w:p w14:paraId="047C6A7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61C00A7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4106A5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067522D2">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0DB9315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3570" w:type="dxa"/>
                  <w:tcBorders>
                    <w:tl2br w:val="nil"/>
                    <w:tr2bl w:val="nil"/>
                  </w:tcBorders>
                  <w:shd w:val="clear" w:color="auto" w:fill="auto"/>
                  <w:tcMar>
                    <w:top w:w="113" w:type="dxa"/>
                    <w:bottom w:w="113" w:type="dxa"/>
                  </w:tcMar>
                  <w:vAlign w:val="center"/>
                </w:tcPr>
                <w:p w14:paraId="2566A87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5.5kW</w:t>
                  </w:r>
                </w:p>
              </w:tc>
              <w:tc>
                <w:tcPr>
                  <w:tcW w:w="675" w:type="dxa"/>
                  <w:tcBorders>
                    <w:tl2br w:val="nil"/>
                    <w:tr2bl w:val="nil"/>
                  </w:tcBorders>
                  <w:shd w:val="clear" w:color="auto" w:fill="auto"/>
                  <w:tcMar>
                    <w:top w:w="113" w:type="dxa"/>
                    <w:bottom w:w="113" w:type="dxa"/>
                  </w:tcMar>
                  <w:vAlign w:val="center"/>
                </w:tcPr>
                <w:p w14:paraId="276A1D6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4B1BBC1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1124" w:type="dxa"/>
                  <w:tcBorders>
                    <w:tl2br w:val="nil"/>
                    <w:tr2bl w:val="nil"/>
                  </w:tcBorders>
                  <w:shd w:val="clear" w:color="auto" w:fill="auto"/>
                  <w:tcMar>
                    <w:top w:w="113" w:type="dxa"/>
                    <w:bottom w:w="113" w:type="dxa"/>
                  </w:tcMar>
                  <w:vAlign w:val="center"/>
                </w:tcPr>
                <w:p w14:paraId="6A538B8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（一用一备）</w:t>
                  </w:r>
                </w:p>
              </w:tc>
            </w:tr>
            <w:tr w14:paraId="50A73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23CC4DC3">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03F34DA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破碎机</w:t>
                  </w:r>
                </w:p>
              </w:tc>
              <w:tc>
                <w:tcPr>
                  <w:tcW w:w="3570" w:type="dxa"/>
                  <w:tcBorders>
                    <w:tl2br w:val="nil"/>
                    <w:tr2bl w:val="nil"/>
                  </w:tcBorders>
                  <w:shd w:val="clear" w:color="auto" w:fill="auto"/>
                  <w:tcMar>
                    <w:top w:w="113" w:type="dxa"/>
                    <w:bottom w:w="113" w:type="dxa"/>
                  </w:tcMar>
                  <w:vAlign w:val="center"/>
                </w:tcPr>
                <w:p w14:paraId="3E29EC8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22kW</w:t>
                  </w:r>
                </w:p>
              </w:tc>
              <w:tc>
                <w:tcPr>
                  <w:tcW w:w="675" w:type="dxa"/>
                  <w:tcBorders>
                    <w:tl2br w:val="nil"/>
                    <w:tr2bl w:val="nil"/>
                  </w:tcBorders>
                  <w:shd w:val="clear" w:color="auto" w:fill="auto"/>
                  <w:tcMar>
                    <w:top w:w="113" w:type="dxa"/>
                    <w:bottom w:w="113" w:type="dxa"/>
                  </w:tcMar>
                  <w:vAlign w:val="center"/>
                </w:tcPr>
                <w:p w14:paraId="2FE53113">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7863DF4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1545B92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34F17A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01A051C0">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971F04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球磨机</w:t>
                  </w:r>
                </w:p>
              </w:tc>
              <w:tc>
                <w:tcPr>
                  <w:tcW w:w="3570" w:type="dxa"/>
                  <w:tcBorders>
                    <w:tl2br w:val="nil"/>
                    <w:tr2bl w:val="nil"/>
                  </w:tcBorders>
                  <w:shd w:val="clear" w:color="auto" w:fill="auto"/>
                  <w:tcMar>
                    <w:top w:w="113" w:type="dxa"/>
                    <w:bottom w:w="113" w:type="dxa"/>
                  </w:tcMar>
                  <w:vAlign w:val="center"/>
                </w:tcPr>
                <w:p w14:paraId="2A28E52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110kW</w:t>
                  </w:r>
                </w:p>
              </w:tc>
              <w:tc>
                <w:tcPr>
                  <w:tcW w:w="675" w:type="dxa"/>
                  <w:tcBorders>
                    <w:tl2br w:val="nil"/>
                    <w:tr2bl w:val="nil"/>
                  </w:tcBorders>
                  <w:shd w:val="clear" w:color="auto" w:fill="auto"/>
                  <w:tcMar>
                    <w:top w:w="113" w:type="dxa"/>
                    <w:bottom w:w="113" w:type="dxa"/>
                  </w:tcMar>
                  <w:vAlign w:val="center"/>
                </w:tcPr>
                <w:p w14:paraId="1DEDC04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490FBAB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114E6B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06638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7A03D1F3">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1C9CFC3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分级机</w:t>
                  </w:r>
                </w:p>
              </w:tc>
              <w:tc>
                <w:tcPr>
                  <w:tcW w:w="3570" w:type="dxa"/>
                  <w:tcBorders>
                    <w:tl2br w:val="nil"/>
                    <w:tr2bl w:val="nil"/>
                  </w:tcBorders>
                  <w:shd w:val="clear" w:color="auto" w:fill="auto"/>
                  <w:tcMar>
                    <w:top w:w="113" w:type="dxa"/>
                    <w:bottom w:w="113" w:type="dxa"/>
                  </w:tcMar>
                  <w:vAlign w:val="center"/>
                </w:tcPr>
                <w:p w14:paraId="3498DD6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11kW</w:t>
                  </w:r>
                </w:p>
              </w:tc>
              <w:tc>
                <w:tcPr>
                  <w:tcW w:w="675" w:type="dxa"/>
                  <w:tcBorders>
                    <w:tl2br w:val="nil"/>
                    <w:tr2bl w:val="nil"/>
                  </w:tcBorders>
                  <w:shd w:val="clear" w:color="auto" w:fill="auto"/>
                  <w:tcMar>
                    <w:top w:w="113" w:type="dxa"/>
                    <w:bottom w:w="113" w:type="dxa"/>
                  </w:tcMar>
                  <w:vAlign w:val="center"/>
                </w:tcPr>
                <w:p w14:paraId="20C5D8D3">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57A31EC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6FB4AC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07846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41A07203">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3431425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浮选机</w:t>
                  </w:r>
                </w:p>
              </w:tc>
              <w:tc>
                <w:tcPr>
                  <w:tcW w:w="3570" w:type="dxa"/>
                  <w:tcBorders>
                    <w:tl2br w:val="nil"/>
                    <w:tr2bl w:val="nil"/>
                  </w:tcBorders>
                  <w:shd w:val="clear" w:color="auto" w:fill="auto"/>
                  <w:tcMar>
                    <w:top w:w="113" w:type="dxa"/>
                    <w:bottom w:w="113" w:type="dxa"/>
                  </w:tcMar>
                  <w:vAlign w:val="center"/>
                </w:tcPr>
                <w:p w14:paraId="2005308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15kW</w:t>
                  </w:r>
                </w:p>
              </w:tc>
              <w:tc>
                <w:tcPr>
                  <w:tcW w:w="675" w:type="dxa"/>
                  <w:tcBorders>
                    <w:tl2br w:val="nil"/>
                    <w:tr2bl w:val="nil"/>
                  </w:tcBorders>
                  <w:shd w:val="clear" w:color="auto" w:fill="auto"/>
                  <w:tcMar>
                    <w:top w:w="113" w:type="dxa"/>
                    <w:bottom w:w="113" w:type="dxa"/>
                  </w:tcMar>
                  <w:vAlign w:val="center"/>
                </w:tcPr>
                <w:p w14:paraId="5A684A0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79DC04F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207F69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6BF94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24341F02">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FC001E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3570" w:type="dxa"/>
                  <w:tcBorders>
                    <w:tl2br w:val="nil"/>
                    <w:tr2bl w:val="nil"/>
                  </w:tcBorders>
                  <w:shd w:val="clear" w:color="auto" w:fill="auto"/>
                  <w:tcMar>
                    <w:top w:w="113" w:type="dxa"/>
                    <w:bottom w:w="113" w:type="dxa"/>
                  </w:tcMar>
                  <w:vAlign w:val="center"/>
                </w:tcPr>
                <w:p w14:paraId="54F72B2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5.5kW</w:t>
                  </w:r>
                </w:p>
              </w:tc>
              <w:tc>
                <w:tcPr>
                  <w:tcW w:w="675" w:type="dxa"/>
                  <w:tcBorders>
                    <w:tl2br w:val="nil"/>
                    <w:tr2bl w:val="nil"/>
                  </w:tcBorders>
                  <w:shd w:val="clear" w:color="auto" w:fill="auto"/>
                  <w:tcMar>
                    <w:top w:w="113" w:type="dxa"/>
                    <w:bottom w:w="113" w:type="dxa"/>
                  </w:tcMar>
                  <w:vAlign w:val="center"/>
                </w:tcPr>
                <w:p w14:paraId="2B230F7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6A56C62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2452A8A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二</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期</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（一用一备）</w:t>
                  </w:r>
                </w:p>
              </w:tc>
            </w:tr>
          </w:tbl>
          <w:p w14:paraId="3894063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原辅材料消耗</w:t>
            </w:r>
          </w:p>
          <w:p w14:paraId="24A90D3F">
            <w:pPr>
              <w:pStyle w:val="53"/>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原辅料及能源消耗情况见表2-3</w:t>
            </w:r>
          </w:p>
          <w:p w14:paraId="3FD0B0D9">
            <w:pPr>
              <w:ind w:left="0" w:leftChars="0" w:right="0" w:rightChars="0" w:firstLine="0" w:firstLineChars="0"/>
              <w:jc w:val="cente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t>表2-</w:t>
            </w:r>
            <w:r>
              <w:rPr>
                <w:rFonts w:hint="eastAsia" w:cs="Times New Roman"/>
                <w:b/>
                <w:bCs/>
                <w:color w:val="000000" w:themeColor="text1"/>
                <w:w w:val="100"/>
                <w:position w:val="0"/>
                <w:sz w:val="24"/>
                <w:szCs w:val="22"/>
                <w:highlight w:val="none"/>
                <w:lang w:val="en-US" w:eastAsia="zh-CN"/>
                <w14:textFill>
                  <w14:solidFill>
                    <w14:schemeClr w14:val="tx1"/>
                  </w14:solidFill>
                </w14:textFill>
              </w:rPr>
              <w:t xml:space="preserve">3  </w:t>
            </w:r>
            <w: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t xml:space="preserve"> 原料及动力的消耗表</w:t>
            </w:r>
          </w:p>
          <w:tbl>
            <w:tblPr>
              <w:tblStyle w:val="22"/>
              <w:tblW w:w="8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4"/>
              <w:gridCol w:w="669"/>
              <w:gridCol w:w="945"/>
              <w:gridCol w:w="216"/>
              <w:gridCol w:w="955"/>
              <w:gridCol w:w="165"/>
              <w:gridCol w:w="920"/>
              <w:gridCol w:w="1254"/>
              <w:gridCol w:w="86"/>
              <w:gridCol w:w="1600"/>
              <w:gridCol w:w="678"/>
            </w:tblGrid>
            <w:tr w14:paraId="6FCD0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954" w:type="dxa"/>
                  <w:tcBorders>
                    <w:bottom w:val="single" w:color="000000" w:sz="12" w:space="0"/>
                    <w:tl2br w:val="nil"/>
                    <w:tr2bl w:val="nil"/>
                  </w:tcBorders>
                  <w:vAlign w:val="center"/>
                </w:tcPr>
                <w:p w14:paraId="2CE8B9D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名称</w:t>
                  </w:r>
                </w:p>
              </w:tc>
              <w:tc>
                <w:tcPr>
                  <w:tcW w:w="1830" w:type="dxa"/>
                  <w:gridSpan w:val="3"/>
                  <w:tcBorders>
                    <w:bottom w:val="single" w:color="000000" w:sz="12" w:space="0"/>
                    <w:tl2br w:val="nil"/>
                    <w:tr2bl w:val="nil"/>
                  </w:tcBorders>
                  <w:vAlign w:val="center"/>
                </w:tcPr>
                <w:p w14:paraId="4D0EAE9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规格</w:t>
                  </w:r>
                </w:p>
              </w:tc>
              <w:tc>
                <w:tcPr>
                  <w:tcW w:w="1120" w:type="dxa"/>
                  <w:gridSpan w:val="2"/>
                  <w:tcBorders>
                    <w:bottom w:val="single" w:color="000000" w:sz="12" w:space="0"/>
                    <w:tl2br w:val="nil"/>
                    <w:tr2bl w:val="nil"/>
                  </w:tcBorders>
                  <w:vAlign w:val="center"/>
                </w:tcPr>
                <w:p w14:paraId="4156827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现有工程年用量</w:t>
                  </w:r>
                </w:p>
              </w:tc>
              <w:tc>
                <w:tcPr>
                  <w:tcW w:w="920" w:type="dxa"/>
                  <w:tcBorders>
                    <w:bottom w:val="single" w:color="000000" w:sz="12" w:space="0"/>
                    <w:tl2br w:val="nil"/>
                    <w:tr2bl w:val="nil"/>
                  </w:tcBorders>
                  <w:vAlign w:val="center"/>
                </w:tcPr>
                <w:p w14:paraId="66326BA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本项目年用量</w:t>
                  </w:r>
                </w:p>
              </w:tc>
              <w:tc>
                <w:tcPr>
                  <w:tcW w:w="1340" w:type="dxa"/>
                  <w:gridSpan w:val="2"/>
                  <w:tcBorders>
                    <w:bottom w:val="single" w:color="000000" w:sz="12" w:space="0"/>
                    <w:tl2br w:val="nil"/>
                    <w:tr2bl w:val="nil"/>
                  </w:tcBorders>
                  <w:vAlign w:val="center"/>
                </w:tcPr>
                <w:p w14:paraId="6D414F5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包装方式</w:t>
                  </w:r>
                </w:p>
              </w:tc>
              <w:tc>
                <w:tcPr>
                  <w:tcW w:w="1600" w:type="dxa"/>
                  <w:tcBorders>
                    <w:bottom w:val="single" w:color="000000" w:sz="12" w:space="0"/>
                    <w:tl2br w:val="nil"/>
                    <w:tr2bl w:val="nil"/>
                  </w:tcBorders>
                  <w:vAlign w:val="center"/>
                </w:tcPr>
                <w:p w14:paraId="229AED4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来源</w:t>
                  </w:r>
                </w:p>
              </w:tc>
              <w:tc>
                <w:tcPr>
                  <w:tcW w:w="678" w:type="dxa"/>
                  <w:tcBorders>
                    <w:bottom w:val="single" w:color="000000" w:sz="12" w:space="0"/>
                    <w:tl2br w:val="nil"/>
                    <w:tr2bl w:val="nil"/>
                  </w:tcBorders>
                  <w:vAlign w:val="center"/>
                </w:tcPr>
                <w:p w14:paraId="5A65135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备注</w:t>
                  </w:r>
                </w:p>
              </w:tc>
            </w:tr>
            <w:tr w14:paraId="147B2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8442" w:type="dxa"/>
                  <w:gridSpan w:val="11"/>
                  <w:tcBorders>
                    <w:top w:val="single" w:color="000000" w:sz="12" w:space="0"/>
                    <w:bottom w:val="single" w:color="000000" w:sz="4" w:space="0"/>
                    <w:tl2br w:val="nil"/>
                    <w:tr2bl w:val="nil"/>
                  </w:tcBorders>
                  <w:vAlign w:val="center"/>
                </w:tcPr>
                <w:p w14:paraId="0773FAD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原辅料</w:t>
                  </w:r>
                </w:p>
              </w:tc>
            </w:tr>
            <w:tr w14:paraId="5B092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54" w:type="dxa"/>
                  <w:tcBorders>
                    <w:top w:val="single" w:color="000000" w:sz="4" w:space="0"/>
                    <w:left w:val="nil"/>
                    <w:bottom w:val="single" w:color="000000" w:sz="4" w:space="0"/>
                    <w:right w:val="single" w:color="000000" w:sz="4" w:space="0"/>
                  </w:tcBorders>
                  <w:shd w:val="clear" w:color="auto" w:fill="auto"/>
                  <w:vAlign w:val="center"/>
                </w:tcPr>
                <w:p w14:paraId="7C2DC7F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废硅粉</w:t>
                  </w: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1C5C2">
                  <w:pPr>
                    <w:pStyle w:val="39"/>
                    <w:bidi w:val="0"/>
                    <w:spacing w:line="240" w:lineRule="auto"/>
                    <w:ind w:left="0" w:leftChars="0" w:right="0" w:rightChars="0" w:firstLine="0" w:firstLineChars="0"/>
                    <w:jc w:val="center"/>
                    <w:rPr>
                      <w:rFonts w:hint="default" w:ascii="宋体" w:hAnsi="宋体"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含铁8</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10%</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含铝1</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E9BAC">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16000t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455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12000t</w:t>
                  </w:r>
                </w:p>
              </w:tc>
              <w:tc>
                <w:tcPr>
                  <w:tcW w:w="1340" w:type="dxa"/>
                  <w:gridSpan w:val="2"/>
                  <w:tcBorders>
                    <w:top w:val="single" w:color="000000" w:sz="4" w:space="0"/>
                    <w:left w:val="single" w:color="000000" w:sz="4" w:space="0"/>
                    <w:bottom w:val="single" w:color="000000" w:sz="4" w:space="0"/>
                    <w:right w:val="single" w:color="000000" w:sz="4" w:space="0"/>
                  </w:tcBorders>
                  <w:vAlign w:val="center"/>
                </w:tcPr>
                <w:p w14:paraId="2CA00E0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吨袋</w:t>
                  </w:r>
                </w:p>
              </w:tc>
              <w:tc>
                <w:tcPr>
                  <w:tcW w:w="1600" w:type="dxa"/>
                  <w:tcBorders>
                    <w:top w:val="single" w:color="000000" w:sz="4" w:space="0"/>
                    <w:left w:val="single" w:color="000000" w:sz="4" w:space="0"/>
                    <w:bottom w:val="single" w:color="000000" w:sz="4" w:space="0"/>
                    <w:right w:val="single" w:color="000000" w:sz="4" w:space="0"/>
                  </w:tcBorders>
                  <w:vAlign w:val="center"/>
                </w:tcPr>
                <w:p w14:paraId="030DD00F">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op w:val="single" w:color="000000" w:sz="4" w:space="0"/>
                    <w:left w:val="single" w:color="000000" w:sz="4" w:space="0"/>
                    <w:bottom w:val="single" w:color="000000" w:sz="4" w:space="0"/>
                    <w:right w:val="nil"/>
                  </w:tcBorders>
                  <w:vAlign w:val="center"/>
                </w:tcPr>
                <w:p w14:paraId="096CBAF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3858D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54" w:type="dxa"/>
                  <w:tcBorders>
                    <w:top w:val="single" w:color="000000" w:sz="4" w:space="0"/>
                    <w:left w:val="nil"/>
                    <w:bottom w:val="single" w:color="000000" w:sz="4" w:space="0"/>
                    <w:right w:val="single" w:color="000000" w:sz="4" w:space="0"/>
                  </w:tcBorders>
                  <w:vAlign w:val="center"/>
                </w:tcPr>
                <w:p w14:paraId="1ACE103B">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废</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硅渣</w:t>
                  </w:r>
                </w:p>
              </w:tc>
              <w:tc>
                <w:tcPr>
                  <w:tcW w:w="1830" w:type="dxa"/>
                  <w:gridSpan w:val="3"/>
                  <w:tcBorders>
                    <w:top w:val="single" w:color="000000" w:sz="4" w:space="0"/>
                    <w:left w:val="single" w:color="000000" w:sz="4" w:space="0"/>
                    <w:bottom w:val="single" w:color="000000" w:sz="4" w:space="0"/>
                    <w:right w:val="single" w:color="000000" w:sz="4" w:space="0"/>
                  </w:tcBorders>
                  <w:vAlign w:val="center"/>
                </w:tcPr>
                <w:p w14:paraId="2F06E2D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含硅20</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30%</w:t>
                  </w:r>
                </w:p>
              </w:tc>
              <w:tc>
                <w:tcPr>
                  <w:tcW w:w="1120" w:type="dxa"/>
                  <w:gridSpan w:val="2"/>
                  <w:tcBorders>
                    <w:top w:val="single" w:color="000000" w:sz="4" w:space="0"/>
                    <w:left w:val="single" w:color="000000" w:sz="4" w:space="0"/>
                    <w:bottom w:val="single" w:color="000000" w:sz="4" w:space="0"/>
                    <w:right w:val="single" w:color="000000" w:sz="4" w:space="0"/>
                  </w:tcBorders>
                  <w:vAlign w:val="center"/>
                </w:tcPr>
                <w:p w14:paraId="11B9CCA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op w:val="single" w:color="000000" w:sz="4" w:space="0"/>
                    <w:left w:val="single" w:color="000000" w:sz="4" w:space="0"/>
                    <w:bottom w:val="single" w:color="000000" w:sz="4" w:space="0"/>
                    <w:right w:val="single" w:color="000000" w:sz="4" w:space="0"/>
                  </w:tcBorders>
                  <w:vAlign w:val="center"/>
                </w:tcPr>
                <w:p w14:paraId="5E1EF0F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15000t</w:t>
                  </w:r>
                </w:p>
              </w:tc>
              <w:tc>
                <w:tcPr>
                  <w:tcW w:w="1340" w:type="dxa"/>
                  <w:gridSpan w:val="2"/>
                  <w:tcBorders>
                    <w:top w:val="single" w:color="000000" w:sz="4" w:space="0"/>
                    <w:left w:val="single" w:color="000000" w:sz="4" w:space="0"/>
                    <w:bottom w:val="single" w:color="000000" w:sz="4" w:space="0"/>
                    <w:right w:val="single" w:color="000000" w:sz="4" w:space="0"/>
                  </w:tcBorders>
                  <w:vAlign w:val="center"/>
                </w:tcPr>
                <w:p w14:paraId="539708F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吨袋</w:t>
                  </w:r>
                </w:p>
              </w:tc>
              <w:tc>
                <w:tcPr>
                  <w:tcW w:w="1600" w:type="dxa"/>
                  <w:tcBorders>
                    <w:top w:val="single" w:color="000000" w:sz="4" w:space="0"/>
                    <w:left w:val="single" w:color="000000" w:sz="4" w:space="0"/>
                    <w:bottom w:val="single" w:color="000000" w:sz="4" w:space="0"/>
                    <w:right w:val="single" w:color="000000" w:sz="4" w:space="0"/>
                  </w:tcBorders>
                  <w:vAlign w:val="center"/>
                </w:tcPr>
                <w:p w14:paraId="0B540F22">
                  <w:pPr>
                    <w:pStyle w:val="39"/>
                    <w:bidi w:val="0"/>
                    <w:spacing w:line="240" w:lineRule="auto"/>
                    <w:ind w:left="0" w:leftChars="0" w:right="0" w:rightChars="0"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20%来自原熔炼</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车间</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（现有工程）80%外购</w:t>
                  </w:r>
                </w:p>
              </w:tc>
              <w:tc>
                <w:tcPr>
                  <w:tcW w:w="678" w:type="dxa"/>
                  <w:tcBorders>
                    <w:top w:val="single" w:color="000000" w:sz="4" w:space="0"/>
                    <w:left w:val="single" w:color="000000" w:sz="4" w:space="0"/>
                    <w:bottom w:val="single" w:color="000000" w:sz="4" w:space="0"/>
                    <w:right w:val="nil"/>
                  </w:tcBorders>
                  <w:vAlign w:val="center"/>
                </w:tcPr>
                <w:p w14:paraId="4EFC1B9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二期</w:t>
                  </w:r>
                </w:p>
              </w:tc>
            </w:tr>
            <w:tr w14:paraId="5DED51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op w:val="single" w:color="000000" w:sz="4" w:space="0"/>
                    <w:left w:val="nil"/>
                    <w:bottom w:val="single" w:color="000000" w:sz="4" w:space="0"/>
                    <w:right w:val="single" w:color="000000" w:sz="4" w:space="0"/>
                  </w:tcBorders>
                  <w:vAlign w:val="center"/>
                </w:tcPr>
                <w:p w14:paraId="1750A4B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石灰</w:t>
                  </w:r>
                </w:p>
              </w:tc>
              <w:tc>
                <w:tcPr>
                  <w:tcW w:w="1830" w:type="dxa"/>
                  <w:gridSpan w:val="3"/>
                  <w:tcBorders>
                    <w:top w:val="single" w:color="000000" w:sz="4" w:space="0"/>
                    <w:left w:val="single" w:color="000000" w:sz="4" w:space="0"/>
                    <w:bottom w:val="single" w:color="000000" w:sz="4" w:space="0"/>
                    <w:right w:val="single" w:color="000000" w:sz="4" w:space="0"/>
                  </w:tcBorders>
                  <w:vAlign w:val="center"/>
                </w:tcPr>
                <w:p w14:paraId="2038F03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120" w:type="dxa"/>
                  <w:gridSpan w:val="2"/>
                  <w:tcBorders>
                    <w:top w:val="single" w:color="000000" w:sz="4" w:space="0"/>
                    <w:left w:val="single" w:color="000000" w:sz="4" w:space="0"/>
                    <w:bottom w:val="single" w:color="000000" w:sz="4" w:space="0"/>
                    <w:right w:val="single" w:color="000000" w:sz="4" w:space="0"/>
                  </w:tcBorders>
                  <w:vAlign w:val="center"/>
                </w:tcPr>
                <w:p w14:paraId="1C6F09B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300t</w:t>
                  </w:r>
                </w:p>
              </w:tc>
              <w:tc>
                <w:tcPr>
                  <w:tcW w:w="920" w:type="dxa"/>
                  <w:tcBorders>
                    <w:top w:val="single" w:color="000000" w:sz="4" w:space="0"/>
                    <w:left w:val="single" w:color="000000" w:sz="4" w:space="0"/>
                    <w:bottom w:val="single" w:color="000000" w:sz="4" w:space="0"/>
                    <w:right w:val="single" w:color="000000" w:sz="4" w:space="0"/>
                  </w:tcBorders>
                  <w:vAlign w:val="center"/>
                </w:tcPr>
                <w:p w14:paraId="12DF09D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340" w:type="dxa"/>
                  <w:gridSpan w:val="2"/>
                  <w:tcBorders>
                    <w:top w:val="single" w:color="000000" w:sz="4" w:space="0"/>
                    <w:left w:val="single" w:color="000000" w:sz="4" w:space="0"/>
                    <w:bottom w:val="single" w:color="000000" w:sz="4" w:space="0"/>
                    <w:right w:val="single" w:color="000000" w:sz="4" w:space="0"/>
                  </w:tcBorders>
                  <w:vAlign w:val="center"/>
                </w:tcPr>
                <w:p w14:paraId="7FD65BA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50公斤袋装</w:t>
                  </w:r>
                </w:p>
              </w:tc>
              <w:tc>
                <w:tcPr>
                  <w:tcW w:w="1600" w:type="dxa"/>
                  <w:tcBorders>
                    <w:top w:val="single" w:color="000000" w:sz="4" w:space="0"/>
                    <w:left w:val="single" w:color="000000" w:sz="4" w:space="0"/>
                    <w:bottom w:val="single" w:color="000000" w:sz="4" w:space="0"/>
                    <w:right w:val="single" w:color="000000" w:sz="4" w:space="0"/>
                  </w:tcBorders>
                  <w:vAlign w:val="center"/>
                </w:tcPr>
                <w:p w14:paraId="5332494D">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op w:val="single" w:color="000000" w:sz="4" w:space="0"/>
                    <w:left w:val="single" w:color="000000" w:sz="4" w:space="0"/>
                    <w:bottom w:val="single" w:color="000000" w:sz="4" w:space="0"/>
                    <w:right w:val="nil"/>
                  </w:tcBorders>
                  <w:vAlign w:val="center"/>
                </w:tcPr>
                <w:p w14:paraId="2D26371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4AB90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op w:val="single" w:color="000000" w:sz="4" w:space="0"/>
                    <w:tl2br w:val="nil"/>
                    <w:tr2bl w:val="nil"/>
                  </w:tcBorders>
                  <w:shd w:val="clear" w:color="auto" w:fill="auto"/>
                  <w:vAlign w:val="center"/>
                </w:tcPr>
                <w:p w14:paraId="436F76FA">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盐酸</w:t>
                  </w:r>
                </w:p>
              </w:tc>
              <w:tc>
                <w:tcPr>
                  <w:tcW w:w="1830" w:type="dxa"/>
                  <w:gridSpan w:val="3"/>
                  <w:tcBorders>
                    <w:top w:val="single" w:color="000000" w:sz="4" w:space="0"/>
                    <w:tl2br w:val="nil"/>
                    <w:tr2bl w:val="nil"/>
                  </w:tcBorders>
                  <w:vAlign w:val="center"/>
                </w:tcPr>
                <w:p w14:paraId="4D1475F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p>
              </w:tc>
              <w:tc>
                <w:tcPr>
                  <w:tcW w:w="1120" w:type="dxa"/>
                  <w:gridSpan w:val="2"/>
                  <w:tcBorders>
                    <w:top w:val="single" w:color="000000" w:sz="4" w:space="0"/>
                    <w:tl2br w:val="nil"/>
                    <w:tr2bl w:val="nil"/>
                  </w:tcBorders>
                  <w:vAlign w:val="center"/>
                </w:tcPr>
                <w:p w14:paraId="378C3FD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op w:val="single" w:color="000000" w:sz="4" w:space="0"/>
                    <w:tl2br w:val="nil"/>
                    <w:tr2bl w:val="nil"/>
                  </w:tcBorders>
                  <w:vAlign w:val="center"/>
                </w:tcPr>
                <w:p w14:paraId="07E37EB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3000t</w:t>
                  </w:r>
                </w:p>
              </w:tc>
              <w:tc>
                <w:tcPr>
                  <w:tcW w:w="1340" w:type="dxa"/>
                  <w:gridSpan w:val="2"/>
                  <w:tcBorders>
                    <w:top w:val="single" w:color="000000" w:sz="4" w:space="0"/>
                    <w:tl2br w:val="nil"/>
                    <w:tr2bl w:val="nil"/>
                  </w:tcBorders>
                  <w:vAlign w:val="center"/>
                </w:tcPr>
                <w:p w14:paraId="4DF6B3B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30m</w:t>
                  </w:r>
                  <w:r>
                    <w:rPr>
                      <w:rFonts w:hint="eastAsia" w:ascii="Times New Roman" w:hAnsi="Times New Roman" w:cs="Times New Roman"/>
                      <w:b w:val="0"/>
                      <w:bCs w:val="0"/>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储罐</w:t>
                  </w:r>
                </w:p>
              </w:tc>
              <w:tc>
                <w:tcPr>
                  <w:tcW w:w="1600" w:type="dxa"/>
                  <w:tcBorders>
                    <w:top w:val="single" w:color="000000" w:sz="4" w:space="0"/>
                    <w:tl2br w:val="nil"/>
                    <w:tr2bl w:val="nil"/>
                  </w:tcBorders>
                  <w:vAlign w:val="center"/>
                </w:tcPr>
                <w:p w14:paraId="336FE075">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op w:val="single" w:color="000000" w:sz="4" w:space="0"/>
                    <w:tl2br w:val="nil"/>
                    <w:tr2bl w:val="nil"/>
                  </w:tcBorders>
                  <w:vAlign w:val="center"/>
                </w:tcPr>
                <w:p w14:paraId="7F9C0AE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04FA2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l2br w:val="nil"/>
                    <w:tr2bl w:val="nil"/>
                  </w:tcBorders>
                  <w:shd w:val="clear" w:color="auto" w:fill="auto"/>
                  <w:vAlign w:val="center"/>
                </w:tcPr>
                <w:p w14:paraId="6C4AF7B5">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片碱</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eastAsia"/>
                      <w:b w:val="0"/>
                      <w:bCs w:val="0"/>
                      <w:color w:val="000000" w:themeColor="text1"/>
                      <w:sz w:val="21"/>
                      <w:szCs w:val="21"/>
                      <w:highlight w:val="none"/>
                      <w:vertAlign w:val="baseline"/>
                      <w:lang w:val="en-US" w:eastAsia="zh-CN"/>
                      <w14:textFill>
                        <w14:solidFill>
                          <w14:schemeClr w14:val="tx1"/>
                        </w14:solidFill>
                      </w14:textFill>
                    </w:rPr>
                    <w:t>氢氧化钠</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p>
              </w:tc>
              <w:tc>
                <w:tcPr>
                  <w:tcW w:w="1830" w:type="dxa"/>
                  <w:gridSpan w:val="3"/>
                  <w:tcBorders>
                    <w:tl2br w:val="nil"/>
                    <w:tr2bl w:val="nil"/>
                  </w:tcBorders>
                  <w:vAlign w:val="center"/>
                </w:tcPr>
                <w:p w14:paraId="2E51747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120" w:type="dxa"/>
                  <w:gridSpan w:val="2"/>
                  <w:tcBorders>
                    <w:tl2br w:val="nil"/>
                    <w:tr2bl w:val="nil"/>
                  </w:tcBorders>
                  <w:vAlign w:val="center"/>
                </w:tcPr>
                <w:p w14:paraId="0BEC142D">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l2br w:val="nil"/>
                    <w:tr2bl w:val="nil"/>
                  </w:tcBorders>
                  <w:vAlign w:val="center"/>
                </w:tcPr>
                <w:p w14:paraId="70A0D36C">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3t</w:t>
                  </w:r>
                </w:p>
              </w:tc>
              <w:tc>
                <w:tcPr>
                  <w:tcW w:w="1340" w:type="dxa"/>
                  <w:gridSpan w:val="2"/>
                  <w:tcBorders>
                    <w:tl2br w:val="nil"/>
                    <w:tr2bl w:val="nil"/>
                  </w:tcBorders>
                  <w:vAlign w:val="center"/>
                </w:tcPr>
                <w:p w14:paraId="53740B7B">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袋装</w:t>
                  </w:r>
                </w:p>
              </w:tc>
              <w:tc>
                <w:tcPr>
                  <w:tcW w:w="1600" w:type="dxa"/>
                  <w:tcBorders>
                    <w:tl2br w:val="nil"/>
                    <w:tr2bl w:val="nil"/>
                  </w:tcBorders>
                  <w:vAlign w:val="center"/>
                </w:tcPr>
                <w:p w14:paraId="40F0A595">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l2br w:val="nil"/>
                    <w:tr2bl w:val="nil"/>
                  </w:tcBorders>
                  <w:vAlign w:val="center"/>
                </w:tcPr>
                <w:p w14:paraId="3B5DB7D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461D2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l2br w:val="nil"/>
                    <w:tr2bl w:val="nil"/>
                  </w:tcBorders>
                  <w:shd w:val="clear" w:color="auto" w:fill="auto"/>
                  <w:vAlign w:val="center"/>
                </w:tcPr>
                <w:p w14:paraId="7711B695">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浮选剂</w:t>
                  </w:r>
                </w:p>
              </w:tc>
              <w:tc>
                <w:tcPr>
                  <w:tcW w:w="1830" w:type="dxa"/>
                  <w:gridSpan w:val="3"/>
                  <w:tcBorders>
                    <w:tl2br w:val="nil"/>
                    <w:tr2bl w:val="nil"/>
                  </w:tcBorders>
                  <w:vAlign w:val="center"/>
                </w:tcPr>
                <w:p w14:paraId="066692EC">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含2号油、腐殖酸钠、纯碱与黄药</w:t>
                  </w:r>
                </w:p>
              </w:tc>
              <w:tc>
                <w:tcPr>
                  <w:tcW w:w="1120" w:type="dxa"/>
                  <w:gridSpan w:val="2"/>
                  <w:tcBorders>
                    <w:tl2br w:val="nil"/>
                    <w:tr2bl w:val="nil"/>
                  </w:tcBorders>
                  <w:vAlign w:val="center"/>
                </w:tcPr>
                <w:p w14:paraId="4CF37D6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l2br w:val="nil"/>
                    <w:tr2bl w:val="nil"/>
                  </w:tcBorders>
                  <w:vAlign w:val="center"/>
                </w:tcPr>
                <w:p w14:paraId="615324E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45t</w:t>
                  </w:r>
                </w:p>
              </w:tc>
              <w:tc>
                <w:tcPr>
                  <w:tcW w:w="1340" w:type="dxa"/>
                  <w:gridSpan w:val="2"/>
                  <w:tcBorders>
                    <w:tl2br w:val="nil"/>
                    <w:tr2bl w:val="nil"/>
                  </w:tcBorders>
                  <w:vAlign w:val="center"/>
                </w:tcPr>
                <w:p w14:paraId="21ADA96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袋装</w:t>
                  </w:r>
                </w:p>
              </w:tc>
              <w:tc>
                <w:tcPr>
                  <w:tcW w:w="1600" w:type="dxa"/>
                  <w:tcBorders>
                    <w:tl2br w:val="nil"/>
                    <w:tr2bl w:val="nil"/>
                  </w:tcBorders>
                  <w:vAlign w:val="center"/>
                </w:tcPr>
                <w:p w14:paraId="553794A5">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l2br w:val="nil"/>
                    <w:tr2bl w:val="nil"/>
                  </w:tcBorders>
                  <w:vAlign w:val="center"/>
                </w:tcPr>
                <w:p w14:paraId="21F27E3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二期</w:t>
                  </w:r>
                </w:p>
              </w:tc>
            </w:tr>
            <w:tr w14:paraId="1D9BBB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442" w:type="dxa"/>
                  <w:gridSpan w:val="11"/>
                  <w:tcBorders>
                    <w:tl2br w:val="nil"/>
                    <w:tr2bl w:val="nil"/>
                  </w:tcBorders>
                  <w:vAlign w:val="center"/>
                </w:tcPr>
                <w:p w14:paraId="132E69AF">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能源及燃料</w:t>
                  </w:r>
                </w:p>
              </w:tc>
            </w:tr>
            <w:tr w14:paraId="37828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tcBorders>
                    <w:tl2br w:val="nil"/>
                    <w:tr2bl w:val="nil"/>
                  </w:tcBorders>
                  <w:shd w:val="clear" w:color="auto" w:fill="auto"/>
                  <w:vAlign w:val="center"/>
                </w:tcPr>
                <w:p w14:paraId="6D2201E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名称</w:t>
                  </w:r>
                </w:p>
              </w:tc>
              <w:tc>
                <w:tcPr>
                  <w:tcW w:w="669" w:type="dxa"/>
                  <w:tcBorders>
                    <w:tl2br w:val="nil"/>
                    <w:tr2bl w:val="nil"/>
                  </w:tcBorders>
                  <w:vAlign w:val="center"/>
                </w:tcPr>
                <w:p w14:paraId="4AD43A7E">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规格</w:t>
                  </w:r>
                </w:p>
              </w:tc>
              <w:tc>
                <w:tcPr>
                  <w:tcW w:w="945" w:type="dxa"/>
                  <w:tcBorders>
                    <w:tl2br w:val="nil"/>
                    <w:tr2bl w:val="nil"/>
                  </w:tcBorders>
                  <w:vAlign w:val="center"/>
                </w:tcPr>
                <w:p w14:paraId="1A65AF5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现有工程年用量t/a</w:t>
                  </w:r>
                </w:p>
              </w:tc>
              <w:tc>
                <w:tcPr>
                  <w:tcW w:w="1171" w:type="dxa"/>
                  <w:gridSpan w:val="2"/>
                  <w:tcBorders>
                    <w:tl2br w:val="nil"/>
                    <w:tr2bl w:val="nil"/>
                  </w:tcBorders>
                  <w:shd w:val="clear" w:color="auto" w:fill="auto"/>
                  <w:vAlign w:val="center"/>
                </w:tcPr>
                <w:p w14:paraId="4DFB63F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本项目年用量</w:t>
                  </w:r>
                </w:p>
              </w:tc>
              <w:tc>
                <w:tcPr>
                  <w:tcW w:w="1085" w:type="dxa"/>
                  <w:gridSpan w:val="2"/>
                  <w:tcBorders>
                    <w:tl2br w:val="nil"/>
                    <w:tr2bl w:val="nil"/>
                  </w:tcBorders>
                  <w:shd w:val="clear" w:color="auto" w:fill="auto"/>
                  <w:vAlign w:val="center"/>
                </w:tcPr>
                <w:p w14:paraId="2B558B37">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变化量</w:t>
                  </w:r>
                </w:p>
              </w:tc>
              <w:tc>
                <w:tcPr>
                  <w:tcW w:w="1254" w:type="dxa"/>
                  <w:tcBorders>
                    <w:tl2br w:val="nil"/>
                    <w:tr2bl w:val="nil"/>
                  </w:tcBorders>
                  <w:shd w:val="clear" w:color="auto" w:fill="auto"/>
                  <w:vAlign w:val="center"/>
                </w:tcPr>
                <w:p w14:paraId="60EE394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来源</w:t>
                  </w:r>
                </w:p>
              </w:tc>
              <w:tc>
                <w:tcPr>
                  <w:tcW w:w="2364" w:type="dxa"/>
                  <w:gridSpan w:val="3"/>
                  <w:tcBorders>
                    <w:tl2br w:val="nil"/>
                    <w:tr2bl w:val="nil"/>
                  </w:tcBorders>
                  <w:vAlign w:val="center"/>
                </w:tcPr>
                <w:p w14:paraId="078C7DD1">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备注</w:t>
                  </w:r>
                </w:p>
              </w:tc>
            </w:tr>
            <w:tr w14:paraId="0F96D1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restart"/>
                  <w:tcBorders>
                    <w:tl2br w:val="nil"/>
                    <w:tr2bl w:val="nil"/>
                  </w:tcBorders>
                  <w:shd w:val="clear" w:color="auto" w:fill="auto"/>
                  <w:vAlign w:val="center"/>
                </w:tcPr>
                <w:p w14:paraId="5EFBEEDC">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用电量</w:t>
                  </w:r>
                </w:p>
              </w:tc>
              <w:tc>
                <w:tcPr>
                  <w:tcW w:w="669" w:type="dxa"/>
                  <w:vMerge w:val="restart"/>
                  <w:tcBorders>
                    <w:tl2br w:val="nil"/>
                    <w:tr2bl w:val="nil"/>
                  </w:tcBorders>
                  <w:vAlign w:val="center"/>
                </w:tcPr>
                <w:p w14:paraId="5A4F2C9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万kWh</w:t>
                  </w:r>
                </w:p>
              </w:tc>
              <w:tc>
                <w:tcPr>
                  <w:tcW w:w="945" w:type="dxa"/>
                  <w:vMerge w:val="restart"/>
                  <w:tcBorders>
                    <w:tl2br w:val="nil"/>
                    <w:tr2bl w:val="nil"/>
                  </w:tcBorders>
                  <w:vAlign w:val="center"/>
                </w:tcPr>
                <w:p w14:paraId="15C7BF1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2380</w:t>
                  </w:r>
                </w:p>
              </w:tc>
              <w:tc>
                <w:tcPr>
                  <w:tcW w:w="1171" w:type="dxa"/>
                  <w:gridSpan w:val="2"/>
                  <w:tcBorders>
                    <w:tl2br w:val="nil"/>
                    <w:tr2bl w:val="nil"/>
                  </w:tcBorders>
                  <w:shd w:val="clear" w:color="auto" w:fill="auto"/>
                  <w:vAlign w:val="center"/>
                </w:tcPr>
                <w:p w14:paraId="3CE220A3">
                  <w:pPr>
                    <w:pStyle w:val="39"/>
                    <w:bidi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120</w:t>
                  </w:r>
                </w:p>
              </w:tc>
              <w:tc>
                <w:tcPr>
                  <w:tcW w:w="1085" w:type="dxa"/>
                  <w:gridSpan w:val="2"/>
                  <w:tcBorders>
                    <w:tl2br w:val="nil"/>
                    <w:tr2bl w:val="nil"/>
                  </w:tcBorders>
                  <w:shd w:val="clear" w:color="auto" w:fill="auto"/>
                  <w:vAlign w:val="center"/>
                </w:tcPr>
                <w:p w14:paraId="0BCDDBB3">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+120</w:t>
                  </w:r>
                </w:p>
              </w:tc>
              <w:tc>
                <w:tcPr>
                  <w:tcW w:w="1254" w:type="dxa"/>
                  <w:vMerge w:val="restart"/>
                  <w:tcBorders>
                    <w:tl2br w:val="nil"/>
                    <w:tr2bl w:val="nil"/>
                  </w:tcBorders>
                  <w:shd w:val="clear" w:color="auto" w:fill="auto"/>
                  <w:vAlign w:val="center"/>
                </w:tcPr>
                <w:p w14:paraId="1C2BBF35">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市政供电</w:t>
                  </w:r>
                </w:p>
              </w:tc>
              <w:tc>
                <w:tcPr>
                  <w:tcW w:w="2364" w:type="dxa"/>
                  <w:gridSpan w:val="3"/>
                  <w:tcBorders>
                    <w:tl2br w:val="nil"/>
                    <w:tr2bl w:val="nil"/>
                  </w:tcBorders>
                  <w:vAlign w:val="center"/>
                </w:tcPr>
                <w:p w14:paraId="74927F6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7C68B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continue"/>
                  <w:tcBorders>
                    <w:tl2br w:val="nil"/>
                    <w:tr2bl w:val="nil"/>
                  </w:tcBorders>
                  <w:shd w:val="clear" w:color="auto" w:fill="auto"/>
                  <w:vAlign w:val="center"/>
                </w:tcPr>
                <w:p w14:paraId="7224EA15">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669" w:type="dxa"/>
                  <w:vMerge w:val="continue"/>
                  <w:tcBorders>
                    <w:tl2br w:val="nil"/>
                    <w:tr2bl w:val="nil"/>
                  </w:tcBorders>
                  <w:vAlign w:val="center"/>
                </w:tcPr>
                <w:p w14:paraId="37050FC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945" w:type="dxa"/>
                  <w:vMerge w:val="continue"/>
                  <w:tcBorders>
                    <w:tl2br w:val="nil"/>
                    <w:tr2bl w:val="nil"/>
                  </w:tcBorders>
                  <w:vAlign w:val="center"/>
                </w:tcPr>
                <w:p w14:paraId="5CDBDDE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1171" w:type="dxa"/>
                  <w:gridSpan w:val="2"/>
                  <w:tcBorders>
                    <w:tl2br w:val="nil"/>
                    <w:tr2bl w:val="nil"/>
                  </w:tcBorders>
                  <w:shd w:val="clear" w:color="auto" w:fill="auto"/>
                  <w:vAlign w:val="center"/>
                </w:tcPr>
                <w:p w14:paraId="16034466">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w:t>
                  </w:r>
                </w:p>
              </w:tc>
              <w:tc>
                <w:tcPr>
                  <w:tcW w:w="1085" w:type="dxa"/>
                  <w:gridSpan w:val="2"/>
                  <w:tcBorders>
                    <w:tl2br w:val="nil"/>
                    <w:tr2bl w:val="nil"/>
                  </w:tcBorders>
                  <w:shd w:val="clear" w:color="auto" w:fill="auto"/>
                  <w:vAlign w:val="center"/>
                </w:tcPr>
                <w:p w14:paraId="29E2E469">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w:t>
                  </w:r>
                </w:p>
              </w:tc>
              <w:tc>
                <w:tcPr>
                  <w:tcW w:w="1254" w:type="dxa"/>
                  <w:vMerge w:val="continue"/>
                  <w:tcBorders>
                    <w:tl2br w:val="nil"/>
                    <w:tr2bl w:val="nil"/>
                  </w:tcBorders>
                  <w:shd w:val="clear" w:color="auto" w:fill="auto"/>
                  <w:vAlign w:val="center"/>
                </w:tcPr>
                <w:p w14:paraId="500B49AB">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2364" w:type="dxa"/>
                  <w:gridSpan w:val="3"/>
                  <w:tcBorders>
                    <w:tl2br w:val="nil"/>
                    <w:tr2bl w:val="nil"/>
                  </w:tcBorders>
                  <w:vAlign w:val="center"/>
                </w:tcPr>
                <w:p w14:paraId="2C96B53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二期</w:t>
                  </w:r>
                </w:p>
              </w:tc>
            </w:tr>
            <w:tr w14:paraId="18E021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restart"/>
                  <w:tcBorders>
                    <w:tl2br w:val="nil"/>
                    <w:tr2bl w:val="nil"/>
                  </w:tcBorders>
                  <w:shd w:val="clear" w:color="auto" w:fill="auto"/>
                  <w:vAlign w:val="center"/>
                </w:tcPr>
                <w:p w14:paraId="3780B2B8">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新鲜水</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用水量</w:t>
                  </w:r>
                </w:p>
              </w:tc>
              <w:tc>
                <w:tcPr>
                  <w:tcW w:w="669" w:type="dxa"/>
                  <w:vMerge w:val="restart"/>
                  <w:tcBorders>
                    <w:tl2br w:val="nil"/>
                    <w:tr2bl w:val="nil"/>
                  </w:tcBorders>
                  <w:vAlign w:val="center"/>
                </w:tcPr>
                <w:p w14:paraId="674787F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t</w:t>
                  </w:r>
                </w:p>
              </w:tc>
              <w:tc>
                <w:tcPr>
                  <w:tcW w:w="945" w:type="dxa"/>
                  <w:vMerge w:val="restart"/>
                  <w:tcBorders>
                    <w:tl2br w:val="nil"/>
                    <w:tr2bl w:val="nil"/>
                  </w:tcBorders>
                  <w:vAlign w:val="center"/>
                </w:tcPr>
                <w:p w14:paraId="1D4A39A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523</w:t>
                  </w:r>
                </w:p>
              </w:tc>
              <w:tc>
                <w:tcPr>
                  <w:tcW w:w="1171" w:type="dxa"/>
                  <w:gridSpan w:val="2"/>
                  <w:tcBorders>
                    <w:tl2br w:val="nil"/>
                    <w:tr2bl w:val="nil"/>
                  </w:tcBorders>
                  <w:shd w:val="clear" w:color="auto" w:fill="auto"/>
                  <w:vAlign w:val="center"/>
                </w:tcPr>
                <w:p w14:paraId="5F080570">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1721</w:t>
                  </w:r>
                </w:p>
              </w:tc>
              <w:tc>
                <w:tcPr>
                  <w:tcW w:w="1085" w:type="dxa"/>
                  <w:gridSpan w:val="2"/>
                  <w:tcBorders>
                    <w:tl2br w:val="nil"/>
                    <w:tr2bl w:val="nil"/>
                  </w:tcBorders>
                  <w:shd w:val="clear" w:color="auto" w:fill="auto"/>
                  <w:vAlign w:val="center"/>
                </w:tcPr>
                <w:p w14:paraId="2ACDEA8F">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+1721</w:t>
                  </w:r>
                </w:p>
              </w:tc>
              <w:tc>
                <w:tcPr>
                  <w:tcW w:w="1254" w:type="dxa"/>
                  <w:vMerge w:val="restart"/>
                  <w:tcBorders>
                    <w:tl2br w:val="nil"/>
                    <w:tr2bl w:val="nil"/>
                  </w:tcBorders>
                  <w:shd w:val="clear" w:color="auto" w:fill="auto"/>
                  <w:vAlign w:val="center"/>
                </w:tcPr>
                <w:p w14:paraId="50F01EB7">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市政给水</w:t>
                  </w:r>
                </w:p>
              </w:tc>
              <w:tc>
                <w:tcPr>
                  <w:tcW w:w="2364" w:type="dxa"/>
                  <w:gridSpan w:val="3"/>
                  <w:tcBorders>
                    <w:tl2br w:val="nil"/>
                    <w:tr2bl w:val="nil"/>
                  </w:tcBorders>
                  <w:vAlign w:val="center"/>
                </w:tcPr>
                <w:p w14:paraId="235EF2CE">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0D9423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continue"/>
                  <w:tcBorders>
                    <w:tl2br w:val="nil"/>
                    <w:tr2bl w:val="nil"/>
                  </w:tcBorders>
                  <w:shd w:val="clear" w:color="auto" w:fill="auto"/>
                  <w:vAlign w:val="center"/>
                </w:tcPr>
                <w:p w14:paraId="7E26B075">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669" w:type="dxa"/>
                  <w:vMerge w:val="continue"/>
                  <w:tcBorders>
                    <w:tl2br w:val="nil"/>
                    <w:tr2bl w:val="nil"/>
                  </w:tcBorders>
                  <w:vAlign w:val="center"/>
                </w:tcPr>
                <w:p w14:paraId="44A3030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45" w:type="dxa"/>
                  <w:vMerge w:val="continue"/>
                  <w:tcBorders>
                    <w:tl2br w:val="nil"/>
                    <w:tr2bl w:val="nil"/>
                  </w:tcBorders>
                  <w:vAlign w:val="center"/>
                </w:tcPr>
                <w:p w14:paraId="247BBB8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1171" w:type="dxa"/>
                  <w:gridSpan w:val="2"/>
                  <w:tcBorders>
                    <w:tl2br w:val="nil"/>
                    <w:tr2bl w:val="nil"/>
                  </w:tcBorders>
                  <w:shd w:val="clear" w:color="auto" w:fill="auto"/>
                  <w:vAlign w:val="center"/>
                </w:tcPr>
                <w:p w14:paraId="37F35D37">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100</w:t>
                  </w:r>
                </w:p>
              </w:tc>
              <w:tc>
                <w:tcPr>
                  <w:tcW w:w="1085" w:type="dxa"/>
                  <w:gridSpan w:val="2"/>
                  <w:tcBorders>
                    <w:tl2br w:val="nil"/>
                    <w:tr2bl w:val="nil"/>
                  </w:tcBorders>
                  <w:shd w:val="clear" w:color="auto" w:fill="auto"/>
                  <w:vAlign w:val="center"/>
                </w:tcPr>
                <w:p w14:paraId="7D24F36A">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+100</w:t>
                  </w:r>
                </w:p>
              </w:tc>
              <w:tc>
                <w:tcPr>
                  <w:tcW w:w="1254" w:type="dxa"/>
                  <w:vMerge w:val="continue"/>
                  <w:tcBorders>
                    <w:tl2br w:val="nil"/>
                    <w:tr2bl w:val="nil"/>
                  </w:tcBorders>
                  <w:shd w:val="clear" w:color="auto" w:fill="auto"/>
                  <w:vAlign w:val="center"/>
                </w:tcPr>
                <w:p w14:paraId="33CCFA76">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2364" w:type="dxa"/>
                  <w:gridSpan w:val="3"/>
                  <w:tcBorders>
                    <w:tl2br w:val="nil"/>
                    <w:tr2bl w:val="nil"/>
                  </w:tcBorders>
                  <w:vAlign w:val="center"/>
                </w:tcPr>
                <w:p w14:paraId="300AC9CD">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二期</w:t>
                  </w:r>
                </w:p>
              </w:tc>
            </w:tr>
            <w:tr w14:paraId="5DEA7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tcBorders>
                    <w:tl2br w:val="nil"/>
                    <w:tr2bl w:val="nil"/>
                  </w:tcBorders>
                  <w:shd w:val="clear" w:color="auto" w:fill="auto"/>
                  <w:vAlign w:val="center"/>
                </w:tcPr>
                <w:p w14:paraId="05793B18">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醇基燃料</w:t>
                  </w:r>
                </w:p>
              </w:tc>
              <w:tc>
                <w:tcPr>
                  <w:tcW w:w="669" w:type="dxa"/>
                  <w:tcBorders>
                    <w:tl2br w:val="nil"/>
                    <w:tr2bl w:val="nil"/>
                  </w:tcBorders>
                  <w:vAlign w:val="center"/>
                </w:tcPr>
                <w:p w14:paraId="49CEB79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45" w:type="dxa"/>
                  <w:tcBorders>
                    <w:tl2br w:val="nil"/>
                    <w:tr2bl w:val="nil"/>
                  </w:tcBorders>
                  <w:vAlign w:val="center"/>
                </w:tcPr>
                <w:p w14:paraId="4460441B">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171" w:type="dxa"/>
                  <w:gridSpan w:val="2"/>
                  <w:tcBorders>
                    <w:tl2br w:val="nil"/>
                    <w:tr2bl w:val="nil"/>
                  </w:tcBorders>
                  <w:shd w:val="clear" w:color="auto" w:fill="auto"/>
                  <w:vAlign w:val="center"/>
                </w:tcPr>
                <w:p w14:paraId="18D32B76">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600</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t</w:t>
                  </w:r>
                </w:p>
              </w:tc>
              <w:tc>
                <w:tcPr>
                  <w:tcW w:w="1085" w:type="dxa"/>
                  <w:gridSpan w:val="2"/>
                  <w:tcBorders>
                    <w:tl2br w:val="nil"/>
                    <w:tr2bl w:val="nil"/>
                  </w:tcBorders>
                  <w:shd w:val="clear" w:color="auto" w:fill="auto"/>
                  <w:vAlign w:val="center"/>
                </w:tcPr>
                <w:p w14:paraId="10735655">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+600</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t</w:t>
                  </w:r>
                </w:p>
              </w:tc>
              <w:tc>
                <w:tcPr>
                  <w:tcW w:w="1254" w:type="dxa"/>
                  <w:tcBorders>
                    <w:tl2br w:val="nil"/>
                    <w:tr2bl w:val="nil"/>
                  </w:tcBorders>
                  <w:shd w:val="clear" w:color="auto" w:fill="auto"/>
                  <w:vAlign w:val="center"/>
                </w:tcPr>
                <w:p w14:paraId="3347DB17">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2364" w:type="dxa"/>
                  <w:gridSpan w:val="3"/>
                  <w:tcBorders>
                    <w:tl2br w:val="nil"/>
                    <w:tr2bl w:val="nil"/>
                  </w:tcBorders>
                  <w:vAlign w:val="center"/>
                </w:tcPr>
                <w:p w14:paraId="241A837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不在厂区进行大量储存，每天现用现买，使用吨桶储存</w:t>
                  </w:r>
                </w:p>
              </w:tc>
            </w:tr>
          </w:tbl>
          <w:p w14:paraId="55AFC211">
            <w:pPr>
              <w:pStyle w:val="53"/>
              <w:bidi w:val="0"/>
              <w:rPr>
                <w:rFonts w:hint="default"/>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原辅料理化性质如下：</w:t>
            </w:r>
          </w:p>
          <w:p w14:paraId="1222B014">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盐酸：是氯化氢（HCl）的水溶液，为无色透明的液体。盐酸属于一元无机强酸，工业用途广泛。有强烈的刺鼻气味，具有较高的腐蚀性。</w:t>
            </w:r>
          </w:p>
          <w:p w14:paraId="07A9051D">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醇基燃料：主要成分为甲醇，甲醇是结构最简单的醇，由一个甲基与一个羟基相连组成。甲醇是一种轻质、易挥发、无色、易燃的液体，具有与乙醇</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饮用酒精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相似的独特气味。在室温下，甲醇是一种极性液体。甲醇既可以作为许多专业化工品的前体，也被用作其他通用化学品的前体，如甲醛、乙酸、甲基叔丁基醚等。</w:t>
            </w:r>
          </w:p>
          <w:p w14:paraId="452DCB19">
            <w:pPr>
              <w:pStyle w:val="53"/>
              <w:keepNext w:val="0"/>
              <w:keepLines w:val="0"/>
              <w:pageBreakBefore w:val="0"/>
              <w:kinsoku/>
              <w:wordWrap/>
              <w:overflowPunct/>
              <w:topLinePunct w:val="0"/>
              <w:autoSpaceDE/>
              <w:autoSpaceDN/>
              <w:bidi w:val="0"/>
              <w:adjustRightInd/>
              <w:snapToGrid/>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片碱（</w:t>
            </w:r>
            <w:r>
              <w:rPr>
                <w:rFonts w:hint="default"/>
                <w:color w:val="000000" w:themeColor="text1"/>
                <w:highlight w:val="none"/>
                <w:lang w:val="en-US" w:eastAsia="zh-CN"/>
                <w14:textFill>
                  <w14:solidFill>
                    <w14:schemeClr w14:val="tx1"/>
                  </w14:solidFill>
                </w14:textFill>
              </w:rPr>
              <w:t>氢氧化钠</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：无机化合物，化学式NaOH，也称苛性钠、烧碱、固碱、火碱、苛性苏打。氢氧化钠具有强碱性，腐蚀性极强，可作酸中和剂、 配合掩蔽剂、沉淀剂、沉淀掩蔽剂、显色剂、皂化剂、去皮剂、洗涤剂等，用途非常广泛。</w:t>
            </w:r>
          </w:p>
          <w:p w14:paraId="168A0907">
            <w:pPr>
              <w:pStyle w:val="53"/>
              <w:keepNext w:val="0"/>
              <w:keepLines w:val="0"/>
              <w:pageBreakBefore w:val="0"/>
              <w:kinsoku/>
              <w:wordWrap/>
              <w:overflowPunct/>
              <w:topLinePunct w:val="0"/>
              <w:autoSpaceDE/>
              <w:autoSpaceDN/>
              <w:bidi w:val="0"/>
              <w:adjustRightInd/>
              <w:snapToGrid/>
              <w:textAlignment w:val="auto"/>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黄药</w:t>
            </w:r>
            <w:r>
              <w:rPr>
                <w:rFonts w:hint="eastAsia"/>
                <w:color w:val="000000" w:themeColor="text1"/>
                <w:highlight w:val="none"/>
                <w:lang w:val="en-US" w:eastAsia="zh-CN"/>
                <w14:textFill>
                  <w14:solidFill>
                    <w14:schemeClr w14:val="tx1"/>
                  </w14:solidFill>
                </w14:textFill>
              </w:rPr>
              <w:t>：化学成分为烃基二硫代碳酸盐，</w:t>
            </w:r>
            <w:r>
              <w:rPr>
                <w:rFonts w:hint="default"/>
                <w:color w:val="000000" w:themeColor="text1"/>
                <w:highlight w:val="none"/>
                <w:lang w:val="en-US" w:eastAsia="zh-CN"/>
                <w14:textFill>
                  <w14:solidFill>
                    <w14:schemeClr w14:val="tx1"/>
                  </w14:solidFill>
                </w14:textFill>
              </w:rPr>
              <w:t>为黄色晶体或粉末，不纯品常为黄绿色或橙色的胶泥状物，有刺激性臭味，中等毒性，因此，生产黄药时应注意保护人体和防止环境污染。短碳链黄药易溶于水，易燃，稳定性差，合成黄药含水分多，保存期为半年。放置时间过长则结块变质，干燥黄药则比较稳定，能较长时间存放。黄药在水中水解成黄原酸，溶液呈碱性</w:t>
            </w:r>
            <w:r>
              <w:rPr>
                <w:rFonts w:hint="eastAsia"/>
                <w:color w:val="000000" w:themeColor="text1"/>
                <w:highlight w:val="none"/>
                <w:lang w:val="en-US" w:eastAsia="zh-CN"/>
                <w14:textFill>
                  <w14:solidFill>
                    <w14:schemeClr w14:val="tx1"/>
                  </w14:solidFill>
                </w14:textFill>
              </w:rPr>
              <w:t>。</w:t>
            </w:r>
          </w:p>
          <w:p w14:paraId="413A4052">
            <w:pPr>
              <w:pStyle w:val="53"/>
              <w:keepNext w:val="0"/>
              <w:keepLines w:val="0"/>
              <w:pageBreakBefore w:val="0"/>
              <w:kinsoku/>
              <w:wordWrap/>
              <w:overflowPunct/>
              <w:topLinePunct w:val="0"/>
              <w:autoSpaceDE/>
              <w:autoSpaceDN/>
              <w:bidi w:val="0"/>
              <w:adjustRightInd/>
              <w:snapToGrid/>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2号油：</w:t>
            </w:r>
            <w:r>
              <w:rPr>
                <w:rFonts w:hint="default"/>
                <w:color w:val="000000" w:themeColor="text1"/>
                <w:highlight w:val="none"/>
                <w:lang w:val="en-US" w:eastAsia="zh-CN"/>
                <w14:textFill>
                  <w14:solidFill>
                    <w14:schemeClr w14:val="tx1"/>
                  </w14:solidFill>
                </w14:textFill>
              </w:rPr>
              <w:t>化学名为复合高级醇，分为松醇油与化学油两种，广泛用于有色金属的浮选中的起泡剂，是一种常规的起泡剂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黄色至棕色油状液体，微溶于水，密度比水小，有刺激性气味。</w:t>
            </w:r>
          </w:p>
          <w:p w14:paraId="0ACA32A9">
            <w:pPr>
              <w:pStyle w:val="53"/>
              <w:keepNext w:val="0"/>
              <w:keepLines w:val="0"/>
              <w:pageBreakBefore w:val="0"/>
              <w:kinsoku/>
              <w:wordWrap/>
              <w:overflowPunct/>
              <w:topLinePunct w:val="0"/>
              <w:autoSpaceDE/>
              <w:autoSpaceDN/>
              <w:bidi w:val="0"/>
              <w:adjustRightInd/>
              <w:snapToGrid/>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腐植酸钠</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是腐植酸的钠盐，为天然高分子有机化合物，通常呈黑色颗粒或片状固体，无臭，相对密度在1.33~1.44之间；极易溶于水，水溶液为酱油色胶体，偏碱性。腐植酸钠分子中富含有机质和羟基、羧基等活性基团，导致其具备良好的生物活性，具有亲水性、阳离子交换性和较高的络合能力、吸附能力等。</w:t>
            </w:r>
          </w:p>
          <w:p w14:paraId="4DDF1266">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产品方案</w:t>
            </w:r>
          </w:p>
          <w:p w14:paraId="6D7E69C5">
            <w:pPr>
              <w:keepNext w:val="0"/>
              <w:keepLines w:val="0"/>
              <w:pageBreakBefore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本项目生产产品方案如下：</w:t>
            </w:r>
          </w:p>
          <w:p w14:paraId="7ABAA0BC">
            <w:pPr>
              <w:ind w:left="0" w:leftChars="0" w:right="0" w:rightChars="0" w:firstLine="0" w:firstLineChars="0"/>
              <w:jc w:val="cente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position w:val="0"/>
                <w:sz w:val="24"/>
                <w:szCs w:val="22"/>
                <w:highlight w:val="none"/>
                <w:lang w:val="en-US" w:eastAsia="zh-CN"/>
                <w14:textFill>
                  <w14:solidFill>
                    <w14:schemeClr w14:val="tx1"/>
                  </w14:solidFill>
                </w14:textFill>
              </w:rPr>
              <w:t>表</w:t>
            </w:r>
            <w: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t>2-3</w:t>
            </w:r>
            <w:r>
              <w:rPr>
                <w:rFonts w:hint="default" w:ascii="Times New Roman" w:hAnsi="Times New Roman" w:eastAsia="宋体" w:cs="Times New Roman"/>
                <w:b/>
                <w:bCs/>
                <w:color w:val="000000" w:themeColor="text1"/>
                <w:w w:val="100"/>
                <w:position w:val="0"/>
                <w:sz w:val="24"/>
                <w:szCs w:val="22"/>
                <w:highlight w:val="none"/>
                <w:lang w:val="en-US" w:eastAsia="zh-CN"/>
                <w14:textFill>
                  <w14:solidFill>
                    <w14:schemeClr w14:val="tx1"/>
                  </w14:solidFill>
                </w14:textFill>
              </w:rPr>
              <w:t>产品方案一览表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715"/>
              <w:gridCol w:w="1434"/>
              <w:gridCol w:w="3000"/>
            </w:tblGrid>
            <w:tr w14:paraId="7E554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9" w:type="pct"/>
                  <w:tcBorders>
                    <w:bottom w:val="single" w:color="auto" w:sz="12" w:space="0"/>
                  </w:tcBorders>
                  <w:vAlign w:val="center"/>
                </w:tcPr>
                <w:p w14:paraId="2BEDC68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序号</w:t>
                  </w:r>
                </w:p>
              </w:tc>
              <w:tc>
                <w:tcPr>
                  <w:tcW w:w="1674" w:type="pct"/>
                  <w:tcBorders>
                    <w:bottom w:val="single" w:color="auto" w:sz="12" w:space="0"/>
                  </w:tcBorders>
                  <w:vAlign w:val="center"/>
                </w:tcPr>
                <w:p w14:paraId="0315306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产品名称</w:t>
                  </w:r>
                </w:p>
              </w:tc>
              <w:tc>
                <w:tcPr>
                  <w:tcW w:w="884" w:type="pct"/>
                  <w:tcBorders>
                    <w:bottom w:val="single" w:color="auto" w:sz="12" w:space="0"/>
                  </w:tcBorders>
                  <w:vAlign w:val="center"/>
                </w:tcPr>
                <w:p w14:paraId="39F53F6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年产量</w:t>
                  </w:r>
                </w:p>
              </w:tc>
              <w:tc>
                <w:tcPr>
                  <w:tcW w:w="1850" w:type="pct"/>
                  <w:tcBorders>
                    <w:bottom w:val="single" w:color="auto" w:sz="12" w:space="0"/>
                  </w:tcBorders>
                  <w:vAlign w:val="center"/>
                </w:tcPr>
                <w:p w14:paraId="177E7BB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备注</w:t>
                  </w:r>
                </w:p>
              </w:tc>
            </w:tr>
            <w:tr w14:paraId="6174B9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9" w:type="pct"/>
                  <w:tcBorders>
                    <w:top w:val="single" w:color="auto" w:sz="12" w:space="0"/>
                    <w:tl2br w:val="nil"/>
                    <w:tr2bl w:val="nil"/>
                  </w:tcBorders>
                  <w:vAlign w:val="center"/>
                </w:tcPr>
                <w:p w14:paraId="24435CE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1</w:t>
                  </w:r>
                </w:p>
              </w:tc>
              <w:tc>
                <w:tcPr>
                  <w:tcW w:w="1674" w:type="pct"/>
                  <w:tcBorders>
                    <w:top w:val="single" w:color="auto" w:sz="12" w:space="0"/>
                    <w:tl2br w:val="nil"/>
                    <w:tr2bl w:val="nil"/>
                  </w:tcBorders>
                  <w:shd w:val="clear" w:color="auto" w:fill="auto"/>
                  <w:vAlign w:val="center"/>
                </w:tcPr>
                <w:p w14:paraId="53D90A9E">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w w:val="100"/>
                      <w:kern w:val="2"/>
                      <w:positio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提纯后硅粉（</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含硅浓度</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98%）</w:t>
                  </w:r>
                </w:p>
              </w:tc>
              <w:tc>
                <w:tcPr>
                  <w:tcW w:w="884" w:type="pct"/>
                  <w:tcBorders>
                    <w:top w:val="single" w:color="auto" w:sz="12" w:space="0"/>
                    <w:tl2br w:val="nil"/>
                    <w:tr2bl w:val="nil"/>
                  </w:tcBorders>
                  <w:vAlign w:val="center"/>
                </w:tcPr>
                <w:p w14:paraId="705D81B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8000t</w:t>
                  </w:r>
                </w:p>
              </w:tc>
              <w:tc>
                <w:tcPr>
                  <w:tcW w:w="1850" w:type="pct"/>
                  <w:tcBorders>
                    <w:top w:val="single" w:color="auto" w:sz="12" w:space="0"/>
                    <w:tl2br w:val="nil"/>
                    <w:tr2bl w:val="nil"/>
                  </w:tcBorders>
                  <w:vAlign w:val="center"/>
                </w:tcPr>
                <w:p w14:paraId="7E93599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废硅粉酸洗提纯产品</w:t>
                  </w:r>
                </w:p>
              </w:tc>
            </w:tr>
            <w:tr w14:paraId="1BE737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9" w:type="pct"/>
                  <w:tcBorders>
                    <w:tl2br w:val="nil"/>
                    <w:tr2bl w:val="nil"/>
                  </w:tcBorders>
                  <w:vAlign w:val="center"/>
                </w:tcPr>
                <w:p w14:paraId="35A1C0C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2</w:t>
                  </w:r>
                </w:p>
              </w:tc>
              <w:tc>
                <w:tcPr>
                  <w:tcW w:w="1674" w:type="pct"/>
                  <w:tcBorders>
                    <w:tl2br w:val="nil"/>
                    <w:tr2bl w:val="nil"/>
                  </w:tcBorders>
                  <w:shd w:val="clear" w:color="auto" w:fill="auto"/>
                  <w:vAlign w:val="center"/>
                </w:tcPr>
                <w:p w14:paraId="00B0D735">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w w:val="100"/>
                      <w:kern w:val="2"/>
                      <w:positio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硅渣提纯后硅粉（</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含硅浓度</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80%）</w:t>
                  </w:r>
                </w:p>
              </w:tc>
              <w:tc>
                <w:tcPr>
                  <w:tcW w:w="884" w:type="pct"/>
                  <w:tcBorders>
                    <w:tl2br w:val="nil"/>
                    <w:tr2bl w:val="nil"/>
                  </w:tcBorders>
                  <w:vAlign w:val="center"/>
                </w:tcPr>
                <w:p w14:paraId="24ACC0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3000t</w:t>
                  </w:r>
                </w:p>
              </w:tc>
              <w:tc>
                <w:tcPr>
                  <w:tcW w:w="1850" w:type="pct"/>
                  <w:tcBorders>
                    <w:tl2br w:val="nil"/>
                    <w:tr2bl w:val="nil"/>
                  </w:tcBorders>
                  <w:vAlign w:val="center"/>
                </w:tcPr>
                <w:p w14:paraId="16F10F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熔炼</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硅渣提纯产品</w:t>
                  </w:r>
                </w:p>
              </w:tc>
            </w:tr>
          </w:tbl>
          <w:p w14:paraId="5746D7B2">
            <w:pPr>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t>本次生产产品均送往本公司现有硅废粉</w:t>
            </w:r>
            <w:r>
              <w:rPr>
                <w:rFonts w:hint="eastAsia" w:cs="Times New Roman"/>
                <w:color w:val="000000" w:themeColor="text1"/>
                <w:w w:val="100"/>
                <w:position w:val="0"/>
                <w:highlight w:val="none"/>
                <w:lang w:val="en-US" w:eastAsia="zh-CN"/>
                <w14:textFill>
                  <w14:solidFill>
                    <w14:schemeClr w14:val="tx1"/>
                  </w14:solidFill>
                </w14:textFill>
              </w:rPr>
              <w:t>熔炼</w:t>
            </w:r>
            <w:r>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t>项目中频炉熔炼。</w:t>
            </w:r>
          </w:p>
          <w:p w14:paraId="4CE1373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公用工程</w:t>
            </w:r>
          </w:p>
          <w:p w14:paraId="56AAAE8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6.1供水</w:t>
            </w:r>
          </w:p>
          <w:p w14:paraId="0CB70100">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（一）项目一期：</w:t>
            </w:r>
          </w:p>
          <w:p w14:paraId="7F759D74">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）配浆用水</w:t>
            </w:r>
          </w:p>
          <w:p w14:paraId="4B2F21E3">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本项目</w:t>
            </w:r>
            <w:r>
              <w:rPr>
                <w:rFonts w:hint="eastAsia" w:cs="Times New Roman"/>
                <w:color w:val="000000" w:themeColor="text1"/>
                <w:w w:val="100"/>
                <w:position w:val="0"/>
                <w:sz w:val="24"/>
                <w:szCs w:val="24"/>
                <w:highlight w:val="none"/>
                <w:lang w:val="en-US" w:eastAsia="zh-CN"/>
                <w14:textFill>
                  <w14:solidFill>
                    <w14:schemeClr w14:val="tx1"/>
                  </w14:solidFill>
                </w14:textFill>
              </w:rPr>
              <w:t>一期</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采用湿法酸浸工艺处理硅粉内的杂质，其原理为利用</w:t>
            </w:r>
            <w:r>
              <w:rPr>
                <w:rFonts w:hint="eastAsia" w:cs="Times New Roman"/>
                <w:color w:val="000000" w:themeColor="text1"/>
                <w:w w:val="100"/>
                <w:position w:val="0"/>
                <w:sz w:val="24"/>
                <w:szCs w:val="24"/>
                <w:highlight w:val="none"/>
                <w:lang w:val="en-US" w:eastAsia="zh-CN"/>
                <w14:textFill>
                  <w14:solidFill>
                    <w14:schemeClr w14:val="tx1"/>
                  </w14:solidFill>
                </w14:textFill>
              </w:rPr>
              <w:t>盐酸</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溶解金属杂质（Fe、Al、Ca等），保留硅相。项目年处理废硅粉12000t/a。其中3</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%盐酸浓度需配置至</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盐酸浓度3</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0%所需用水量，按溶质相同的方式计算，</w:t>
            </w:r>
            <w:r>
              <w:rPr>
                <w:rFonts w:hint="eastAsia" w:cs="Times New Roman"/>
                <w:color w:val="000000" w:themeColor="text1"/>
                <w:w w:val="100"/>
                <w:position w:val="0"/>
                <w:sz w:val="24"/>
                <w:szCs w:val="24"/>
                <w:highlight w:val="none"/>
                <w:lang w:val="en-US" w:eastAsia="zh-CN"/>
                <w14:textFill>
                  <w14:solidFill>
                    <w14:schemeClr w14:val="tx1"/>
                  </w14:solidFill>
                </w14:textFill>
              </w:rPr>
              <w:t>一次性配水，之后循环，不再补充新水，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则配置至</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0%浓度盐酸</w:t>
            </w:r>
            <w:r>
              <w:rPr>
                <w:rFonts w:hint="eastAsia" w:cs="Times New Roman"/>
                <w:color w:val="000000" w:themeColor="text1"/>
                <w:w w:val="100"/>
                <w:position w:val="0"/>
                <w:sz w:val="24"/>
                <w:szCs w:val="24"/>
                <w:highlight w:val="none"/>
                <w:lang w:val="en-US" w:eastAsia="zh-CN"/>
                <w14:textFill>
                  <w14:solidFill>
                    <w14:schemeClr w14:val="tx1"/>
                  </w14:solidFill>
                </w14:textFill>
              </w:rPr>
              <w:t>初始</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用水量为</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t</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31%/</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0%-</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t</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21</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/a（按一次性配水计）。本项目不单独设置配酸罐，均在搅拌罐内完成配置，配浆用水循环使用不外排。</w:t>
            </w:r>
          </w:p>
          <w:p w14:paraId="28DE5E28">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（2）软水制备用水</w:t>
            </w:r>
          </w:p>
          <w:p w14:paraId="711A5C39">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本项目一期酸洗搅拌工序</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会在搅拌罐内通入蒸汽，蒸汽来自</w:t>
            </w:r>
            <w:r>
              <w:rPr>
                <w:rFonts w:hint="eastAsia" w:cs="Times New Roman"/>
                <w:color w:val="000000" w:themeColor="text1"/>
                <w:w w:val="100"/>
                <w:position w:val="0"/>
                <w:sz w:val="24"/>
                <w:szCs w:val="24"/>
                <w:highlight w:val="none"/>
                <w:lang w:val="en-US" w:eastAsia="zh-CN"/>
                <w14:textFill>
                  <w14:solidFill>
                    <w14:schemeClr w14:val="tx1"/>
                  </w14:solidFill>
                </w14:textFill>
              </w:rPr>
              <w:t>新建醇基锅炉</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，蒸发量2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/h，锅炉</w:t>
            </w:r>
            <w:r>
              <w:rPr>
                <w:rFonts w:hint="eastAsia" w:cs="Times New Roman"/>
                <w:color w:val="000000" w:themeColor="text1"/>
                <w:w w:val="100"/>
                <w:position w:val="0"/>
                <w:sz w:val="24"/>
                <w:szCs w:val="24"/>
                <w:highlight w:val="none"/>
                <w:lang w:val="en-US" w:eastAsia="zh-CN"/>
                <w14:textFill>
                  <w14:solidFill>
                    <w14:schemeClr w14:val="tx1"/>
                  </w14:solidFill>
                </w14:textFill>
              </w:rPr>
              <w:t>用</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水需用软水，软水采用离子交换树脂工艺，新鲜水进入</w:t>
            </w:r>
            <w:r>
              <w:rPr>
                <w:rFonts w:hint="eastAsia" w:cs="Times New Roman"/>
                <w:color w:val="000000" w:themeColor="text1"/>
                <w:w w:val="100"/>
                <w:position w:val="0"/>
                <w:sz w:val="24"/>
                <w:szCs w:val="24"/>
                <w:highlight w:val="none"/>
                <w:lang w:val="en-US" w:eastAsia="zh-CN"/>
                <w14:textFill>
                  <w14:solidFill>
                    <w14:schemeClr w14:val="tx1"/>
                  </w14:solidFill>
                </w14:textFill>
              </w:rPr>
              <w:t>软水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设备全部转化为软水，软水用量即为新鲜水用量。</w:t>
            </w:r>
            <w:r>
              <w:rPr>
                <w:rFonts w:hint="eastAsia" w:cs="Times New Roman"/>
                <w:color w:val="000000" w:themeColor="text1"/>
                <w:w w:val="100"/>
                <w:position w:val="0"/>
                <w:sz w:val="24"/>
                <w:szCs w:val="24"/>
                <w:highlight w:val="none"/>
                <w:lang w:val="en-US" w:eastAsia="zh-CN"/>
                <w14:textFill>
                  <w14:solidFill>
                    <w14:schemeClr w14:val="tx1"/>
                  </w14:solidFill>
                </w14:textFill>
              </w:rPr>
              <w:t>锅炉补充水为</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，960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，离子</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软水</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设备软水制备率以80%计，用水量为</w:t>
            </w:r>
            <w:r>
              <w:rPr>
                <w:rFonts w:hint="eastAsia" w:cs="Times New Roman"/>
                <w:color w:val="000000" w:themeColor="text1"/>
                <w:w w:val="100"/>
                <w:position w:val="0"/>
                <w:sz w:val="24"/>
                <w:szCs w:val="24"/>
                <w:highlight w:val="none"/>
                <w:lang w:val="en-US" w:eastAsia="zh-CN"/>
                <w14:textFill>
                  <w14:solidFill>
                    <w14:schemeClr w14:val="tx1"/>
                  </w14:solidFill>
                </w14:textFill>
              </w:rPr>
              <w:t>0.25</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65D9C9F">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（3）酸洗搅拌工序补充水</w:t>
            </w:r>
          </w:p>
          <w:p w14:paraId="58F896C9">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项目</w:t>
            </w:r>
            <w:r>
              <w:rPr>
                <w:rFonts w:hint="eastAsia" w:cs="Times New Roman"/>
                <w:color w:val="000000" w:themeColor="text1"/>
                <w:w w:val="100"/>
                <w:position w:val="0"/>
                <w:sz w:val="24"/>
                <w:szCs w:val="24"/>
                <w:highlight w:val="none"/>
                <w:lang w:val="en-US" w:eastAsia="zh-CN"/>
                <w14:textFill>
                  <w14:solidFill>
                    <w14:schemeClr w14:val="tx1"/>
                  </w14:solidFill>
                </w14:textFill>
              </w:rPr>
              <w:t>酸洗搅拌工序用水采用外沉池</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中上清液</w:t>
            </w:r>
            <w:r>
              <w:rPr>
                <w:rFonts w:hint="eastAsia" w:cs="Times New Roman"/>
                <w:color w:val="000000" w:themeColor="text1"/>
                <w:w w:val="100"/>
                <w:position w:val="0"/>
                <w:sz w:val="24"/>
                <w:szCs w:val="24"/>
                <w:highlight w:val="none"/>
                <w:lang w:val="en-US" w:eastAsia="zh-CN"/>
                <w14:textFill>
                  <w14:solidFill>
                    <w14:schemeClr w14:val="tx1"/>
                  </w14:solidFill>
                </w14:textFill>
              </w:rPr>
              <w:t>进行补充</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；项目在厂房内</w:t>
            </w:r>
            <w:r>
              <w:rPr>
                <w:rFonts w:hint="eastAsia" w:cs="Times New Roman"/>
                <w:color w:val="000000" w:themeColor="text1"/>
                <w:w w:val="100"/>
                <w:position w:val="0"/>
                <w:sz w:val="24"/>
                <w:szCs w:val="24"/>
                <w:highlight w:val="none"/>
                <w:lang w:val="en-US" w:eastAsia="zh-CN"/>
                <w14:textFill>
                  <w14:solidFill>
                    <w14:schemeClr w14:val="tx1"/>
                  </w14:solidFill>
                </w14:textFill>
              </w:rPr>
              <w:t>南侧</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设置2座</w:t>
            </w:r>
            <w:r>
              <w:rPr>
                <w:rFonts w:hint="eastAsia" w:cs="Times New Roman"/>
                <w:color w:val="000000" w:themeColor="text1"/>
                <w:w w:val="100"/>
                <w:position w:val="0"/>
                <w:sz w:val="24"/>
                <w:szCs w:val="24"/>
                <w:highlight w:val="none"/>
                <w:lang w:val="en-US" w:eastAsia="zh-CN"/>
                <w14:textFill>
                  <w14:solidFill>
                    <w14:schemeClr w14:val="tx1"/>
                  </w14:solidFill>
                </w14:textFill>
              </w:rPr>
              <w:t>酸洗</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沉淀池（尺寸均为</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m）容积</w:t>
            </w:r>
            <w:r>
              <w:rPr>
                <w:rFonts w:hint="eastAsia" w:cs="Times New Roman"/>
                <w:color w:val="000000" w:themeColor="text1"/>
                <w:w w:val="100"/>
                <w:position w:val="0"/>
                <w:sz w:val="24"/>
                <w:szCs w:val="24"/>
                <w:highlight w:val="none"/>
                <w:lang w:val="en-US" w:eastAsia="zh-CN"/>
                <w14:textFill>
                  <w14:solidFill>
                    <w14:schemeClr w14:val="tx1"/>
                  </w14:solidFill>
                </w14:textFill>
              </w:rPr>
              <w:t>为203.4m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酸洗后</w:t>
            </w:r>
            <w:r>
              <w:rPr>
                <w:rFonts w:hint="eastAsia" w:cs="Times New Roman"/>
                <w:color w:val="000000" w:themeColor="text1"/>
                <w:sz w:val="24"/>
                <w:szCs w:val="24"/>
                <w:highlight w:val="none"/>
                <w:lang w:val="en-US" w:eastAsia="zh-CN"/>
                <w14:textFill>
                  <w14:solidFill>
                    <w14:schemeClr w14:val="tx1"/>
                  </w14:solidFill>
                </w14:textFill>
              </w:rPr>
              <w:t>经过1#压滤机压滤后产品含水量为30%，硅粉年产量为8000t，故</w:t>
            </w:r>
            <w:r>
              <w:rPr>
                <w:rFonts w:hint="eastAsia" w:cs="Times New Roman"/>
                <w:color w:val="000000" w:themeColor="text1"/>
                <w:w w:val="100"/>
                <w:position w:val="0"/>
                <w:sz w:val="24"/>
                <w:szCs w:val="24"/>
                <w:highlight w:val="none"/>
                <w:lang w:val="en-US" w:eastAsia="zh-CN"/>
                <w14:textFill>
                  <w14:solidFill>
                    <w14:schemeClr w14:val="tx1"/>
                  </w14:solidFill>
                </w14:textFill>
              </w:rPr>
              <w:t>酸洗搅拌工序补充新鲜水量为4</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/d（1200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color w:val="000000" w:themeColor="text1"/>
                <w:w w:val="100"/>
                <w:position w:val="0"/>
                <w:sz w:val="24"/>
                <w:szCs w:val="24"/>
                <w:highlight w:val="none"/>
                <w:lang w:val="en-US" w:eastAsia="zh-CN"/>
                <w14:textFill>
                  <w14:solidFill>
                    <w14:schemeClr w14:val="tx1"/>
                  </w14:solidFill>
                </w14:textFill>
              </w:rPr>
              <w:t>）。</w:t>
            </w:r>
          </w:p>
          <w:p w14:paraId="5014D065">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）碱液池补水</w:t>
            </w:r>
          </w:p>
          <w:p w14:paraId="62D5DEC6">
            <w:pPr>
              <w:keepNext w:val="0"/>
              <w:keepLines w:val="0"/>
              <w:pageBreakBefore w:val="0"/>
              <w:shd w:val="clear" w:color="auto" w:fill="auto"/>
              <w:kinsoku/>
              <w:wordWrap/>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本项目吸收酸洗废气的碱洗塔，其底部的碱液池（10m³）需要循环使用。根据业主提供资料可知，项目更换的碱液直接通过放水口放置于废液池中，废液池中废碱液经沉淀处理后部分作为碱液补充水抽回碱液池进行模具清洗(其中废液池废渣定期打捞后作为危废处置)，液池其余部分用水由清水池清洗废水定期补充，循环反复，清水池(容积为10m</w:t>
            </w:r>
            <w:r>
              <w:rPr>
                <w:rFonts w:hint="eastAsia"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)约6天可更换补充一次全新用水10m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故废碱液产生量为500m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a。更换的废碱液储存于专用废碱液收集桶后暂存于</w:t>
            </w:r>
            <w:r>
              <w:rPr>
                <w:rFonts w:hint="eastAsia" w:cs="Times New Roman"/>
                <w:color w:val="000000" w:themeColor="text1"/>
                <w:w w:val="100"/>
                <w:position w:val="0"/>
                <w:sz w:val="24"/>
                <w:szCs w:val="24"/>
                <w:highlight w:val="none"/>
                <w:lang w:val="en-US" w:eastAsia="zh-CN"/>
                <w14:textFill>
                  <w14:solidFill>
                    <w14:schemeClr w14:val="tx1"/>
                  </w14:solidFill>
                </w14:textFill>
              </w:rPr>
              <w:t>危险废物贮存点</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，定期交由有资质单位进行处置</w:t>
            </w:r>
            <w:r>
              <w:rPr>
                <w:rFonts w:hint="eastAsia" w:cs="Times New Roman"/>
                <w:color w:val="000000" w:themeColor="text1"/>
                <w:w w:val="100"/>
                <w:position w:val="0"/>
                <w:sz w:val="24"/>
                <w:szCs w:val="24"/>
                <w:highlight w:val="none"/>
                <w:lang w:val="en-US" w:eastAsia="zh-CN"/>
                <w14:textFill>
                  <w14:solidFill>
                    <w14:schemeClr w14:val="tx1"/>
                  </w14:solidFill>
                </w14:textFill>
              </w:rPr>
              <w:t>。</w:t>
            </w:r>
          </w:p>
          <w:p w14:paraId="1AE2C8EF">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（二）项目二期：</w:t>
            </w:r>
          </w:p>
          <w:p w14:paraId="6EF7EC1B">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pPr>
            <w:r>
              <w:rPr>
                <w:rFonts w:hint="eastAsia" w:cs="Times New Roman"/>
                <w:color w:val="000000" w:themeColor="text1"/>
                <w:w w:val="100"/>
                <w:position w:val="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分级浮选用水</w:t>
            </w:r>
          </w:p>
          <w:p w14:paraId="4A9C64A0">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二期年处理废硅渣1500</w:t>
            </w:r>
            <w:r>
              <w:rPr>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0t/a</w:t>
            </w:r>
            <w:r>
              <w:rPr>
                <w:rFonts w:hint="default" w:ascii="Times New Roman" w:hAnsi="Times New Roman" w:cs="Times New Roman"/>
                <w:color w:val="000000" w:themeColor="text1"/>
                <w:w w:val="100"/>
                <w:position w:val="0"/>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分级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浮选</w:t>
            </w:r>
            <w:r>
              <w:rPr>
                <w:rFonts w:hint="eastAsia" w:cs="Times New Roman"/>
                <w:color w:val="000000" w:themeColor="text1"/>
                <w:highlight w:val="none"/>
                <w:lang w:val="en-US" w:eastAsia="zh-CN"/>
                <w14:textFill>
                  <w14:solidFill>
                    <w14:schemeClr w14:val="tx1"/>
                  </w14:solidFill>
                </w14:textFill>
              </w:rPr>
              <w:t>用水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采用</w:t>
            </w: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外沉池</w:t>
            </w:r>
            <w:r>
              <w:rPr>
                <w:rFonts w:hint="default" w:ascii="Times New Roman" w:hAnsi="Times New Roman" w:eastAsia="宋体" w:cs="Times New Roman"/>
                <w:color w:val="000000" w:themeColor="text1"/>
                <w:highlight w:val="none"/>
                <w:lang w:val="en-US" w:eastAsia="zh-CN"/>
                <w14:textFill>
                  <w14:solidFill>
                    <w14:schemeClr w14:val="tx1"/>
                  </w14:solidFill>
                </w14:textFill>
              </w:rPr>
              <w:t>（尺寸为19×10×</w:t>
            </w:r>
            <w:r>
              <w:rPr>
                <w:rFonts w:hint="eastAsia"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zh-CN"/>
                <w14:textFill>
                  <w14:solidFill>
                    <w14:schemeClr w14:val="tx1"/>
                  </w14:solidFill>
                </w14:textFill>
              </w:rPr>
              <w:t>m</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容积</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为</w:t>
            </w: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760</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上清液</w:t>
            </w:r>
            <w:r>
              <w:rPr>
                <w:rFonts w:hint="eastAsia" w:cs="Times New Roman"/>
                <w:color w:val="000000" w:themeColor="text1"/>
                <w:w w:val="100"/>
                <w:position w:val="0"/>
                <w:sz w:val="24"/>
                <w:szCs w:val="24"/>
                <w:highlight w:val="none"/>
                <w:lang w:val="en-US" w:eastAsia="zh-CN"/>
                <w14:textFill>
                  <w14:solidFill>
                    <w14:schemeClr w14:val="tx1"/>
                  </w14:solidFill>
                </w14:textFill>
              </w:rPr>
              <w:t>循环使用</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沉淀后循环利用。</w:t>
            </w:r>
            <w:r>
              <w:rPr>
                <w:rFonts w:hint="default" w:ascii="Times New Roman" w:hAnsi="Times New Roman" w:cs="Times New Roman"/>
                <w:color w:val="000000" w:themeColor="text1"/>
                <w:highlight w:val="none"/>
                <w:lang w:val="en-US" w:eastAsia="zh-CN"/>
                <w14:textFill>
                  <w14:solidFill>
                    <w14:schemeClr w14:val="tx1"/>
                  </w14:solidFill>
                </w14:textFill>
              </w:rPr>
              <w:t>项目分级浮选工序用水量</w:t>
            </w:r>
            <w:r>
              <w:rPr>
                <w:rFonts w:hint="eastAsia" w:ascii="Times New Roman" w:hAnsi="Times New Roman" w:cs="Times New Roman"/>
                <w:color w:val="000000" w:themeColor="text1"/>
                <w:highlight w:val="none"/>
                <w:lang w:val="en-US" w:eastAsia="zh-CN"/>
                <w14:textFill>
                  <w14:solidFill>
                    <w14:schemeClr w14:val="tx1"/>
                  </w14:solidFill>
                </w14:textFill>
              </w:rPr>
              <w:t>约为2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吨</w:t>
            </w:r>
            <w:r>
              <w:rPr>
                <w:rFonts w:hint="eastAsia" w:ascii="Times New Roman" w:hAnsi="Times New Roman" w:cs="Times New Roman"/>
                <w:color w:val="000000" w:themeColor="text1"/>
                <w:highlight w:val="none"/>
                <w:lang w:val="en-US" w:eastAsia="zh-CN"/>
                <w14:textFill>
                  <w14:solidFill>
                    <w14:schemeClr w14:val="tx1"/>
                  </w14:solidFill>
                </w14:textFill>
              </w:rPr>
              <w:t>产品即</w:t>
            </w:r>
            <w:r>
              <w:rPr>
                <w:rFonts w:hint="eastAsia" w:cs="Times New Roman"/>
                <w:color w:val="000000" w:themeColor="text1"/>
                <w:highlight w:val="none"/>
                <w:lang w:val="en-US" w:eastAsia="zh-CN"/>
                <w14:textFill>
                  <w14:solidFill>
                    <w14:schemeClr w14:val="tx1"/>
                  </w14:solidFill>
                </w14:textFill>
              </w:rPr>
              <w:t>初始用水100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/a</w:t>
            </w:r>
            <w:r>
              <w:rPr>
                <w:rFonts w:hint="eastAsia" w:cs="Times New Roman"/>
                <w:color w:val="000000" w:themeColor="text1"/>
                <w:w w:val="100"/>
                <w:position w:val="0"/>
                <w:sz w:val="24"/>
                <w:szCs w:val="24"/>
                <w:highlight w:val="none"/>
                <w:lang w:val="en-US" w:eastAsia="zh-CN"/>
                <w14:textFill>
                  <w14:solidFill>
                    <w14:schemeClr w14:val="tx1"/>
                  </w14:solidFill>
                </w14:textFill>
              </w:rPr>
              <w:t>（按一次性配水计）</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1A9C30F7">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pPr>
            <w:r>
              <w:rPr>
                <w:rFonts w:hint="eastAsia" w:cs="Times New Roman"/>
                <w:color w:val="000000" w:themeColor="text1"/>
                <w:w w:val="100"/>
                <w:position w:val="0"/>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分级浮选</w:t>
            </w:r>
            <w:r>
              <w:rPr>
                <w:rFonts w:hint="eastAsia" w:cs="Times New Roman"/>
                <w:color w:val="000000" w:themeColor="text1"/>
                <w:w w:val="100"/>
                <w:position w:val="0"/>
                <w:sz w:val="24"/>
                <w:szCs w:val="24"/>
                <w:highlight w:val="none"/>
                <w:lang w:val="en-US" w:eastAsia="zh-CN" w:bidi="ar-SA"/>
                <w14:textFill>
                  <w14:solidFill>
                    <w14:schemeClr w14:val="tx1"/>
                  </w14:solidFill>
                </w14:textFill>
              </w:rPr>
              <w:t>补充</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水</w:t>
            </w:r>
          </w:p>
          <w:p w14:paraId="1589681B">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分级浮选</w:t>
            </w:r>
            <w:r>
              <w:rPr>
                <w:rFonts w:hint="eastAsia" w:cs="Times New Roman"/>
                <w:color w:val="000000" w:themeColor="text1"/>
                <w:highlight w:val="none"/>
                <w:lang w:val="en-US" w:eastAsia="zh-CN"/>
                <w14:textFill>
                  <w14:solidFill>
                    <w14:schemeClr w14:val="tx1"/>
                  </w14:solidFill>
                </w14:textFill>
              </w:rPr>
              <w:t>经过2#压滤机压滤后产品含水量为30%，硅渣年产量为3000t，</w:t>
            </w:r>
            <w:r>
              <w:rPr>
                <w:rFonts w:hint="default" w:ascii="Times New Roman" w:hAnsi="Times New Roman" w:cs="Times New Roman"/>
                <w:color w:val="000000" w:themeColor="text1"/>
                <w:highlight w:val="none"/>
                <w:lang w:val="en-US" w:eastAsia="zh-CN"/>
                <w14:textFill>
                  <w14:solidFill>
                    <w14:schemeClr w14:val="tx1"/>
                  </w14:solidFill>
                </w14:textFill>
              </w:rPr>
              <w:t>故分级浮选</w:t>
            </w:r>
            <w:r>
              <w:rPr>
                <w:rFonts w:hint="eastAsia" w:ascii="Times New Roman" w:hAnsi="Times New Roman" w:cs="Times New Roman"/>
                <w:color w:val="000000" w:themeColor="text1"/>
                <w:highlight w:val="none"/>
                <w:lang w:val="en-US" w:eastAsia="zh-CN"/>
                <w14:textFill>
                  <w14:solidFill>
                    <w14:schemeClr w14:val="tx1"/>
                  </w14:solidFill>
                </w14:textFill>
              </w:rPr>
              <w:t>工序</w:t>
            </w:r>
            <w:r>
              <w:rPr>
                <w:rFonts w:hint="default" w:ascii="Times New Roman" w:hAnsi="Times New Roman" w:cs="Times New Roman"/>
                <w:color w:val="000000" w:themeColor="text1"/>
                <w:highlight w:val="none"/>
                <w:lang w:val="en-US" w:eastAsia="zh-CN"/>
                <w14:textFill>
                  <w14:solidFill>
                    <w14:schemeClr w14:val="tx1"/>
                  </w14:solidFill>
                </w14:textFill>
              </w:rPr>
              <w:t>定期补水量为：</w:t>
            </w:r>
            <w:r>
              <w:rPr>
                <w:rFonts w:hint="eastAsia" w:cs="Times New Roman"/>
                <w:color w:val="000000" w:themeColor="text1"/>
                <w:highlight w:val="none"/>
                <w:lang w:val="en-US" w:eastAsia="zh-CN"/>
                <w14:textFill>
                  <w14:solidFill>
                    <w14:schemeClr w14:val="tx1"/>
                  </w14:solidFill>
                </w14:textFill>
              </w:rPr>
              <w:t>900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/a（</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，由外沉池上清液提供。</w:t>
            </w:r>
          </w:p>
          <w:p w14:paraId="23EE23DF">
            <w:pPr>
              <w:pageBreakBefore w:val="0"/>
              <w:shd w:val="clear" w:color="auto" w:fill="auto"/>
              <w:wordWrap/>
              <w:topLinePunct w:val="0"/>
              <w:autoSpaceDE/>
              <w:autoSpaceDN/>
              <w:bidi w:val="0"/>
              <w:adjustRightInd w:val="0"/>
              <w:snapToGrid w:val="0"/>
              <w:spacing w:beforeAutospacing="0" w:afterAutospacing="0" w:line="360" w:lineRule="auto"/>
              <w:ind w:right="0"/>
              <w:textAlignment w:val="auto"/>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6.2</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排水</w:t>
            </w:r>
          </w:p>
          <w:p w14:paraId="184CC187">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（一）项目一期：</w:t>
            </w:r>
          </w:p>
          <w:p w14:paraId="63C8B31C">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（1）锅炉排污水（锅炉排污水+软化处理废水）：</w:t>
            </w:r>
          </w:p>
          <w:p w14:paraId="1DA00DA6">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锅炉排污水根据锅炉产排污量核算系数手册中工业锅炉（热力生产和供应行业）产污系数表－工业废水量和“化学需氧量”表格可知，生物质燃料全部类型锅炉（锅外水处理）产污系数为1.33吨/吨－原料（锅炉排污水＋软化处理废水），本项目醇基燃料用量为600t/a，则本项目醇基锅炉排污水和软化处理废水的排放量约为798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/a，产生的排污水和软化处理废水经园区污水管网排入昌吉高新海天污水处理厂。</w:t>
            </w:r>
          </w:p>
          <w:p w14:paraId="65D21CBE">
            <w:pPr>
              <w:pStyle w:val="53"/>
              <w:keepNext w:val="0"/>
              <w:keepLines w:val="0"/>
              <w:pageBreakBefore w:val="0"/>
              <w:widowControl w:val="0"/>
              <w:kinsoku/>
              <w:wordWrap/>
              <w:overflowPunct/>
              <w:topLinePunct w:val="0"/>
              <w:autoSpaceDE/>
              <w:autoSpaceDN/>
              <w:bidi w:val="0"/>
              <w:textAlignment w:val="auto"/>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（2）酸洗搅拌工序废水</w:t>
            </w:r>
          </w:p>
          <w:p w14:paraId="74E2D3F5">
            <w:pPr>
              <w:pStyle w:val="28"/>
              <w:rPr>
                <w:rFonts w:hint="eastAsia" w:cs="Times New Roman"/>
                <w:color w:val="000000" w:themeColor="text1"/>
                <w:w w:val="100"/>
                <w:position w:val="0"/>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本项目一期工程产生酸洗废水一部分21</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olor w:val="000000" w:themeColor="text1"/>
                <w:sz w:val="24"/>
                <w:szCs w:val="24"/>
                <w:highlight w:val="none"/>
                <w:lang w:val="en-US" w:eastAsia="zh-CN"/>
                <w14:textFill>
                  <w14:solidFill>
                    <w14:schemeClr w14:val="tx1"/>
                  </w14:solidFill>
                </w14:textFill>
              </w:rPr>
              <w:t>经压滤工序</w:t>
            </w:r>
            <w:r>
              <w:rPr>
                <w:rFonts w:hint="eastAsia" w:cs="Times New Roman"/>
                <w:color w:val="000000" w:themeColor="text1"/>
                <w:w w:val="100"/>
                <w:position w:val="0"/>
                <w:sz w:val="24"/>
                <w:szCs w:val="24"/>
                <w:highlight w:val="none"/>
                <w:lang w:val="en-US" w:eastAsia="zh-CN"/>
                <w14:textFill>
                  <w14:solidFill>
                    <w14:schemeClr w14:val="tx1"/>
                  </w14:solidFill>
                </w14:textFill>
              </w:rPr>
              <w:t>排入酸洗沉淀池后</w:t>
            </w:r>
            <w:r>
              <w:rPr>
                <w:rFonts w:hint="eastAsia"/>
                <w:color w:val="000000" w:themeColor="text1"/>
                <w:sz w:val="24"/>
                <w:szCs w:val="24"/>
                <w:highlight w:val="none"/>
                <w:lang w:val="en-US" w:eastAsia="zh-CN"/>
                <w14:textFill>
                  <w14:solidFill>
                    <w14:schemeClr w14:val="tx1"/>
                  </w14:solidFill>
                </w14:textFill>
              </w:rPr>
              <w:t>，循环用水不外排；另一部分1200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color w:val="000000" w:themeColor="text1"/>
                <w:w w:val="100"/>
                <w:position w:val="0"/>
                <w:sz w:val="24"/>
                <w:szCs w:val="24"/>
                <w:highlight w:val="none"/>
                <w:lang w:val="en-US" w:eastAsia="zh-CN"/>
                <w14:textFill>
                  <w14:solidFill>
                    <w14:schemeClr w14:val="tx1"/>
                  </w14:solidFill>
                </w14:textFill>
              </w:rPr>
              <w:t>通过压滤工序留在产品经8#搅拌罐搅拌送入重选工序进行摇床重选与静压工序，最终1151m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/a压滤废水排入外沉池中循环使用不外排，49m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/a废水进入产品后烘干。</w:t>
            </w:r>
          </w:p>
          <w:p w14:paraId="65250ABF">
            <w:pPr>
              <w:pStyle w:val="28"/>
              <w:rPr>
                <w:rFonts w:hint="default"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（3）重选工序废水与压滤废水</w:t>
            </w:r>
          </w:p>
          <w:p w14:paraId="1E8B7A17">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w:t>
            </w:r>
            <w:r>
              <w:rPr>
                <w:rFonts w:hint="eastAsia" w:cs="Times New Roman"/>
                <w:color w:val="000000" w:themeColor="text1"/>
                <w:w w:val="100"/>
                <w:position w:val="0"/>
                <w:sz w:val="24"/>
                <w:szCs w:val="24"/>
                <w:highlight w:val="none"/>
                <w:lang w:val="en-US" w:eastAsia="zh-CN"/>
                <w14:textFill>
                  <w14:solidFill>
                    <w14:schemeClr w14:val="tx1"/>
                  </w14:solidFill>
                </w14:textFill>
              </w:rPr>
              <w:t>重选工序废水与压滤废水产生量</w:t>
            </w:r>
            <w:r>
              <w:rPr>
                <w:rFonts w:hint="eastAsia"/>
                <w:color w:val="000000" w:themeColor="text1"/>
                <w:highlight w:val="none"/>
                <w:lang w:val="en-US" w:eastAsia="zh-CN"/>
                <w14:textFill>
                  <w14:solidFill>
                    <w14:schemeClr w14:val="tx1"/>
                  </w14:solidFill>
                </w14:textFill>
              </w:rPr>
              <w:t>为876</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67D7D349">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（4）静压工序废水</w:t>
            </w:r>
          </w:p>
          <w:p w14:paraId="4951F84C">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本项目一期工程经</w:t>
            </w:r>
            <w:r>
              <w:rPr>
                <w:rFonts w:hint="eastAsia" w:cs="Times New Roman"/>
                <w:color w:val="000000" w:themeColor="text1"/>
                <w:w w:val="100"/>
                <w:position w:val="0"/>
                <w:sz w:val="24"/>
                <w:szCs w:val="24"/>
                <w:highlight w:val="none"/>
                <w:lang w:val="en-US" w:eastAsia="zh-CN"/>
                <w14:textFill>
                  <w14:solidFill>
                    <w14:schemeClr w14:val="tx1"/>
                  </w14:solidFill>
                </w14:textFill>
              </w:rPr>
              <w:t>静压机压滤后，产品含水率为18%，静压工序产生废水量为</w:t>
            </w:r>
            <w:r>
              <w:rPr>
                <w:rFonts w:hint="eastAsia"/>
                <w:color w:val="000000" w:themeColor="text1"/>
                <w:highlight w:val="none"/>
                <w:lang w:val="en-US" w:eastAsia="zh-CN"/>
                <w14:textFill>
                  <w14:solidFill>
                    <w14:schemeClr w14:val="tx1"/>
                  </w14:solidFill>
                </w14:textFill>
              </w:rPr>
              <w:t>275</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34F7513E">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（二）项目二期：</w:t>
            </w:r>
          </w:p>
          <w:p w14:paraId="4633E70D">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b w:val="0"/>
                <w:bCs w:val="0"/>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（1）浮选</w:t>
            </w:r>
            <w:r>
              <w:rPr>
                <w:rFonts w:hint="eastAsia"/>
                <w:b w:val="0"/>
                <w:bCs w:val="0"/>
                <w:color w:val="000000" w:themeColor="text1"/>
                <w:highlight w:val="none"/>
                <w:lang w:val="en-US" w:eastAsia="zh-CN"/>
                <w14:textFill>
                  <w14:solidFill>
                    <w14:schemeClr w14:val="tx1"/>
                  </w14:solidFill>
                </w14:textFill>
              </w:rPr>
              <w:t>工序压滤废水</w:t>
            </w:r>
          </w:p>
          <w:p w14:paraId="166D273E">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本项目二期工程分级浮选产生的废水700</w:t>
            </w:r>
            <w:r>
              <w:rPr>
                <w:rFonts w:hint="default"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a</w:t>
            </w:r>
            <w:r>
              <w:rPr>
                <w:rFonts w:hint="eastAsia"/>
                <w:b w:val="0"/>
                <w:bCs w:val="0"/>
                <w:color w:val="000000" w:themeColor="text1"/>
                <w:highlight w:val="none"/>
                <w:lang w:val="en-US" w:eastAsia="zh-CN"/>
                <w14:textFill>
                  <w14:solidFill>
                    <w14:schemeClr w14:val="tx1"/>
                  </w14:solidFill>
                </w14:textFill>
              </w:rPr>
              <w:t>，</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废水排入外沉池中循环使用不外排。</w:t>
            </w:r>
          </w:p>
          <w:p w14:paraId="21003AC7">
            <w:pPr>
              <w:pStyle w:val="28"/>
              <w:rPr>
                <w:rFonts w:hint="default"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（3）重选工序废水与压滤废水</w:t>
            </w:r>
          </w:p>
          <w:p w14:paraId="6528350B">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本项目二期工程</w:t>
            </w:r>
            <w:r>
              <w:rPr>
                <w:rFonts w:hint="eastAsia" w:cs="Times New Roman"/>
                <w:color w:val="000000" w:themeColor="text1"/>
                <w:w w:val="100"/>
                <w:position w:val="0"/>
                <w:sz w:val="24"/>
                <w:szCs w:val="24"/>
                <w:highlight w:val="none"/>
                <w:lang w:val="en-US" w:eastAsia="zh-CN"/>
                <w14:textFill>
                  <w14:solidFill>
                    <w14:schemeClr w14:val="tx1"/>
                  </w14:solidFill>
                </w14:textFill>
              </w:rPr>
              <w:t>重选工序废水与压滤废水产生量</w:t>
            </w:r>
            <w:r>
              <w:rPr>
                <w:rFonts w:hint="eastAsia"/>
                <w:color w:val="000000" w:themeColor="text1"/>
                <w:highlight w:val="none"/>
                <w:lang w:val="en-US" w:eastAsia="zh-CN"/>
                <w14:textFill>
                  <w14:solidFill>
                    <w14:schemeClr w14:val="tx1"/>
                  </w14:solidFill>
                </w14:textFill>
              </w:rPr>
              <w:t>为219</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179930C4">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（4）静压工序废水</w:t>
            </w:r>
          </w:p>
          <w:p w14:paraId="05EB9253">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本项目二期工程经</w:t>
            </w:r>
            <w:r>
              <w:rPr>
                <w:rFonts w:hint="eastAsia" w:cs="Times New Roman"/>
                <w:color w:val="000000" w:themeColor="text1"/>
                <w:w w:val="100"/>
                <w:position w:val="0"/>
                <w:sz w:val="24"/>
                <w:szCs w:val="24"/>
                <w:highlight w:val="none"/>
                <w:lang w:val="en-US" w:eastAsia="zh-CN"/>
                <w14:textFill>
                  <w14:solidFill>
                    <w14:schemeClr w14:val="tx1"/>
                  </w14:solidFill>
                </w14:textFill>
              </w:rPr>
              <w:t>静压机压滤后，产品含水率为18%，静压工序产生废水量为</w:t>
            </w:r>
            <w:r>
              <w:rPr>
                <w:rFonts w:hint="eastAsia"/>
                <w:color w:val="000000" w:themeColor="text1"/>
                <w:highlight w:val="none"/>
                <w:lang w:val="en-US" w:eastAsia="zh-CN"/>
                <w14:textFill>
                  <w14:solidFill>
                    <w14:schemeClr w14:val="tx1"/>
                  </w14:solidFill>
                </w14:textFill>
              </w:rPr>
              <w:t>59</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4415DB2A">
            <w:pPr>
              <w:pStyle w:val="5"/>
              <w:bidi w:val="0"/>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（5）外沉池蒸发废水：</w:t>
            </w:r>
          </w:p>
          <w:p w14:paraId="5CD9D1DA">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pP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本项目外沉池蒸发损耗</w:t>
            </w:r>
            <w:r>
              <w:rPr>
                <w:rFonts w:hint="eastAsia" w:cs="Times New Roman"/>
                <w:color w:val="000000" w:themeColor="text1"/>
                <w:w w:val="100"/>
                <w:position w:val="0"/>
                <w:sz w:val="24"/>
                <w:szCs w:val="24"/>
                <w:highlight w:val="none"/>
                <w:lang w:val="en-US" w:eastAsia="zh-CN"/>
                <w14:textFill>
                  <w14:solidFill>
                    <w14:schemeClr w14:val="tx1"/>
                  </w14:solidFill>
                </w14:textFill>
              </w:rPr>
              <w:t>废水为</w:t>
            </w:r>
            <w:r>
              <w:rPr>
                <w:rFonts w:hint="eastAsia"/>
                <w:color w:val="000000" w:themeColor="text1"/>
                <w:highlight w:val="none"/>
                <w:lang w:val="en-US" w:eastAsia="zh-CN"/>
                <w14:textFill>
                  <w14:solidFill>
                    <w14:schemeClr w14:val="tx1"/>
                  </w14:solidFill>
                </w14:textFill>
              </w:rPr>
              <w:t>39</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p>
          <w:p w14:paraId="3195F1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b/>
                <w:color w:val="000000" w:themeColor="text1"/>
                <w:highlight w:val="none"/>
                <w14:textFill>
                  <w14:solidFill>
                    <w14:schemeClr w14:val="tx1"/>
                  </w14:solidFill>
                </w14:textFill>
              </w:rPr>
            </w:pPr>
            <w:r>
              <w:rPr>
                <w:rFonts w:cs="宋体"/>
                <w:b/>
                <w:color w:val="000000" w:themeColor="text1"/>
                <w:highlight w:val="none"/>
                <w14:textFill>
                  <w14:solidFill>
                    <w14:schemeClr w14:val="tx1"/>
                  </w14:solidFill>
                </w14:textFill>
              </w:rPr>
              <w:t>表</w:t>
            </w:r>
            <w:r>
              <w:rPr>
                <w:rFonts w:hint="eastAsia" w:cs="宋体"/>
                <w:b/>
                <w:color w:val="000000" w:themeColor="text1"/>
                <w:highlight w:val="none"/>
                <w:lang w:val="en-US" w:eastAsia="zh-CN"/>
                <w14:textFill>
                  <w14:solidFill>
                    <w14:schemeClr w14:val="tx1"/>
                  </w14:solidFill>
                </w14:textFill>
              </w:rPr>
              <w:t>2-4</w:t>
            </w:r>
            <w:r>
              <w:rPr>
                <w:rFonts w:cs="宋体"/>
                <w:b/>
                <w:color w:val="000000" w:themeColor="text1"/>
                <w:highlight w:val="none"/>
                <w14:textFill>
                  <w14:solidFill>
                    <w14:schemeClr w14:val="tx1"/>
                  </w14:solidFill>
                </w14:textFill>
              </w:rPr>
              <w:t xml:space="preserve">    </w:t>
            </w:r>
            <w:r>
              <w:rPr>
                <w:rFonts w:hint="eastAsia" w:cs="宋体"/>
                <w:b/>
                <w:color w:val="000000" w:themeColor="text1"/>
                <w:highlight w:val="none"/>
                <w:lang w:val="en-US" w:eastAsia="zh-CN"/>
                <w14:textFill>
                  <w14:solidFill>
                    <w14:schemeClr w14:val="tx1"/>
                  </w14:solidFill>
                </w14:textFill>
              </w:rPr>
              <w:t>项目新鲜水</w:t>
            </w:r>
            <w:r>
              <w:rPr>
                <w:rFonts w:cs="宋体"/>
                <w:b/>
                <w:color w:val="000000" w:themeColor="text1"/>
                <w:highlight w:val="none"/>
                <w14:textFill>
                  <w14:solidFill>
                    <w14:schemeClr w14:val="tx1"/>
                  </w14:solidFill>
                </w14:textFill>
              </w:rPr>
              <w:t>用排水平衡表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1488"/>
              <w:gridCol w:w="1159"/>
              <w:gridCol w:w="1132"/>
              <w:gridCol w:w="750"/>
              <w:gridCol w:w="3098"/>
            </w:tblGrid>
            <w:tr w14:paraId="6716F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94" w:type="pct"/>
                  <w:vMerge w:val="restart"/>
                  <w:noWrap w:val="0"/>
                  <w:vAlign w:val="center"/>
                </w:tcPr>
                <w:p w14:paraId="1D834EBE">
                  <w:pPr>
                    <w:spacing w:line="360" w:lineRule="exact"/>
                    <w:jc w:val="center"/>
                    <w:rPr>
                      <w:bCs/>
                      <w:color w:val="000000" w:themeColor="text1"/>
                      <w:sz w:val="21"/>
                      <w:szCs w:val="21"/>
                      <w:highlight w:val="none"/>
                      <w14:textFill>
                        <w14:solidFill>
                          <w14:schemeClr w14:val="tx1"/>
                        </w14:solidFill>
                      </w14:textFill>
                    </w:rPr>
                  </w:pPr>
                  <w:r>
                    <w:rPr>
                      <w:bCs/>
                      <w:color w:val="000000" w:themeColor="text1"/>
                      <w:sz w:val="21"/>
                      <w:szCs w:val="21"/>
                      <w:highlight w:val="none"/>
                      <w14:textFill>
                        <w14:solidFill>
                          <w14:schemeClr w14:val="tx1"/>
                        </w14:solidFill>
                      </w14:textFill>
                    </w:rPr>
                    <w:t>序号</w:t>
                  </w:r>
                </w:p>
              </w:tc>
              <w:tc>
                <w:tcPr>
                  <w:tcW w:w="918" w:type="pct"/>
                  <w:vMerge w:val="restart"/>
                  <w:noWrap w:val="0"/>
                  <w:vAlign w:val="center"/>
                </w:tcPr>
                <w:p w14:paraId="3C04D214">
                  <w:pPr>
                    <w:spacing w:line="360" w:lineRule="exact"/>
                    <w:jc w:val="center"/>
                    <w:rPr>
                      <w:rFonts w:hint="eastAsia" w:eastAsia="宋体"/>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用水单元</w:t>
                  </w:r>
                </w:p>
              </w:tc>
              <w:tc>
                <w:tcPr>
                  <w:tcW w:w="715" w:type="pct"/>
                  <w:noWrap w:val="0"/>
                  <w:vAlign w:val="center"/>
                </w:tcPr>
                <w:p w14:paraId="1B546AF9">
                  <w:pPr>
                    <w:spacing w:line="360" w:lineRule="exact"/>
                    <w:jc w:val="center"/>
                    <w:rPr>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年</w:t>
                  </w:r>
                  <w:r>
                    <w:rPr>
                      <w:bCs/>
                      <w:color w:val="000000" w:themeColor="text1"/>
                      <w:sz w:val="21"/>
                      <w:szCs w:val="21"/>
                      <w:highlight w:val="none"/>
                      <w14:textFill>
                        <w14:solidFill>
                          <w14:schemeClr w14:val="tx1"/>
                        </w14:solidFill>
                      </w14:textFill>
                    </w:rPr>
                    <w:t>用水量</w:t>
                  </w:r>
                </w:p>
              </w:tc>
              <w:tc>
                <w:tcPr>
                  <w:tcW w:w="698" w:type="pct"/>
                  <w:noWrap w:val="0"/>
                  <w:vAlign w:val="center"/>
                </w:tcPr>
                <w:p w14:paraId="609D4264">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年</w:t>
                  </w:r>
                  <w:r>
                    <w:rPr>
                      <w:rFonts w:hint="eastAsia"/>
                      <w:bCs/>
                      <w:color w:val="000000" w:themeColor="text1"/>
                      <w:sz w:val="21"/>
                      <w:szCs w:val="21"/>
                      <w:highlight w:val="none"/>
                      <w:lang w:eastAsia="zh-CN"/>
                      <w14:textFill>
                        <w14:solidFill>
                          <w14:schemeClr w14:val="tx1"/>
                        </w14:solidFill>
                      </w14:textFill>
                    </w:rPr>
                    <w:t>损耗量</w:t>
                  </w:r>
                </w:p>
              </w:tc>
              <w:tc>
                <w:tcPr>
                  <w:tcW w:w="462" w:type="pct"/>
                  <w:noWrap w:val="0"/>
                  <w:vAlign w:val="center"/>
                </w:tcPr>
                <w:p w14:paraId="789035A4">
                  <w:pPr>
                    <w:spacing w:line="360" w:lineRule="exact"/>
                    <w:jc w:val="center"/>
                    <w:rPr>
                      <w:rFonts w:hint="eastAsia" w:eastAsia="宋体"/>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年</w:t>
                  </w:r>
                  <w:r>
                    <w:rPr>
                      <w:rFonts w:hint="eastAsia"/>
                      <w:bCs/>
                      <w:color w:val="000000" w:themeColor="text1"/>
                      <w:sz w:val="21"/>
                      <w:szCs w:val="21"/>
                      <w:highlight w:val="none"/>
                      <w:lang w:eastAsia="zh-CN"/>
                      <w14:textFill>
                        <w14:solidFill>
                          <w14:schemeClr w14:val="tx1"/>
                        </w14:solidFill>
                      </w14:textFill>
                    </w:rPr>
                    <w:t>排水量</w:t>
                  </w:r>
                </w:p>
              </w:tc>
              <w:tc>
                <w:tcPr>
                  <w:tcW w:w="1911" w:type="pct"/>
                  <w:vMerge w:val="restart"/>
                  <w:noWrap w:val="0"/>
                  <w:vAlign w:val="center"/>
                </w:tcPr>
                <w:p w14:paraId="1F7C1DC6">
                  <w:pPr>
                    <w:spacing w:line="360" w:lineRule="exact"/>
                    <w:jc w:val="center"/>
                    <w:rPr>
                      <w:rFonts w:hint="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lang w:eastAsia="zh-CN"/>
                      <w14:textFill>
                        <w14:solidFill>
                          <w14:schemeClr w14:val="tx1"/>
                        </w14:solidFill>
                      </w14:textFill>
                    </w:rPr>
                    <w:t>处理方法及去向</w:t>
                  </w:r>
                </w:p>
              </w:tc>
            </w:tr>
            <w:tr w14:paraId="1AC82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294" w:type="pct"/>
                  <w:vMerge w:val="continue"/>
                  <w:tcBorders>
                    <w:bottom w:val="single" w:color="auto" w:sz="12" w:space="0"/>
                  </w:tcBorders>
                  <w:noWrap w:val="0"/>
                  <w:vAlign w:val="center"/>
                </w:tcPr>
                <w:p w14:paraId="200582DF">
                  <w:pPr>
                    <w:spacing w:line="360" w:lineRule="exact"/>
                    <w:jc w:val="center"/>
                    <w:rPr>
                      <w:rFonts w:cs="宋体"/>
                      <w:bCs/>
                      <w:color w:val="000000" w:themeColor="text1"/>
                      <w:sz w:val="21"/>
                      <w:szCs w:val="21"/>
                      <w:highlight w:val="none"/>
                      <w14:textFill>
                        <w14:solidFill>
                          <w14:schemeClr w14:val="tx1"/>
                        </w14:solidFill>
                      </w14:textFill>
                    </w:rPr>
                  </w:pPr>
                </w:p>
              </w:tc>
              <w:tc>
                <w:tcPr>
                  <w:tcW w:w="918" w:type="pct"/>
                  <w:vMerge w:val="continue"/>
                  <w:tcBorders>
                    <w:bottom w:val="single" w:color="auto" w:sz="12" w:space="0"/>
                  </w:tcBorders>
                  <w:noWrap w:val="0"/>
                  <w:vAlign w:val="center"/>
                </w:tcPr>
                <w:p w14:paraId="356622B8">
                  <w:pPr>
                    <w:spacing w:line="360" w:lineRule="exact"/>
                    <w:jc w:val="center"/>
                    <w:rPr>
                      <w:rFonts w:cs="宋体"/>
                      <w:bCs/>
                      <w:color w:val="000000" w:themeColor="text1"/>
                      <w:sz w:val="21"/>
                      <w:szCs w:val="21"/>
                      <w:highlight w:val="none"/>
                      <w14:textFill>
                        <w14:solidFill>
                          <w14:schemeClr w14:val="tx1"/>
                        </w14:solidFill>
                      </w14:textFill>
                    </w:rPr>
                  </w:pPr>
                </w:p>
              </w:tc>
              <w:tc>
                <w:tcPr>
                  <w:tcW w:w="715" w:type="pct"/>
                  <w:tcBorders>
                    <w:bottom w:val="single" w:color="auto" w:sz="12" w:space="0"/>
                  </w:tcBorders>
                  <w:noWrap w:val="0"/>
                  <w:vAlign w:val="center"/>
                </w:tcPr>
                <w:p w14:paraId="303D3963">
                  <w:pPr>
                    <w:spacing w:line="360" w:lineRule="exact"/>
                    <w:jc w:val="center"/>
                    <w:rPr>
                      <w:rFonts w:hint="eastAsia" w:eastAsia="宋体" w:cs="宋体"/>
                      <w:bCs/>
                      <w:color w:val="000000" w:themeColor="text1"/>
                      <w:sz w:val="21"/>
                      <w:szCs w:val="21"/>
                      <w:highlight w:val="none"/>
                      <w:lang w:eastAsia="zh-CN"/>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m</w:t>
                  </w:r>
                  <w:r>
                    <w:rPr>
                      <w:rFonts w:hint="eastAsia" w:cs="宋体"/>
                      <w:bCs/>
                      <w:color w:val="000000" w:themeColor="text1"/>
                      <w:sz w:val="21"/>
                      <w:szCs w:val="21"/>
                      <w:highlight w:val="none"/>
                      <w:vertAlign w:val="superscript"/>
                      <w14:textFill>
                        <w14:solidFill>
                          <w14:schemeClr w14:val="tx1"/>
                        </w14:solidFill>
                      </w14:textFill>
                    </w:rPr>
                    <w:t>3</w:t>
                  </w:r>
                  <w:r>
                    <w:rPr>
                      <w:rFonts w:hint="eastAsia" w:cs="宋体"/>
                      <w:bCs/>
                      <w:color w:val="000000" w:themeColor="text1"/>
                      <w:sz w:val="21"/>
                      <w:szCs w:val="21"/>
                      <w:highlight w:val="none"/>
                      <w14:textFill>
                        <w14:solidFill>
                          <w14:schemeClr w14:val="tx1"/>
                        </w14:solidFill>
                      </w14:textFill>
                    </w:rPr>
                    <w:t>/</w:t>
                  </w:r>
                  <w:r>
                    <w:rPr>
                      <w:rFonts w:hint="eastAsia" w:cs="宋体"/>
                      <w:bCs/>
                      <w:color w:val="000000" w:themeColor="text1"/>
                      <w:sz w:val="21"/>
                      <w:szCs w:val="21"/>
                      <w:highlight w:val="none"/>
                      <w:lang w:val="en-US" w:eastAsia="zh-CN"/>
                      <w14:textFill>
                        <w14:solidFill>
                          <w14:schemeClr w14:val="tx1"/>
                        </w14:solidFill>
                      </w14:textFill>
                    </w:rPr>
                    <w:t>a</w:t>
                  </w:r>
                </w:p>
              </w:tc>
              <w:tc>
                <w:tcPr>
                  <w:tcW w:w="698" w:type="pct"/>
                  <w:tcBorders>
                    <w:bottom w:val="single" w:color="auto" w:sz="12" w:space="0"/>
                  </w:tcBorders>
                  <w:noWrap w:val="0"/>
                  <w:vAlign w:val="center"/>
                </w:tcPr>
                <w:p w14:paraId="701F2AD8">
                  <w:pPr>
                    <w:spacing w:line="360" w:lineRule="exact"/>
                    <w:jc w:val="center"/>
                    <w:rPr>
                      <w:rFonts w:hint="eastAsia"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m</w:t>
                  </w:r>
                  <w:r>
                    <w:rPr>
                      <w:rFonts w:hint="eastAsia" w:cs="宋体"/>
                      <w:bCs/>
                      <w:color w:val="000000" w:themeColor="text1"/>
                      <w:sz w:val="21"/>
                      <w:szCs w:val="21"/>
                      <w:highlight w:val="none"/>
                      <w:vertAlign w:val="superscript"/>
                      <w14:textFill>
                        <w14:solidFill>
                          <w14:schemeClr w14:val="tx1"/>
                        </w14:solidFill>
                      </w14:textFill>
                    </w:rPr>
                    <w:t>3</w:t>
                  </w:r>
                  <w:r>
                    <w:rPr>
                      <w:rFonts w:hint="eastAsia" w:cs="宋体"/>
                      <w:bCs/>
                      <w:color w:val="000000" w:themeColor="text1"/>
                      <w:sz w:val="21"/>
                      <w:szCs w:val="21"/>
                      <w:highlight w:val="none"/>
                      <w14:textFill>
                        <w14:solidFill>
                          <w14:schemeClr w14:val="tx1"/>
                        </w14:solidFill>
                      </w14:textFill>
                    </w:rPr>
                    <w:t>/</w:t>
                  </w:r>
                  <w:r>
                    <w:rPr>
                      <w:rFonts w:hint="eastAsia" w:cs="宋体"/>
                      <w:bCs/>
                      <w:color w:val="000000" w:themeColor="text1"/>
                      <w:sz w:val="21"/>
                      <w:szCs w:val="21"/>
                      <w:highlight w:val="none"/>
                      <w:lang w:val="en-US" w:eastAsia="zh-CN"/>
                      <w14:textFill>
                        <w14:solidFill>
                          <w14:schemeClr w14:val="tx1"/>
                        </w14:solidFill>
                      </w14:textFill>
                    </w:rPr>
                    <w:t>a</w:t>
                  </w:r>
                </w:p>
              </w:tc>
              <w:tc>
                <w:tcPr>
                  <w:tcW w:w="462" w:type="pct"/>
                  <w:tcBorders>
                    <w:bottom w:val="single" w:color="auto" w:sz="12" w:space="0"/>
                  </w:tcBorders>
                  <w:noWrap w:val="0"/>
                  <w:vAlign w:val="center"/>
                </w:tcPr>
                <w:p w14:paraId="1F8DDA90">
                  <w:pPr>
                    <w:spacing w:line="360" w:lineRule="exact"/>
                    <w:jc w:val="center"/>
                    <w:rPr>
                      <w:rFonts w:hint="eastAsia" w:eastAsia="宋体" w:cs="宋体"/>
                      <w:bCs/>
                      <w:color w:val="000000" w:themeColor="text1"/>
                      <w:sz w:val="21"/>
                      <w:szCs w:val="21"/>
                      <w:highlight w:val="none"/>
                      <w:lang w:eastAsia="zh-CN"/>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m</w:t>
                  </w:r>
                  <w:r>
                    <w:rPr>
                      <w:rFonts w:hint="eastAsia" w:cs="宋体"/>
                      <w:bCs/>
                      <w:color w:val="000000" w:themeColor="text1"/>
                      <w:sz w:val="21"/>
                      <w:szCs w:val="21"/>
                      <w:highlight w:val="none"/>
                      <w:vertAlign w:val="superscript"/>
                      <w14:textFill>
                        <w14:solidFill>
                          <w14:schemeClr w14:val="tx1"/>
                        </w14:solidFill>
                      </w14:textFill>
                    </w:rPr>
                    <w:t>3</w:t>
                  </w:r>
                  <w:r>
                    <w:rPr>
                      <w:rFonts w:hint="eastAsia" w:cs="宋体"/>
                      <w:bCs/>
                      <w:color w:val="000000" w:themeColor="text1"/>
                      <w:sz w:val="21"/>
                      <w:szCs w:val="21"/>
                      <w:highlight w:val="none"/>
                      <w14:textFill>
                        <w14:solidFill>
                          <w14:schemeClr w14:val="tx1"/>
                        </w14:solidFill>
                      </w14:textFill>
                    </w:rPr>
                    <w:t>/</w:t>
                  </w:r>
                  <w:r>
                    <w:rPr>
                      <w:rFonts w:hint="eastAsia" w:cs="宋体"/>
                      <w:bCs/>
                      <w:color w:val="000000" w:themeColor="text1"/>
                      <w:sz w:val="21"/>
                      <w:szCs w:val="21"/>
                      <w:highlight w:val="none"/>
                      <w:lang w:val="en-US" w:eastAsia="zh-CN"/>
                      <w14:textFill>
                        <w14:solidFill>
                          <w14:schemeClr w14:val="tx1"/>
                        </w14:solidFill>
                      </w14:textFill>
                    </w:rPr>
                    <w:t>a</w:t>
                  </w:r>
                </w:p>
              </w:tc>
              <w:tc>
                <w:tcPr>
                  <w:tcW w:w="1911" w:type="pct"/>
                  <w:vMerge w:val="continue"/>
                  <w:tcBorders>
                    <w:bottom w:val="single" w:color="auto" w:sz="12" w:space="0"/>
                  </w:tcBorders>
                  <w:noWrap w:val="0"/>
                  <w:vAlign w:val="center"/>
                </w:tcPr>
                <w:p w14:paraId="374AD6CF">
                  <w:pPr>
                    <w:spacing w:line="360" w:lineRule="exact"/>
                    <w:jc w:val="center"/>
                    <w:rPr>
                      <w:rFonts w:hint="eastAsia" w:cs="宋体"/>
                      <w:bCs/>
                      <w:color w:val="000000" w:themeColor="text1"/>
                      <w:sz w:val="21"/>
                      <w:szCs w:val="21"/>
                      <w:highlight w:val="none"/>
                      <w14:textFill>
                        <w14:solidFill>
                          <w14:schemeClr w14:val="tx1"/>
                        </w14:solidFill>
                      </w14:textFill>
                    </w:rPr>
                  </w:pPr>
                </w:p>
              </w:tc>
            </w:tr>
            <w:tr w14:paraId="46451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000" w:type="pct"/>
                  <w:gridSpan w:val="6"/>
                  <w:tcBorders>
                    <w:top w:val="single" w:color="auto" w:sz="12" w:space="0"/>
                    <w:tl2br w:val="nil"/>
                    <w:tr2bl w:val="nil"/>
                  </w:tcBorders>
                  <w:noWrap w:val="0"/>
                  <w:vAlign w:val="center"/>
                </w:tcPr>
                <w:p w14:paraId="058B3418">
                  <w:pPr>
                    <w:spacing w:line="360" w:lineRule="exact"/>
                    <w:jc w:val="center"/>
                    <w:rPr>
                      <w:rFonts w:hint="eastAsia"/>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一期工程</w:t>
                  </w:r>
                </w:p>
              </w:tc>
            </w:tr>
            <w:tr w14:paraId="557EFB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94" w:type="pct"/>
                  <w:tcBorders>
                    <w:top w:val="single" w:color="auto" w:sz="12" w:space="0"/>
                    <w:tl2br w:val="nil"/>
                    <w:tr2bl w:val="nil"/>
                  </w:tcBorders>
                  <w:noWrap w:val="0"/>
                  <w:vAlign w:val="center"/>
                </w:tcPr>
                <w:p w14:paraId="5F9CA390">
                  <w:pPr>
                    <w:spacing w:line="360" w:lineRule="exact"/>
                    <w:jc w:val="center"/>
                    <w:rPr>
                      <w:rFonts w:hint="eastAsia" w:ascii="Times New Roman" w:hAnsi="Times New Roman" w:eastAsia="宋体"/>
                      <w:bCs/>
                      <w:color w:val="000000" w:themeColor="text1"/>
                      <w:sz w:val="21"/>
                      <w:szCs w:val="21"/>
                      <w:highlight w:val="none"/>
                      <w14:textFill>
                        <w14:solidFill>
                          <w14:schemeClr w14:val="tx1"/>
                        </w14:solidFill>
                      </w14:textFill>
                    </w:rPr>
                  </w:pPr>
                  <w:r>
                    <w:rPr>
                      <w:rFonts w:hint="eastAsia" w:ascii="Times New Roman" w:hAnsi="Times New Roman" w:eastAsia="宋体"/>
                      <w:bCs/>
                      <w:color w:val="000000" w:themeColor="text1"/>
                      <w:sz w:val="21"/>
                      <w:szCs w:val="21"/>
                      <w:highlight w:val="none"/>
                      <w14:textFill>
                        <w14:solidFill>
                          <w14:schemeClr w14:val="tx1"/>
                        </w14:solidFill>
                      </w14:textFill>
                    </w:rPr>
                    <w:t>1</w:t>
                  </w:r>
                </w:p>
              </w:tc>
              <w:tc>
                <w:tcPr>
                  <w:tcW w:w="918" w:type="pct"/>
                  <w:tcBorders>
                    <w:top w:val="single" w:color="auto" w:sz="12" w:space="0"/>
                    <w:tl2br w:val="nil"/>
                    <w:tr2bl w:val="nil"/>
                  </w:tcBorders>
                  <w:noWrap w:val="0"/>
                  <w:vAlign w:val="center"/>
                </w:tcPr>
                <w:p w14:paraId="60CC204A">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配浆用水</w:t>
                  </w:r>
                </w:p>
              </w:tc>
              <w:tc>
                <w:tcPr>
                  <w:tcW w:w="715" w:type="pct"/>
                  <w:tcBorders>
                    <w:top w:val="single" w:color="auto" w:sz="12" w:space="0"/>
                    <w:tl2br w:val="nil"/>
                    <w:tr2bl w:val="nil"/>
                  </w:tcBorders>
                  <w:noWrap w:val="0"/>
                  <w:vAlign w:val="center"/>
                </w:tcPr>
                <w:p w14:paraId="7B4B98C7">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21</w:t>
                  </w:r>
                </w:p>
              </w:tc>
              <w:tc>
                <w:tcPr>
                  <w:tcW w:w="698" w:type="pct"/>
                  <w:tcBorders>
                    <w:top w:val="single" w:color="auto" w:sz="12" w:space="0"/>
                    <w:tl2br w:val="nil"/>
                    <w:tr2bl w:val="nil"/>
                  </w:tcBorders>
                  <w:noWrap w:val="0"/>
                  <w:vAlign w:val="center"/>
                </w:tcPr>
                <w:p w14:paraId="4E93C8B9">
                  <w:pPr>
                    <w:spacing w:line="36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w:t>
                  </w:r>
                </w:p>
              </w:tc>
              <w:tc>
                <w:tcPr>
                  <w:tcW w:w="462" w:type="pct"/>
                  <w:tcBorders>
                    <w:top w:val="single" w:color="auto" w:sz="12" w:space="0"/>
                    <w:tl2br w:val="nil"/>
                    <w:tr2bl w:val="nil"/>
                  </w:tcBorders>
                  <w:noWrap w:val="0"/>
                  <w:vAlign w:val="center"/>
                </w:tcPr>
                <w:p w14:paraId="3449F988">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w:t>
                  </w:r>
                </w:p>
              </w:tc>
              <w:tc>
                <w:tcPr>
                  <w:tcW w:w="1911" w:type="pct"/>
                  <w:tcBorders>
                    <w:top w:val="single" w:color="auto" w:sz="12" w:space="0"/>
                    <w:tl2br w:val="nil"/>
                    <w:tr2bl w:val="nil"/>
                  </w:tcBorders>
                  <w:noWrap w:val="0"/>
                  <w:vAlign w:val="center"/>
                </w:tcPr>
                <w:p w14:paraId="24A4B0DC">
                  <w:pPr>
                    <w:spacing w:line="360" w:lineRule="exact"/>
                    <w:jc w:val="center"/>
                    <w:rPr>
                      <w:rFonts w:hint="eastAsia"/>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经压滤工序排入沉淀池，循环用水不外排</w:t>
                  </w:r>
                </w:p>
              </w:tc>
            </w:tr>
            <w:tr w14:paraId="4D573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94" w:type="pct"/>
                  <w:tcBorders>
                    <w:tl2br w:val="nil"/>
                    <w:tr2bl w:val="nil"/>
                  </w:tcBorders>
                  <w:noWrap w:val="0"/>
                  <w:vAlign w:val="center"/>
                </w:tcPr>
                <w:p w14:paraId="56A7E784">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14:textFill>
                        <w14:solidFill>
                          <w14:schemeClr w14:val="tx1"/>
                        </w14:solidFill>
                      </w14:textFill>
                    </w:rPr>
                    <w:t>2</w:t>
                  </w:r>
                </w:p>
              </w:tc>
              <w:tc>
                <w:tcPr>
                  <w:tcW w:w="918" w:type="pct"/>
                  <w:tcBorders>
                    <w:tl2br w:val="nil"/>
                    <w:tr2bl w:val="nil"/>
                  </w:tcBorders>
                  <w:noWrap w:val="0"/>
                  <w:vAlign w:val="center"/>
                </w:tcPr>
                <w:p w14:paraId="175AE031">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软水制备用水</w:t>
                  </w:r>
                </w:p>
              </w:tc>
              <w:tc>
                <w:tcPr>
                  <w:tcW w:w="715" w:type="pct"/>
                  <w:tcBorders>
                    <w:tl2br w:val="nil"/>
                    <w:tr2bl w:val="nil"/>
                  </w:tcBorders>
                  <w:noWrap w:val="0"/>
                  <w:vAlign w:val="center"/>
                </w:tcPr>
                <w:p w14:paraId="5541CE30">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1200</w:t>
                  </w:r>
                </w:p>
              </w:tc>
              <w:tc>
                <w:tcPr>
                  <w:tcW w:w="698" w:type="pct"/>
                  <w:tcBorders>
                    <w:tl2br w:val="nil"/>
                    <w:tr2bl w:val="nil"/>
                  </w:tcBorders>
                  <w:noWrap w:val="0"/>
                  <w:vAlign w:val="center"/>
                </w:tcPr>
                <w:p w14:paraId="69069ADB">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870</w:t>
                  </w:r>
                </w:p>
              </w:tc>
              <w:tc>
                <w:tcPr>
                  <w:tcW w:w="462" w:type="pct"/>
                  <w:tcBorders>
                    <w:tl2br w:val="nil"/>
                    <w:tr2bl w:val="nil"/>
                  </w:tcBorders>
                  <w:noWrap w:val="0"/>
                  <w:vAlign w:val="center"/>
                </w:tcPr>
                <w:p w14:paraId="330CD421">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330</w:t>
                  </w:r>
                </w:p>
              </w:tc>
              <w:tc>
                <w:tcPr>
                  <w:tcW w:w="1911" w:type="pct"/>
                  <w:tcBorders>
                    <w:tl2br w:val="nil"/>
                    <w:tr2bl w:val="nil"/>
                  </w:tcBorders>
                  <w:noWrap w:val="0"/>
                  <w:vAlign w:val="center"/>
                </w:tcPr>
                <w:p w14:paraId="5D83E76F">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锅炉排污水与软化处理废水经园区污水管网排入昌吉高新海天污水处理厂</w:t>
                  </w:r>
                </w:p>
              </w:tc>
            </w:tr>
            <w:tr w14:paraId="1A9973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noWrap w:val="0"/>
                  <w:vAlign w:val="center"/>
                </w:tcPr>
                <w:p w14:paraId="16B9951B">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3</w:t>
                  </w:r>
                </w:p>
              </w:tc>
              <w:tc>
                <w:tcPr>
                  <w:tcW w:w="918" w:type="pct"/>
                  <w:tcBorders>
                    <w:tl2br w:val="nil"/>
                    <w:tr2bl w:val="nil"/>
                  </w:tcBorders>
                  <w:noWrap w:val="0"/>
                  <w:vAlign w:val="center"/>
                </w:tcPr>
                <w:p w14:paraId="5D4DAFEB">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碱液池补水</w:t>
                  </w:r>
                </w:p>
              </w:tc>
              <w:tc>
                <w:tcPr>
                  <w:tcW w:w="715" w:type="pct"/>
                  <w:tcBorders>
                    <w:tl2br w:val="nil"/>
                    <w:tr2bl w:val="nil"/>
                  </w:tcBorders>
                  <w:noWrap w:val="0"/>
                  <w:vAlign w:val="center"/>
                </w:tcPr>
                <w:p w14:paraId="0FC498B9">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500</w:t>
                  </w:r>
                </w:p>
              </w:tc>
              <w:tc>
                <w:tcPr>
                  <w:tcW w:w="698" w:type="pct"/>
                  <w:tcBorders>
                    <w:tl2br w:val="nil"/>
                    <w:tr2bl w:val="nil"/>
                  </w:tcBorders>
                  <w:noWrap w:val="0"/>
                  <w:vAlign w:val="center"/>
                </w:tcPr>
                <w:p w14:paraId="46043164">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w:t>
                  </w:r>
                </w:p>
              </w:tc>
              <w:tc>
                <w:tcPr>
                  <w:tcW w:w="462" w:type="pct"/>
                  <w:tcBorders>
                    <w:tl2br w:val="nil"/>
                    <w:tr2bl w:val="nil"/>
                  </w:tcBorders>
                  <w:noWrap w:val="0"/>
                  <w:vAlign w:val="center"/>
                </w:tcPr>
                <w:p w14:paraId="5809B105">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500</w:t>
                  </w:r>
                </w:p>
              </w:tc>
              <w:tc>
                <w:tcPr>
                  <w:tcW w:w="1911" w:type="pct"/>
                  <w:tcBorders>
                    <w:tl2br w:val="nil"/>
                    <w:tr2bl w:val="nil"/>
                  </w:tcBorders>
                  <w:noWrap w:val="0"/>
                  <w:vAlign w:val="center"/>
                </w:tcPr>
                <w:p w14:paraId="7DCCB7D4">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更换的废碱液储存于专用废碱液收集桶后暂存于危险废物贮存点，定期交由有资质单位进行处置</w:t>
                  </w:r>
                </w:p>
              </w:tc>
            </w:tr>
            <w:tr w14:paraId="574E79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shd w:val="clear" w:color="auto" w:fill="auto"/>
                  <w:noWrap w:val="0"/>
                  <w:vAlign w:val="center"/>
                </w:tcPr>
                <w:p w14:paraId="58D13C1E">
                  <w:pPr>
                    <w:spacing w:line="360" w:lineRule="exact"/>
                    <w:jc w:val="center"/>
                    <w:rPr>
                      <w:rFonts w:hint="default"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cstheme="minorBidi"/>
                      <w:bCs/>
                      <w:color w:val="000000" w:themeColor="text1"/>
                      <w:sz w:val="21"/>
                      <w:szCs w:val="21"/>
                      <w:highlight w:val="none"/>
                      <w:lang w:val="en-US" w:eastAsia="zh-CN" w:bidi="ar-SA"/>
                      <w14:textFill>
                        <w14:solidFill>
                          <w14:schemeClr w14:val="tx1"/>
                        </w14:solidFill>
                      </w14:textFill>
                    </w:rPr>
                    <w:t>4</w:t>
                  </w:r>
                </w:p>
              </w:tc>
              <w:tc>
                <w:tcPr>
                  <w:tcW w:w="918" w:type="pct"/>
                  <w:tcBorders>
                    <w:tl2br w:val="nil"/>
                    <w:tr2bl w:val="nil"/>
                  </w:tcBorders>
                  <w:shd w:val="clear" w:color="auto" w:fill="auto"/>
                  <w:noWrap w:val="0"/>
                  <w:vAlign w:val="center"/>
                </w:tcPr>
                <w:p w14:paraId="0F989AFD">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一期工程新鲜水用水量</w:t>
                  </w:r>
                </w:p>
              </w:tc>
              <w:tc>
                <w:tcPr>
                  <w:tcW w:w="715" w:type="pct"/>
                  <w:tcBorders>
                    <w:tl2br w:val="nil"/>
                    <w:tr2bl w:val="nil"/>
                  </w:tcBorders>
                  <w:shd w:val="clear" w:color="auto" w:fill="auto"/>
                  <w:noWrap w:val="0"/>
                  <w:vAlign w:val="center"/>
                </w:tcPr>
                <w:p w14:paraId="1F510D29">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cstheme="minorBidi"/>
                      <w:b/>
                      <w:bCs/>
                      <w:color w:val="000000" w:themeColor="text1"/>
                      <w:sz w:val="21"/>
                      <w:szCs w:val="21"/>
                      <w:highlight w:val="none"/>
                      <w:lang w:val="en-US" w:eastAsia="zh-CN" w:bidi="ar-SA"/>
                      <w14:textFill>
                        <w14:solidFill>
                          <w14:schemeClr w14:val="tx1"/>
                        </w14:solidFill>
                      </w14:textFill>
                    </w:rPr>
                    <w:t>1721</w:t>
                  </w:r>
                </w:p>
              </w:tc>
              <w:tc>
                <w:tcPr>
                  <w:tcW w:w="698" w:type="pct"/>
                  <w:tcBorders>
                    <w:tl2br w:val="nil"/>
                    <w:tr2bl w:val="nil"/>
                  </w:tcBorders>
                  <w:shd w:val="clear" w:color="auto" w:fill="auto"/>
                  <w:noWrap w:val="0"/>
                  <w:vAlign w:val="center"/>
                </w:tcPr>
                <w:p w14:paraId="1CD44865">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cstheme="minorBidi"/>
                      <w:b/>
                      <w:bCs/>
                      <w:color w:val="000000" w:themeColor="text1"/>
                      <w:sz w:val="21"/>
                      <w:szCs w:val="21"/>
                      <w:highlight w:val="none"/>
                      <w:lang w:val="en-US" w:eastAsia="zh-CN" w:bidi="ar-SA"/>
                      <w14:textFill>
                        <w14:solidFill>
                          <w14:schemeClr w14:val="tx1"/>
                        </w14:solidFill>
                      </w14:textFill>
                    </w:rPr>
                    <w:t>891</w:t>
                  </w:r>
                </w:p>
              </w:tc>
              <w:tc>
                <w:tcPr>
                  <w:tcW w:w="462" w:type="pct"/>
                  <w:tcBorders>
                    <w:tl2br w:val="nil"/>
                    <w:tr2bl w:val="nil"/>
                  </w:tcBorders>
                  <w:shd w:val="clear" w:color="auto" w:fill="auto"/>
                  <w:noWrap w:val="0"/>
                  <w:vAlign w:val="center"/>
                </w:tcPr>
                <w:p w14:paraId="33BA1691">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cstheme="minorBidi"/>
                      <w:b/>
                      <w:bCs/>
                      <w:color w:val="000000" w:themeColor="text1"/>
                      <w:sz w:val="21"/>
                      <w:szCs w:val="21"/>
                      <w:highlight w:val="none"/>
                      <w:lang w:val="en-US" w:eastAsia="zh-CN" w:bidi="ar-SA"/>
                      <w14:textFill>
                        <w14:solidFill>
                          <w14:schemeClr w14:val="tx1"/>
                        </w14:solidFill>
                      </w14:textFill>
                    </w:rPr>
                    <w:t>830</w:t>
                  </w:r>
                </w:p>
              </w:tc>
              <w:tc>
                <w:tcPr>
                  <w:tcW w:w="1911" w:type="pct"/>
                  <w:tcBorders>
                    <w:tl2br w:val="nil"/>
                    <w:tr2bl w:val="nil"/>
                  </w:tcBorders>
                  <w:shd w:val="clear" w:color="auto" w:fill="auto"/>
                  <w:noWrap w:val="0"/>
                  <w:vAlign w:val="center"/>
                </w:tcPr>
                <w:p w14:paraId="08EC7EC6">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一期工程项目水平衡</w:t>
                  </w:r>
                </w:p>
              </w:tc>
            </w:tr>
            <w:tr w14:paraId="3550C0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5000" w:type="pct"/>
                  <w:gridSpan w:val="6"/>
                  <w:tcBorders>
                    <w:tl2br w:val="nil"/>
                    <w:tr2bl w:val="nil"/>
                  </w:tcBorders>
                  <w:noWrap w:val="0"/>
                  <w:vAlign w:val="center"/>
                </w:tcPr>
                <w:p w14:paraId="72454FA6">
                  <w:pPr>
                    <w:spacing w:line="360" w:lineRule="exact"/>
                    <w:jc w:val="center"/>
                    <w:rPr>
                      <w:rFonts w:hint="eastAsia"/>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二期工程</w:t>
                  </w:r>
                </w:p>
              </w:tc>
            </w:tr>
            <w:tr w14:paraId="45E679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shd w:val="clear" w:color="auto" w:fill="auto"/>
                  <w:noWrap w:val="0"/>
                  <w:vAlign w:val="center"/>
                </w:tcPr>
                <w:p w14:paraId="2EA9BEA3">
                  <w:pPr>
                    <w:spacing w:line="360" w:lineRule="exact"/>
                    <w:jc w:val="center"/>
                    <w:rPr>
                      <w:rFonts w:hint="default"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cstheme="minorBidi"/>
                      <w:bCs/>
                      <w:color w:val="000000" w:themeColor="text1"/>
                      <w:sz w:val="21"/>
                      <w:szCs w:val="21"/>
                      <w:highlight w:val="none"/>
                      <w:lang w:val="en-US" w:eastAsia="zh-CN" w:bidi="ar-SA"/>
                      <w14:textFill>
                        <w14:solidFill>
                          <w14:schemeClr w14:val="tx1"/>
                        </w14:solidFill>
                      </w14:textFill>
                    </w:rPr>
                    <w:t>10</w:t>
                  </w:r>
                </w:p>
              </w:tc>
              <w:tc>
                <w:tcPr>
                  <w:tcW w:w="918" w:type="pct"/>
                  <w:tcBorders>
                    <w:tl2br w:val="nil"/>
                    <w:tr2bl w:val="nil"/>
                  </w:tcBorders>
                  <w:noWrap w:val="0"/>
                  <w:vAlign w:val="center"/>
                </w:tcPr>
                <w:p w14:paraId="4F817789">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分级浮选用水</w:t>
                  </w:r>
                </w:p>
              </w:tc>
              <w:tc>
                <w:tcPr>
                  <w:tcW w:w="715" w:type="pct"/>
                  <w:tcBorders>
                    <w:tl2br w:val="nil"/>
                    <w:tr2bl w:val="nil"/>
                  </w:tcBorders>
                  <w:noWrap w:val="0"/>
                  <w:vAlign w:val="center"/>
                </w:tcPr>
                <w:p w14:paraId="522E9E85">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100</w:t>
                  </w:r>
                </w:p>
              </w:tc>
              <w:tc>
                <w:tcPr>
                  <w:tcW w:w="698" w:type="pct"/>
                  <w:tcBorders>
                    <w:tl2br w:val="nil"/>
                    <w:tr2bl w:val="nil"/>
                  </w:tcBorders>
                  <w:noWrap w:val="0"/>
                  <w:vAlign w:val="center"/>
                </w:tcPr>
                <w:p w14:paraId="1437E033">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100</w:t>
                  </w:r>
                </w:p>
              </w:tc>
              <w:tc>
                <w:tcPr>
                  <w:tcW w:w="462" w:type="pct"/>
                  <w:tcBorders>
                    <w:tl2br w:val="nil"/>
                    <w:tr2bl w:val="nil"/>
                  </w:tcBorders>
                  <w:noWrap w:val="0"/>
                  <w:vAlign w:val="center"/>
                </w:tcPr>
                <w:p w14:paraId="0320C3E2">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w:t>
                  </w:r>
                </w:p>
              </w:tc>
              <w:tc>
                <w:tcPr>
                  <w:tcW w:w="1911" w:type="pct"/>
                  <w:vMerge w:val="restart"/>
                  <w:tcBorders>
                    <w:tl2br w:val="nil"/>
                    <w:tr2bl w:val="nil"/>
                  </w:tcBorders>
                  <w:noWrap w:val="0"/>
                  <w:vAlign w:val="center"/>
                </w:tcPr>
                <w:p w14:paraId="26685955">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被半成品带走</w:t>
                  </w:r>
                </w:p>
              </w:tc>
            </w:tr>
            <w:tr w14:paraId="4F5F8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shd w:val="clear" w:color="auto" w:fill="auto"/>
                  <w:noWrap w:val="0"/>
                  <w:vAlign w:val="center"/>
                </w:tcPr>
                <w:p w14:paraId="460432CC">
                  <w:pPr>
                    <w:spacing w:line="360" w:lineRule="exact"/>
                    <w:jc w:val="center"/>
                    <w:rPr>
                      <w:rFonts w:hint="default" w:cstheme="minorBidi"/>
                      <w:b/>
                      <w:bCs w:val="0"/>
                      <w:color w:val="000000" w:themeColor="text1"/>
                      <w:sz w:val="21"/>
                      <w:szCs w:val="21"/>
                      <w:highlight w:val="none"/>
                      <w:lang w:val="en-US" w:eastAsia="zh-CN" w:bidi="ar-SA"/>
                      <w14:textFill>
                        <w14:solidFill>
                          <w14:schemeClr w14:val="tx1"/>
                        </w14:solidFill>
                      </w14:textFill>
                    </w:rPr>
                  </w:pPr>
                  <w:r>
                    <w:rPr>
                      <w:rFonts w:hint="eastAsia" w:cstheme="minorBidi"/>
                      <w:b/>
                      <w:bCs w:val="0"/>
                      <w:color w:val="000000" w:themeColor="text1"/>
                      <w:sz w:val="21"/>
                      <w:szCs w:val="21"/>
                      <w:highlight w:val="none"/>
                      <w:lang w:val="en-US" w:eastAsia="zh-CN" w:bidi="ar-SA"/>
                      <w14:textFill>
                        <w14:solidFill>
                          <w14:schemeClr w14:val="tx1"/>
                        </w14:solidFill>
                      </w14:textFill>
                    </w:rPr>
                    <w:t>14</w:t>
                  </w:r>
                </w:p>
              </w:tc>
              <w:tc>
                <w:tcPr>
                  <w:tcW w:w="918" w:type="pct"/>
                  <w:tcBorders>
                    <w:tl2br w:val="nil"/>
                    <w:tr2bl w:val="nil"/>
                  </w:tcBorders>
                  <w:noWrap w:val="0"/>
                  <w:vAlign w:val="center"/>
                </w:tcPr>
                <w:p w14:paraId="08DC4A3D">
                  <w:pPr>
                    <w:spacing w:line="360" w:lineRule="exact"/>
                    <w:jc w:val="center"/>
                    <w:rPr>
                      <w:rFonts w:hint="eastAsia"/>
                      <w:b/>
                      <w:bCs w:val="0"/>
                      <w:color w:val="000000" w:themeColor="text1"/>
                      <w:highlight w:val="none"/>
                      <w:lang w:val="en-US" w:eastAsia="zh-CN"/>
                      <w14:textFill>
                        <w14:solidFill>
                          <w14:schemeClr w14:val="tx1"/>
                        </w14:solidFill>
                      </w14:textFill>
                    </w:rPr>
                  </w:pPr>
                  <w:r>
                    <w:rPr>
                      <w:rFonts w:hint="eastAsia"/>
                      <w:b/>
                      <w:bCs w:val="0"/>
                      <w:color w:val="000000" w:themeColor="text1"/>
                      <w:highlight w:val="none"/>
                      <w:lang w:val="en-US" w:eastAsia="zh-CN"/>
                      <w14:textFill>
                        <w14:solidFill>
                          <w14:schemeClr w14:val="tx1"/>
                        </w14:solidFill>
                      </w14:textFill>
                    </w:rPr>
                    <w:t>二期工程新鲜水用水量</w:t>
                  </w:r>
                </w:p>
              </w:tc>
              <w:tc>
                <w:tcPr>
                  <w:tcW w:w="715" w:type="pct"/>
                  <w:tcBorders>
                    <w:tl2br w:val="nil"/>
                    <w:tr2bl w:val="nil"/>
                  </w:tcBorders>
                  <w:shd w:val="clear" w:color="auto" w:fill="auto"/>
                  <w:noWrap w:val="0"/>
                  <w:vAlign w:val="center"/>
                </w:tcPr>
                <w:p w14:paraId="5C4F25B0">
                  <w:pPr>
                    <w:spacing w:line="360" w:lineRule="exact"/>
                    <w:jc w:val="center"/>
                    <w:rPr>
                      <w:rFonts w:hint="default" w:ascii="Times New Roman" w:hAnsi="Times New Roman" w:eastAsia="宋体" w:cstheme="minorBidi"/>
                      <w:b/>
                      <w:bCs w:val="0"/>
                      <w:color w:val="000000" w:themeColor="text1"/>
                      <w:sz w:val="21"/>
                      <w:szCs w:val="21"/>
                      <w:highlight w:val="none"/>
                      <w:lang w:val="en-US" w:eastAsia="zh-CN" w:bidi="ar-SA"/>
                      <w14:textFill>
                        <w14:solidFill>
                          <w14:schemeClr w14:val="tx1"/>
                        </w14:solidFill>
                      </w14:textFill>
                    </w:rPr>
                  </w:pPr>
                  <w:r>
                    <w:rPr>
                      <w:rFonts w:hint="eastAsia"/>
                      <w:b/>
                      <w:bCs w:val="0"/>
                      <w:color w:val="000000" w:themeColor="text1"/>
                      <w:sz w:val="21"/>
                      <w:szCs w:val="21"/>
                      <w:highlight w:val="none"/>
                      <w:lang w:val="en-US" w:eastAsia="zh-CN"/>
                      <w14:textFill>
                        <w14:solidFill>
                          <w14:schemeClr w14:val="tx1"/>
                        </w14:solidFill>
                      </w14:textFill>
                    </w:rPr>
                    <w:t>100</w:t>
                  </w:r>
                </w:p>
              </w:tc>
              <w:tc>
                <w:tcPr>
                  <w:tcW w:w="698" w:type="pct"/>
                  <w:tcBorders>
                    <w:tl2br w:val="nil"/>
                    <w:tr2bl w:val="nil"/>
                  </w:tcBorders>
                  <w:shd w:val="clear" w:color="auto" w:fill="auto"/>
                  <w:noWrap w:val="0"/>
                  <w:vAlign w:val="center"/>
                </w:tcPr>
                <w:p w14:paraId="3DDB96BC">
                  <w:pPr>
                    <w:spacing w:line="360" w:lineRule="exact"/>
                    <w:jc w:val="center"/>
                    <w:rPr>
                      <w:rFonts w:hint="default" w:ascii="Times New Roman" w:hAnsi="Times New Roman" w:eastAsia="宋体" w:cstheme="minorBidi"/>
                      <w:b/>
                      <w:bCs w:val="0"/>
                      <w:color w:val="000000" w:themeColor="text1"/>
                      <w:sz w:val="21"/>
                      <w:szCs w:val="21"/>
                      <w:highlight w:val="none"/>
                      <w:lang w:val="en-US" w:eastAsia="zh-CN" w:bidi="ar-SA"/>
                      <w14:textFill>
                        <w14:solidFill>
                          <w14:schemeClr w14:val="tx1"/>
                        </w14:solidFill>
                      </w14:textFill>
                    </w:rPr>
                  </w:pPr>
                  <w:r>
                    <w:rPr>
                      <w:rFonts w:hint="eastAsia"/>
                      <w:b/>
                      <w:bCs w:val="0"/>
                      <w:color w:val="000000" w:themeColor="text1"/>
                      <w:sz w:val="21"/>
                      <w:szCs w:val="21"/>
                      <w:highlight w:val="none"/>
                      <w:lang w:val="en-US" w:eastAsia="zh-CN"/>
                      <w14:textFill>
                        <w14:solidFill>
                          <w14:schemeClr w14:val="tx1"/>
                        </w14:solidFill>
                      </w14:textFill>
                    </w:rPr>
                    <w:t>100</w:t>
                  </w:r>
                </w:p>
              </w:tc>
              <w:tc>
                <w:tcPr>
                  <w:tcW w:w="462" w:type="pct"/>
                  <w:tcBorders>
                    <w:tl2br w:val="nil"/>
                    <w:tr2bl w:val="nil"/>
                  </w:tcBorders>
                  <w:noWrap w:val="0"/>
                  <w:vAlign w:val="center"/>
                </w:tcPr>
                <w:p w14:paraId="135AC130">
                  <w:pPr>
                    <w:spacing w:line="360" w:lineRule="exact"/>
                    <w:jc w:val="center"/>
                    <w:rPr>
                      <w:rFonts w:hint="default"/>
                      <w:b/>
                      <w:bCs w:val="0"/>
                      <w:color w:val="000000" w:themeColor="text1"/>
                      <w:sz w:val="21"/>
                      <w:szCs w:val="21"/>
                      <w:highlight w:val="none"/>
                      <w:lang w:val="en-US" w:eastAsia="zh-CN"/>
                      <w14:textFill>
                        <w14:solidFill>
                          <w14:schemeClr w14:val="tx1"/>
                        </w14:solidFill>
                      </w14:textFill>
                    </w:rPr>
                  </w:pPr>
                  <w:r>
                    <w:rPr>
                      <w:rFonts w:hint="eastAsia"/>
                      <w:b/>
                      <w:bCs w:val="0"/>
                      <w:color w:val="000000" w:themeColor="text1"/>
                      <w:sz w:val="21"/>
                      <w:szCs w:val="21"/>
                      <w:highlight w:val="none"/>
                      <w:lang w:val="en-US" w:eastAsia="zh-CN"/>
                      <w14:textFill>
                        <w14:solidFill>
                          <w14:schemeClr w14:val="tx1"/>
                        </w14:solidFill>
                      </w14:textFill>
                    </w:rPr>
                    <w:t>/</w:t>
                  </w:r>
                </w:p>
              </w:tc>
              <w:tc>
                <w:tcPr>
                  <w:tcW w:w="1911" w:type="pct"/>
                  <w:vMerge w:val="continue"/>
                  <w:tcBorders>
                    <w:tl2br w:val="nil"/>
                    <w:tr2bl w:val="nil"/>
                  </w:tcBorders>
                  <w:noWrap w:val="0"/>
                  <w:vAlign w:val="center"/>
                </w:tcPr>
                <w:p w14:paraId="69097754">
                  <w:pPr>
                    <w:spacing w:line="360" w:lineRule="exact"/>
                    <w:jc w:val="center"/>
                    <w:rPr>
                      <w:rFonts w:hint="eastAsia" w:cstheme="minorBidi"/>
                      <w:b w:val="0"/>
                      <w:bCs/>
                      <w:color w:val="000000" w:themeColor="text1"/>
                      <w:sz w:val="21"/>
                      <w:szCs w:val="21"/>
                      <w:highlight w:val="none"/>
                      <w:lang w:val="en-US" w:eastAsia="zh-CN" w:bidi="ar-SA"/>
                      <w14:textFill>
                        <w14:solidFill>
                          <w14:schemeClr w14:val="tx1"/>
                        </w14:solidFill>
                      </w14:textFill>
                    </w:rPr>
                  </w:pPr>
                </w:p>
              </w:tc>
            </w:tr>
          </w:tbl>
          <w:p w14:paraId="0BA87EC9">
            <w:pPr>
              <w:pageBreakBefore w:val="0"/>
              <w:shd w:val="clear" w:color="auto" w:fill="auto"/>
              <w:tabs>
                <w:tab w:val="left" w:pos="736"/>
              </w:tabs>
              <w:kinsoku w:val="0"/>
              <w:wordWrap/>
              <w:overflowPunct w:val="0"/>
              <w:topLinePunct w:val="0"/>
              <w:autoSpaceDE/>
              <w:autoSpaceDN/>
              <w:bidi w:val="0"/>
              <w:adjustRightInd w:val="0"/>
              <w:spacing w:beforeAutospacing="0" w:afterAutospacing="0" w:line="360" w:lineRule="auto"/>
              <w:ind w:left="0" w:leftChars="0" w:right="0" w:firstLine="480" w:firstLineChars="200"/>
              <w:jc w:val="left"/>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项目</w:t>
            </w:r>
            <w:r>
              <w:rPr>
                <w:rFonts w:hint="eastAsia" w:cs="Times New Roman"/>
                <w:color w:val="000000" w:themeColor="text1"/>
                <w:w w:val="100"/>
                <w:position w:val="0"/>
                <w:sz w:val="24"/>
                <w:szCs w:val="24"/>
                <w:highlight w:val="none"/>
                <w:lang w:val="en-US" w:eastAsia="zh-CN"/>
                <w14:textFill>
                  <w14:solidFill>
                    <w14:schemeClr w14:val="tx1"/>
                  </w14:solidFill>
                </w14:textFill>
              </w:rPr>
              <w:t>一期、二期</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水平衡图见图2-1</w:t>
            </w:r>
            <w:r>
              <w:rPr>
                <w:rFonts w:hint="eastAsia" w:cs="Times New Roman"/>
                <w:color w:val="000000" w:themeColor="text1"/>
                <w:w w:val="100"/>
                <w:position w:val="0"/>
                <w:sz w:val="24"/>
                <w:szCs w:val="24"/>
                <w:highlight w:val="none"/>
                <w:lang w:val="en-US" w:eastAsia="zh-CN"/>
                <w14:textFill>
                  <w14:solidFill>
                    <w14:schemeClr w14:val="tx1"/>
                  </w14:solidFill>
                </w14:textFill>
              </w:rPr>
              <w:t>。</w:t>
            </w:r>
          </w:p>
          <w:p w14:paraId="09CC8457">
            <w:pP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drawing>
                <wp:inline distT="0" distB="0" distL="114300" distR="114300">
                  <wp:extent cx="5128895" cy="4121150"/>
                  <wp:effectExtent l="0" t="0" r="14605" b="12700"/>
                  <wp:docPr id="62" name="图片 62" descr="水平衡流程图-硅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水平衡流程图-硅粉新"/>
                          <pic:cNvPicPr>
                            <a:picLocks noChangeAspect="1"/>
                          </pic:cNvPicPr>
                        </pic:nvPicPr>
                        <pic:blipFill>
                          <a:blip r:embed="rId12"/>
                          <a:stretch>
                            <a:fillRect/>
                          </a:stretch>
                        </pic:blipFill>
                        <pic:spPr>
                          <a:xfrm>
                            <a:off x="0" y="0"/>
                            <a:ext cx="5128895" cy="4121150"/>
                          </a:xfrm>
                          <a:prstGeom prst="rect">
                            <a:avLst/>
                          </a:prstGeom>
                        </pic:spPr>
                      </pic:pic>
                    </a:graphicData>
                  </a:graphic>
                </wp:inline>
              </w:drawing>
            </w:r>
          </w:p>
          <w:p w14:paraId="7BF8FB68">
            <w:pPr>
              <w:jc w:val="center"/>
              <w:rPr>
                <w:rFonts w:hint="default"/>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w w:val="100"/>
                <w:position w:val="0"/>
                <w:sz w:val="21"/>
                <w:szCs w:val="21"/>
                <w:highlight w:val="none"/>
                <w:lang w:val="en-US" w:eastAsia="zh-CN"/>
                <w14:textFill>
                  <w14:solidFill>
                    <w14:schemeClr w14:val="tx1"/>
                  </w14:solidFill>
                </w14:textFill>
              </w:rPr>
              <w:t>图2-1   项目</w:t>
            </w: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水平衡图</w:t>
            </w:r>
            <w:r>
              <w:rPr>
                <w:rFonts w:hint="eastAsia" w:cs="Times New Roman"/>
                <w:b/>
                <w:bCs/>
                <w:color w:val="000000" w:themeColor="text1"/>
                <w:w w:val="100"/>
                <w:position w:val="0"/>
                <w:sz w:val="21"/>
                <w:szCs w:val="21"/>
                <w:highlight w:val="none"/>
                <w:lang w:val="en-US" w:eastAsia="zh-CN"/>
                <w14:textFill>
                  <w14:solidFill>
                    <w14:schemeClr w14:val="tx1"/>
                  </w14:solidFill>
                </w14:textFill>
              </w:rPr>
              <w:t xml:space="preserve">  单位（m</w:t>
            </w:r>
            <w:r>
              <w:rPr>
                <w:rFonts w:hint="eastAsia" w:cs="Times New Roman"/>
                <w:b/>
                <w:bCs/>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b/>
                <w:bCs/>
                <w:color w:val="000000" w:themeColor="text1"/>
                <w:w w:val="100"/>
                <w:position w:val="0"/>
                <w:sz w:val="21"/>
                <w:szCs w:val="21"/>
                <w:highlight w:val="none"/>
                <w:lang w:val="en-US" w:eastAsia="zh-CN"/>
                <w14:textFill>
                  <w14:solidFill>
                    <w14:schemeClr w14:val="tx1"/>
                  </w14:solidFill>
                </w14:textFill>
              </w:rPr>
              <w:t>/a）</w:t>
            </w:r>
          </w:p>
          <w:p w14:paraId="06E54028">
            <w:pPr>
              <w:pStyle w:val="19"/>
              <w:pageBreakBefore w:val="0"/>
              <w:shd w:val="clear" w:color="auto" w:fill="auto"/>
              <w:kinsoku/>
              <w:wordWrap/>
              <w:overflowPunct/>
              <w:topLinePunct w:val="0"/>
              <w:autoSpaceDE/>
              <w:autoSpaceDN/>
              <w:bidi w:val="0"/>
              <w:adjustRightInd/>
              <w:snapToGrid/>
              <w:spacing w:beforeAutospacing="0" w:afterAutospacing="0" w:line="360" w:lineRule="auto"/>
              <w:ind w:left="482" w:leftChars="0" w:right="0"/>
              <w:textAlignment w:val="auto"/>
              <w:rPr>
                <w:rFonts w:hint="default" w:ascii="Times New Roman" w:hAnsi="Times New Roman" w:cs="Times New Roman"/>
                <w:b/>
                <w:bCs/>
                <w:color w:val="000000" w:themeColor="text1"/>
                <w:w w:val="100"/>
                <w:position w:val="0"/>
                <w:sz w:val="24"/>
                <w:szCs w:val="24"/>
                <w:highlight w:val="none"/>
                <w:lang w:val="en-US"/>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6.3</w:t>
            </w:r>
            <w:r>
              <w:rPr>
                <w:rFonts w:hint="eastAsia" w:cs="Times New Roman"/>
                <w:b/>
                <w:bCs/>
                <w:color w:val="000000" w:themeColor="text1"/>
                <w:w w:val="100"/>
                <w:position w:val="0"/>
                <w:sz w:val="24"/>
                <w:szCs w:val="24"/>
                <w:highlight w:val="none"/>
                <w:lang w:val="en-US" w:eastAsia="zh-CN"/>
                <w14:textFill>
                  <w14:solidFill>
                    <w14:schemeClr w14:val="tx1"/>
                  </w14:solidFill>
                </w14:textFill>
              </w:rPr>
              <w:t>物料平衡</w:t>
            </w:r>
          </w:p>
          <w:p w14:paraId="3BA148B3">
            <w:pPr>
              <w:pStyle w:val="19"/>
              <w:pageBreakBefore w:val="0"/>
              <w:shd w:val="clear" w:color="auto" w:fill="auto"/>
              <w:kinsoku/>
              <w:wordWrap/>
              <w:overflowPunct/>
              <w:topLinePunct w:val="0"/>
              <w:autoSpaceDE/>
              <w:autoSpaceDN/>
              <w:bidi w:val="0"/>
              <w:adjustRightInd/>
              <w:snapToGrid/>
              <w:spacing w:beforeAutospacing="0" w:afterAutospacing="0" w:line="360" w:lineRule="auto"/>
              <w:ind w:left="422" w:leftChars="0" w:right="0"/>
              <w:jc w:val="center"/>
              <w:textAlignment w:val="auto"/>
              <w:rPr>
                <w:rFonts w:cs="宋体"/>
                <w:b/>
                <w:color w:val="000000" w:themeColor="text1"/>
                <w:highlight w:val="none"/>
                <w14:textFill>
                  <w14:solidFill>
                    <w14:schemeClr w14:val="tx1"/>
                  </w14:solidFill>
                </w14:textFill>
              </w:rPr>
            </w:pPr>
            <w:r>
              <w:rPr>
                <w:rFonts w:cs="宋体"/>
                <w:b/>
                <w:color w:val="000000" w:themeColor="text1"/>
                <w:highlight w:val="none"/>
                <w14:textFill>
                  <w14:solidFill>
                    <w14:schemeClr w14:val="tx1"/>
                  </w14:solidFill>
                </w14:textFill>
              </w:rPr>
              <w:t>表</w:t>
            </w:r>
            <w:r>
              <w:rPr>
                <w:rFonts w:hint="eastAsia" w:cs="宋体"/>
                <w:b/>
                <w:color w:val="000000" w:themeColor="text1"/>
                <w:highlight w:val="none"/>
                <w:lang w:val="en-US" w:eastAsia="zh-CN"/>
                <w14:textFill>
                  <w14:solidFill>
                    <w14:schemeClr w14:val="tx1"/>
                  </w14:solidFill>
                </w14:textFill>
              </w:rPr>
              <w:t xml:space="preserve">2-5 </w:t>
            </w:r>
            <w:r>
              <w:rPr>
                <w:rFonts w:cs="宋体"/>
                <w:b/>
                <w:color w:val="000000" w:themeColor="text1"/>
                <w:highlight w:val="none"/>
                <w14:textFill>
                  <w14:solidFill>
                    <w14:schemeClr w14:val="tx1"/>
                  </w14:solidFill>
                </w14:textFill>
              </w:rPr>
              <w:t xml:space="preserve">   </w:t>
            </w:r>
            <w:r>
              <w:rPr>
                <w:rFonts w:hint="eastAsia" w:cs="宋体"/>
                <w:b/>
                <w:color w:val="000000" w:themeColor="text1"/>
                <w:highlight w:val="none"/>
                <w:lang w:val="en-US" w:eastAsia="zh-CN"/>
                <w14:textFill>
                  <w14:solidFill>
                    <w14:schemeClr w14:val="tx1"/>
                  </w14:solidFill>
                </w14:textFill>
              </w:rPr>
              <w:t>物料</w:t>
            </w:r>
            <w:r>
              <w:rPr>
                <w:rFonts w:cs="宋体"/>
                <w:b/>
                <w:color w:val="000000" w:themeColor="text1"/>
                <w:highlight w:val="none"/>
                <w14:textFill>
                  <w14:solidFill>
                    <w14:schemeClr w14:val="tx1"/>
                  </w14:solidFill>
                </w14:textFill>
              </w:rPr>
              <w:t>平衡表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3"/>
              <w:gridCol w:w="2610"/>
              <w:gridCol w:w="930"/>
              <w:gridCol w:w="480"/>
              <w:gridCol w:w="2505"/>
              <w:gridCol w:w="1206"/>
            </w:tblGrid>
            <w:tr w14:paraId="2900D0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14" w:type="pct"/>
                  <w:gridSpan w:val="3"/>
                  <w:tcBorders>
                    <w:bottom w:val="single" w:color="auto" w:sz="12" w:space="0"/>
                  </w:tcBorders>
                  <w:vAlign w:val="center"/>
                </w:tcPr>
                <w:p w14:paraId="0DA6EDA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投入</w:t>
                  </w:r>
                </w:p>
              </w:tc>
              <w:tc>
                <w:tcPr>
                  <w:tcW w:w="2585" w:type="pct"/>
                  <w:gridSpan w:val="3"/>
                  <w:tcBorders>
                    <w:bottom w:val="single" w:color="auto" w:sz="12" w:space="0"/>
                  </w:tcBorders>
                  <w:vAlign w:val="center"/>
                </w:tcPr>
                <w:p w14:paraId="33A41714">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产出</w:t>
                  </w:r>
                </w:p>
              </w:tc>
            </w:tr>
            <w:tr w14:paraId="14DFE2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6"/>
                  <w:tcBorders>
                    <w:top w:val="single" w:color="auto" w:sz="12" w:space="0"/>
                    <w:bottom w:val="single" w:color="000000" w:sz="4" w:space="0"/>
                    <w:tl2br w:val="nil"/>
                    <w:tr2bl w:val="nil"/>
                  </w:tcBorders>
                  <w:vAlign w:val="center"/>
                </w:tcPr>
                <w:p w14:paraId="5B41C0F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p>
              </w:tc>
            </w:tr>
            <w:tr w14:paraId="532EE2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left w:val="nil"/>
                    <w:bottom w:val="single" w:color="000000" w:sz="4" w:space="0"/>
                    <w:right w:val="single" w:color="000000" w:sz="4" w:space="0"/>
                  </w:tcBorders>
                  <w:shd w:val="clear" w:color="auto" w:fill="auto"/>
                  <w:vAlign w:val="center"/>
                </w:tcPr>
                <w:p w14:paraId="4C3E69B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A162C">
                  <w:pPr>
                    <w:pStyle w:val="39"/>
                    <w:bidi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废硅粉（</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含铁8</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10%</w:t>
                  </w:r>
                </w:p>
                <w:p w14:paraId="7366EB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含铝1</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3%</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2D0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12000t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C940">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w:t>
                  </w:r>
                </w:p>
              </w:tc>
              <w:tc>
                <w:tcPr>
                  <w:tcW w:w="1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B14C">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硅粉（</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含硅浓度</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98%）</w:t>
                  </w:r>
                </w:p>
              </w:tc>
              <w:tc>
                <w:tcPr>
                  <w:tcW w:w="744" w:type="pct"/>
                  <w:tcBorders>
                    <w:top w:val="single" w:color="000000" w:sz="4" w:space="0"/>
                    <w:left w:val="single" w:color="000000" w:sz="4" w:space="0"/>
                    <w:bottom w:val="single" w:color="000000" w:sz="4" w:space="0"/>
                    <w:right w:val="nil"/>
                  </w:tcBorders>
                  <w:shd w:val="clear" w:color="auto" w:fill="auto"/>
                  <w:vAlign w:val="center"/>
                </w:tcPr>
                <w:p w14:paraId="43575FC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8000t</w:t>
                  </w:r>
                </w:p>
              </w:tc>
            </w:tr>
            <w:tr w14:paraId="6C5B1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46EBB1C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2</w:t>
                  </w:r>
                </w:p>
              </w:tc>
              <w:tc>
                <w:tcPr>
                  <w:tcW w:w="1610" w:type="pct"/>
                  <w:tcBorders>
                    <w:top w:val="single" w:color="000000" w:sz="4" w:space="0"/>
                    <w:tl2br w:val="nil"/>
                    <w:tr2bl w:val="nil"/>
                  </w:tcBorders>
                  <w:shd w:val="clear" w:color="auto" w:fill="auto"/>
                  <w:vAlign w:val="center"/>
                </w:tcPr>
                <w:p w14:paraId="42C5099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废</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硅渣</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含硅20</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30%</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2D6DCB2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15000t</w:t>
                  </w:r>
                </w:p>
              </w:tc>
              <w:tc>
                <w:tcPr>
                  <w:tcW w:w="296" w:type="pct"/>
                  <w:tcBorders>
                    <w:top w:val="single" w:color="000000" w:sz="4" w:space="0"/>
                    <w:tl2br w:val="nil"/>
                    <w:tr2bl w:val="nil"/>
                  </w:tcBorders>
                  <w:shd w:val="clear" w:color="auto" w:fill="auto"/>
                  <w:vAlign w:val="center"/>
                </w:tcPr>
                <w:p w14:paraId="7BD2199B">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2</w:t>
                  </w:r>
                </w:p>
              </w:tc>
              <w:tc>
                <w:tcPr>
                  <w:tcW w:w="1545" w:type="pct"/>
                  <w:tcBorders>
                    <w:top w:val="single" w:color="000000" w:sz="4" w:space="0"/>
                    <w:tl2br w:val="nil"/>
                    <w:tr2bl w:val="nil"/>
                  </w:tcBorders>
                  <w:vAlign w:val="center"/>
                </w:tcPr>
                <w:p w14:paraId="281587A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硅粉（</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含硅浓度</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80%）</w:t>
                  </w:r>
                </w:p>
              </w:tc>
              <w:tc>
                <w:tcPr>
                  <w:tcW w:w="744" w:type="pct"/>
                  <w:tcBorders>
                    <w:top w:val="single" w:color="000000" w:sz="4" w:space="0"/>
                    <w:tl2br w:val="nil"/>
                    <w:tr2bl w:val="nil"/>
                  </w:tcBorders>
                  <w:vAlign w:val="center"/>
                </w:tcPr>
                <w:p w14:paraId="4F946CC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3000t</w:t>
                  </w:r>
                </w:p>
              </w:tc>
            </w:tr>
            <w:tr w14:paraId="42937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413CB80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w:t>
                  </w:r>
                </w:p>
              </w:tc>
              <w:tc>
                <w:tcPr>
                  <w:tcW w:w="1610" w:type="pct"/>
                  <w:tcBorders>
                    <w:top w:val="single" w:color="000000" w:sz="4" w:space="0"/>
                    <w:tl2br w:val="nil"/>
                    <w:tr2bl w:val="nil"/>
                  </w:tcBorders>
                  <w:shd w:val="clear" w:color="auto" w:fill="auto"/>
                  <w:vAlign w:val="center"/>
                </w:tcPr>
                <w:p w14:paraId="12475C4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盐酸</w:t>
                  </w:r>
                </w:p>
              </w:tc>
              <w:tc>
                <w:tcPr>
                  <w:tcW w:w="573" w:type="pct"/>
                  <w:tcBorders>
                    <w:top w:val="single" w:color="000000" w:sz="4" w:space="0"/>
                    <w:tl2br w:val="nil"/>
                    <w:tr2bl w:val="nil"/>
                  </w:tcBorders>
                  <w:shd w:val="clear" w:color="auto" w:fill="auto"/>
                  <w:vAlign w:val="center"/>
                </w:tcPr>
                <w:p w14:paraId="75E60AD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3000t</w:t>
                  </w:r>
                </w:p>
              </w:tc>
              <w:tc>
                <w:tcPr>
                  <w:tcW w:w="296" w:type="pct"/>
                  <w:tcBorders>
                    <w:top w:val="single" w:color="000000" w:sz="4" w:space="0"/>
                    <w:tl2br w:val="nil"/>
                    <w:tr2bl w:val="nil"/>
                  </w:tcBorders>
                  <w:shd w:val="clear" w:color="auto" w:fill="auto"/>
                  <w:vAlign w:val="center"/>
                </w:tcPr>
                <w:p w14:paraId="29633B0F">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w:t>
                  </w:r>
                </w:p>
              </w:tc>
              <w:tc>
                <w:tcPr>
                  <w:tcW w:w="1545" w:type="pct"/>
                  <w:tcBorders>
                    <w:top w:val="single" w:color="000000" w:sz="4" w:space="0"/>
                    <w:tl2br w:val="nil"/>
                    <w:tr2bl w:val="nil"/>
                  </w:tcBorders>
                  <w:shd w:val="clear" w:color="auto" w:fill="auto"/>
                  <w:vAlign w:val="center"/>
                </w:tcPr>
                <w:p w14:paraId="027595D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酸洗循环</w:t>
                  </w:r>
                </w:p>
              </w:tc>
              <w:tc>
                <w:tcPr>
                  <w:tcW w:w="744" w:type="pct"/>
                  <w:tcBorders>
                    <w:top w:val="single" w:color="000000" w:sz="4" w:space="0"/>
                    <w:tl2br w:val="nil"/>
                    <w:tr2bl w:val="nil"/>
                  </w:tcBorders>
                  <w:shd w:val="clear" w:color="auto" w:fill="auto"/>
                  <w:vAlign w:val="center"/>
                </w:tcPr>
                <w:p w14:paraId="79F9320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21t</w:t>
                  </w:r>
                </w:p>
              </w:tc>
            </w:tr>
            <w:tr w14:paraId="4854E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7413F0D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op w:val="single" w:color="000000" w:sz="4" w:space="0"/>
                    <w:tl2br w:val="nil"/>
                    <w:tr2bl w:val="nil"/>
                  </w:tcBorders>
                  <w:shd w:val="clear" w:color="auto" w:fill="auto"/>
                  <w:vAlign w:val="center"/>
                </w:tcPr>
                <w:p w14:paraId="5157C72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747F1AF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op w:val="single" w:color="000000" w:sz="4" w:space="0"/>
                    <w:tl2br w:val="nil"/>
                    <w:tr2bl w:val="nil"/>
                  </w:tcBorders>
                  <w:shd w:val="clear" w:color="auto" w:fill="auto"/>
                  <w:vAlign w:val="center"/>
                </w:tcPr>
                <w:p w14:paraId="5CF33C28">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4</w:t>
                  </w:r>
                </w:p>
              </w:tc>
              <w:tc>
                <w:tcPr>
                  <w:tcW w:w="1545" w:type="pct"/>
                  <w:tcBorders>
                    <w:top w:val="single" w:color="000000" w:sz="4" w:space="0"/>
                    <w:tl2br w:val="nil"/>
                    <w:tr2bl w:val="nil"/>
                  </w:tcBorders>
                  <w:vAlign w:val="center"/>
                </w:tcPr>
                <w:p w14:paraId="562325B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碱淋塔酸碱中和</w:t>
                  </w:r>
                </w:p>
              </w:tc>
              <w:tc>
                <w:tcPr>
                  <w:tcW w:w="744" w:type="pct"/>
                  <w:tcBorders>
                    <w:top w:val="single" w:color="000000" w:sz="4" w:space="0"/>
                    <w:tl2br w:val="nil"/>
                    <w:tr2bl w:val="nil"/>
                  </w:tcBorders>
                  <w:vAlign w:val="center"/>
                </w:tcPr>
                <w:p w14:paraId="1258393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0.498t</w:t>
                  </w:r>
                </w:p>
              </w:tc>
            </w:tr>
            <w:tr w14:paraId="246115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4DDD3FC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op w:val="single" w:color="000000" w:sz="4" w:space="0"/>
                    <w:tl2br w:val="nil"/>
                    <w:tr2bl w:val="nil"/>
                  </w:tcBorders>
                  <w:shd w:val="clear" w:color="auto" w:fill="auto"/>
                  <w:vAlign w:val="center"/>
                </w:tcPr>
                <w:p w14:paraId="194BFE8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0DEC3EB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op w:val="single" w:color="000000" w:sz="4" w:space="0"/>
                    <w:tl2br w:val="nil"/>
                    <w:tr2bl w:val="nil"/>
                  </w:tcBorders>
                  <w:shd w:val="clear" w:color="auto" w:fill="auto"/>
                  <w:vAlign w:val="center"/>
                </w:tcPr>
                <w:p w14:paraId="290B8BA9">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5</w:t>
                  </w:r>
                </w:p>
              </w:tc>
              <w:tc>
                <w:tcPr>
                  <w:tcW w:w="1545" w:type="pct"/>
                  <w:tcBorders>
                    <w:top w:val="single" w:color="000000" w:sz="4" w:space="0"/>
                    <w:tl2br w:val="nil"/>
                    <w:tr2bl w:val="nil"/>
                  </w:tcBorders>
                  <w:vAlign w:val="center"/>
                </w:tcPr>
                <w:p w14:paraId="7B2164A0">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酸洗废气、储罐呼吸废气</w:t>
                  </w:r>
                </w:p>
              </w:tc>
              <w:tc>
                <w:tcPr>
                  <w:tcW w:w="744" w:type="pct"/>
                  <w:tcBorders>
                    <w:top w:val="single" w:color="000000" w:sz="4" w:space="0"/>
                    <w:tl2br w:val="nil"/>
                    <w:tr2bl w:val="nil"/>
                  </w:tcBorders>
                  <w:vAlign w:val="center"/>
                </w:tcPr>
                <w:p w14:paraId="5C1208C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0.676t</w:t>
                  </w:r>
                </w:p>
              </w:tc>
            </w:tr>
            <w:tr w14:paraId="0DC7C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102EF02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op w:val="single" w:color="000000" w:sz="4" w:space="0"/>
                    <w:tl2br w:val="nil"/>
                    <w:tr2bl w:val="nil"/>
                  </w:tcBorders>
                  <w:shd w:val="clear" w:color="auto" w:fill="auto"/>
                  <w:vAlign w:val="center"/>
                </w:tcPr>
                <w:p w14:paraId="7116DC6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2ECB998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op w:val="single" w:color="000000" w:sz="4" w:space="0"/>
                    <w:tl2br w:val="nil"/>
                    <w:tr2bl w:val="nil"/>
                  </w:tcBorders>
                  <w:shd w:val="clear" w:color="auto" w:fill="auto"/>
                  <w:vAlign w:val="center"/>
                </w:tcPr>
                <w:p w14:paraId="13F7C7D2">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6</w:t>
                  </w:r>
                </w:p>
              </w:tc>
              <w:tc>
                <w:tcPr>
                  <w:tcW w:w="1545" w:type="pct"/>
                  <w:tcBorders>
                    <w:top w:val="single" w:color="000000" w:sz="4" w:space="0"/>
                    <w:tl2br w:val="nil"/>
                    <w:tr2bl w:val="nil"/>
                  </w:tcBorders>
                  <w:vAlign w:val="center"/>
                </w:tcPr>
                <w:p w14:paraId="76370CF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酸洗后半成品</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残留酸</w:t>
                  </w:r>
                </w:p>
              </w:tc>
              <w:tc>
                <w:tcPr>
                  <w:tcW w:w="744" w:type="pct"/>
                  <w:tcBorders>
                    <w:top w:val="single" w:color="000000" w:sz="4" w:space="0"/>
                    <w:tl2br w:val="nil"/>
                    <w:tr2bl w:val="nil"/>
                  </w:tcBorders>
                  <w:vAlign w:val="center"/>
                </w:tcPr>
                <w:p w14:paraId="0E0486D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2977.826t</w:t>
                  </w:r>
                </w:p>
              </w:tc>
            </w:tr>
            <w:tr w14:paraId="6A714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6B428812">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5732B8C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227A700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736DCAF0">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7</w:t>
                  </w:r>
                </w:p>
              </w:tc>
              <w:tc>
                <w:tcPr>
                  <w:tcW w:w="1545" w:type="pct"/>
                  <w:tcBorders>
                    <w:tl2br w:val="nil"/>
                    <w:tr2bl w:val="nil"/>
                  </w:tcBorders>
                  <w:vAlign w:val="center"/>
                </w:tcPr>
                <w:p w14:paraId="3C15906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粉尘</w:t>
                  </w:r>
                </w:p>
              </w:tc>
              <w:tc>
                <w:tcPr>
                  <w:tcW w:w="744" w:type="pct"/>
                  <w:tcBorders>
                    <w:tl2br w:val="nil"/>
                    <w:tr2bl w:val="nil"/>
                  </w:tcBorders>
                  <w:vAlign w:val="center"/>
                </w:tcPr>
                <w:p w14:paraId="251FD6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0.36</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t</w:t>
                  </w:r>
                </w:p>
              </w:tc>
            </w:tr>
            <w:tr w14:paraId="5B7D4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0530D1C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78CE430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3F51AB5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0580B4CB">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8</w:t>
                  </w:r>
                </w:p>
              </w:tc>
              <w:tc>
                <w:tcPr>
                  <w:tcW w:w="1545" w:type="pct"/>
                  <w:tcBorders>
                    <w:tl2br w:val="nil"/>
                    <w:tr2bl w:val="nil"/>
                  </w:tcBorders>
                  <w:vAlign w:val="center"/>
                </w:tcPr>
                <w:p w14:paraId="3B96E7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除尘灰</w:t>
                  </w:r>
                </w:p>
              </w:tc>
              <w:tc>
                <w:tcPr>
                  <w:tcW w:w="744" w:type="pct"/>
                  <w:tcBorders>
                    <w:tl2br w:val="nil"/>
                    <w:tr2bl w:val="nil"/>
                  </w:tcBorders>
                  <w:vAlign w:val="center"/>
                </w:tcPr>
                <w:p w14:paraId="5D99F0A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2.294t</w:t>
                  </w:r>
                </w:p>
              </w:tc>
            </w:tr>
            <w:tr w14:paraId="4C8516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303E89E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1C5CC19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2E991AF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4137B789">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9</w:t>
                  </w:r>
                </w:p>
              </w:tc>
              <w:tc>
                <w:tcPr>
                  <w:tcW w:w="1545" w:type="pct"/>
                  <w:tcBorders>
                    <w:tl2br w:val="nil"/>
                    <w:tr2bl w:val="nil"/>
                  </w:tcBorders>
                  <w:vAlign w:val="center"/>
                </w:tcPr>
                <w:p w14:paraId="3B5C9392">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废金属盐</w:t>
                  </w:r>
                </w:p>
              </w:tc>
              <w:tc>
                <w:tcPr>
                  <w:tcW w:w="744" w:type="pct"/>
                  <w:tcBorders>
                    <w:tl2br w:val="nil"/>
                    <w:tr2bl w:val="nil"/>
                  </w:tcBorders>
                  <w:vAlign w:val="center"/>
                </w:tcPr>
                <w:p w14:paraId="28EA68D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1560t</w:t>
                  </w:r>
                </w:p>
              </w:tc>
            </w:tr>
            <w:tr w14:paraId="73972E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03F7774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49C2F79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4CFAFD82">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58B732C1">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10</w:t>
                  </w:r>
                </w:p>
              </w:tc>
              <w:tc>
                <w:tcPr>
                  <w:tcW w:w="1545" w:type="pct"/>
                  <w:tcBorders>
                    <w:tl2br w:val="nil"/>
                    <w:tr2bl w:val="nil"/>
                  </w:tcBorders>
                  <w:vAlign w:val="center"/>
                </w:tcPr>
                <w:p w14:paraId="2E86A5D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一期生产工序尾渣</w:t>
                  </w:r>
                </w:p>
              </w:tc>
              <w:tc>
                <w:tcPr>
                  <w:tcW w:w="744" w:type="pct"/>
                  <w:tcBorders>
                    <w:tl2br w:val="nil"/>
                    <w:tr2bl w:val="nil"/>
                  </w:tcBorders>
                  <w:vAlign w:val="center"/>
                </w:tcPr>
                <w:p w14:paraId="6D7C938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2197.346t</w:t>
                  </w:r>
                </w:p>
              </w:tc>
            </w:tr>
            <w:tr w14:paraId="49DA4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1C7E332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1A5142C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079C316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10543455">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11</w:t>
                  </w:r>
                </w:p>
              </w:tc>
              <w:tc>
                <w:tcPr>
                  <w:tcW w:w="1545" w:type="pct"/>
                  <w:tcBorders>
                    <w:tl2br w:val="nil"/>
                    <w:tr2bl w:val="nil"/>
                  </w:tcBorders>
                  <w:vAlign w:val="center"/>
                </w:tcPr>
                <w:p w14:paraId="08E241D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沉淀池底泥</w:t>
                  </w:r>
                </w:p>
              </w:tc>
              <w:tc>
                <w:tcPr>
                  <w:tcW w:w="744" w:type="pct"/>
                  <w:tcBorders>
                    <w:tl2br w:val="nil"/>
                    <w:tr2bl w:val="nil"/>
                  </w:tcBorders>
                  <w:vAlign w:val="center"/>
                </w:tcPr>
                <w:p w14:paraId="2CE8E3C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240t</w:t>
                  </w:r>
                </w:p>
              </w:tc>
            </w:tr>
            <w:tr w14:paraId="1F1D78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10561DB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7155C3D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10D4CFB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70D85EF6">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12</w:t>
                  </w:r>
                </w:p>
              </w:tc>
              <w:tc>
                <w:tcPr>
                  <w:tcW w:w="1545" w:type="pct"/>
                  <w:tcBorders>
                    <w:tl2br w:val="nil"/>
                    <w:tr2bl w:val="nil"/>
                  </w:tcBorders>
                  <w:vAlign w:val="center"/>
                </w:tcPr>
                <w:p w14:paraId="7CAA652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二期粉尘</w:t>
                  </w:r>
                </w:p>
              </w:tc>
              <w:tc>
                <w:tcPr>
                  <w:tcW w:w="744" w:type="pct"/>
                  <w:tcBorders>
                    <w:tl2br w:val="nil"/>
                    <w:tr2bl w:val="nil"/>
                  </w:tcBorders>
                  <w:vAlign w:val="center"/>
                </w:tcPr>
                <w:p w14:paraId="5DE8B6B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6.52t</w:t>
                  </w:r>
                </w:p>
              </w:tc>
            </w:tr>
            <w:tr w14:paraId="1AB30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36C4C97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20CB90D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253DEC6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13EBBDCB">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13</w:t>
                  </w:r>
                </w:p>
              </w:tc>
              <w:tc>
                <w:tcPr>
                  <w:tcW w:w="1545" w:type="pct"/>
                  <w:tcBorders>
                    <w:tl2br w:val="nil"/>
                    <w:tr2bl w:val="nil"/>
                  </w:tcBorders>
                  <w:vAlign w:val="center"/>
                </w:tcPr>
                <w:p w14:paraId="47C3AE0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除尘灰</w:t>
                  </w:r>
                </w:p>
              </w:tc>
              <w:tc>
                <w:tcPr>
                  <w:tcW w:w="744" w:type="pct"/>
                  <w:tcBorders>
                    <w:tl2br w:val="nil"/>
                    <w:tr2bl w:val="nil"/>
                  </w:tcBorders>
                  <w:vAlign w:val="center"/>
                </w:tcPr>
                <w:p w14:paraId="0158E48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53.193t</w:t>
                  </w:r>
                </w:p>
              </w:tc>
            </w:tr>
            <w:tr w14:paraId="4ADF89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21666CC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6289D3D0">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0F6A789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7243B4CC">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14</w:t>
                  </w:r>
                </w:p>
              </w:tc>
              <w:tc>
                <w:tcPr>
                  <w:tcW w:w="1545" w:type="pct"/>
                  <w:tcBorders>
                    <w:tl2br w:val="nil"/>
                    <w:tr2bl w:val="nil"/>
                  </w:tcBorders>
                  <w:vAlign w:val="center"/>
                </w:tcPr>
                <w:p w14:paraId="7AEA973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生产工序尾渣</w:t>
                  </w:r>
                </w:p>
              </w:tc>
              <w:tc>
                <w:tcPr>
                  <w:tcW w:w="744" w:type="pct"/>
                  <w:tcBorders>
                    <w:tl2br w:val="nil"/>
                    <w:tr2bl w:val="nil"/>
                  </w:tcBorders>
                  <w:vAlign w:val="center"/>
                </w:tcPr>
                <w:p w14:paraId="61CA3F7F">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11820.287t</w:t>
                  </w:r>
                </w:p>
              </w:tc>
            </w:tr>
            <w:tr w14:paraId="64B3A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7E52CDD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2816262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01B4856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051FDC9C">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15</w:t>
                  </w:r>
                </w:p>
              </w:tc>
              <w:tc>
                <w:tcPr>
                  <w:tcW w:w="1545" w:type="pct"/>
                  <w:tcBorders>
                    <w:tl2br w:val="nil"/>
                    <w:tr2bl w:val="nil"/>
                  </w:tcBorders>
                  <w:vAlign w:val="center"/>
                </w:tcPr>
                <w:p w14:paraId="734D6E6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沉淀池底泥</w:t>
                  </w:r>
                </w:p>
              </w:tc>
              <w:tc>
                <w:tcPr>
                  <w:tcW w:w="744" w:type="pct"/>
                  <w:tcBorders>
                    <w:tl2br w:val="nil"/>
                    <w:tr2bl w:val="nil"/>
                  </w:tcBorders>
                  <w:vAlign w:val="center"/>
                </w:tcPr>
                <w:p w14:paraId="5CDA23A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120t</w:t>
                  </w:r>
                </w:p>
              </w:tc>
            </w:tr>
            <w:tr w14:paraId="68A15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40" w:type="pct"/>
                  <w:gridSpan w:val="2"/>
                  <w:tcBorders>
                    <w:tl2br w:val="nil"/>
                    <w:tr2bl w:val="nil"/>
                  </w:tcBorders>
                  <w:vAlign w:val="center"/>
                </w:tcPr>
                <w:p w14:paraId="18C513BF">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合计</w:t>
                  </w:r>
                </w:p>
              </w:tc>
              <w:tc>
                <w:tcPr>
                  <w:tcW w:w="573" w:type="pct"/>
                  <w:tcBorders>
                    <w:tl2br w:val="nil"/>
                    <w:tr2bl w:val="nil"/>
                  </w:tcBorders>
                  <w:shd w:val="clear" w:color="auto" w:fill="auto"/>
                  <w:vAlign w:val="center"/>
                </w:tcPr>
                <w:p w14:paraId="7E6A8A2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30000t</w:t>
                  </w:r>
                </w:p>
              </w:tc>
              <w:tc>
                <w:tcPr>
                  <w:tcW w:w="296" w:type="pct"/>
                  <w:tcBorders>
                    <w:tl2br w:val="nil"/>
                    <w:tr2bl w:val="nil"/>
                  </w:tcBorders>
                  <w:shd w:val="clear" w:color="auto" w:fill="auto"/>
                  <w:vAlign w:val="center"/>
                </w:tcPr>
                <w:p w14:paraId="0F6FD9E3">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p>
              </w:tc>
              <w:tc>
                <w:tcPr>
                  <w:tcW w:w="1545" w:type="pct"/>
                  <w:tcBorders>
                    <w:tl2br w:val="nil"/>
                    <w:tr2bl w:val="nil"/>
                  </w:tcBorders>
                  <w:vAlign w:val="center"/>
                </w:tcPr>
                <w:p w14:paraId="68718D3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合计</w:t>
                  </w:r>
                </w:p>
              </w:tc>
              <w:tc>
                <w:tcPr>
                  <w:tcW w:w="744" w:type="pct"/>
                  <w:tcBorders>
                    <w:tl2br w:val="nil"/>
                    <w:tr2bl w:val="nil"/>
                  </w:tcBorders>
                  <w:shd w:val="clear" w:color="auto" w:fill="auto"/>
                  <w:vAlign w:val="center"/>
                </w:tcPr>
                <w:p w14:paraId="6FE9A73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30000t</w:t>
                  </w:r>
                </w:p>
              </w:tc>
            </w:tr>
          </w:tbl>
          <w:p w14:paraId="7F066E93">
            <w:pPr>
              <w:pStyle w:val="19"/>
              <w:pageBreakBefore w:val="0"/>
              <w:shd w:val="clear" w:color="auto" w:fill="auto"/>
              <w:kinsoku/>
              <w:wordWrap/>
              <w:overflowPunct/>
              <w:topLinePunct w:val="0"/>
              <w:autoSpaceDE/>
              <w:autoSpaceDN/>
              <w:bidi w:val="0"/>
              <w:adjustRightInd/>
              <w:snapToGrid/>
              <w:spacing w:beforeAutospacing="0" w:afterAutospacing="0" w:line="360" w:lineRule="auto"/>
              <w:ind w:left="482" w:leftChars="0" w:right="0"/>
              <w:textAlignment w:val="auto"/>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w:t>
            </w:r>
            <w:r>
              <w:rPr>
                <w:rFonts w:hint="eastAsia" w:cs="Times New Roman"/>
                <w:b/>
                <w:bCs/>
                <w:color w:val="000000" w:themeColor="text1"/>
                <w:w w:val="100"/>
                <w:position w:val="0"/>
                <w:sz w:val="24"/>
                <w:szCs w:val="24"/>
                <w:highlight w:val="none"/>
                <w:lang w:val="en-US" w:eastAsia="zh-CN"/>
                <w14:textFill>
                  <w14:solidFill>
                    <w14:schemeClr w14:val="tx1"/>
                  </w14:solidFill>
                </w14:textFill>
              </w:rPr>
              <w:t>4</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供电</w:t>
            </w:r>
          </w:p>
          <w:p w14:paraId="7C86DF97">
            <w:pPr>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由园区电网供电。</w:t>
            </w:r>
          </w:p>
          <w:p w14:paraId="0FBF626E">
            <w:pPr>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textAlignment w:val="auto"/>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w:t>
            </w:r>
            <w:r>
              <w:rPr>
                <w:rFonts w:hint="eastAsia" w:cs="Times New Roman"/>
                <w:b/>
                <w:bCs/>
                <w:color w:val="000000" w:themeColor="text1"/>
                <w:w w:val="100"/>
                <w:position w:val="0"/>
                <w:sz w:val="24"/>
                <w:szCs w:val="24"/>
                <w:highlight w:val="none"/>
                <w:lang w:val="en-US" w:eastAsia="zh-CN"/>
                <w14:textFill>
                  <w14:solidFill>
                    <w14:schemeClr w14:val="tx1"/>
                  </w14:solidFill>
                </w14:textFill>
              </w:rPr>
              <w:t>5</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供暖</w:t>
            </w:r>
          </w:p>
          <w:p w14:paraId="4FDE196A">
            <w:pPr>
              <w:pStyle w:val="41"/>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项目冬季人员</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办公采用电采暖供热，</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生产车间</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利用锅炉蒸汽余热供暖</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p>
          <w:p w14:paraId="253ADE4F">
            <w:pPr>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textAlignment w:val="auto"/>
              <w:rPr>
                <w:rFonts w:hint="eastAsia" w:ascii="Times New Roman" w:hAnsi="Times New Roman" w:eastAsia="宋体" w:cs="Times New Roman"/>
                <w:b/>
                <w:bCs/>
                <w:color w:val="000000" w:themeColor="text1"/>
                <w:w w:val="100"/>
                <w:position w:val="0"/>
                <w:sz w:val="24"/>
                <w:szCs w:val="24"/>
                <w:highlight w:val="none"/>
                <w:lang w:eastAsia="zh-CN"/>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w:t>
            </w:r>
            <w:r>
              <w:rPr>
                <w:rFonts w:hint="eastAsia" w:cs="Times New Roman"/>
                <w:b/>
                <w:bCs/>
                <w:color w:val="000000" w:themeColor="text1"/>
                <w:w w:val="100"/>
                <w:position w:val="0"/>
                <w:sz w:val="24"/>
                <w:szCs w:val="24"/>
                <w:highlight w:val="none"/>
                <w:lang w:val="en-US" w:eastAsia="zh-CN"/>
                <w14:textFill>
                  <w14:solidFill>
                    <w14:schemeClr w14:val="tx1"/>
                  </w14:solidFill>
                </w14:textFill>
              </w:rPr>
              <w:t>6</w:t>
            </w:r>
            <w:r>
              <w:rPr>
                <w:rFonts w:hint="eastAsia"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生产</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供</w:t>
            </w:r>
            <w:r>
              <w:rPr>
                <w:rFonts w:hint="eastAsia"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气</w:t>
            </w:r>
          </w:p>
          <w:p w14:paraId="02CDCE31">
            <w:pPr>
              <w:pStyle w:val="41"/>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本项目生产所需蒸汽由厂内新增醇基锅炉提供。</w:t>
            </w:r>
          </w:p>
          <w:p w14:paraId="0FB7A48D">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工作制度及劳动定员</w:t>
            </w:r>
          </w:p>
          <w:p w14:paraId="497C45B9">
            <w:pPr>
              <w:pStyle w:val="29"/>
              <w:ind w:firstLine="42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劳动定员：劳动定员4人，由原熔炼车间调配，均不在场内食宿。</w:t>
            </w:r>
          </w:p>
          <w:p w14:paraId="33A235FA">
            <w:pPr>
              <w:pStyle w:val="29"/>
              <w:ind w:firstLine="42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工作制度：全年工作日</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为300天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/年（4800小时/年）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，实行</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班运转、每班8小时工作制度。</w:t>
            </w:r>
          </w:p>
          <w:p w14:paraId="7EE6195D">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总平面布置</w:t>
            </w:r>
          </w:p>
          <w:p w14:paraId="395BC695">
            <w:pPr>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本次建设于新疆振宏机械制造有限责任公司</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原熔炼车间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西侧，</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租赁昌吉市先导工程材料有限责任公司1#厂房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已建车间（面积为840m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）以及</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东侧</w:t>
            </w:r>
            <w:r>
              <w:rPr>
                <w:rFonts w:hint="eastAsia" w:cs="Times New Roman"/>
                <w:color w:val="000000" w:themeColor="text1"/>
                <w:w w:val="100"/>
                <w:position w:val="0"/>
                <w:sz w:val="24"/>
                <w:szCs w:val="24"/>
                <w:highlight w:val="none"/>
                <w:lang w:val="en-US" w:eastAsia="zh-CN"/>
                <w14:textFill>
                  <w14:solidFill>
                    <w14:schemeClr w14:val="tx1"/>
                  </w14:solidFill>
                </w14:textFill>
              </w:rPr>
              <w:t>设备棚</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（面积为620m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北侧隔科韵路为新疆鑫润达建材有限公司，西侧为新疆恒泰新型建材有限公司，南侧为新疆朝阳电缆有限公司，东侧为昌吉市政建设（集团）有限公司</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0C0DC54C">
            <w:pPr>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1#厂房内</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为本项目一期建设内容，</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建设</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区域北侧设置1座预搅拌罐及6座搅拌罐，东北侧设置两台压滤机，厂房内</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东</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南侧设置2座重选沉淀池（尺寸均为11.3×</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m）。1#厂房</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西</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北侧</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新建</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一座</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t/h的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醇基锅炉</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和一套碱洗设备，碱洗设备主要包括碱洗水池（</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10m</w:t>
            </w:r>
            <w:r>
              <w:rPr>
                <w:rFonts w:hint="eastAsia" w:ascii="Times New Roman" w:hAnsi="Times New Roman" w:eastAsia="宋体"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）、碱洗塔、碱洗水泵、废气风机</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70C3A9EC">
            <w:pPr>
              <w:spacing w:line="360" w:lineRule="auto"/>
              <w:ind w:firstLine="480" w:firstLineChars="200"/>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1#厂房外东侧贴邻厂房处</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设备棚</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用于安装摇床、搅拌罐（压滤后搅拌用）、静压机及二期主要设备破碎机、球磨机、分级机和浮选机。1#厂房外南侧10m处增设一座尺寸为19×</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m的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外沉</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池，用于本项目生产供水</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厂房</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西南侧新建一座30</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m</w:t>
            </w:r>
            <w:r>
              <w:rPr>
                <w:rFonts w:hint="eastAsia" w:ascii="Times New Roman" w:hAnsi="Times New Roman" w:eastAsia="宋体"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盐酸罐用于盐酸贮存，盐酸罐周围设置围堰，厂房西侧新建一座烘干塔。</w:t>
            </w:r>
          </w:p>
          <w:p w14:paraId="6EA4E2D2">
            <w:pPr>
              <w:spacing w:line="360" w:lineRule="auto"/>
              <w:ind w:firstLine="480" w:firstLineChars="200"/>
              <w:rPr>
                <w:rFonts w:hint="default"/>
                <w:color w:val="000000" w:themeColor="text1"/>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项目平面布置充分考虑了生产需求，使生产过程中物料输送距离短，便于节能降耗、提高生产效率，兼顾了附近环境情况。从方便生产、安全管理、保护环境角度考虑，项目布局合理，满足企业有关标</w:t>
            </w:r>
            <w:r>
              <w:rPr>
                <w:rFonts w:hint="eastAsia"/>
                <w:color w:val="000000" w:themeColor="text1"/>
                <w:sz w:val="24"/>
                <w:szCs w:val="24"/>
                <w:highlight w:val="none"/>
                <w:lang w:eastAsia="zh-CN"/>
                <w14:textFill>
                  <w14:solidFill>
                    <w14:schemeClr w14:val="tx1"/>
                  </w14:solidFill>
                </w14:textFill>
              </w:rPr>
              <w:t>准和</w:t>
            </w:r>
            <w:r>
              <w:rPr>
                <w:rFonts w:hint="eastAsia"/>
                <w:color w:val="000000" w:themeColor="text1"/>
                <w:sz w:val="24"/>
                <w:szCs w:val="24"/>
                <w:highlight w:val="none"/>
                <w14:textFill>
                  <w14:solidFill>
                    <w14:schemeClr w14:val="tx1"/>
                  </w14:solidFill>
                </w14:textFill>
              </w:rPr>
              <w:t>规范要求。</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项目平面布置图与设备平面布置图见附图3与附图4。</w:t>
            </w:r>
          </w:p>
        </w:tc>
      </w:tr>
      <w:tr w14:paraId="4C5018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5" w:type="dxa"/>
            <w:tcBorders>
              <w:tl2br w:val="nil"/>
              <w:tr2bl w:val="nil"/>
            </w:tcBorders>
            <w:vAlign w:val="center"/>
          </w:tcPr>
          <w:p w14:paraId="2447FBC5">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工艺流程和产排污环节</w:t>
            </w:r>
          </w:p>
        </w:tc>
        <w:tc>
          <w:tcPr>
            <w:tcW w:w="7907" w:type="dxa"/>
            <w:tcBorders>
              <w:tl2br w:val="nil"/>
              <w:tr2bl w:val="nil"/>
            </w:tcBorders>
          </w:tcPr>
          <w:p w14:paraId="03A6FDF5">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2.9、施工期工艺流程和产排污环节</w:t>
            </w:r>
          </w:p>
          <w:p w14:paraId="620F3E6B">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本项目为</w:t>
            </w:r>
            <w:r>
              <w:rPr>
                <w:rFonts w:hint="eastAsia"/>
                <w:color w:val="000000" w:themeColor="text1"/>
                <w:highlight w:val="none"/>
                <w:lang w:val="en-US" w:eastAsia="zh-CN"/>
                <w14:textFill>
                  <w14:solidFill>
                    <w14:schemeClr w14:val="tx1"/>
                  </w14:solidFill>
                </w14:textFill>
              </w:rPr>
              <w:t>扩建</w:t>
            </w:r>
            <w:r>
              <w:rPr>
                <w:rFonts w:hint="eastAsia"/>
                <w:color w:val="000000" w:themeColor="text1"/>
                <w:highlight w:val="none"/>
                <w14:textFill>
                  <w14:solidFill>
                    <w14:schemeClr w14:val="tx1"/>
                  </w14:solidFill>
                </w14:textFill>
              </w:rPr>
              <w:t>项目，本项目施工期工程主要是生产车间、辅助工程、环保工程、设备安装等工程的建设。该项目施工期对环境的影响是短期的，活动结束后可恢复。主要工程流程如下图所示。</w:t>
            </w:r>
          </w:p>
          <w:p w14:paraId="031B3EB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mc:AlternateContent>
                <mc:Choice Requires="wpc">
                  <w:drawing>
                    <wp:inline distT="0" distB="0" distL="114300" distR="114300">
                      <wp:extent cx="5154930" cy="1370330"/>
                      <wp:effectExtent l="0" t="6350" r="0" b="7620"/>
                      <wp:docPr id="133" name="画布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19" name="矩形 17"/>
                              <wps:cNvSpPr/>
                              <wps:spPr>
                                <a:xfrm>
                                  <a:off x="11430"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778FF7C5">
                                    <w:pPr>
                                      <w:jc w:val="center"/>
                                      <w:rPr>
                                        <w:sz w:val="18"/>
                                        <w:szCs w:val="18"/>
                                      </w:rPr>
                                    </w:pPr>
                                    <w:r>
                                      <w:rPr>
                                        <w:rFonts w:hint="eastAsia"/>
                                        <w:sz w:val="18"/>
                                        <w:szCs w:val="18"/>
                                      </w:rPr>
                                      <w:t>土地平整</w:t>
                                    </w:r>
                                  </w:p>
                                </w:txbxContent>
                              </wps:txbx>
                              <wps:bodyPr wrap="square" lIns="0" tIns="36000" rIns="0" bIns="45720" upright="1"/>
                            </wps:wsp>
                            <wps:wsp>
                              <wps:cNvPr id="220" name="自选图形 37"/>
                              <wps:cNvCnPr/>
                              <wps:spPr>
                                <a:xfrm rot="-5400000">
                                  <a:off x="882650" y="1061720"/>
                                  <a:ext cx="635" cy="323850"/>
                                </a:xfrm>
                                <a:prstGeom prst="straightConnector1">
                                  <a:avLst/>
                                </a:prstGeom>
                                <a:ln w="6350" cap="flat" cmpd="sng">
                                  <a:solidFill>
                                    <a:srgbClr val="000001"/>
                                  </a:solidFill>
                                  <a:prstDash val="solid"/>
                                  <a:headEnd type="none" w="med" len="med"/>
                                  <a:tailEnd type="triangle" w="med" len="med"/>
                                </a:ln>
                              </wps:spPr>
                              <wps:bodyPr/>
                            </wps:wsp>
                            <wps:wsp>
                              <wps:cNvPr id="221" name="自选图形 37"/>
                              <wps:cNvCnPr/>
                              <wps:spPr>
                                <a:xfrm>
                                  <a:off x="364490" y="721360"/>
                                  <a:ext cx="2087880" cy="635"/>
                                </a:xfrm>
                                <a:prstGeom prst="straightConnector1">
                                  <a:avLst/>
                                </a:prstGeom>
                                <a:ln w="6350" cap="flat" cmpd="sng">
                                  <a:solidFill>
                                    <a:srgbClr val="000001"/>
                                  </a:solidFill>
                                  <a:prstDash val="solid"/>
                                  <a:headEnd type="none" w="med" len="med"/>
                                  <a:tailEnd type="none" w="med" len="med"/>
                                </a:ln>
                              </wps:spPr>
                              <wps:bodyPr/>
                            </wps:wsp>
                            <wps:wsp>
                              <wps:cNvPr id="222" name="自选图形 37"/>
                              <wps:cNvCnPr/>
                              <wps:spPr>
                                <a:xfrm rot="-5400000">
                                  <a:off x="170180" y="897255"/>
                                  <a:ext cx="360045" cy="635"/>
                                </a:xfrm>
                                <a:prstGeom prst="straightConnector1">
                                  <a:avLst/>
                                </a:prstGeom>
                                <a:ln w="6350" cap="flat" cmpd="sng">
                                  <a:solidFill>
                                    <a:srgbClr val="000001"/>
                                  </a:solidFill>
                                  <a:prstDash val="dash"/>
                                  <a:headEnd type="none" w="med" len="med"/>
                                  <a:tailEnd type="triangle" w="med" len="med"/>
                                </a:ln>
                              </wps:spPr>
                              <wps:bodyPr/>
                            </wps:wsp>
                            <wps:wsp>
                              <wps:cNvPr id="223" name="矩形 17"/>
                              <wps:cNvSpPr/>
                              <wps:spPr>
                                <a:xfrm>
                                  <a:off x="27305" y="0"/>
                                  <a:ext cx="2640330" cy="459105"/>
                                </a:xfrm>
                                <a:prstGeom prst="rect">
                                  <a:avLst/>
                                </a:prstGeom>
                                <a:noFill/>
                                <a:ln w="12700" cap="flat" cmpd="sng">
                                  <a:solidFill>
                                    <a:srgbClr val="000001"/>
                                  </a:solidFill>
                                  <a:prstDash val="dash"/>
                                  <a:miter/>
                                  <a:headEnd type="none" w="med" len="med"/>
                                  <a:tailEnd type="none" w="med" len="med"/>
                                </a:ln>
                              </wps:spPr>
                              <wps:txbx>
                                <w:txbxContent>
                                  <w:p w14:paraId="0F6A2F38">
                                    <w:pPr>
                                      <w:jc w:val="center"/>
                                      <w:rPr>
                                        <w:sz w:val="18"/>
                                        <w:szCs w:val="18"/>
                                      </w:rPr>
                                    </w:pPr>
                                    <w:r>
                                      <w:rPr>
                                        <w:rFonts w:hint="eastAsia"/>
                                        <w:sz w:val="18"/>
                                        <w:szCs w:val="18"/>
                                      </w:rPr>
                                      <w:t>施工扬尘、机械噪声、</w:t>
                                    </w:r>
                                  </w:p>
                                  <w:p w14:paraId="58D2761A">
                                    <w:pPr>
                                      <w:jc w:val="center"/>
                                      <w:rPr>
                                        <w:sz w:val="18"/>
                                        <w:szCs w:val="18"/>
                                      </w:rPr>
                                    </w:pPr>
                                    <w:r>
                                      <w:rPr>
                                        <w:rFonts w:hint="eastAsia"/>
                                        <w:sz w:val="18"/>
                                        <w:szCs w:val="18"/>
                                      </w:rPr>
                                      <w:t>装修废气、生活污水、装修垃圾</w:t>
                                    </w:r>
                                  </w:p>
                                </w:txbxContent>
                              </wps:txbx>
                              <wps:bodyPr wrap="square" lIns="0" tIns="36000" rIns="0" bIns="45720" upright="1"/>
                            </wps:wsp>
                            <wps:wsp>
                              <wps:cNvPr id="224" name="矩形 17"/>
                              <wps:cNvSpPr/>
                              <wps:spPr>
                                <a:xfrm>
                                  <a:off x="1040130"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6D735EC1">
                                    <w:pPr>
                                      <w:jc w:val="center"/>
                                      <w:rPr>
                                        <w:sz w:val="18"/>
                                        <w:szCs w:val="18"/>
                                      </w:rPr>
                                    </w:pPr>
                                    <w:r>
                                      <w:rPr>
                                        <w:rFonts w:hint="eastAsia"/>
                                        <w:sz w:val="18"/>
                                        <w:szCs w:val="18"/>
                                      </w:rPr>
                                      <w:t>基础工程</w:t>
                                    </w:r>
                                  </w:p>
                                </w:txbxContent>
                              </wps:txbx>
                              <wps:bodyPr wrap="square" lIns="0" tIns="36000" rIns="0" bIns="45720" upright="1"/>
                            </wps:wsp>
                            <wps:wsp>
                              <wps:cNvPr id="225" name="自选图形 37"/>
                              <wps:cNvCnPr/>
                              <wps:spPr>
                                <a:xfrm rot="-5400000">
                                  <a:off x="1930400" y="1060450"/>
                                  <a:ext cx="635" cy="323850"/>
                                </a:xfrm>
                                <a:prstGeom prst="straightConnector1">
                                  <a:avLst/>
                                </a:prstGeom>
                                <a:ln w="6350" cap="flat" cmpd="sng">
                                  <a:solidFill>
                                    <a:srgbClr val="000001"/>
                                  </a:solidFill>
                                  <a:prstDash val="solid"/>
                                  <a:headEnd type="none" w="med" len="med"/>
                                  <a:tailEnd type="triangle" w="med" len="med"/>
                                </a:ln>
                              </wps:spPr>
                              <wps:bodyPr/>
                            </wps:wsp>
                            <wps:wsp>
                              <wps:cNvPr id="226" name="矩形 17"/>
                              <wps:cNvSpPr/>
                              <wps:spPr>
                                <a:xfrm>
                                  <a:off x="2078355"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770AB18C">
                                    <w:pPr>
                                      <w:jc w:val="center"/>
                                    </w:pPr>
                                    <w:r>
                                      <w:rPr>
                                        <w:sz w:val="18"/>
                                        <w:szCs w:val="18"/>
                                      </w:rPr>
                                      <w:t>主体工程</w:t>
                                    </w:r>
                                  </w:p>
                                </w:txbxContent>
                              </wps:txbx>
                              <wps:bodyPr wrap="square" lIns="0" tIns="36000" rIns="0" bIns="45720" upright="1"/>
                            </wps:wsp>
                            <wps:wsp>
                              <wps:cNvPr id="227" name="自选图形 37"/>
                              <wps:cNvCnPr/>
                              <wps:spPr>
                                <a:xfrm rot="-5400000">
                                  <a:off x="2964815" y="1060450"/>
                                  <a:ext cx="635" cy="323850"/>
                                </a:xfrm>
                                <a:prstGeom prst="straightConnector1">
                                  <a:avLst/>
                                </a:prstGeom>
                                <a:ln w="6350" cap="flat" cmpd="sng">
                                  <a:solidFill>
                                    <a:srgbClr val="000001"/>
                                  </a:solidFill>
                                  <a:prstDash val="solid"/>
                                  <a:headEnd type="none" w="med" len="med"/>
                                  <a:tailEnd type="triangle" w="med" len="med"/>
                                </a:ln>
                              </wps:spPr>
                              <wps:bodyPr/>
                            </wps:wsp>
                            <wps:wsp>
                              <wps:cNvPr id="228" name="矩形 17"/>
                              <wps:cNvSpPr/>
                              <wps:spPr>
                                <a:xfrm>
                                  <a:off x="3112770"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77A5BC9C">
                                    <w:pPr>
                                      <w:jc w:val="center"/>
                                      <w:rPr>
                                        <w:sz w:val="18"/>
                                        <w:szCs w:val="18"/>
                                      </w:rPr>
                                    </w:pPr>
                                    <w:r>
                                      <w:rPr>
                                        <w:rFonts w:hint="eastAsia"/>
                                        <w:sz w:val="18"/>
                                        <w:szCs w:val="18"/>
                                      </w:rPr>
                                      <w:t>设备安装</w:t>
                                    </w:r>
                                  </w:p>
                                </w:txbxContent>
                              </wps:txbx>
                              <wps:bodyPr wrap="square" lIns="0" tIns="36000" rIns="0" bIns="45720" upright="1"/>
                            </wps:wsp>
                            <wps:wsp>
                              <wps:cNvPr id="229" name="自选图形 37"/>
                              <wps:cNvCnPr/>
                              <wps:spPr>
                                <a:xfrm rot="-5400000">
                                  <a:off x="3999230" y="1060450"/>
                                  <a:ext cx="635" cy="323850"/>
                                </a:xfrm>
                                <a:prstGeom prst="straightConnector1">
                                  <a:avLst/>
                                </a:prstGeom>
                                <a:ln w="6350" cap="flat" cmpd="sng">
                                  <a:solidFill>
                                    <a:srgbClr val="000001"/>
                                  </a:solidFill>
                                  <a:prstDash val="solid"/>
                                  <a:headEnd type="none" w="med" len="med"/>
                                  <a:tailEnd type="triangle" w="med" len="med"/>
                                </a:ln>
                              </wps:spPr>
                              <wps:bodyPr/>
                            </wps:wsp>
                            <wps:wsp>
                              <wps:cNvPr id="230" name="矩形 17"/>
                              <wps:cNvSpPr/>
                              <wps:spPr>
                                <a:xfrm>
                                  <a:off x="4147185" y="1082040"/>
                                  <a:ext cx="756920" cy="288290"/>
                                </a:xfrm>
                                <a:prstGeom prst="rect">
                                  <a:avLst/>
                                </a:prstGeom>
                                <a:noFill/>
                                <a:ln w="12700" cap="flat" cmpd="sng">
                                  <a:solidFill>
                                    <a:srgbClr val="000001"/>
                                  </a:solidFill>
                                  <a:prstDash val="solid"/>
                                  <a:miter/>
                                  <a:headEnd type="none" w="med" len="med"/>
                                  <a:tailEnd type="none" w="med" len="med"/>
                                </a:ln>
                              </wps:spPr>
                              <wps:txbx>
                                <w:txbxContent>
                                  <w:p w14:paraId="25BA3B21">
                                    <w:pPr>
                                      <w:jc w:val="center"/>
                                      <w:rPr>
                                        <w:sz w:val="18"/>
                                        <w:szCs w:val="18"/>
                                      </w:rPr>
                                    </w:pPr>
                                    <w:r>
                                      <w:rPr>
                                        <w:rFonts w:hint="eastAsia"/>
                                        <w:sz w:val="18"/>
                                        <w:szCs w:val="18"/>
                                      </w:rPr>
                                      <w:t>验收、投入使用</w:t>
                                    </w:r>
                                  </w:p>
                                </w:txbxContent>
                              </wps:txbx>
                              <wps:bodyPr wrap="square" lIns="0" tIns="36000" rIns="0" bIns="45720" upright="1"/>
                            </wps:wsp>
                            <wps:wsp>
                              <wps:cNvPr id="231" name="自选图形 37"/>
                              <wps:cNvCnPr/>
                              <wps:spPr>
                                <a:xfrm rot="-5400000">
                                  <a:off x="1087755" y="769620"/>
                                  <a:ext cx="611505" cy="635"/>
                                </a:xfrm>
                                <a:prstGeom prst="straightConnector1">
                                  <a:avLst/>
                                </a:prstGeom>
                                <a:ln w="6350" cap="flat" cmpd="sng">
                                  <a:solidFill>
                                    <a:srgbClr val="000001"/>
                                  </a:solidFill>
                                  <a:prstDash val="dash"/>
                                  <a:headEnd type="none" w="med" len="med"/>
                                  <a:tailEnd type="triangle" w="med" len="med"/>
                                </a:ln>
                              </wps:spPr>
                              <wps:bodyPr/>
                            </wps:wsp>
                            <wps:wsp>
                              <wps:cNvPr id="232" name="自选图形 37"/>
                              <wps:cNvCnPr/>
                              <wps:spPr>
                                <a:xfrm rot="-5400000">
                                  <a:off x="2251710" y="897255"/>
                                  <a:ext cx="360045" cy="635"/>
                                </a:xfrm>
                                <a:prstGeom prst="straightConnector1">
                                  <a:avLst/>
                                </a:prstGeom>
                                <a:ln w="6350" cap="flat" cmpd="sng">
                                  <a:solidFill>
                                    <a:srgbClr val="000001"/>
                                  </a:solidFill>
                                  <a:prstDash val="dash"/>
                                  <a:headEnd type="none" w="med" len="med"/>
                                  <a:tailEnd type="triangle" w="med" len="med"/>
                                </a:ln>
                              </wps:spPr>
                              <wps:bodyPr/>
                            </wps:wsp>
                          </wpc:wpc>
                        </a:graphicData>
                      </a:graphic>
                    </wp:inline>
                  </w:drawing>
                </mc:Choice>
                <mc:Fallback>
                  <w:pict>
                    <v:group id="画布 7" o:spid="_x0000_s1026" o:spt="203" style="height:107.9pt;width:405.9pt;" coordsize="5154930,1370330" editas="canvas" o:gfxdata="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">
                      <o:lock v:ext="edit" aspectratio="f"/>
                      <v:shape id="画布 7" o:spid="_x0000_s1026" style="position:absolute;left:0;top:0;height:1370330;width:5154930;" filled="f" stroked="f" coordsize="21600,21600" o:gfxdata="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">
                        <v:fill on="f" focussize="0,0"/>
                        <v:stroke on="f"/>
                        <v:imagedata o:title=""/>
                        <o:lock v:ext="edit" aspectratio="t"/>
                      </v:shape>
                      <v:rect id="矩形 17" o:spid="_x0000_s1026" o:spt="1" style="position:absolute;left:11430;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f6CNnWAAAABQEAAA8AAAAAAAAAAQAgAAAAIgAAAGRycy9kb3ducmV2LnhtbFBLAQIUABQAAAAI&#10;AIdO4kBpnhgxKAIAAEcEAAAOAAAAAAAAAAEAIAAAACUBAABkcnMvZTJvRG9jLnhtbFBLBQYAAAAA&#10;BgAGAFkBAAC/BQAAAAA=&#10;">
                        <v:fill on="f" focussize="0,0"/>
                        <v:stroke weight="1pt" color="#000001" joinstyle="miter"/>
                        <v:imagedata o:title=""/>
                        <o:lock v:ext="edit" aspectratio="f"/>
                        <v:textbox inset="0mm,1mm,0mm,1.27mm">
                          <w:txbxContent>
                            <w:p w14:paraId="778FF7C5">
                              <w:pPr>
                                <w:jc w:val="center"/>
                                <w:rPr>
                                  <w:sz w:val="18"/>
                                  <w:szCs w:val="18"/>
                                </w:rPr>
                              </w:pPr>
                              <w:r>
                                <w:rPr>
                                  <w:rFonts w:hint="eastAsia"/>
                                  <w:sz w:val="18"/>
                                  <w:szCs w:val="18"/>
                                </w:rPr>
                                <w:t>土地平整</w:t>
                              </w:r>
                            </w:p>
                          </w:txbxContent>
                        </v:textbox>
                      </v:rect>
                      <v:shape id="自选图形 37" o:spid="_x0000_s1026" o:spt="32" type="#_x0000_t32" style="position:absolute;left:882650;top:106172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Mlv41QAAAAUBAAAPAAAAAAAAAAEA&#10;IAAAACIAAABkcnMvZG93bnJldi54bWxQSwECFAAUAAAACACHTuJAFCMoQRICAAAFBAAADgAAAAAA&#10;AAABACAAAAAkAQAAZHJzL2Uyb0RvYy54bWxQSwUGAAAAAAYABgBZAQAAqAUAAAAA&#10;">
                        <v:fill on="f" focussize="0,0"/>
                        <v:stroke weight="0.5pt" color="#000001" joinstyle="round" endarrow="block"/>
                        <v:imagedata o:title=""/>
                        <o:lock v:ext="edit" aspectratio="f"/>
                      </v:shape>
                      <v:shape id="自选图形 37" o:spid="_x0000_s1026" o:spt="32" type="#_x0000_t32" style="position:absolute;left:364490;top:721360;height:635;width:2087880;" filled="f" stroked="t" coordsize="21600,21600" o:gfxdata="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53wsfVAAAABQEAAA8AAAAAAAAAAQAgAAAAIgAAAGRycy9kb3du&#10;cmV2LnhtbFBLAQIUABQAAAAIAIdO4kA+O3wZAgIAAPIDAAAOAAAAAAAAAAEAIAAAACQBAABkcnMv&#10;ZTJvRG9jLnhtbFBLBQYAAAAABgAGAFkBAACYBQAAAAA=&#10;">
                        <v:fill on="f" focussize="0,0"/>
                        <v:stroke weight="0.5pt" color="#000001" joinstyle="round"/>
                        <v:imagedata o:title=""/>
                        <o:lock v:ext="edit" aspectratio="f"/>
                      </v:shape>
                      <v:shape id="自选图形 37" o:spid="_x0000_s1026" o:spt="32" type="#_x0000_t32" style="position:absolute;left:170180;top:897255;height:635;width:360045;rotation:-5898240f;" filled="f" stroked="t" coordsize="21600,21600" o:gfxdata="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MZzUdUAAAAFAQAADwAAAAAA&#10;AAABACAAAAAiAAAAZHJzL2Rvd25yZXYueG1sUEsBAhQAFAAAAAgAh07iQNIjQPwWAgAAAwQAAA4A&#10;AAAAAAAAAQAgAAAAJAEAAGRycy9lMm9Eb2MueG1sUEsFBgAAAAAGAAYAWQEAAKwFAAAAAA==&#10;">
                        <v:fill on="f" focussize="0,0"/>
                        <v:stroke weight="0.5pt" color="#000001" joinstyle="round" dashstyle="dash" endarrow="block"/>
                        <v:imagedata o:title=""/>
                        <o:lock v:ext="edit" aspectratio="f"/>
                      </v:shape>
                      <v:rect id="矩形 17" o:spid="_x0000_s1026" o:spt="1" style="position:absolute;left:27305;top:0;height:459105;width:2640330;" filled="f" stroked="t" coordsize="21600,21600" o:gfxdata="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WZ00D9QA&#10;AAAFAQAADwAAAAAAAAABACAAAAAiAAAAZHJzL2Rvd25yZXYueG1sUEsBAhQAFAAAAAgAh07iQFOD&#10;6D4jAgAAQQQAAA4AAAAAAAAAAQAgAAAAIwEAAGRycy9lMm9Eb2MueG1sUEsFBgAAAAAGAAYAWQEA&#10;ALgFAAAAAA==&#10;">
                        <v:fill on="f" focussize="0,0"/>
                        <v:stroke weight="1pt" color="#000001" joinstyle="miter" dashstyle="dash"/>
                        <v:imagedata o:title=""/>
                        <o:lock v:ext="edit" aspectratio="f"/>
                        <v:textbox inset="0mm,1mm,0mm,1.27mm">
                          <w:txbxContent>
                            <w:p w14:paraId="0F6A2F38">
                              <w:pPr>
                                <w:jc w:val="center"/>
                                <w:rPr>
                                  <w:sz w:val="18"/>
                                  <w:szCs w:val="18"/>
                                </w:rPr>
                              </w:pPr>
                              <w:r>
                                <w:rPr>
                                  <w:rFonts w:hint="eastAsia"/>
                                  <w:sz w:val="18"/>
                                  <w:szCs w:val="18"/>
                                </w:rPr>
                                <w:t>施工扬尘、机械噪声、</w:t>
                              </w:r>
                            </w:p>
                            <w:p w14:paraId="58D2761A">
                              <w:pPr>
                                <w:jc w:val="center"/>
                                <w:rPr>
                                  <w:sz w:val="18"/>
                                  <w:szCs w:val="18"/>
                                </w:rPr>
                              </w:pPr>
                              <w:r>
                                <w:rPr>
                                  <w:rFonts w:hint="eastAsia"/>
                                  <w:sz w:val="18"/>
                                  <w:szCs w:val="18"/>
                                </w:rPr>
                                <w:t>装修废气、生活污水、装修垃圾</w:t>
                              </w:r>
                            </w:p>
                          </w:txbxContent>
                        </v:textbox>
                      </v:rect>
                      <v:rect id="矩形 17" o:spid="_x0000_s1026" o:spt="1" style="position:absolute;left:1040130;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oI2dYAAAAFAQAADwAAAAAAAAABACAAAAAiAAAAZHJzL2Rvd25yZXYueG1sUEsBAhQAFAAAAAgA&#10;h07iQBfPJ04nAgAASQQAAA4AAAAAAAAAAQAgAAAAJQEAAGRycy9lMm9Eb2MueG1sUEsFBgAAAAAG&#10;AAYAWQEAAL4FAAAAAA==&#10;">
                        <v:fill on="f" focussize="0,0"/>
                        <v:stroke weight="1pt" color="#000001" joinstyle="miter"/>
                        <v:imagedata o:title=""/>
                        <o:lock v:ext="edit" aspectratio="f"/>
                        <v:textbox inset="0mm,1mm,0mm,1.27mm">
                          <w:txbxContent>
                            <w:p w14:paraId="6D735EC1">
                              <w:pPr>
                                <w:jc w:val="center"/>
                                <w:rPr>
                                  <w:sz w:val="18"/>
                                  <w:szCs w:val="18"/>
                                </w:rPr>
                              </w:pPr>
                              <w:r>
                                <w:rPr>
                                  <w:rFonts w:hint="eastAsia"/>
                                  <w:sz w:val="18"/>
                                  <w:szCs w:val="18"/>
                                </w:rPr>
                                <w:t>基础工程</w:t>
                              </w:r>
                            </w:p>
                          </w:txbxContent>
                        </v:textbox>
                      </v:rect>
                      <v:shape id="自选图形 37" o:spid="_x0000_s1026" o:spt="32" type="#_x0000_t32" style="position:absolute;left:1930400;top:106045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8yW/jVAAAABQEAAA8AAAAAAAAA&#10;AQAgAAAAIgAAAGRycy9kb3ducmV2LnhtbFBLAQIUABQAAAAIAIdO4kBtEe1IFAIAAAYEAAAOAAAA&#10;AAAAAAEAIAAAACQBAABkcnMvZTJvRG9jLnhtbFBLBQYAAAAABgAGAFkBAACqBQAAAAA=&#10;">
                        <v:fill on="f" focussize="0,0"/>
                        <v:stroke weight="0.5pt" color="#000001" joinstyle="round" endarrow="block"/>
                        <v:imagedata o:title=""/>
                        <o:lock v:ext="edit" aspectratio="f"/>
                      </v:shape>
                      <v:rect id="矩形 17" o:spid="_x0000_s1026" o:spt="1" style="position:absolute;left:2078355;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f6CNnWAAAABQEAAA8AAAAAAAAAAQAgAAAAIgAAAGRycy9kb3ducmV2LnhtbFBLAQIUABQA&#10;AAAIAIdO4kBjTT8zKwIAAEkEAAAOAAAAAAAAAAEAIAAAACUBAABkcnMvZTJvRG9jLnhtbFBLBQYA&#10;AAAABgAGAFkBAADCBQAAAAA=&#10;">
                        <v:fill on="f" focussize="0,0"/>
                        <v:stroke weight="1pt" color="#000001" joinstyle="miter"/>
                        <v:imagedata o:title=""/>
                        <o:lock v:ext="edit" aspectratio="f"/>
                        <v:textbox inset="0mm,1mm,0mm,1.27mm">
                          <w:txbxContent>
                            <w:p w14:paraId="770AB18C">
                              <w:pPr>
                                <w:jc w:val="center"/>
                              </w:pPr>
                              <w:r>
                                <w:rPr>
                                  <w:sz w:val="18"/>
                                  <w:szCs w:val="18"/>
                                </w:rPr>
                                <w:t>主体工程</w:t>
                              </w:r>
                            </w:p>
                          </w:txbxContent>
                        </v:textbox>
                      </v:rect>
                      <v:shape id="自选图形 37" o:spid="_x0000_s1026" o:spt="32" type="#_x0000_t32" style="position:absolute;left:2964815;top:106045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Mlv41QAAAAUBAAAPAAAAAAAA&#10;AAEAIAAAACIAAABkcnMvZG93bnJldi54bWxQSwECFAAUAAAACACHTuJAMu8n8BUCAAAGBAAADgAA&#10;AAAAAAABACAAAAAkAQAAZHJzL2Uyb0RvYy54bWxQSwUGAAAAAAYABgBZAQAAqwUAAAAA&#10;">
                        <v:fill on="f" focussize="0,0"/>
                        <v:stroke weight="0.5pt" color="#000001" joinstyle="round" endarrow="block"/>
                        <v:imagedata o:title=""/>
                        <o:lock v:ext="edit" aspectratio="f"/>
                      </v:shape>
                      <v:rect id="矩形 17" o:spid="_x0000_s1026" o:spt="1" style="position:absolute;left:3112770;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oI2dYAAAAFAQAADwAAAAAAAAABACAAAAAiAAAAZHJzL2Rvd25yZXYueG1sUEsBAhQAFAAA&#10;AAgAh07iQPXx8/QqAgAASQQAAA4AAAAAAAAAAQAgAAAAJQEAAGRycy9lMm9Eb2MueG1sUEsFBgAA&#10;AAAGAAYAWQEAAMEFAAAAAA==&#10;">
                        <v:fill on="f" focussize="0,0"/>
                        <v:stroke weight="1pt" color="#000001" joinstyle="miter"/>
                        <v:imagedata o:title=""/>
                        <o:lock v:ext="edit" aspectratio="f"/>
                        <v:textbox inset="0mm,1mm,0mm,1.27mm">
                          <w:txbxContent>
                            <w:p w14:paraId="77A5BC9C">
                              <w:pPr>
                                <w:jc w:val="center"/>
                                <w:rPr>
                                  <w:sz w:val="18"/>
                                  <w:szCs w:val="18"/>
                                </w:rPr>
                              </w:pPr>
                              <w:r>
                                <w:rPr>
                                  <w:rFonts w:hint="eastAsia"/>
                                  <w:sz w:val="18"/>
                                  <w:szCs w:val="18"/>
                                </w:rPr>
                                <w:t>设备安装</w:t>
                              </w:r>
                            </w:p>
                          </w:txbxContent>
                        </v:textbox>
                      </v:rect>
                      <v:shape id="自选图形 37" o:spid="_x0000_s1026" o:spt="32" type="#_x0000_t32" style="position:absolute;left:3999230;top:106045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8yW/jVAAAABQEAAA8AAAAA&#10;AAAAAQAgAAAAIgAAAGRycy9kb3ducmV2LnhtbFBLAQIUABQAAAAIAIdO4kB84jloFwIAAAYEAAAO&#10;AAAAAAAAAAEAIAAAACQBAABkcnMvZTJvRG9jLnhtbFBLBQYAAAAABgAGAFkBAACtBQAAAAA=&#10;">
                        <v:fill on="f" focussize="0,0"/>
                        <v:stroke weight="0.5pt" color="#000001" joinstyle="round" endarrow="block"/>
                        <v:imagedata o:title=""/>
                        <o:lock v:ext="edit" aspectratio="f"/>
                      </v:shape>
                      <v:rect id="矩形 17" o:spid="_x0000_s1026" o:spt="1" style="position:absolute;left:4147185;top:1082040;height:288290;width:75692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3+gjZ1gAAAAUBAAAPAAAAAAAAAAEAIAAAACIAAABkcnMvZG93bnJldi54bWxQSwECFAAU&#10;AAAACACHTuJA8ATt9ywCAABJBAAADgAAAAAAAAABACAAAAAlAQAAZHJzL2Uyb0RvYy54bWxQSwUG&#10;AAAAAAYABgBZAQAAwwUAAAAA&#10;">
                        <v:fill on="f" focussize="0,0"/>
                        <v:stroke weight="1pt" color="#000001" joinstyle="miter"/>
                        <v:imagedata o:title=""/>
                        <o:lock v:ext="edit" aspectratio="f"/>
                        <v:textbox inset="0mm,1mm,0mm,1.27mm">
                          <w:txbxContent>
                            <w:p w14:paraId="25BA3B21">
                              <w:pPr>
                                <w:jc w:val="center"/>
                                <w:rPr>
                                  <w:sz w:val="18"/>
                                  <w:szCs w:val="18"/>
                                </w:rPr>
                              </w:pPr>
                              <w:r>
                                <w:rPr>
                                  <w:rFonts w:hint="eastAsia"/>
                                  <w:sz w:val="18"/>
                                  <w:szCs w:val="18"/>
                                </w:rPr>
                                <w:t>验收、投入使用</w:t>
                              </w:r>
                            </w:p>
                          </w:txbxContent>
                        </v:textbox>
                      </v:rect>
                      <v:shape id="自选图形 37" o:spid="_x0000_s1026" o:spt="32" type="#_x0000_t32" style="position:absolute;left:1087755;top:769620;height:635;width:611505;rotation:-5898240f;" filled="f" stroked="t" coordsize="21600,21600" o:gfxdata="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sxnNR1QAAAAUBAAAPAAAAAAAA&#10;AAEAIAAAACIAAABkcnMvZG93bnJldi54bWxQSwECFAAUAAAACACHTuJADVgIdxUCAAAEBAAADgAA&#10;AAAAAAABACAAAAAkAQAAZHJzL2Uyb0RvYy54bWxQSwUGAAAAAAYABgBZAQAAqwUAAAAA&#10;">
                        <v:fill on="f" focussize="0,0"/>
                        <v:stroke weight="0.5pt" color="#000001" joinstyle="round" dashstyle="dash" endarrow="block"/>
                        <v:imagedata o:title=""/>
                        <o:lock v:ext="edit" aspectratio="f"/>
                      </v:shape>
                      <v:shape id="自选图形 37" o:spid="_x0000_s1026" o:spt="32" type="#_x0000_t32" style="position:absolute;left:2251710;top:897255;height:635;width:360045;rotation:-5898240f;" filled="f" stroked="t" coordsize="21600,21600" o:gfxdata="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zGc1HVAAAABQEAAA8AAAAA&#10;AAAAAQAgAAAAIgAAAGRycy9kb3ducmV2LnhtbFBLAQIUABQAAAAIAIdO4kCaMotzFwIAAAQEAAAO&#10;AAAAAAAAAAEAIAAAACQBAABkcnMvZTJvRG9jLnhtbFBLBQYAAAAABgAGAFkBAACtBQAAAAA=&#10;">
                        <v:fill on="f" focussize="0,0"/>
                        <v:stroke weight="0.5pt" color="#000001" joinstyle="round" dashstyle="dash" endarrow="block"/>
                        <v:imagedata o:title=""/>
                        <o:lock v:ext="edit" aspectratio="f"/>
                      </v:shape>
                      <w10:wrap type="none"/>
                      <w10:anchorlock/>
                    </v:group>
                  </w:pict>
                </mc:Fallback>
              </mc:AlternateContent>
            </w:r>
          </w:p>
          <w:p w14:paraId="211EA061">
            <w:pPr>
              <w:pStyle w:val="35"/>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图</w:t>
            </w:r>
            <w:r>
              <w:rPr>
                <w:rFonts w:hint="eastAsia"/>
                <w:color w:val="000000" w:themeColor="text1"/>
                <w:highlight w:val="none"/>
                <w:lang w:val="en-US" w:eastAsia="zh-CN"/>
                <w14:textFill>
                  <w14:solidFill>
                    <w14:schemeClr w14:val="tx1"/>
                  </w14:solidFill>
                </w14:textFill>
              </w:rPr>
              <w:t>2-2</w:t>
            </w:r>
            <w:r>
              <w:rPr>
                <w:rFonts w:hint="default"/>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施工工艺流程及产污节点图</w:t>
            </w:r>
          </w:p>
          <w:p w14:paraId="0BCDA7E2">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施工流程说明：</w:t>
            </w:r>
          </w:p>
          <w:p w14:paraId="29EED707">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（1）场地平整</w:t>
            </w:r>
          </w:p>
          <w:p w14:paraId="66F4EF8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在场地平整过程中，存在着施工运输车辆和其他施工机械噪声、施工机械设备尾气、扬尘对周边环境的影响。</w:t>
            </w:r>
          </w:p>
          <w:p w14:paraId="1894741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（2）基础工程施工</w:t>
            </w:r>
          </w:p>
          <w:p w14:paraId="4B27AD4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基础工程施工阶段（包括挖方、填方、地基处理、基础施工等），将产生局部水土流失、施工机械设备噪声（混凝土输送泵、装载机、运输车辆运行）、施工机械设备尾气、施工设备（搅拌机等）清洗产生的施工废水、施工弃土和施工扬尘。</w:t>
            </w:r>
          </w:p>
          <w:p w14:paraId="3C7AB4EA">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（3）主体工程施工</w:t>
            </w:r>
          </w:p>
          <w:p w14:paraId="64778F1B">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主体工程施工过程中将产生施工机械的运行噪声、运输过程中产生扬尘、运输车辆尾气等环境问题。</w:t>
            </w:r>
          </w:p>
          <w:p w14:paraId="2C8C1BB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（4）设备安装</w:t>
            </w:r>
          </w:p>
          <w:p w14:paraId="7311275E">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设备安装过程主要产生施工噪声、施工人员生活污水、钻孔产生的粉尘、运输过程中产生扬尘等环境问题。</w:t>
            </w:r>
          </w:p>
          <w:p w14:paraId="241F2FDC">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施工期主要产污环节见</w:t>
            </w:r>
            <w:r>
              <w:rPr>
                <w:rFonts w:hint="eastAsia"/>
                <w:color w:val="000000" w:themeColor="text1"/>
                <w:highlight w:val="none"/>
                <w:lang w:eastAsia="zh-CN"/>
                <w14:textFill>
                  <w14:solidFill>
                    <w14:schemeClr w14:val="tx1"/>
                  </w14:solidFill>
                </w14:textFill>
              </w:rPr>
              <w:t>下表</w:t>
            </w:r>
            <w:r>
              <w:rPr>
                <w:rFonts w:hint="default"/>
                <w:color w:val="000000" w:themeColor="text1"/>
                <w:highlight w:val="none"/>
                <w14:textFill>
                  <w14:solidFill>
                    <w14:schemeClr w14:val="tx1"/>
                  </w14:solidFill>
                </w14:textFill>
              </w:rPr>
              <w:t>。</w:t>
            </w:r>
          </w:p>
          <w:p w14:paraId="3547F90D">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r>
              <w:rPr>
                <w:rFonts w:hint="default"/>
                <w:b/>
                <w:bCs/>
                <w:color w:val="000000" w:themeColor="text1"/>
                <w:szCs w:val="21"/>
                <w:highlight w:val="none"/>
                <w:lang w:val="en-US" w:eastAsia="zh-CN"/>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 xml:space="preserve">2-5   </w:t>
            </w:r>
            <w:r>
              <w:rPr>
                <w:rFonts w:hint="default"/>
                <w:b/>
                <w:bCs/>
                <w:color w:val="000000" w:themeColor="text1"/>
                <w:szCs w:val="21"/>
                <w:highlight w:val="none"/>
                <w:lang w:val="en-US" w:eastAsia="zh-CN"/>
                <w14:textFill>
                  <w14:solidFill>
                    <w14:schemeClr w14:val="tx1"/>
                  </w14:solidFill>
                </w14:textFill>
              </w:rPr>
              <w:t>施工期产污环节一览表</w:t>
            </w:r>
          </w:p>
          <w:tbl>
            <w:tblPr>
              <w:tblStyle w:val="21"/>
              <w:tblW w:w="0" w:type="auto"/>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310"/>
              <w:gridCol w:w="4563"/>
              <w:gridCol w:w="1531"/>
            </w:tblGrid>
            <w:tr w14:paraId="3A356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tcBorders>
                    <w:tl2br w:val="nil"/>
                    <w:tr2bl w:val="nil"/>
                  </w:tcBorders>
                  <w:vAlign w:val="center"/>
                </w:tcPr>
                <w:p w14:paraId="2C75024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污染类别</w:t>
                  </w:r>
                </w:p>
              </w:tc>
              <w:tc>
                <w:tcPr>
                  <w:tcW w:w="1310" w:type="dxa"/>
                  <w:tcBorders>
                    <w:tl2br w:val="nil"/>
                    <w:tr2bl w:val="nil"/>
                  </w:tcBorders>
                  <w:vAlign w:val="center"/>
                </w:tcPr>
                <w:p w14:paraId="17FCF23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污染源名称</w:t>
                  </w:r>
                </w:p>
              </w:tc>
              <w:tc>
                <w:tcPr>
                  <w:tcW w:w="4563" w:type="dxa"/>
                  <w:tcBorders>
                    <w:tl2br w:val="nil"/>
                    <w:tr2bl w:val="nil"/>
                  </w:tcBorders>
                  <w:vAlign w:val="center"/>
                </w:tcPr>
                <w:p w14:paraId="6E8119F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产生原因</w:t>
                  </w:r>
                </w:p>
              </w:tc>
              <w:tc>
                <w:tcPr>
                  <w:tcW w:w="1531" w:type="dxa"/>
                  <w:tcBorders>
                    <w:tl2br w:val="nil"/>
                    <w:tr2bl w:val="nil"/>
                  </w:tcBorders>
                  <w:vAlign w:val="center"/>
                </w:tcPr>
                <w:p w14:paraId="561A6D52">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主要污染物</w:t>
                  </w:r>
                </w:p>
              </w:tc>
            </w:tr>
            <w:tr w14:paraId="2AFD8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restart"/>
                  <w:tcBorders>
                    <w:tl2br w:val="nil"/>
                    <w:tr2bl w:val="nil"/>
                  </w:tcBorders>
                  <w:vAlign w:val="center"/>
                </w:tcPr>
                <w:p w14:paraId="29940630">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废气</w:t>
                  </w:r>
                </w:p>
              </w:tc>
              <w:tc>
                <w:tcPr>
                  <w:tcW w:w="1310" w:type="dxa"/>
                  <w:tcBorders>
                    <w:tl2br w:val="nil"/>
                    <w:tr2bl w:val="nil"/>
                  </w:tcBorders>
                  <w:vAlign w:val="center"/>
                </w:tcPr>
                <w:p w14:paraId="0F6A97B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施工扬尘</w:t>
                  </w:r>
                </w:p>
              </w:tc>
              <w:tc>
                <w:tcPr>
                  <w:tcW w:w="4563" w:type="dxa"/>
                  <w:tcBorders>
                    <w:tl2br w:val="nil"/>
                    <w:tr2bl w:val="nil"/>
                  </w:tcBorders>
                  <w:vAlign w:val="center"/>
                </w:tcPr>
                <w:p w14:paraId="54BF758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土地清理、挖掘、材料堆积过程产生粉尘及汽车运输引起的二次扬尘</w:t>
                  </w:r>
                </w:p>
              </w:tc>
              <w:tc>
                <w:tcPr>
                  <w:tcW w:w="1531" w:type="dxa"/>
                  <w:tcBorders>
                    <w:tl2br w:val="nil"/>
                    <w:tr2bl w:val="nil"/>
                  </w:tcBorders>
                  <w:vAlign w:val="center"/>
                </w:tcPr>
                <w:p w14:paraId="654D5CA7">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扬尘</w:t>
                  </w:r>
                </w:p>
              </w:tc>
            </w:tr>
            <w:tr w14:paraId="701BF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06ACB13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49CF05F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施工机械废气</w:t>
                  </w:r>
                </w:p>
              </w:tc>
              <w:tc>
                <w:tcPr>
                  <w:tcW w:w="4563" w:type="dxa"/>
                  <w:tcBorders>
                    <w:tl2br w:val="nil"/>
                    <w:tr2bl w:val="nil"/>
                  </w:tcBorders>
                  <w:vAlign w:val="center"/>
                </w:tcPr>
                <w:p w14:paraId="2971F62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施工机械燃油废气、汽车尾气</w:t>
                  </w:r>
                </w:p>
              </w:tc>
              <w:tc>
                <w:tcPr>
                  <w:tcW w:w="1531" w:type="dxa"/>
                  <w:tcBorders>
                    <w:tl2br w:val="nil"/>
                    <w:tr2bl w:val="nil"/>
                  </w:tcBorders>
                  <w:vAlign w:val="center"/>
                </w:tcPr>
                <w:p w14:paraId="6752AFDA">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ascii="Times New Roman" w:eastAsia="Times New Roman"/>
                      <w:color w:val="000000" w:themeColor="text1"/>
                      <w:spacing w:val="-1"/>
                      <w:sz w:val="21"/>
                      <w:highlight w:val="none"/>
                      <w14:textFill>
                        <w14:solidFill>
                          <w14:schemeClr w14:val="tx1"/>
                        </w14:solidFill>
                      </w14:textFill>
                    </w:rPr>
                    <w:t>CO</w:t>
                  </w:r>
                  <w:r>
                    <w:rPr>
                      <w:rFonts w:hint="default"/>
                      <w:color w:val="000000" w:themeColor="text1"/>
                      <w:spacing w:val="-3"/>
                      <w:sz w:val="21"/>
                      <w:highlight w:val="none"/>
                      <w14:textFill>
                        <w14:solidFill>
                          <w14:schemeClr w14:val="tx1"/>
                        </w14:solidFill>
                      </w14:textFill>
                    </w:rPr>
                    <w:t>、</w:t>
                  </w:r>
                  <w:r>
                    <w:rPr>
                      <w:rFonts w:hint="default" w:ascii="Times New Roman" w:eastAsia="Times New Roman"/>
                      <w:color w:val="000000" w:themeColor="text1"/>
                      <w:spacing w:val="-1"/>
                      <w:sz w:val="21"/>
                      <w:highlight w:val="none"/>
                      <w14:textFill>
                        <w14:solidFill>
                          <w14:schemeClr w14:val="tx1"/>
                        </w14:solidFill>
                      </w14:textFill>
                    </w:rPr>
                    <w:t>NOx</w:t>
                  </w:r>
                  <w:r>
                    <w:rPr>
                      <w:rFonts w:hint="default"/>
                      <w:color w:val="000000" w:themeColor="text1"/>
                      <w:spacing w:val="-2"/>
                      <w:sz w:val="21"/>
                      <w:highlight w:val="none"/>
                      <w14:textFill>
                        <w14:solidFill>
                          <w14:schemeClr w14:val="tx1"/>
                        </w14:solidFill>
                      </w14:textFill>
                    </w:rPr>
                    <w:t>、碳氢</w:t>
                  </w:r>
                </w:p>
                <w:p w14:paraId="2D8A32A8">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pacing w:val="-2"/>
                      <w:sz w:val="21"/>
                      <w:highlight w:val="none"/>
                      <w14:textFill>
                        <w14:solidFill>
                          <w14:schemeClr w14:val="tx1"/>
                        </w14:solidFill>
                      </w14:textFill>
                    </w:rPr>
                    <w:t>化合物及烟尘等</w:t>
                  </w:r>
                </w:p>
              </w:tc>
            </w:tr>
            <w:tr w14:paraId="382CF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restart"/>
                  <w:tcBorders>
                    <w:tl2br w:val="nil"/>
                    <w:tr2bl w:val="nil"/>
                  </w:tcBorders>
                  <w:vAlign w:val="center"/>
                </w:tcPr>
                <w:p w14:paraId="7DFB868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废水</w:t>
                  </w:r>
                </w:p>
              </w:tc>
              <w:tc>
                <w:tcPr>
                  <w:tcW w:w="1310" w:type="dxa"/>
                  <w:tcBorders>
                    <w:tl2br w:val="nil"/>
                    <w:tr2bl w:val="nil"/>
                  </w:tcBorders>
                  <w:vAlign w:val="center"/>
                </w:tcPr>
                <w:p w14:paraId="7BE30F2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施工废水</w:t>
                  </w:r>
                </w:p>
              </w:tc>
              <w:tc>
                <w:tcPr>
                  <w:tcW w:w="4563" w:type="dxa"/>
                  <w:tcBorders>
                    <w:tl2br w:val="nil"/>
                    <w:tr2bl w:val="nil"/>
                  </w:tcBorders>
                  <w:vAlign w:val="center"/>
                </w:tcPr>
                <w:p w14:paraId="14ECE4E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混凝土养护废水、泥浆废水以及混凝土保养时排放的废水等</w:t>
                  </w:r>
                </w:p>
              </w:tc>
              <w:tc>
                <w:tcPr>
                  <w:tcW w:w="1531" w:type="dxa"/>
                  <w:tcBorders>
                    <w:tl2br w:val="nil"/>
                    <w:tr2bl w:val="nil"/>
                  </w:tcBorders>
                  <w:vAlign w:val="center"/>
                </w:tcPr>
                <w:p w14:paraId="3035D5A9">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default" w:ascii="Times New Roman" w:eastAsia="Times New Roman"/>
                      <w:color w:val="000000" w:themeColor="text1"/>
                      <w:spacing w:val="-15"/>
                      <w:sz w:val="21"/>
                      <w:highlight w:val="none"/>
                      <w14:textFill>
                        <w14:solidFill>
                          <w14:schemeClr w14:val="tx1"/>
                        </w14:solidFill>
                      </w14:textFill>
                    </w:rPr>
                    <w:t>SS</w:t>
                  </w:r>
                  <w:r>
                    <w:rPr>
                      <w:rFonts w:hint="eastAsia" w:eastAsia="宋体"/>
                      <w:color w:val="000000" w:themeColor="text1"/>
                      <w:spacing w:val="-15"/>
                      <w:sz w:val="21"/>
                      <w:highlight w:val="none"/>
                      <w:lang w:eastAsia="zh-CN"/>
                      <w14:textFill>
                        <w14:solidFill>
                          <w14:schemeClr w14:val="tx1"/>
                        </w14:solidFill>
                      </w14:textFill>
                    </w:rPr>
                    <w:t>（</w:t>
                  </w:r>
                  <w:r>
                    <w:rPr>
                      <w:rFonts w:hint="default"/>
                      <w:color w:val="000000" w:themeColor="text1"/>
                      <w:spacing w:val="-3"/>
                      <w:sz w:val="21"/>
                      <w:highlight w:val="none"/>
                      <w14:textFill>
                        <w14:solidFill>
                          <w14:schemeClr w14:val="tx1"/>
                        </w14:solidFill>
                      </w14:textFill>
                    </w:rPr>
                    <w:t>以泥沙为主</w:t>
                  </w:r>
                  <w:r>
                    <w:rPr>
                      <w:rFonts w:hint="eastAsia" w:eastAsia="宋体"/>
                      <w:color w:val="000000" w:themeColor="text1"/>
                      <w:spacing w:val="-3"/>
                      <w:sz w:val="21"/>
                      <w:highlight w:val="none"/>
                      <w:lang w:eastAsia="zh-CN"/>
                      <w14:textFill>
                        <w14:solidFill>
                          <w14:schemeClr w14:val="tx1"/>
                        </w14:solidFill>
                      </w14:textFill>
                    </w:rPr>
                    <w:t>）</w:t>
                  </w:r>
                </w:p>
              </w:tc>
            </w:tr>
            <w:tr w14:paraId="62998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35E6D9B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3F01E346">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机械冲洗废水</w:t>
                  </w:r>
                </w:p>
              </w:tc>
              <w:tc>
                <w:tcPr>
                  <w:tcW w:w="4563" w:type="dxa"/>
                  <w:tcBorders>
                    <w:tl2br w:val="nil"/>
                    <w:tr2bl w:val="nil"/>
                  </w:tcBorders>
                  <w:vAlign w:val="center"/>
                </w:tcPr>
                <w:p w14:paraId="77A264B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车辆及施工设备需定期清洗会产生机械冲洗废水</w:t>
                  </w:r>
                </w:p>
              </w:tc>
              <w:tc>
                <w:tcPr>
                  <w:tcW w:w="1531" w:type="dxa"/>
                  <w:tcBorders>
                    <w:tl2br w:val="nil"/>
                    <w:tr2bl w:val="nil"/>
                  </w:tcBorders>
                  <w:vAlign w:val="center"/>
                </w:tcPr>
                <w:p w14:paraId="08B54B2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ascii="Times New Roman" w:eastAsia="Times New Roman"/>
                      <w:color w:val="000000" w:themeColor="text1"/>
                      <w:sz w:val="21"/>
                      <w:highlight w:val="none"/>
                      <w14:textFill>
                        <w14:solidFill>
                          <w14:schemeClr w14:val="tx1"/>
                        </w14:solidFill>
                      </w14:textFill>
                    </w:rPr>
                    <w:t>SS</w:t>
                  </w:r>
                  <w:r>
                    <w:rPr>
                      <w:rFonts w:hint="default"/>
                      <w:color w:val="000000" w:themeColor="text1"/>
                      <w:sz w:val="21"/>
                      <w:highlight w:val="none"/>
                      <w14:textFill>
                        <w14:solidFill>
                          <w14:schemeClr w14:val="tx1"/>
                        </w14:solidFill>
                      </w14:textFill>
                    </w:rPr>
                    <w:t>、石油类</w:t>
                  </w:r>
                </w:p>
              </w:tc>
            </w:tr>
            <w:tr w14:paraId="2B531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357CDAB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50CA3AC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生活污水</w:t>
                  </w:r>
                </w:p>
              </w:tc>
              <w:tc>
                <w:tcPr>
                  <w:tcW w:w="4563" w:type="dxa"/>
                  <w:tcBorders>
                    <w:tl2br w:val="nil"/>
                    <w:tr2bl w:val="nil"/>
                  </w:tcBorders>
                  <w:vAlign w:val="center"/>
                </w:tcPr>
                <w:p w14:paraId="492CCE2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施工人员日常生活产生的废水</w:t>
                  </w:r>
                </w:p>
              </w:tc>
              <w:tc>
                <w:tcPr>
                  <w:tcW w:w="1531" w:type="dxa"/>
                  <w:tcBorders>
                    <w:tl2br w:val="nil"/>
                    <w:tr2bl w:val="nil"/>
                  </w:tcBorders>
                  <w:vAlign w:val="center"/>
                </w:tcPr>
                <w:p w14:paraId="66674FB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ascii="Times New Roman" w:eastAsia="Times New Roman"/>
                      <w:color w:val="000000" w:themeColor="text1"/>
                      <w:sz w:val="21"/>
                      <w:highlight w:val="none"/>
                      <w14:textFill>
                        <w14:solidFill>
                          <w14:schemeClr w14:val="tx1"/>
                        </w14:solidFill>
                      </w14:textFill>
                    </w:rPr>
                  </w:pPr>
                  <w:r>
                    <w:rPr>
                      <w:rFonts w:hint="default" w:ascii="Times New Roman" w:eastAsia="Times New Roman"/>
                      <w:color w:val="000000" w:themeColor="text1"/>
                      <w:spacing w:val="-1"/>
                      <w:position w:val="2"/>
                      <w:sz w:val="21"/>
                      <w:highlight w:val="none"/>
                      <w14:textFill>
                        <w14:solidFill>
                          <w14:schemeClr w14:val="tx1"/>
                        </w14:solidFill>
                      </w14:textFill>
                    </w:rPr>
                    <w:t>COD</w:t>
                  </w:r>
                  <w:r>
                    <w:rPr>
                      <w:rFonts w:hint="default"/>
                      <w:color w:val="000000" w:themeColor="text1"/>
                      <w:spacing w:val="-27"/>
                      <w:position w:val="2"/>
                      <w:sz w:val="21"/>
                      <w:highlight w:val="none"/>
                      <w14:textFill>
                        <w14:solidFill>
                          <w14:schemeClr w14:val="tx1"/>
                        </w14:solidFill>
                      </w14:textFill>
                    </w:rPr>
                    <w:t>、</w:t>
                  </w:r>
                  <w:r>
                    <w:rPr>
                      <w:rFonts w:hint="default" w:ascii="Times New Roman" w:eastAsia="Times New Roman"/>
                      <w:color w:val="000000" w:themeColor="text1"/>
                      <w:position w:val="2"/>
                      <w:sz w:val="21"/>
                      <w:highlight w:val="none"/>
                      <w14:textFill>
                        <w14:solidFill>
                          <w14:schemeClr w14:val="tx1"/>
                        </w14:solidFill>
                      </w14:textFill>
                    </w:rPr>
                    <w:t>BOD</w:t>
                  </w:r>
                  <w:r>
                    <w:rPr>
                      <w:rFonts w:hint="default" w:ascii="Times New Roman" w:eastAsia="Times New Roman"/>
                      <w:color w:val="000000" w:themeColor="text1"/>
                      <w:sz w:val="14"/>
                      <w:highlight w:val="none"/>
                      <w14:textFill>
                        <w14:solidFill>
                          <w14:schemeClr w14:val="tx1"/>
                        </w14:solidFill>
                      </w14:textFill>
                    </w:rPr>
                    <w:t>5</w:t>
                  </w:r>
                  <w:r>
                    <w:rPr>
                      <w:rFonts w:hint="default"/>
                      <w:color w:val="000000" w:themeColor="text1"/>
                      <w:spacing w:val="-27"/>
                      <w:position w:val="2"/>
                      <w:sz w:val="21"/>
                      <w:highlight w:val="none"/>
                      <w14:textFill>
                        <w14:solidFill>
                          <w14:schemeClr w14:val="tx1"/>
                        </w14:solidFill>
                      </w14:textFill>
                    </w:rPr>
                    <w:t>、</w:t>
                  </w:r>
                  <w:r>
                    <w:rPr>
                      <w:rFonts w:hint="default" w:ascii="Times New Roman" w:eastAsia="Times New Roman"/>
                      <w:color w:val="000000" w:themeColor="text1"/>
                      <w:position w:val="2"/>
                      <w:sz w:val="21"/>
                      <w:highlight w:val="none"/>
                      <w14:textFill>
                        <w14:solidFill>
                          <w14:schemeClr w14:val="tx1"/>
                        </w14:solidFill>
                      </w14:textFill>
                    </w:rPr>
                    <w:t>SS</w:t>
                  </w:r>
                </w:p>
                <w:p w14:paraId="3EE1DA7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和氨氮</w:t>
                  </w:r>
                </w:p>
              </w:tc>
            </w:tr>
            <w:tr w14:paraId="4C051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tcBorders>
                    <w:tl2br w:val="nil"/>
                    <w:tr2bl w:val="nil"/>
                  </w:tcBorders>
                  <w:vAlign w:val="center"/>
                </w:tcPr>
                <w:p w14:paraId="1489384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噪声</w:t>
                  </w:r>
                </w:p>
              </w:tc>
              <w:tc>
                <w:tcPr>
                  <w:tcW w:w="1310" w:type="dxa"/>
                  <w:tcBorders>
                    <w:tl2br w:val="nil"/>
                    <w:tr2bl w:val="nil"/>
                  </w:tcBorders>
                  <w:vAlign w:val="center"/>
                </w:tcPr>
                <w:p w14:paraId="2D1CD28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机械、作业及</w:t>
                  </w:r>
                </w:p>
                <w:p w14:paraId="7C997719">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车辆噪声</w:t>
                  </w:r>
                </w:p>
              </w:tc>
              <w:tc>
                <w:tcPr>
                  <w:tcW w:w="4563" w:type="dxa"/>
                  <w:tcBorders>
                    <w:tl2br w:val="nil"/>
                    <w:tr2bl w:val="nil"/>
                  </w:tcBorders>
                  <w:vAlign w:val="center"/>
                </w:tcPr>
                <w:p w14:paraId="09A954F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施工活动中机械设备及运输车辆等产生，施工人员作业时产生</w:t>
                  </w:r>
                </w:p>
              </w:tc>
              <w:tc>
                <w:tcPr>
                  <w:tcW w:w="1531" w:type="dxa"/>
                  <w:tcBorders>
                    <w:tl2br w:val="nil"/>
                    <w:tr2bl w:val="nil"/>
                  </w:tcBorders>
                  <w:vAlign w:val="center"/>
                </w:tcPr>
                <w:p w14:paraId="0E1DC0A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噪声</w:t>
                  </w:r>
                </w:p>
              </w:tc>
            </w:tr>
            <w:tr w14:paraId="6FEF8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restart"/>
                  <w:tcBorders>
                    <w:tl2br w:val="nil"/>
                    <w:tr2bl w:val="nil"/>
                  </w:tcBorders>
                  <w:vAlign w:val="center"/>
                </w:tcPr>
                <w:p w14:paraId="036F92D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固废</w:t>
                  </w:r>
                </w:p>
              </w:tc>
              <w:tc>
                <w:tcPr>
                  <w:tcW w:w="1310" w:type="dxa"/>
                  <w:tcBorders>
                    <w:tl2br w:val="nil"/>
                    <w:tr2bl w:val="nil"/>
                  </w:tcBorders>
                  <w:vAlign w:val="center"/>
                </w:tcPr>
                <w:p w14:paraId="7288729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建筑垃圾</w:t>
                  </w:r>
                </w:p>
              </w:tc>
              <w:tc>
                <w:tcPr>
                  <w:tcW w:w="4563" w:type="dxa"/>
                  <w:tcBorders>
                    <w:tl2br w:val="nil"/>
                    <w:tr2bl w:val="nil"/>
                  </w:tcBorders>
                  <w:vAlign w:val="center"/>
                </w:tcPr>
                <w:p w14:paraId="203DBF3A">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场地开挖、构筑物建设、设备安装等将产生大量废弃的建筑材料</w:t>
                  </w:r>
                </w:p>
              </w:tc>
              <w:tc>
                <w:tcPr>
                  <w:tcW w:w="1531" w:type="dxa"/>
                  <w:tcBorders>
                    <w:tl2br w:val="nil"/>
                    <w:tr2bl w:val="nil"/>
                  </w:tcBorders>
                  <w:vAlign w:val="center"/>
                </w:tcPr>
                <w:p w14:paraId="5DD6FDC9">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废钢材、混凝土</w:t>
                  </w:r>
                </w:p>
                <w:p w14:paraId="5E1762F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包装袋等</w:t>
                  </w:r>
                </w:p>
              </w:tc>
            </w:tr>
            <w:tr w14:paraId="74869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6E578475">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0E10B44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生活垃圾</w:t>
                  </w:r>
                </w:p>
              </w:tc>
              <w:tc>
                <w:tcPr>
                  <w:tcW w:w="4563" w:type="dxa"/>
                  <w:tcBorders>
                    <w:tl2br w:val="nil"/>
                    <w:tr2bl w:val="nil"/>
                  </w:tcBorders>
                  <w:vAlign w:val="center"/>
                </w:tcPr>
                <w:p w14:paraId="34BFC46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施工人员生活产生的生活垃圾</w:t>
                  </w:r>
                </w:p>
              </w:tc>
              <w:tc>
                <w:tcPr>
                  <w:tcW w:w="1531" w:type="dxa"/>
                  <w:tcBorders>
                    <w:tl2br w:val="nil"/>
                    <w:tr2bl w:val="nil"/>
                  </w:tcBorders>
                  <w:vAlign w:val="center"/>
                </w:tcPr>
                <w:p w14:paraId="2B9AA3F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废纸屑、果皮</w:t>
                  </w:r>
                </w:p>
              </w:tc>
            </w:tr>
          </w:tbl>
          <w:p w14:paraId="27D4E173">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2.10、运营期工艺流程和产排污环节</w:t>
            </w:r>
          </w:p>
          <w:p w14:paraId="0BBF7F6D">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2.10.1、</w:t>
            </w:r>
            <w:r>
              <w:rPr>
                <w:rFonts w:hint="default"/>
                <w:color w:val="000000" w:themeColor="text1"/>
                <w:highlight w:val="none"/>
                <w:lang w:val="en-US" w:eastAsia="zh-CN"/>
                <w14:textFill>
                  <w14:solidFill>
                    <w14:schemeClr w14:val="tx1"/>
                  </w14:solidFill>
                </w14:textFill>
              </w:rPr>
              <w:t>废硅粉提纯工艺（一期）</w:t>
            </w:r>
          </w:p>
          <w:p w14:paraId="371C7D7B">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项目一期</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工艺流程图如下：</w:t>
            </w:r>
          </w:p>
          <w:p w14:paraId="6EB9F431">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68D926A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5A4DCA48">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6B18FE1E">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79C8B6A8">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258E9A13">
            <w:pPr>
              <w:pStyle w:val="29"/>
              <w:spacing w:line="240" w:lineRule="auto"/>
              <w:ind w:left="0" w:leftChars="0" w:firstLine="0" w:firstLineChars="0"/>
              <w:jc w:val="cente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100705" cy="3453765"/>
                  <wp:effectExtent l="0" t="0" r="4445" b="13335"/>
                  <wp:docPr id="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
                          <pic:cNvPicPr>
                            <a:picLocks noChangeAspect="1"/>
                          </pic:cNvPicPr>
                        </pic:nvPicPr>
                        <pic:blipFill>
                          <a:blip r:embed="rId13"/>
                          <a:stretch>
                            <a:fillRect/>
                          </a:stretch>
                        </pic:blipFill>
                        <pic:spPr>
                          <a:xfrm>
                            <a:off x="0" y="0"/>
                            <a:ext cx="3100705" cy="3453765"/>
                          </a:xfrm>
                          <a:prstGeom prst="rect">
                            <a:avLst/>
                          </a:prstGeom>
                          <a:noFill/>
                          <a:ln>
                            <a:noFill/>
                          </a:ln>
                        </pic:spPr>
                      </pic:pic>
                    </a:graphicData>
                  </a:graphic>
                </wp:inline>
              </w:drawing>
            </w:r>
          </w:p>
          <w:p w14:paraId="21002888">
            <w:pPr>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t>图2-2   一期工艺流程图</w:t>
            </w:r>
          </w:p>
          <w:p w14:paraId="5C1ECF1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（1）原料</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配浆</w:t>
            </w:r>
          </w:p>
          <w:p w14:paraId="0516E98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废硅粉</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于1#预</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搅拌罐中按比例加水搅拌，使硅粉与水充分混合</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，此工序会产生粉尘与噪声，产生的粉尘经集气罩收集后与酸洗废气一起通入碱液喷淋塔+15m高排气筒排放，噪声防治措施采用隔声措施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2AF54233">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（2）酸洗</w:t>
            </w:r>
          </w:p>
          <w:p w14:paraId="7660BD8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混合好的硅粉浆液泵入6座耐腐搅拌罐</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（搅拌罐编号由2#-7#）</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，加入3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%的工业盐酸，3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%的工业盐酸</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在搅拌罐中被</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硅粉浆液</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稀释后，</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搅拌罐内盐酸浓度</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为10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%左右，200~300r/min偏心搅拌30分钟，溶解铁、铝等金属杂质，反应方程式如下：</w:t>
            </w:r>
          </w:p>
          <w:p w14:paraId="2ADDC98F">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center"/>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Fe+2HCl→FeCl₂+H₂↑</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56059B5">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center"/>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2Al+6HCl→2AlCl₃+3H₂↑</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5365E75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反应温度维持60℃-75℃（搅拌罐内通入蒸汽，蒸汽来自新增</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醇基锅炉</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，蒸发量</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t/h，工作压力0.09MPa），提升金属杂质</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溶解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速率，同时避免硅粉过度氧化</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761C6E5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在酸洗过程中，搅拌罐内会</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逸散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HCl气体、H</w:t>
            </w:r>
            <w:r>
              <w:rPr>
                <w:rFonts w:hint="default" w:ascii="Times New Roman" w:hAnsi="Times New Roman" w:eastAsia="宋体" w:cs="Times New Roman"/>
                <w:snapToGrid w:val="0"/>
                <w:color w:val="000000" w:themeColor="text1"/>
                <w:w w:val="100"/>
                <w:kern w:val="0"/>
                <w:position w:val="0"/>
                <w:sz w:val="24"/>
                <w:szCs w:val="24"/>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等，为防止气体散发到空气中，形成有毒环境或形成爆炸性混合物，在各搅拌罐上方</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设置</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集气罩，在车间外北侧设置负压风机（一用一备），</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收集的废气</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经碱洗塔处理后通过15m高排气筒排放，碱洗塔下设置10m³碱洗池一座，采用投加</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氢氧化钠</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方式，保持碱洗池内pH值为9-10，用于脱除含酸废气</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噪声防治措施采用隔声措施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项目碱液喷淋塔装置</w:t>
            </w:r>
            <w:r>
              <w:rPr>
                <w:rFonts w:hint="eastAsia" w:cs="Times New Roman"/>
                <w:color w:val="000000" w:themeColor="text1"/>
                <w:sz w:val="24"/>
                <w:szCs w:val="21"/>
                <w:highlight w:val="none"/>
                <w:lang w:val="en-US" w:eastAsia="zh-CN" w:bidi="ar-SA"/>
                <w14:textFill>
                  <w14:solidFill>
                    <w14:schemeClr w14:val="tx1"/>
                  </w14:solidFill>
                </w14:textFill>
              </w:rPr>
              <w:t>主要处理酸性废气，同时具备</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湿式除尘效果，</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粉尘颗粒被液滴拦截、浸润、增重后，随液滴一起沉降</w:t>
            </w:r>
            <w:r>
              <w:rPr>
                <w:rFonts w:hint="eastAsia" w:cs="Times New Roman"/>
                <w:color w:val="000000" w:themeColor="text1"/>
                <w:sz w:val="24"/>
                <w:szCs w:val="21"/>
                <w:highlight w:val="none"/>
                <w:lang w:val="en-US" w:eastAsia="zh-CN" w:bidi="ar-SA"/>
                <w14:textFill>
                  <w14:solidFill>
                    <w14:schemeClr w14:val="tx1"/>
                  </w14:solidFill>
                </w14:textFill>
              </w:rPr>
              <w:t>入碱液池，静置沉降后底泥经压滤机压滤后回用于生产线。每月清理喷头，防止堵塞导致喷淋不均，定期进行碱液池的清理与碱液的更换。</w:t>
            </w:r>
          </w:p>
          <w:p w14:paraId="00B7663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（3）固液分离</w:t>
            </w:r>
          </w:p>
          <w:p w14:paraId="1A2F90A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酸浸浆料经</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板框压滤机（滤布精度5μm）压滤，滤</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含湿率</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左右</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，滤液进入车间内</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酸洗</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沉淀池内沉淀后回用</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（湿硅粉）再经搅拌机</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加清水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打散</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后进入2#压滤机，压滤后产生的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废水经重选沉淀池沉淀后排入外沉池循环使用，产生的废渣送入摇床重选工序进行重选，此工序会产生废水与噪声，产生的废水经重选沉淀池沉淀后排入外沉池循环使用；噪声防治措施采用设备减振、隔声措施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353E0C8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（4）重选</w:t>
            </w:r>
          </w:p>
          <w:p w14:paraId="74920E6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湿硅粉转入摇床重选（床面倾角3°~5°，冲程10mm），利用密度差异分离残余硅及金属颗粒，硅粉回收率＞95%。</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此工序会产生废水与噪声，产生的废水经重选沉淀池沉淀后排入外沉池循环使用，噪声防治措施采用设备减振、隔声措施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DECFC6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（5）脱水成型</w:t>
            </w:r>
          </w:p>
          <w:p w14:paraId="5FDF9D17">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重</w:t>
            </w:r>
            <w:r>
              <w:rPr>
                <w:rFonts w:hint="default"/>
                <w:color w:val="000000" w:themeColor="text1"/>
                <w:highlight w:val="none"/>
                <w:lang w:val="en-US" w:eastAsia="zh-CN"/>
                <w14:textFill>
                  <w14:solidFill>
                    <w14:schemeClr w14:val="tx1"/>
                  </w14:solidFill>
                </w14:textFill>
              </w:rPr>
              <w:t>选后</w:t>
            </w:r>
            <w:r>
              <w:rPr>
                <w:rFonts w:hint="eastAsia"/>
                <w:color w:val="000000" w:themeColor="text1"/>
                <w:highlight w:val="none"/>
                <w:lang w:val="en-US" w:eastAsia="zh-CN"/>
                <w14:textFill>
                  <w14:solidFill>
                    <w14:schemeClr w14:val="tx1"/>
                  </w14:solidFill>
                </w14:textFill>
              </w:rPr>
              <w:t>湿硅粉</w:t>
            </w:r>
            <w:r>
              <w:rPr>
                <w:rFonts w:hint="default"/>
                <w:color w:val="000000" w:themeColor="text1"/>
                <w:highlight w:val="none"/>
                <w:lang w:val="en-US" w:eastAsia="zh-CN"/>
                <w14:textFill>
                  <w14:solidFill>
                    <w14:schemeClr w14:val="tx1"/>
                  </w14:solidFill>
                </w14:textFill>
              </w:rPr>
              <w:t>进入</w:t>
            </w:r>
            <w:r>
              <w:rPr>
                <w:rFonts w:hint="eastAsia"/>
                <w:color w:val="000000" w:themeColor="text1"/>
                <w:highlight w:val="none"/>
                <w:lang w:val="en-US" w:eastAsia="zh-CN"/>
                <w14:textFill>
                  <w14:solidFill>
                    <w14:schemeClr w14:val="tx1"/>
                  </w14:solidFill>
                </w14:textFill>
              </w:rPr>
              <w:t>静压</w:t>
            </w:r>
            <w:r>
              <w:rPr>
                <w:rFonts w:hint="default"/>
                <w:color w:val="000000" w:themeColor="text1"/>
                <w:highlight w:val="none"/>
                <w:lang w:val="en-US" w:eastAsia="zh-CN"/>
                <w14:textFill>
                  <w14:solidFill>
                    <w14:schemeClr w14:val="tx1"/>
                  </w14:solidFill>
                </w14:textFill>
              </w:rPr>
              <w:t>机，压力2.0MPa下压榨至含湿率≤</w:t>
            </w:r>
            <w:r>
              <w:rPr>
                <w:rFonts w:hint="eastAsia"/>
                <w:color w:val="000000" w:themeColor="text1"/>
                <w:highlight w:val="none"/>
                <w:lang w:val="en-US" w:eastAsia="zh-CN"/>
                <w14:textFill>
                  <w14:solidFill>
                    <w14:schemeClr w14:val="tx1"/>
                  </w14:solidFill>
                </w14:textFill>
              </w:rPr>
              <w:t>15</w:t>
            </w:r>
            <w:r>
              <w:rPr>
                <w:rFonts w:hint="default"/>
                <w:color w:val="000000" w:themeColor="text1"/>
                <w:highlight w:val="none"/>
                <w:lang w:val="en-US" w:eastAsia="zh-CN"/>
                <w14:textFill>
                  <w14:solidFill>
                    <w14:schemeClr w14:val="tx1"/>
                  </w14:solidFill>
                </w14:textFill>
              </w:rPr>
              <w:t>%。压滤后滤饼（湿硅粉）进入静压机压成块状后送至室外晒干后</w:t>
            </w:r>
            <w:r>
              <w:rPr>
                <w:rFonts w:hint="eastAsia"/>
                <w:color w:val="000000" w:themeColor="text1"/>
                <w:highlight w:val="none"/>
                <w:lang w:val="en-US" w:eastAsia="zh-CN"/>
                <w14:textFill>
                  <w14:solidFill>
                    <w14:schemeClr w14:val="tx1"/>
                  </w14:solidFill>
                </w14:textFill>
              </w:rPr>
              <w:t>送到</w:t>
            </w:r>
            <w:r>
              <w:rPr>
                <w:rFonts w:hint="default"/>
                <w:color w:val="000000" w:themeColor="text1"/>
                <w:highlight w:val="none"/>
                <w:lang w:val="en-US" w:eastAsia="zh-CN"/>
                <w14:textFill>
                  <w14:solidFill>
                    <w14:schemeClr w14:val="tx1"/>
                  </w14:solidFill>
                </w14:textFill>
              </w:rPr>
              <w:t>现有硅粉</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车间内</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压滤机与静压机工序均会产生废水与噪声，产生的废水经重选沉淀池沉淀后排入外沉池循环使用；噪声防治措施采用设备减振、隔声措施。</w:t>
            </w:r>
          </w:p>
          <w:p w14:paraId="7C7F6F40">
            <w:pPr>
              <w:pStyle w:val="53"/>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（7）烘干</w:t>
            </w:r>
          </w:p>
          <w:p w14:paraId="36269093">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经静压机脱水成型后的滤饼送至电烘干滚筒式烘干机进行烘干，烘干后送至原熔炼车间进行处理，此工序会有废气与噪声产生，废气经集气罩收集后通入布袋除尘器处理，处理后经1根15m排气筒排放。</w:t>
            </w:r>
          </w:p>
          <w:p w14:paraId="18562C31">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p>
          <w:p w14:paraId="21C1A7D5">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p>
          <w:p w14:paraId="3B00DF6B">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r>
              <w:rPr>
                <w:rFonts w:hint="default"/>
                <w:b/>
                <w:bCs/>
                <w:color w:val="000000" w:themeColor="text1"/>
                <w:szCs w:val="21"/>
                <w:highlight w:val="none"/>
                <w:lang w:val="en-US" w:eastAsia="zh-CN"/>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2-6   一期工程</w:t>
            </w:r>
            <w:r>
              <w:rPr>
                <w:rFonts w:hint="default"/>
                <w:b/>
                <w:bCs/>
                <w:color w:val="000000" w:themeColor="text1"/>
                <w:szCs w:val="21"/>
                <w:highlight w:val="none"/>
                <w:lang w:val="en-US" w:eastAsia="zh-CN"/>
                <w14:textFill>
                  <w14:solidFill>
                    <w14:schemeClr w14:val="tx1"/>
                  </w14:solidFill>
                </w14:textFill>
              </w:rPr>
              <w:t>产污环节一览表</w:t>
            </w:r>
          </w:p>
          <w:tbl>
            <w:tblPr>
              <w:tblStyle w:val="21"/>
              <w:tblW w:w="8178"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1753"/>
              <w:gridCol w:w="2280"/>
              <w:gridCol w:w="3568"/>
            </w:tblGrid>
            <w:tr w14:paraId="5A1FC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19276B2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序号</w:t>
                  </w:r>
                </w:p>
              </w:tc>
              <w:tc>
                <w:tcPr>
                  <w:tcW w:w="1753" w:type="dxa"/>
                  <w:tcBorders>
                    <w:tl2br w:val="nil"/>
                    <w:tr2bl w:val="nil"/>
                  </w:tcBorders>
                  <w:vAlign w:val="center"/>
                </w:tcPr>
                <w:p w14:paraId="534B790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产污环节</w:t>
                  </w:r>
                </w:p>
              </w:tc>
              <w:tc>
                <w:tcPr>
                  <w:tcW w:w="2280" w:type="dxa"/>
                  <w:tcBorders>
                    <w:tl2br w:val="nil"/>
                    <w:tr2bl w:val="nil"/>
                  </w:tcBorders>
                  <w:vAlign w:val="center"/>
                </w:tcPr>
                <w:p w14:paraId="1890732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污染物种类</w:t>
                  </w:r>
                </w:p>
              </w:tc>
              <w:tc>
                <w:tcPr>
                  <w:tcW w:w="3568" w:type="dxa"/>
                  <w:tcBorders>
                    <w:tl2br w:val="nil"/>
                    <w:tr2bl w:val="nil"/>
                  </w:tcBorders>
                  <w:vAlign w:val="center"/>
                </w:tcPr>
                <w:p w14:paraId="55AA9097">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处理措施</w:t>
                  </w:r>
                </w:p>
              </w:tc>
            </w:tr>
            <w:tr w14:paraId="180C4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0FCDB5C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w:t>
                  </w:r>
                </w:p>
              </w:tc>
              <w:tc>
                <w:tcPr>
                  <w:tcW w:w="1753" w:type="dxa"/>
                  <w:tcBorders>
                    <w:tl2br w:val="nil"/>
                    <w:tr2bl w:val="nil"/>
                  </w:tcBorders>
                  <w:vAlign w:val="center"/>
                </w:tcPr>
                <w:p w14:paraId="6A65074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原料堆存与装卸</w:t>
                  </w:r>
                </w:p>
              </w:tc>
              <w:tc>
                <w:tcPr>
                  <w:tcW w:w="2280" w:type="dxa"/>
                  <w:tcBorders>
                    <w:tl2br w:val="nil"/>
                    <w:tr2bl w:val="nil"/>
                  </w:tcBorders>
                  <w:vAlign w:val="center"/>
                </w:tcPr>
                <w:p w14:paraId="54FBEF9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粉尘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p>
              </w:tc>
              <w:tc>
                <w:tcPr>
                  <w:tcW w:w="3568" w:type="dxa"/>
                  <w:tcBorders>
                    <w:tl2br w:val="nil"/>
                    <w:tr2bl w:val="nil"/>
                  </w:tcBorders>
                  <w:vAlign w:val="center"/>
                </w:tcPr>
                <w:p w14:paraId="54A068C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密闭堆存、洒水降尘</w:t>
                  </w:r>
                </w:p>
              </w:tc>
            </w:tr>
            <w:tr w14:paraId="0DB58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45062B0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2</w:t>
                  </w:r>
                </w:p>
              </w:tc>
              <w:tc>
                <w:tcPr>
                  <w:tcW w:w="1753" w:type="dxa"/>
                  <w:tcBorders>
                    <w:tl2br w:val="nil"/>
                    <w:tr2bl w:val="nil"/>
                  </w:tcBorders>
                  <w:vAlign w:val="center"/>
                </w:tcPr>
                <w:p w14:paraId="34DA2EA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酸洗</w:t>
                  </w:r>
                  <w:r>
                    <w:rPr>
                      <w:rFonts w:hint="eastAsia"/>
                      <w:color w:val="000000" w:themeColor="text1"/>
                      <w:highlight w:val="none"/>
                      <w:lang w:val="en-US" w:eastAsia="zh-CN"/>
                      <w14:textFill>
                        <w14:solidFill>
                          <w14:schemeClr w14:val="tx1"/>
                        </w14:solidFill>
                      </w14:textFill>
                    </w:rPr>
                    <w:t>搅拌</w:t>
                  </w:r>
                  <w:r>
                    <w:rPr>
                      <w:rFonts w:hint="eastAsia"/>
                      <w:color w:val="000000" w:themeColor="text1"/>
                      <w:highlight w:val="none"/>
                      <w14:textFill>
                        <w14:solidFill>
                          <w14:schemeClr w14:val="tx1"/>
                        </w14:solidFill>
                      </w14:textFill>
                    </w:rPr>
                    <w:t>工序</w:t>
                  </w:r>
                </w:p>
              </w:tc>
              <w:tc>
                <w:tcPr>
                  <w:tcW w:w="2280" w:type="dxa"/>
                  <w:tcBorders>
                    <w:tl2br w:val="nil"/>
                    <w:tr2bl w:val="nil"/>
                  </w:tcBorders>
                  <w:vAlign w:val="center"/>
                </w:tcPr>
                <w:p w14:paraId="009409B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酸雾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HCI</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、粉尘</w:t>
                  </w:r>
                </w:p>
              </w:tc>
              <w:tc>
                <w:tcPr>
                  <w:tcW w:w="3568" w:type="dxa"/>
                  <w:tcBorders>
                    <w:tl2br w:val="nil"/>
                    <w:tr2bl w:val="nil"/>
                  </w:tcBorders>
                  <w:vAlign w:val="center"/>
                </w:tcPr>
                <w:p w14:paraId="36B5E67A">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集气</w:t>
                  </w:r>
                  <w:r>
                    <w:rPr>
                      <w:rFonts w:hint="eastAsia"/>
                      <w:color w:val="000000" w:themeColor="text1"/>
                      <w:highlight w:val="none"/>
                      <w:lang w:val="en-US" w:eastAsia="zh-CN"/>
                      <w14:textFill>
                        <w14:solidFill>
                          <w14:schemeClr w14:val="tx1"/>
                        </w14:solidFill>
                      </w14:textFill>
                    </w:rPr>
                    <w:t>罩</w:t>
                  </w:r>
                  <w:r>
                    <w:rPr>
                      <w:rFonts w:hint="eastAsia"/>
                      <w:color w:val="000000" w:themeColor="text1"/>
                      <w:highlight w:val="none"/>
                      <w14:textFill>
                        <w14:solidFill>
                          <w14:schemeClr w14:val="tx1"/>
                        </w14:solidFill>
                      </w14:textFill>
                    </w:rPr>
                    <w:t>+碱洗塔+15m排气筒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DA001</w:t>
                  </w:r>
                  <w:r>
                    <w:rPr>
                      <w:rFonts w:hint="eastAsia"/>
                      <w:color w:val="000000" w:themeColor="text1"/>
                      <w:highlight w:val="none"/>
                      <w:lang w:eastAsia="zh-CN"/>
                      <w14:textFill>
                        <w14:solidFill>
                          <w14:schemeClr w14:val="tx1"/>
                        </w14:solidFill>
                      </w14:textFill>
                    </w:rPr>
                    <w:t>）</w:t>
                  </w:r>
                </w:p>
              </w:tc>
            </w:tr>
            <w:tr w14:paraId="353D2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73AEC5B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3</w:t>
                  </w:r>
                </w:p>
              </w:tc>
              <w:tc>
                <w:tcPr>
                  <w:tcW w:w="1753" w:type="dxa"/>
                  <w:tcBorders>
                    <w:tl2br w:val="nil"/>
                    <w:tr2bl w:val="nil"/>
                  </w:tcBorders>
                  <w:vAlign w:val="center"/>
                </w:tcPr>
                <w:p w14:paraId="5579319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盐酸储罐</w:t>
                  </w:r>
                </w:p>
              </w:tc>
              <w:tc>
                <w:tcPr>
                  <w:tcW w:w="2280" w:type="dxa"/>
                  <w:tcBorders>
                    <w:tl2br w:val="nil"/>
                    <w:tr2bl w:val="nil"/>
                  </w:tcBorders>
                  <w:vAlign w:val="center"/>
                </w:tcPr>
                <w:p w14:paraId="6939DAB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HCI废气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大小呼吸</w:t>
                  </w:r>
                  <w:r>
                    <w:rPr>
                      <w:rFonts w:hint="eastAsia"/>
                      <w:color w:val="000000" w:themeColor="text1"/>
                      <w:highlight w:val="none"/>
                      <w:lang w:eastAsia="zh-CN"/>
                      <w14:textFill>
                        <w14:solidFill>
                          <w14:schemeClr w14:val="tx1"/>
                        </w14:solidFill>
                      </w14:textFill>
                    </w:rPr>
                    <w:t>）</w:t>
                  </w:r>
                </w:p>
              </w:tc>
              <w:tc>
                <w:tcPr>
                  <w:tcW w:w="3568" w:type="dxa"/>
                  <w:tcBorders>
                    <w:tl2br w:val="nil"/>
                    <w:tr2bl w:val="nil"/>
                  </w:tcBorders>
                  <w:vAlign w:val="center"/>
                </w:tcPr>
                <w:p w14:paraId="3AB5473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接入碱洗塔处理后排放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DA001</w:t>
                  </w:r>
                  <w:r>
                    <w:rPr>
                      <w:rFonts w:hint="eastAsia"/>
                      <w:color w:val="000000" w:themeColor="text1"/>
                      <w:highlight w:val="none"/>
                      <w:lang w:eastAsia="zh-CN"/>
                      <w14:textFill>
                        <w14:solidFill>
                          <w14:schemeClr w14:val="tx1"/>
                        </w14:solidFill>
                      </w14:textFill>
                    </w:rPr>
                    <w:t>）</w:t>
                  </w:r>
                </w:p>
              </w:tc>
            </w:tr>
            <w:tr w14:paraId="1F447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7661005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4</w:t>
                  </w:r>
                </w:p>
              </w:tc>
              <w:tc>
                <w:tcPr>
                  <w:tcW w:w="1753" w:type="dxa"/>
                  <w:tcBorders>
                    <w:tl2br w:val="nil"/>
                    <w:tr2bl w:val="nil"/>
                  </w:tcBorders>
                  <w:vAlign w:val="center"/>
                </w:tcPr>
                <w:p w14:paraId="09839FC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醇基锅炉</w:t>
                  </w:r>
                </w:p>
              </w:tc>
              <w:tc>
                <w:tcPr>
                  <w:tcW w:w="2280" w:type="dxa"/>
                  <w:tcBorders>
                    <w:tl2br w:val="nil"/>
                    <w:tr2bl w:val="nil"/>
                  </w:tcBorders>
                  <w:vAlign w:val="center"/>
                </w:tcPr>
                <w:p w14:paraId="10906A7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烟气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NOx、</w:t>
                  </w: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废离子交换树脂</w:t>
                  </w:r>
                </w:p>
              </w:tc>
              <w:tc>
                <w:tcPr>
                  <w:tcW w:w="3568" w:type="dxa"/>
                  <w:tcBorders>
                    <w:tl2br w:val="nil"/>
                    <w:tr2bl w:val="nil"/>
                  </w:tcBorders>
                  <w:vAlign w:val="center"/>
                </w:tcPr>
                <w:p w14:paraId="24DD1A0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低氮</w:t>
                  </w:r>
                  <w:r>
                    <w:rPr>
                      <w:rFonts w:hint="eastAsia"/>
                      <w:color w:val="000000" w:themeColor="text1"/>
                      <w:highlight w:val="none"/>
                      <w14:textFill>
                        <w14:solidFill>
                          <w14:schemeClr w14:val="tx1"/>
                        </w14:solidFill>
                      </w14:textFill>
                    </w:rPr>
                    <w:t>燃烧器</w:t>
                  </w:r>
                  <w:r>
                    <w:rPr>
                      <w:rFonts w:hint="eastAsia"/>
                      <w:color w:val="000000" w:themeColor="text1"/>
                      <w:highlight w:val="none"/>
                      <w:lang w:val="en-US" w:eastAsia="zh-CN"/>
                      <w14:textFill>
                        <w14:solidFill>
                          <w14:schemeClr w14:val="tx1"/>
                        </w14:solidFill>
                      </w14:textFill>
                    </w:rPr>
                    <w:t>+布袋除尘器</w:t>
                  </w:r>
                  <w:r>
                    <w:rPr>
                      <w:rFonts w:hint="eastAsia"/>
                      <w:color w:val="000000" w:themeColor="text1"/>
                      <w:highlight w:val="none"/>
                      <w14:textFill>
                        <w14:solidFill>
                          <w14:schemeClr w14:val="tx1"/>
                        </w14:solidFill>
                      </w14:textFill>
                    </w:rPr>
                    <w:t>+15m排气筒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DA002</w:t>
                  </w:r>
                  <w:r>
                    <w:rPr>
                      <w:rFonts w:hint="eastAsia"/>
                      <w:color w:val="000000" w:themeColor="text1"/>
                      <w:highlight w:val="none"/>
                      <w:lang w:eastAsia="zh-CN"/>
                      <w14:textFill>
                        <w14:solidFill>
                          <w14:schemeClr w14:val="tx1"/>
                        </w14:solidFill>
                      </w14:textFill>
                    </w:rPr>
                    <w:t>）</w:t>
                  </w:r>
                </w:p>
              </w:tc>
            </w:tr>
            <w:tr w14:paraId="3A4E8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34C47C5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5</w:t>
                  </w:r>
                </w:p>
              </w:tc>
              <w:tc>
                <w:tcPr>
                  <w:tcW w:w="1753" w:type="dxa"/>
                  <w:tcBorders>
                    <w:tl2br w:val="nil"/>
                    <w:tr2bl w:val="nil"/>
                  </w:tcBorders>
                  <w:vAlign w:val="center"/>
                </w:tcPr>
                <w:p w14:paraId="0024C88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压滤、沉淀工序</w:t>
                  </w:r>
                </w:p>
              </w:tc>
              <w:tc>
                <w:tcPr>
                  <w:tcW w:w="2280" w:type="dxa"/>
                  <w:tcBorders>
                    <w:tl2br w:val="nil"/>
                    <w:tr2bl w:val="nil"/>
                  </w:tcBorders>
                  <w:vAlign w:val="center"/>
                </w:tcPr>
                <w:p w14:paraId="5C9120F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、尾渣</w:t>
                  </w:r>
                </w:p>
              </w:tc>
              <w:tc>
                <w:tcPr>
                  <w:tcW w:w="3568" w:type="dxa"/>
                  <w:tcBorders>
                    <w:tl2br w:val="nil"/>
                    <w:tr2bl w:val="nil"/>
                  </w:tcBorders>
                  <w:vAlign w:val="center"/>
                </w:tcPr>
                <w:p w14:paraId="69AA8FB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14:textFill>
                        <w14:solidFill>
                          <w14:schemeClr w14:val="tx1"/>
                        </w14:solidFill>
                      </w14:textFill>
                    </w:rPr>
                    <w:t>排入沉淀池处理后回用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r>
                    <w:rPr>
                      <w:rFonts w:hint="eastAsia"/>
                      <w:color w:val="000000" w:themeColor="text1"/>
                      <w:highlight w:val="none"/>
                      <w:lang w:val="en-US" w:eastAsia="zh-CN"/>
                      <w14:textFill>
                        <w14:solidFill>
                          <w14:schemeClr w14:val="tx1"/>
                        </w14:solidFill>
                      </w14:textFill>
                    </w:rPr>
                    <w:t>减震垫</w:t>
                  </w:r>
                  <w:r>
                    <w:rPr>
                      <w:rFonts w:hint="eastAsia"/>
                      <w:color w:val="000000" w:themeColor="text1"/>
                      <w:highlight w:val="none"/>
                      <w14:textFill>
                        <w14:solidFill>
                          <w14:schemeClr w14:val="tx1"/>
                        </w14:solidFill>
                      </w14:textFill>
                    </w:rPr>
                    <w:t>、隔声门窗</w:t>
                  </w:r>
                </w:p>
              </w:tc>
            </w:tr>
            <w:tr w14:paraId="5CF9B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4F298EB6">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6</w:t>
                  </w:r>
                </w:p>
              </w:tc>
              <w:tc>
                <w:tcPr>
                  <w:tcW w:w="1753" w:type="dxa"/>
                  <w:tcBorders>
                    <w:tl2br w:val="nil"/>
                    <w:tr2bl w:val="nil"/>
                  </w:tcBorders>
                  <w:vAlign w:val="center"/>
                </w:tcPr>
                <w:p w14:paraId="0EA0039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重选、静压工序</w:t>
                  </w:r>
                </w:p>
              </w:tc>
              <w:tc>
                <w:tcPr>
                  <w:tcW w:w="2280" w:type="dxa"/>
                  <w:tcBorders>
                    <w:tl2br w:val="nil"/>
                    <w:tr2bl w:val="nil"/>
                  </w:tcBorders>
                  <w:vAlign w:val="center"/>
                </w:tcPr>
                <w:p w14:paraId="6DDAD69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14:textFill>
                        <w14:solidFill>
                          <w14:schemeClr w14:val="tx1"/>
                        </w14:solidFill>
                      </w14:textFill>
                    </w:rPr>
                    <w:t>、底泥</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、尾渣</w:t>
                  </w:r>
                </w:p>
              </w:tc>
              <w:tc>
                <w:tcPr>
                  <w:tcW w:w="3568" w:type="dxa"/>
                  <w:tcBorders>
                    <w:tl2br w:val="nil"/>
                    <w:tr2bl w:val="nil"/>
                  </w:tcBorders>
                  <w:vAlign w:val="center"/>
                </w:tcPr>
                <w:p w14:paraId="61463A8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14:textFill>
                        <w14:solidFill>
                          <w14:schemeClr w14:val="tx1"/>
                        </w14:solidFill>
                      </w14:textFill>
                    </w:rPr>
                    <w:t>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r>
                    <w:rPr>
                      <w:rFonts w:hint="eastAsia"/>
                      <w:color w:val="000000" w:themeColor="text1"/>
                      <w:highlight w:val="none"/>
                      <w:lang w:val="en-US" w:eastAsia="zh-CN"/>
                      <w14:textFill>
                        <w14:solidFill>
                          <w14:schemeClr w14:val="tx1"/>
                        </w14:solidFill>
                      </w14:textFill>
                    </w:rPr>
                    <w:t>减震垫</w:t>
                  </w:r>
                  <w:r>
                    <w:rPr>
                      <w:rFonts w:hint="eastAsia"/>
                      <w:color w:val="000000" w:themeColor="text1"/>
                      <w:highlight w:val="none"/>
                      <w14:textFill>
                        <w14:solidFill>
                          <w14:schemeClr w14:val="tx1"/>
                        </w14:solidFill>
                      </w14:textFill>
                    </w:rPr>
                    <w:t>、隔声门窗</w:t>
                  </w:r>
                </w:p>
              </w:tc>
            </w:tr>
            <w:tr w14:paraId="311C2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565B2B2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7</w:t>
                  </w:r>
                </w:p>
              </w:tc>
              <w:tc>
                <w:tcPr>
                  <w:tcW w:w="1753" w:type="dxa"/>
                  <w:tcBorders>
                    <w:tl2br w:val="nil"/>
                    <w:tr2bl w:val="nil"/>
                  </w:tcBorders>
                  <w:vAlign w:val="center"/>
                </w:tcPr>
                <w:p w14:paraId="0AC4CEB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烘干工序</w:t>
                  </w:r>
                </w:p>
              </w:tc>
              <w:tc>
                <w:tcPr>
                  <w:tcW w:w="2280" w:type="dxa"/>
                  <w:tcBorders>
                    <w:tl2br w:val="nil"/>
                    <w:tr2bl w:val="nil"/>
                  </w:tcBorders>
                  <w:vAlign w:val="center"/>
                </w:tcPr>
                <w:p w14:paraId="2E06D88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粉尘、噪声</w:t>
                  </w:r>
                </w:p>
              </w:tc>
              <w:tc>
                <w:tcPr>
                  <w:tcW w:w="3568" w:type="dxa"/>
                  <w:tcBorders>
                    <w:tl2br w:val="nil"/>
                    <w:tr2bl w:val="nil"/>
                  </w:tcBorders>
                  <w:vAlign w:val="center"/>
                </w:tcPr>
                <w:p w14:paraId="5E49DE9A">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集气</w:t>
                  </w:r>
                  <w:r>
                    <w:rPr>
                      <w:rFonts w:hint="eastAsia"/>
                      <w:color w:val="000000" w:themeColor="text1"/>
                      <w:highlight w:val="none"/>
                      <w:lang w:val="en-US" w:eastAsia="zh-CN"/>
                      <w14:textFill>
                        <w14:solidFill>
                          <w14:schemeClr w14:val="tx1"/>
                        </w14:solidFill>
                      </w14:textFill>
                    </w:rPr>
                    <w:t>罩</w:t>
                  </w:r>
                  <w:r>
                    <w:rPr>
                      <w:rFonts w:hint="eastAsia"/>
                      <w:color w:val="000000" w:themeColor="text1"/>
                      <w:highlight w:val="none"/>
                      <w14:textFill>
                        <w14:solidFill>
                          <w14:schemeClr w14:val="tx1"/>
                        </w14:solidFill>
                      </w14:textFill>
                    </w:rPr>
                    <w:t>+袋式除尘+15m排气筒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DA003</w:t>
                  </w:r>
                  <w:r>
                    <w:rPr>
                      <w:rFonts w:hint="eastAsia"/>
                      <w:color w:val="000000" w:themeColor="text1"/>
                      <w:highlight w:val="none"/>
                      <w:lang w:eastAsia="zh-CN"/>
                      <w14:textFill>
                        <w14:solidFill>
                          <w14:schemeClr w14:val="tx1"/>
                        </w14:solidFill>
                      </w14:textFill>
                    </w:rPr>
                    <w:t>）</w:t>
                  </w:r>
                </w:p>
              </w:tc>
            </w:tr>
            <w:tr w14:paraId="3B2F3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502BAD7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8</w:t>
                  </w:r>
                </w:p>
              </w:tc>
              <w:tc>
                <w:tcPr>
                  <w:tcW w:w="1753" w:type="dxa"/>
                  <w:tcBorders>
                    <w:tl2br w:val="nil"/>
                    <w:tr2bl w:val="nil"/>
                  </w:tcBorders>
                  <w:vAlign w:val="center"/>
                </w:tcPr>
                <w:p w14:paraId="7B029BC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设备运行</w:t>
                  </w:r>
                </w:p>
              </w:tc>
              <w:tc>
                <w:tcPr>
                  <w:tcW w:w="2280" w:type="dxa"/>
                  <w:tcBorders>
                    <w:tl2br w:val="nil"/>
                    <w:tr2bl w:val="nil"/>
                  </w:tcBorders>
                  <w:vAlign w:val="center"/>
                </w:tcPr>
                <w:p w14:paraId="49B69F7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机械噪声</w:t>
                  </w:r>
                  <w:r>
                    <w:rPr>
                      <w:rFonts w:hint="eastAsia"/>
                      <w:color w:val="000000" w:themeColor="text1"/>
                      <w:highlight w:val="none"/>
                      <w:lang w:eastAsia="zh-CN"/>
                      <w14:textFill>
                        <w14:solidFill>
                          <w14:schemeClr w14:val="tx1"/>
                        </w14:solidFill>
                      </w14:textFill>
                    </w:rPr>
                    <w:t>）</w:t>
                  </w:r>
                </w:p>
              </w:tc>
              <w:tc>
                <w:tcPr>
                  <w:tcW w:w="3568" w:type="dxa"/>
                  <w:tcBorders>
                    <w:tl2br w:val="nil"/>
                    <w:tr2bl w:val="nil"/>
                  </w:tcBorders>
                  <w:vAlign w:val="center"/>
                </w:tcPr>
                <w:p w14:paraId="218DA69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减震垫</w:t>
                  </w:r>
                  <w:r>
                    <w:rPr>
                      <w:rFonts w:hint="eastAsia"/>
                      <w:color w:val="000000" w:themeColor="text1"/>
                      <w:highlight w:val="none"/>
                      <w14:textFill>
                        <w14:solidFill>
                          <w14:schemeClr w14:val="tx1"/>
                        </w14:solidFill>
                      </w14:textFill>
                    </w:rPr>
                    <w:t>、隔声门窗、限速禁鸣</w:t>
                  </w:r>
                </w:p>
              </w:tc>
            </w:tr>
            <w:tr w14:paraId="3CF55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621651E0">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9</w:t>
                  </w:r>
                </w:p>
              </w:tc>
              <w:tc>
                <w:tcPr>
                  <w:tcW w:w="1753" w:type="dxa"/>
                  <w:tcBorders>
                    <w:tl2br w:val="nil"/>
                    <w:tr2bl w:val="nil"/>
                  </w:tcBorders>
                  <w:vAlign w:val="center"/>
                </w:tcPr>
                <w:p w14:paraId="385E5CCB">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设备维护</w:t>
                  </w:r>
                </w:p>
              </w:tc>
              <w:tc>
                <w:tcPr>
                  <w:tcW w:w="2280" w:type="dxa"/>
                  <w:tcBorders>
                    <w:tl2br w:val="nil"/>
                    <w:tr2bl w:val="nil"/>
                  </w:tcBorders>
                  <w:vAlign w:val="center"/>
                </w:tcPr>
                <w:p w14:paraId="7FFAFDC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废润滑油、</w:t>
                  </w:r>
                  <w:r>
                    <w:rPr>
                      <w:rFonts w:hint="eastAsia"/>
                      <w:color w:val="000000" w:themeColor="text1"/>
                      <w:highlight w:val="none"/>
                      <w:lang w:val="en-US" w:eastAsia="zh-CN"/>
                      <w14:textFill>
                        <w14:solidFill>
                          <w14:schemeClr w14:val="tx1"/>
                        </w14:solidFill>
                      </w14:textFill>
                    </w:rPr>
                    <w:t>废油桶、</w:t>
                  </w:r>
                  <w:r>
                    <w:rPr>
                      <w:rFonts w:hint="eastAsia"/>
                      <w:color w:val="000000" w:themeColor="text1"/>
                      <w:highlight w:val="none"/>
                      <w14:textFill>
                        <w14:solidFill>
                          <w14:schemeClr w14:val="tx1"/>
                        </w14:solidFill>
                      </w14:textFill>
                    </w:rPr>
                    <w:t>废弃的含油抹布、劳保用品</w:t>
                  </w:r>
                </w:p>
              </w:tc>
              <w:tc>
                <w:tcPr>
                  <w:tcW w:w="3568" w:type="dxa"/>
                  <w:tcBorders>
                    <w:tl2br w:val="nil"/>
                    <w:tr2bl w:val="nil"/>
                  </w:tcBorders>
                  <w:vAlign w:val="center"/>
                </w:tcPr>
                <w:p w14:paraId="3F12D3A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危废</w:t>
                  </w:r>
                  <w:r>
                    <w:rPr>
                      <w:rFonts w:hint="eastAsia"/>
                      <w:color w:val="000000" w:themeColor="text1"/>
                      <w:highlight w:val="none"/>
                      <w:lang w:val="en-US" w:eastAsia="zh-CN"/>
                      <w14:textFill>
                        <w14:solidFill>
                          <w14:schemeClr w14:val="tx1"/>
                        </w14:solidFill>
                      </w14:textFill>
                    </w:rPr>
                    <w:t>贮存</w:t>
                  </w:r>
                  <w:r>
                    <w:rPr>
                      <w:rFonts w:hint="eastAsia"/>
                      <w:color w:val="000000" w:themeColor="text1"/>
                      <w:highlight w:val="none"/>
                      <w14:textFill>
                        <w14:solidFill>
                          <w14:schemeClr w14:val="tx1"/>
                        </w14:solidFill>
                      </w14:textFill>
                    </w:rPr>
                    <w:t>点收集，定期委托有资质单位处置</w:t>
                  </w:r>
                </w:p>
              </w:tc>
            </w:tr>
            <w:tr w14:paraId="53F892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3AA5AACF">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10</w:t>
                  </w:r>
                </w:p>
              </w:tc>
              <w:tc>
                <w:tcPr>
                  <w:tcW w:w="1753" w:type="dxa"/>
                  <w:tcBorders>
                    <w:tl2br w:val="nil"/>
                    <w:tr2bl w:val="nil"/>
                  </w:tcBorders>
                  <w:vAlign w:val="center"/>
                </w:tcPr>
                <w:p w14:paraId="3A18DAF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废气处理</w:t>
                  </w:r>
                </w:p>
              </w:tc>
              <w:tc>
                <w:tcPr>
                  <w:tcW w:w="2280" w:type="dxa"/>
                  <w:tcBorders>
                    <w:tl2br w:val="nil"/>
                    <w:tr2bl w:val="nil"/>
                  </w:tcBorders>
                  <w:vAlign w:val="center"/>
                </w:tcPr>
                <w:p w14:paraId="65E5B866">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废碱液、除尘灰</w:t>
                  </w:r>
                </w:p>
              </w:tc>
              <w:tc>
                <w:tcPr>
                  <w:tcW w:w="3568" w:type="dxa"/>
                  <w:tcBorders>
                    <w:tl2br w:val="nil"/>
                    <w:tr2bl w:val="nil"/>
                  </w:tcBorders>
                  <w:vAlign w:val="center"/>
                </w:tcPr>
                <w:p w14:paraId="2D8BA14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ascii="Times New Roman" w:hAnsi="Times New Roman" w:eastAsia="宋体"/>
                      <w:color w:val="000000" w:themeColor="text1"/>
                      <w:highlight w:val="none"/>
                      <w14:textFill>
                        <w14:solidFill>
                          <w14:schemeClr w14:val="tx1"/>
                        </w14:solidFill>
                      </w14:textFill>
                    </w:rPr>
                  </w:pPr>
                  <w:r>
                    <w:rPr>
                      <w:rFonts w:hint="eastAsia" w:ascii="Times New Roman" w:hAnsi="Times New Roman" w:eastAsia="宋体"/>
                      <w:color w:val="000000" w:themeColor="text1"/>
                      <w:highlight w:val="none"/>
                      <w14:textFill>
                        <w14:solidFill>
                          <w14:schemeClr w14:val="tx1"/>
                        </w14:solidFill>
                      </w14:textFill>
                    </w:rPr>
                    <w:t>废碱液为危废，危废</w:t>
                  </w:r>
                  <w:r>
                    <w:rPr>
                      <w:rFonts w:hint="eastAsia" w:ascii="Times New Roman" w:hAnsi="Times New Roman" w:eastAsia="宋体"/>
                      <w:color w:val="000000" w:themeColor="text1"/>
                      <w:highlight w:val="none"/>
                      <w:lang w:val="en-US" w:eastAsia="zh-CN"/>
                      <w14:textFill>
                        <w14:solidFill>
                          <w14:schemeClr w14:val="tx1"/>
                        </w14:solidFill>
                      </w14:textFill>
                    </w:rPr>
                    <w:t>贮存</w:t>
                  </w:r>
                  <w:r>
                    <w:rPr>
                      <w:rFonts w:hint="eastAsia" w:ascii="Times New Roman" w:hAnsi="Times New Roman" w:eastAsia="宋体"/>
                      <w:color w:val="000000" w:themeColor="text1"/>
                      <w:highlight w:val="none"/>
                      <w14:textFill>
                        <w14:solidFill>
                          <w14:schemeClr w14:val="tx1"/>
                        </w14:solidFill>
                      </w14:textFill>
                    </w:rPr>
                    <w:t>点收集，定期委托有资质单位处置</w:t>
                  </w:r>
                  <w:r>
                    <w:rPr>
                      <w:rFonts w:hint="eastAsia" w:ascii="Times New Roman" w:hAnsi="Times New Roman" w:eastAsia="宋体"/>
                      <w:color w:val="000000" w:themeColor="text1"/>
                      <w:highlight w:val="none"/>
                      <w:lang w:eastAsia="zh-CN"/>
                      <w14:textFill>
                        <w14:solidFill>
                          <w14:schemeClr w14:val="tx1"/>
                        </w14:solidFill>
                      </w14:textFill>
                    </w:rPr>
                    <w:t>；</w:t>
                  </w:r>
                  <w:r>
                    <w:rPr>
                      <w:rFonts w:hint="eastAsia" w:ascii="Times New Roman" w:hAnsi="Times New Roman" w:eastAsia="宋体"/>
                      <w:color w:val="000000" w:themeColor="text1"/>
                      <w:highlight w:val="none"/>
                      <w14:textFill>
                        <w14:solidFill>
                          <w14:schemeClr w14:val="tx1"/>
                        </w14:solidFill>
                      </w14:textFill>
                    </w:rPr>
                    <w:t>除尘灰回用于生产</w:t>
                  </w:r>
                </w:p>
              </w:tc>
            </w:tr>
            <w:tr w14:paraId="1913F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44F819D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11</w:t>
                  </w:r>
                </w:p>
              </w:tc>
              <w:tc>
                <w:tcPr>
                  <w:tcW w:w="1753" w:type="dxa"/>
                  <w:tcBorders>
                    <w:tl2br w:val="nil"/>
                    <w:tr2bl w:val="nil"/>
                  </w:tcBorders>
                  <w:vAlign w:val="center"/>
                </w:tcPr>
                <w:p w14:paraId="4DFE525A">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原料包装</w:t>
                  </w:r>
                </w:p>
              </w:tc>
              <w:tc>
                <w:tcPr>
                  <w:tcW w:w="2280" w:type="dxa"/>
                  <w:tcBorders>
                    <w:tl2br w:val="nil"/>
                    <w:tr2bl w:val="nil"/>
                  </w:tcBorders>
                  <w:vAlign w:val="center"/>
                </w:tcPr>
                <w:p w14:paraId="1ADB874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废包装袋</w:t>
                  </w:r>
                </w:p>
              </w:tc>
              <w:tc>
                <w:tcPr>
                  <w:tcW w:w="3568" w:type="dxa"/>
                  <w:tcBorders>
                    <w:tl2br w:val="nil"/>
                    <w:tr2bl w:val="nil"/>
                  </w:tcBorders>
                  <w:vAlign w:val="center"/>
                </w:tcPr>
                <w:p w14:paraId="31D0D12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ascii="Times New Roman" w:hAnsi="Times New Roman" w:eastAsia="宋体"/>
                      <w:color w:val="000000" w:themeColor="text1"/>
                      <w:highlight w:val="none"/>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定期外售于废品回收站</w:t>
                  </w:r>
                </w:p>
              </w:tc>
            </w:tr>
          </w:tbl>
          <w:p w14:paraId="0B6B0ED5">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2.10.2熔炼</w:t>
            </w:r>
            <w:r>
              <w:rPr>
                <w:rFonts w:hint="default"/>
                <w:color w:val="000000" w:themeColor="text1"/>
                <w:highlight w:val="none"/>
                <w:lang w:val="en-US" w:eastAsia="zh-CN"/>
                <w14:textFill>
                  <w14:solidFill>
                    <w14:schemeClr w14:val="tx1"/>
                  </w14:solidFill>
                </w14:textFill>
              </w:rPr>
              <w:t>废硅渣提纯工艺（二期）</w:t>
            </w:r>
          </w:p>
          <w:p w14:paraId="151A5BA4">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项目二期</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工艺流程图如下：</w:t>
            </w:r>
          </w:p>
          <w:p w14:paraId="0E7E34A5">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2B1D652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1D2CA02A">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73FE288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4308488C">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4633DCFA">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54EB229A">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16A9521D">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2DE9A588">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6869976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0C04BE1B">
            <w:pPr>
              <w:pStyle w:val="29"/>
              <w:spacing w:line="240" w:lineRule="auto"/>
              <w:ind w:left="0" w:leftChars="0" w:firstLine="0" w:firstLineChars="0"/>
              <w:jc w:val="cente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drawing>
                <wp:inline distT="0" distB="0" distL="114300" distR="114300">
                  <wp:extent cx="4693920" cy="3771265"/>
                  <wp:effectExtent l="0" t="0" r="5080" b="635"/>
                  <wp:docPr id="6" name="图片 6" descr="0929a6f83ad92fe792b108c240d37c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929a6f83ad92fe792b108c240d37c9c"/>
                          <pic:cNvPicPr>
                            <a:picLocks noChangeAspect="1"/>
                          </pic:cNvPicPr>
                        </pic:nvPicPr>
                        <pic:blipFill>
                          <a:blip r:embed="rId14"/>
                          <a:stretch>
                            <a:fillRect/>
                          </a:stretch>
                        </pic:blipFill>
                        <pic:spPr>
                          <a:xfrm>
                            <a:off x="0" y="0"/>
                            <a:ext cx="4693920" cy="3771265"/>
                          </a:xfrm>
                          <a:prstGeom prst="rect">
                            <a:avLst/>
                          </a:prstGeom>
                        </pic:spPr>
                      </pic:pic>
                    </a:graphicData>
                  </a:graphic>
                </wp:inline>
              </w:drawing>
            </w:r>
          </w:p>
          <w:p w14:paraId="37902B95">
            <w:pPr>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t xml:space="preserve">图2-2   </w:t>
            </w:r>
            <w:r>
              <w:rPr>
                <w:rFonts w:hint="eastAsia" w:cs="Times New Roman"/>
                <w:b/>
                <w:bCs/>
                <w:color w:val="000000" w:themeColor="text1"/>
                <w:w w:val="100"/>
                <w:position w:val="0"/>
                <w:sz w:val="21"/>
                <w:szCs w:val="20"/>
                <w:highlight w:val="none"/>
                <w:lang w:val="en-US" w:eastAsia="zh-CN"/>
                <w14:textFill>
                  <w14:solidFill>
                    <w14:schemeClr w14:val="tx1"/>
                  </w14:solidFill>
                </w14:textFill>
              </w:rPr>
              <w:t>二</w:t>
            </w: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t>期工艺流程图</w:t>
            </w:r>
          </w:p>
          <w:p w14:paraId="0F84E22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（1）破碎磨粉</w:t>
            </w:r>
          </w:p>
          <w:p w14:paraId="7AED36C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熔炼</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完的硅渣含20</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30%的硅，进入破碎机，破成1</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3cm的破碎料。破碎料进入球磨机磨成粉后，进入分级机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w:t>
            </w:r>
            <w:r>
              <w:rPr>
                <w:rFonts w:hint="eastAsia" w:cs="Times New Roman"/>
                <w:b w:val="0"/>
                <w:bCs w:val="0"/>
                <w:color w:val="000000" w:themeColor="text1"/>
                <w:spacing w:val="0"/>
                <w:kern w:val="0"/>
                <w:position w:val="0"/>
                <w:sz w:val="24"/>
                <w:szCs w:val="24"/>
                <w:highlight w:val="none"/>
                <w:u w:val="none"/>
                <w:lang w:val="en-US" w:eastAsia="zh-CN" w:bidi="ar-SA"/>
                <w14:textFill>
                  <w14:solidFill>
                    <w14:schemeClr w14:val="tx1"/>
                  </w14:solidFill>
                </w14:textFill>
              </w:rPr>
              <w:t>（DA003）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26C39DAB">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（2）分级</w:t>
            </w:r>
          </w:p>
          <w:p w14:paraId="0E48DEC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硅渣</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通过</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旋流器组分级，分离出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150（约0.1mm）-200（约0.074mm）</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目合格颗粒进入浮选工段，</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直径大于</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0.1mm颗粒</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返回球磨机再粉碎</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，小于0.074mm颗粒经压滤后外售进行综合利用</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33E6616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（3）浮选</w:t>
            </w:r>
          </w:p>
          <w:p w14:paraId="6DE6C4B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合格硅渣颗粒进入浮选机，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通过</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加入定量的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浮选剂</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，让被选或需去除的矿物表面具有疏水性。在不断产生气泡时，疏水矿物会附着在气泡上，上浮后被刮板刮出，实现物料分离</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浮选时间8min，提升硅品位至＞80%，尾渣硅含量＜6%，浮选废水经沉淀后循环利用</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，此工序有尾渣产生，尾渣压滤后进行外售</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58989D4E">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固液分离</w:t>
            </w:r>
          </w:p>
          <w:p w14:paraId="57E73E9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板框压滤机（滤布精度5μm）压榨至含湿率≤</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%，滤液返回浮选系统</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）再经搅拌机</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加清水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打散</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后进入2#压滤机，压滤后产生的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废水经重选沉淀池沉淀后排入外沉池循环使用，产生的废渣送入摇床重选工序进行重选。</w:t>
            </w:r>
          </w:p>
          <w:p w14:paraId="5497E978">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）重选</w:t>
            </w:r>
          </w:p>
          <w:p w14:paraId="7C859B0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湿硅粉转入摇床重选（床面倾角3°~5°，冲程10mm），利用密度差异分离残余硅及金属颗粒，硅粉回收率＞95%。</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此工序会产生废水与噪声，产生的废水经重选沉淀池沉淀后排入外沉池循环使用，噪声防治措施采用设备减振、隔声措施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18149DA3">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）脱水成型</w:t>
            </w:r>
          </w:p>
          <w:p w14:paraId="535668B3">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重</w:t>
            </w:r>
            <w:r>
              <w:rPr>
                <w:rFonts w:hint="default"/>
                <w:color w:val="000000" w:themeColor="text1"/>
                <w:highlight w:val="none"/>
                <w:lang w:val="en-US" w:eastAsia="zh-CN"/>
                <w14:textFill>
                  <w14:solidFill>
                    <w14:schemeClr w14:val="tx1"/>
                  </w14:solidFill>
                </w14:textFill>
              </w:rPr>
              <w:t>选后</w:t>
            </w:r>
            <w:r>
              <w:rPr>
                <w:rFonts w:hint="eastAsia"/>
                <w:color w:val="000000" w:themeColor="text1"/>
                <w:highlight w:val="none"/>
                <w:lang w:val="en-US" w:eastAsia="zh-CN"/>
                <w14:textFill>
                  <w14:solidFill>
                    <w14:schemeClr w14:val="tx1"/>
                  </w14:solidFill>
                </w14:textFill>
              </w:rPr>
              <w:t>湿硅粉</w:t>
            </w:r>
            <w:r>
              <w:rPr>
                <w:rFonts w:hint="default"/>
                <w:color w:val="000000" w:themeColor="text1"/>
                <w:highlight w:val="none"/>
                <w:lang w:val="en-US" w:eastAsia="zh-CN"/>
                <w14:textFill>
                  <w14:solidFill>
                    <w14:schemeClr w14:val="tx1"/>
                  </w14:solidFill>
                </w14:textFill>
              </w:rPr>
              <w:t>进入</w:t>
            </w:r>
            <w:r>
              <w:rPr>
                <w:rFonts w:hint="eastAsia"/>
                <w:color w:val="000000" w:themeColor="text1"/>
                <w:highlight w:val="none"/>
                <w:lang w:val="en-US" w:eastAsia="zh-CN"/>
                <w14:textFill>
                  <w14:solidFill>
                    <w14:schemeClr w14:val="tx1"/>
                  </w14:solidFill>
                </w14:textFill>
              </w:rPr>
              <w:t>静压</w:t>
            </w:r>
            <w:r>
              <w:rPr>
                <w:rFonts w:hint="default"/>
                <w:color w:val="000000" w:themeColor="text1"/>
                <w:highlight w:val="none"/>
                <w:lang w:val="en-US" w:eastAsia="zh-CN"/>
                <w14:textFill>
                  <w14:solidFill>
                    <w14:schemeClr w14:val="tx1"/>
                  </w14:solidFill>
                </w14:textFill>
              </w:rPr>
              <w:t>机，压力2.0MPa下压榨至含湿率≤1</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%。压滤后滤饼（湿硅粉）进入静压机压成块状后送至室外晒干后</w:t>
            </w:r>
            <w:r>
              <w:rPr>
                <w:rFonts w:hint="eastAsia"/>
                <w:color w:val="000000" w:themeColor="text1"/>
                <w:highlight w:val="none"/>
                <w:lang w:val="en-US" w:eastAsia="zh-CN"/>
                <w14:textFill>
                  <w14:solidFill>
                    <w14:schemeClr w14:val="tx1"/>
                  </w14:solidFill>
                </w14:textFill>
              </w:rPr>
              <w:t>送到</w:t>
            </w:r>
            <w:r>
              <w:rPr>
                <w:rFonts w:hint="default"/>
                <w:color w:val="000000" w:themeColor="text1"/>
                <w:highlight w:val="none"/>
                <w:lang w:val="en-US" w:eastAsia="zh-CN"/>
                <w14:textFill>
                  <w14:solidFill>
                    <w14:schemeClr w14:val="tx1"/>
                  </w14:solidFill>
                </w14:textFill>
              </w:rPr>
              <w:t>现有硅粉</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车间内</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压滤机与静压机工序均会产生废水与噪声，产生的废水经重选沉淀池沉淀后排入外沉池循环使用；噪声防治措施采用设备减振、隔声措施。</w:t>
            </w:r>
          </w:p>
          <w:p w14:paraId="0DC6D3E2">
            <w:pPr>
              <w:pStyle w:val="53"/>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（7）烘干</w:t>
            </w:r>
          </w:p>
          <w:p w14:paraId="67FDF52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经静压机脱水成型后的滤饼送至电烘干滚筒式烘干机进行烘干，烘干后送至原熔炼车间进行处理，此工序会有废气与噪声产生，废气经集气罩收集后通入布袋除尘器处理，处理后经1根15m排气筒排放。</w:t>
            </w:r>
          </w:p>
          <w:p w14:paraId="21532C36">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r>
              <w:rPr>
                <w:rFonts w:hint="default"/>
                <w:b/>
                <w:bCs/>
                <w:color w:val="000000" w:themeColor="text1"/>
                <w:szCs w:val="21"/>
                <w:highlight w:val="none"/>
                <w:lang w:val="en-US" w:eastAsia="zh-CN"/>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2-7   二期工程</w:t>
            </w:r>
            <w:r>
              <w:rPr>
                <w:rFonts w:hint="default"/>
                <w:b/>
                <w:bCs/>
                <w:color w:val="000000" w:themeColor="text1"/>
                <w:szCs w:val="21"/>
                <w:highlight w:val="none"/>
                <w:lang w:val="en-US" w:eastAsia="zh-CN"/>
                <w14:textFill>
                  <w14:solidFill>
                    <w14:schemeClr w14:val="tx1"/>
                  </w14:solidFill>
                </w14:textFill>
              </w:rPr>
              <w:t>产污环节一览表</w:t>
            </w:r>
          </w:p>
          <w:tbl>
            <w:tblPr>
              <w:tblStyle w:val="21"/>
              <w:tblW w:w="8178"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1630"/>
              <w:gridCol w:w="2679"/>
              <w:gridCol w:w="3292"/>
            </w:tblGrid>
            <w:tr w14:paraId="27470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548488DF">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序号</w:t>
                  </w:r>
                </w:p>
              </w:tc>
              <w:tc>
                <w:tcPr>
                  <w:tcW w:w="1630" w:type="dxa"/>
                  <w:tcBorders>
                    <w:tl2br w:val="nil"/>
                    <w:tr2bl w:val="nil"/>
                  </w:tcBorders>
                  <w:vAlign w:val="center"/>
                </w:tcPr>
                <w:p w14:paraId="1F8C42B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产污环节</w:t>
                  </w:r>
                </w:p>
              </w:tc>
              <w:tc>
                <w:tcPr>
                  <w:tcW w:w="2679" w:type="dxa"/>
                  <w:tcBorders>
                    <w:tl2br w:val="nil"/>
                    <w:tr2bl w:val="nil"/>
                  </w:tcBorders>
                  <w:vAlign w:val="center"/>
                </w:tcPr>
                <w:p w14:paraId="710FD6A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污染物种类</w:t>
                  </w:r>
                </w:p>
              </w:tc>
              <w:tc>
                <w:tcPr>
                  <w:tcW w:w="3292" w:type="dxa"/>
                  <w:tcBorders>
                    <w:tl2br w:val="nil"/>
                    <w:tr2bl w:val="nil"/>
                  </w:tcBorders>
                  <w:vAlign w:val="center"/>
                </w:tcPr>
                <w:p w14:paraId="04638B5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处理措施</w:t>
                  </w:r>
                </w:p>
              </w:tc>
            </w:tr>
            <w:tr w14:paraId="032CF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5F9B1498">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w:t>
                  </w:r>
                </w:p>
              </w:tc>
              <w:tc>
                <w:tcPr>
                  <w:tcW w:w="1630" w:type="dxa"/>
                  <w:tcBorders>
                    <w:tl2br w:val="nil"/>
                    <w:tr2bl w:val="nil"/>
                  </w:tcBorders>
                  <w:vAlign w:val="center"/>
                </w:tcPr>
                <w:p w14:paraId="0F8171C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原料堆存与装卸</w:t>
                  </w:r>
                </w:p>
              </w:tc>
              <w:tc>
                <w:tcPr>
                  <w:tcW w:w="2679" w:type="dxa"/>
                  <w:tcBorders>
                    <w:tl2br w:val="nil"/>
                    <w:tr2bl w:val="nil"/>
                  </w:tcBorders>
                  <w:vAlign w:val="center"/>
                </w:tcPr>
                <w:p w14:paraId="004A129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粉尘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24D4EF5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密闭堆存、洒水降尘</w:t>
                  </w:r>
                </w:p>
              </w:tc>
            </w:tr>
            <w:tr w14:paraId="674B5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3B604177">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2</w:t>
                  </w:r>
                </w:p>
              </w:tc>
              <w:tc>
                <w:tcPr>
                  <w:tcW w:w="1630" w:type="dxa"/>
                  <w:tcBorders>
                    <w:tl2br w:val="nil"/>
                    <w:tr2bl w:val="nil"/>
                  </w:tcBorders>
                  <w:vAlign w:val="center"/>
                </w:tcPr>
                <w:p w14:paraId="237435F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破碎、球磨工序</w:t>
                  </w:r>
                </w:p>
              </w:tc>
              <w:tc>
                <w:tcPr>
                  <w:tcW w:w="2679" w:type="dxa"/>
                  <w:tcBorders>
                    <w:tl2br w:val="nil"/>
                    <w:tr2bl w:val="nil"/>
                  </w:tcBorders>
                  <w:vAlign w:val="center"/>
                </w:tcPr>
                <w:p w14:paraId="2357A18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粉尘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0E56627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集气</w:t>
                  </w:r>
                  <w:r>
                    <w:rPr>
                      <w:rFonts w:hint="eastAsia"/>
                      <w:color w:val="000000" w:themeColor="text1"/>
                      <w:highlight w:val="none"/>
                      <w:lang w:val="en-US" w:eastAsia="zh-CN"/>
                      <w14:textFill>
                        <w14:solidFill>
                          <w14:schemeClr w14:val="tx1"/>
                        </w14:solidFill>
                      </w14:textFill>
                    </w:rPr>
                    <w:t>罩</w:t>
                  </w:r>
                  <w:r>
                    <w:rPr>
                      <w:rFonts w:hint="eastAsia"/>
                      <w:color w:val="000000" w:themeColor="text1"/>
                      <w:highlight w:val="none"/>
                      <w14:textFill>
                        <w14:solidFill>
                          <w14:schemeClr w14:val="tx1"/>
                        </w14:solidFill>
                      </w14:textFill>
                    </w:rPr>
                    <w:t>+袋式除尘+15m排气筒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DA004</w:t>
                  </w:r>
                  <w:r>
                    <w:rPr>
                      <w:rFonts w:hint="eastAsia"/>
                      <w:color w:val="000000" w:themeColor="text1"/>
                      <w:highlight w:val="none"/>
                      <w:lang w:eastAsia="zh-CN"/>
                      <w14:textFill>
                        <w14:solidFill>
                          <w14:schemeClr w14:val="tx1"/>
                        </w14:solidFill>
                      </w14:textFill>
                    </w:rPr>
                    <w:t>）</w:t>
                  </w:r>
                </w:p>
              </w:tc>
            </w:tr>
            <w:tr w14:paraId="61ED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292D23C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3</w:t>
                  </w:r>
                </w:p>
              </w:tc>
              <w:tc>
                <w:tcPr>
                  <w:tcW w:w="1630" w:type="dxa"/>
                  <w:tcBorders>
                    <w:tl2br w:val="nil"/>
                    <w:tr2bl w:val="nil"/>
                  </w:tcBorders>
                  <w:vAlign w:val="center"/>
                </w:tcPr>
                <w:p w14:paraId="26447BA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分级浮选工序</w:t>
                  </w:r>
                </w:p>
              </w:tc>
              <w:tc>
                <w:tcPr>
                  <w:tcW w:w="2679" w:type="dxa"/>
                  <w:tcBorders>
                    <w:tl2br w:val="nil"/>
                    <w:tr2bl w:val="nil"/>
                  </w:tcBorders>
                  <w:vAlign w:val="center"/>
                </w:tcPr>
                <w:p w14:paraId="54ED47B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浮选废水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含浮选剂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尾渣</w:t>
                  </w:r>
                </w:p>
              </w:tc>
              <w:tc>
                <w:tcPr>
                  <w:tcW w:w="3292" w:type="dxa"/>
                  <w:tcBorders>
                    <w:tl2br w:val="nil"/>
                    <w:tr2bl w:val="nil"/>
                  </w:tcBorders>
                  <w:vAlign w:val="center"/>
                </w:tcPr>
                <w:p w14:paraId="504586A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p>
              </w:tc>
            </w:tr>
            <w:tr w14:paraId="48C08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7556C79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4</w:t>
                  </w:r>
                </w:p>
              </w:tc>
              <w:tc>
                <w:tcPr>
                  <w:tcW w:w="1630" w:type="dxa"/>
                  <w:tcBorders>
                    <w:tl2br w:val="nil"/>
                    <w:tr2bl w:val="nil"/>
                  </w:tcBorders>
                  <w:vAlign w:val="center"/>
                </w:tcPr>
                <w:p w14:paraId="2328822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压滤、沉淀工序</w:t>
                  </w:r>
                </w:p>
              </w:tc>
              <w:tc>
                <w:tcPr>
                  <w:tcW w:w="2679" w:type="dxa"/>
                  <w:tcBorders>
                    <w:tl2br w:val="nil"/>
                    <w:tr2bl w:val="nil"/>
                  </w:tcBorders>
                  <w:vAlign w:val="center"/>
                </w:tcPr>
                <w:p w14:paraId="786D4165">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废水、尾渣</w:t>
                  </w:r>
                </w:p>
              </w:tc>
              <w:tc>
                <w:tcPr>
                  <w:tcW w:w="3292" w:type="dxa"/>
                  <w:tcBorders>
                    <w:tl2br w:val="nil"/>
                    <w:tr2bl w:val="nil"/>
                  </w:tcBorders>
                  <w:vAlign w:val="center"/>
                </w:tcPr>
                <w:p w14:paraId="7745CD2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p>
              </w:tc>
            </w:tr>
            <w:tr w14:paraId="2BD84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1AEC7D1A">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5</w:t>
                  </w:r>
                </w:p>
              </w:tc>
              <w:tc>
                <w:tcPr>
                  <w:tcW w:w="1630" w:type="dxa"/>
                  <w:tcBorders>
                    <w:tl2br w:val="nil"/>
                    <w:tr2bl w:val="nil"/>
                  </w:tcBorders>
                  <w:vAlign w:val="center"/>
                </w:tcPr>
                <w:p w14:paraId="47AF62A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静压工序</w:t>
                  </w:r>
                </w:p>
              </w:tc>
              <w:tc>
                <w:tcPr>
                  <w:tcW w:w="2679" w:type="dxa"/>
                  <w:tcBorders>
                    <w:tl2br w:val="nil"/>
                    <w:tr2bl w:val="nil"/>
                  </w:tcBorders>
                  <w:vAlign w:val="center"/>
                </w:tcPr>
                <w:p w14:paraId="4EE4D46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废水、尾渣</w:t>
                  </w:r>
                </w:p>
              </w:tc>
              <w:tc>
                <w:tcPr>
                  <w:tcW w:w="3292" w:type="dxa"/>
                  <w:tcBorders>
                    <w:tl2br w:val="nil"/>
                    <w:tr2bl w:val="nil"/>
                  </w:tcBorders>
                  <w:vAlign w:val="center"/>
                </w:tcPr>
                <w:p w14:paraId="4F7648C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p>
              </w:tc>
            </w:tr>
            <w:tr w14:paraId="5F73A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31AA36C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6</w:t>
                  </w:r>
                </w:p>
              </w:tc>
              <w:tc>
                <w:tcPr>
                  <w:tcW w:w="1630" w:type="dxa"/>
                  <w:tcBorders>
                    <w:tl2br w:val="nil"/>
                    <w:tr2bl w:val="nil"/>
                  </w:tcBorders>
                  <w:vAlign w:val="center"/>
                </w:tcPr>
                <w:p w14:paraId="3F408AC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设备运行</w:t>
                  </w:r>
                </w:p>
              </w:tc>
              <w:tc>
                <w:tcPr>
                  <w:tcW w:w="2679" w:type="dxa"/>
                  <w:tcBorders>
                    <w:tl2br w:val="nil"/>
                    <w:tr2bl w:val="nil"/>
                  </w:tcBorders>
                  <w:vAlign w:val="center"/>
                </w:tcPr>
                <w:p w14:paraId="60D8336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机械噪声</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57B110D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减震垫、隔声门窗、限速禁鸣</w:t>
                  </w:r>
                </w:p>
              </w:tc>
            </w:tr>
            <w:tr w14:paraId="20B1E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6EABBD3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7</w:t>
                  </w:r>
                </w:p>
              </w:tc>
              <w:tc>
                <w:tcPr>
                  <w:tcW w:w="1630" w:type="dxa"/>
                  <w:tcBorders>
                    <w:tl2br w:val="nil"/>
                    <w:tr2bl w:val="nil"/>
                  </w:tcBorders>
                  <w:vAlign w:val="center"/>
                </w:tcPr>
                <w:p w14:paraId="12BE204B">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浮选药剂使用</w:t>
                  </w:r>
                </w:p>
              </w:tc>
              <w:tc>
                <w:tcPr>
                  <w:tcW w:w="2679" w:type="dxa"/>
                  <w:tcBorders>
                    <w:tl2br w:val="nil"/>
                    <w:tr2bl w:val="nil"/>
                  </w:tcBorders>
                  <w:vAlign w:val="center"/>
                </w:tcPr>
                <w:p w14:paraId="74A6061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废包装桶</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浮选剂</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20C6D55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危废</w:t>
                  </w:r>
                  <w:r>
                    <w:rPr>
                      <w:rFonts w:hint="eastAsia"/>
                      <w:color w:val="000000" w:themeColor="text1"/>
                      <w:highlight w:val="none"/>
                      <w:lang w:val="en-US" w:eastAsia="zh-CN"/>
                      <w14:textFill>
                        <w14:solidFill>
                          <w14:schemeClr w14:val="tx1"/>
                        </w14:solidFill>
                      </w14:textFill>
                    </w:rPr>
                    <w:t>贮存点</w:t>
                  </w:r>
                  <w:r>
                    <w:rPr>
                      <w:rFonts w:hint="eastAsia"/>
                      <w:color w:val="000000" w:themeColor="text1"/>
                      <w:highlight w:val="none"/>
                      <w14:textFill>
                        <w14:solidFill>
                          <w14:schemeClr w14:val="tx1"/>
                        </w14:solidFill>
                      </w14:textFill>
                    </w:rPr>
                    <w:t>收集，定期委托有资质单位处置</w:t>
                  </w:r>
                </w:p>
              </w:tc>
            </w:tr>
            <w:tr w14:paraId="5FFBB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3DC8EA3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8</w:t>
                  </w:r>
                </w:p>
              </w:tc>
              <w:tc>
                <w:tcPr>
                  <w:tcW w:w="1630" w:type="dxa"/>
                  <w:tcBorders>
                    <w:tl2br w:val="nil"/>
                    <w:tr2bl w:val="nil"/>
                  </w:tcBorders>
                  <w:vAlign w:val="center"/>
                </w:tcPr>
                <w:p w14:paraId="3DFB131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原料包装</w:t>
                  </w:r>
                </w:p>
              </w:tc>
              <w:tc>
                <w:tcPr>
                  <w:tcW w:w="2679" w:type="dxa"/>
                  <w:tcBorders>
                    <w:tl2br w:val="nil"/>
                    <w:tr2bl w:val="nil"/>
                  </w:tcBorders>
                  <w:vAlign w:val="center"/>
                </w:tcPr>
                <w:p w14:paraId="49090B1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废包装袋</w:t>
                  </w:r>
                </w:p>
              </w:tc>
              <w:tc>
                <w:tcPr>
                  <w:tcW w:w="3292" w:type="dxa"/>
                  <w:tcBorders>
                    <w:tl2br w:val="nil"/>
                    <w:tr2bl w:val="nil"/>
                  </w:tcBorders>
                  <w:vAlign w:val="center"/>
                </w:tcPr>
                <w:p w14:paraId="2D4D7935">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分类收集，外售或厂家回收</w:t>
                  </w:r>
                </w:p>
              </w:tc>
            </w:tr>
          </w:tbl>
          <w:p w14:paraId="2B371159">
            <w:pPr>
              <w:pStyle w:val="53"/>
              <w:bidi w:val="0"/>
              <w:ind w:left="0" w:leftChars="0" w:firstLine="0" w:firstLineChars="0"/>
              <w:rPr>
                <w:rFonts w:hint="default"/>
                <w:color w:val="000000" w:themeColor="text1"/>
                <w:highlight w:val="none"/>
                <w:lang w:val="en-US" w:eastAsia="zh-CN"/>
                <w14:textFill>
                  <w14:solidFill>
                    <w14:schemeClr w14:val="tx1"/>
                  </w14:solidFill>
                </w14:textFill>
              </w:rPr>
            </w:pPr>
          </w:p>
        </w:tc>
      </w:tr>
      <w:tr w14:paraId="07B0B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70" w:hRule="atLeast"/>
          <w:jc w:val="center"/>
        </w:trPr>
        <w:tc>
          <w:tcPr>
            <w:tcW w:w="615" w:type="dxa"/>
            <w:tcBorders>
              <w:tl2br w:val="nil"/>
              <w:tr2bl w:val="nil"/>
            </w:tcBorders>
            <w:vAlign w:val="center"/>
          </w:tcPr>
          <w:p w14:paraId="4D725D4B">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与项目有关的原有环境污染问题</w:t>
            </w:r>
          </w:p>
        </w:tc>
        <w:tc>
          <w:tcPr>
            <w:tcW w:w="7907" w:type="dxa"/>
            <w:tcBorders>
              <w:tl2br w:val="nil"/>
              <w:tr2bl w:val="nil"/>
            </w:tcBorders>
          </w:tcPr>
          <w:p w14:paraId="5E629B7E">
            <w:pPr>
              <w:pStyle w:val="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2.11、</w:t>
            </w:r>
            <w:r>
              <w:rPr>
                <w:rFonts w:hint="eastAsia"/>
                <w:color w:val="000000" w:themeColor="text1"/>
                <w:highlight w:val="none"/>
                <w:lang w:eastAsia="zh-CN"/>
                <w14:textFill>
                  <w14:solidFill>
                    <w14:schemeClr w14:val="tx1"/>
                  </w14:solidFill>
                </w14:textFill>
              </w:rPr>
              <w:t>现有</w:t>
            </w:r>
            <w:r>
              <w:rPr>
                <w:color w:val="000000" w:themeColor="text1"/>
                <w:highlight w:val="none"/>
                <w14:textFill>
                  <w14:solidFill>
                    <w14:schemeClr w14:val="tx1"/>
                  </w14:solidFill>
                </w14:textFill>
              </w:rPr>
              <w:t>工程环保手续履行情况</w:t>
            </w:r>
          </w:p>
          <w:p w14:paraId="5BB7AC33">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新疆振宏机械制造有限责任公司成立于2009年，统一社会信用代码为91650105895646810，注册地址为新疆昌吉州昌吉高新技术开发区景秀路19号，公司主要经营范围为非金属矿物制造，合成材料制造（不含危险化学品），密封用填料制造；金属成型机床制造，金属结构制造，金属材料制造，金属工具出售，非金属废料和碎屑加工处理等。</w:t>
            </w:r>
            <w:r>
              <w:rPr>
                <w:rFonts w:hint="eastAsia"/>
                <w:color w:val="000000" w:themeColor="text1"/>
                <w:highlight w:val="none"/>
                <w:lang w:val="en-US" w:eastAsia="zh-CN"/>
                <w14:textFill>
                  <w14:solidFill>
                    <w14:schemeClr w14:val="tx1"/>
                  </w14:solidFill>
                </w14:textFill>
              </w:rPr>
              <w:t>企业暂未编制突发环境事件应急预</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案，</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未申报排污许可证，缺失企业自行监测信息资料，未按要求开展自行监测。</w:t>
            </w:r>
          </w:p>
          <w:p w14:paraId="05DBAE5A">
            <w:pPr>
              <w:pStyle w:val="3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表2-8  现有工程环保手续履行表</w:t>
            </w:r>
          </w:p>
          <w:tbl>
            <w:tblPr>
              <w:tblStyle w:val="22"/>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607"/>
              <w:gridCol w:w="1375"/>
              <w:gridCol w:w="1244"/>
              <w:gridCol w:w="1158"/>
            </w:tblGrid>
            <w:tr w14:paraId="3A563A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4" w:type="pct"/>
                  <w:tcBorders>
                    <w:bottom w:val="single" w:color="auto" w:sz="12" w:space="0"/>
                  </w:tcBorders>
                  <w:vAlign w:val="center"/>
                </w:tcPr>
                <w:p w14:paraId="378D29B1">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日期</w:t>
                  </w:r>
                </w:p>
              </w:tc>
              <w:tc>
                <w:tcPr>
                  <w:tcW w:w="2224" w:type="pct"/>
                  <w:tcBorders>
                    <w:bottom w:val="single" w:color="auto" w:sz="12" w:space="0"/>
                  </w:tcBorders>
                  <w:vAlign w:val="center"/>
                </w:tcPr>
                <w:p w14:paraId="51A5CAB9">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w:t>
                  </w:r>
                </w:p>
              </w:tc>
              <w:tc>
                <w:tcPr>
                  <w:tcW w:w="848" w:type="pct"/>
                  <w:tcBorders>
                    <w:bottom w:val="single" w:color="auto" w:sz="12" w:space="0"/>
                  </w:tcBorders>
                  <w:vAlign w:val="center"/>
                </w:tcPr>
                <w:p w14:paraId="450915E7">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文号</w:t>
                  </w:r>
                </w:p>
              </w:tc>
              <w:tc>
                <w:tcPr>
                  <w:tcW w:w="767" w:type="pct"/>
                  <w:tcBorders>
                    <w:bottom w:val="single" w:color="auto" w:sz="12" w:space="0"/>
                  </w:tcBorders>
                  <w:vAlign w:val="center"/>
                </w:tcPr>
                <w:p w14:paraId="2D7EEB30">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编制单位</w:t>
                  </w:r>
                </w:p>
              </w:tc>
              <w:tc>
                <w:tcPr>
                  <w:tcW w:w="714" w:type="pct"/>
                  <w:tcBorders>
                    <w:bottom w:val="single" w:color="auto" w:sz="12" w:space="0"/>
                  </w:tcBorders>
                  <w:vAlign w:val="center"/>
                </w:tcPr>
                <w:p w14:paraId="123C2DDC">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审批部门</w:t>
                  </w:r>
                </w:p>
              </w:tc>
            </w:tr>
            <w:tr w14:paraId="2E6C2B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4" w:type="pct"/>
                  <w:tcBorders>
                    <w:tl2br w:val="nil"/>
                    <w:tr2bl w:val="nil"/>
                  </w:tcBorders>
                  <w:vAlign w:val="center"/>
                </w:tcPr>
                <w:p w14:paraId="0F38D1A1">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2022.7.21</w:t>
                  </w:r>
                </w:p>
              </w:tc>
              <w:tc>
                <w:tcPr>
                  <w:tcW w:w="2224" w:type="pct"/>
                  <w:tcBorders>
                    <w:tl2br w:val="nil"/>
                    <w:tr2bl w:val="nil"/>
                  </w:tcBorders>
                  <w:vAlign w:val="center"/>
                </w:tcPr>
                <w:p w14:paraId="6CF5D812">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《关于新疆振宏机械制造有限公司硅废粉回收再加工利用项目环境影响报告表的批复》</w:t>
                  </w:r>
                </w:p>
              </w:tc>
              <w:tc>
                <w:tcPr>
                  <w:tcW w:w="848" w:type="pct"/>
                  <w:tcBorders>
                    <w:tl2br w:val="nil"/>
                    <w:tr2bl w:val="nil"/>
                  </w:tcBorders>
                  <w:vAlign w:val="center"/>
                </w:tcPr>
                <w:p w14:paraId="1660DDD9">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w:t>
                  </w:r>
                  <w:r>
                    <w:rPr>
                      <w:rFonts w:hint="default" w:eastAsia="宋体"/>
                      <w:color w:val="000000" w:themeColor="text1"/>
                      <w:highlight w:val="none"/>
                      <w:lang w:val="en-US" w:eastAsia="zh-CN"/>
                      <w14:textFill>
                        <w14:solidFill>
                          <w14:schemeClr w14:val="tx1"/>
                        </w14:solidFill>
                      </w14:textFill>
                    </w:rPr>
                    <w:t>昌高环发</w:t>
                  </w:r>
                  <w:r>
                    <w:rPr>
                      <w:rFonts w:hint="eastAsia" w:eastAsia="宋体"/>
                      <w:color w:val="000000" w:themeColor="text1"/>
                      <w:highlight w:val="none"/>
                      <w:lang w:val="en-US" w:eastAsia="zh-CN"/>
                      <w14:textFill>
                        <w14:solidFill>
                          <w14:schemeClr w14:val="tx1"/>
                        </w14:solidFill>
                      </w14:textFill>
                    </w:rPr>
                    <w:t>〔2022〕33号）</w:t>
                  </w:r>
                </w:p>
              </w:tc>
              <w:tc>
                <w:tcPr>
                  <w:tcW w:w="767" w:type="pct"/>
                  <w:tcBorders>
                    <w:tl2br w:val="nil"/>
                    <w:tr2bl w:val="nil"/>
                  </w:tcBorders>
                  <w:vAlign w:val="center"/>
                </w:tcPr>
                <w:p w14:paraId="4491E801">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昌吉市新瑞鑫诚环保咨询服务有限公司</w:t>
                  </w:r>
                </w:p>
              </w:tc>
              <w:tc>
                <w:tcPr>
                  <w:tcW w:w="714" w:type="pct"/>
                  <w:tcBorders>
                    <w:tl2br w:val="nil"/>
                    <w:tr2bl w:val="nil"/>
                  </w:tcBorders>
                  <w:vAlign w:val="center"/>
                </w:tcPr>
                <w:p w14:paraId="09035982">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昌吉高新技术产业开发区环境保护局</w:t>
                  </w:r>
                </w:p>
              </w:tc>
            </w:tr>
            <w:tr w14:paraId="369D03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4" w:type="pct"/>
                  <w:tcBorders>
                    <w:tl2br w:val="nil"/>
                    <w:tr2bl w:val="nil"/>
                  </w:tcBorders>
                  <w:vAlign w:val="center"/>
                </w:tcPr>
                <w:p w14:paraId="483F765F">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2024.5</w:t>
                  </w:r>
                </w:p>
              </w:tc>
              <w:tc>
                <w:tcPr>
                  <w:tcW w:w="2224" w:type="pct"/>
                  <w:tcBorders>
                    <w:tl2br w:val="nil"/>
                    <w:tr2bl w:val="nil"/>
                  </w:tcBorders>
                  <w:vAlign w:val="center"/>
                </w:tcPr>
                <w:p w14:paraId="2ACEA7E4">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《硅废粉回收再加工利用项目竣工环境保护验收监测表》</w:t>
                  </w:r>
                </w:p>
              </w:tc>
              <w:tc>
                <w:tcPr>
                  <w:tcW w:w="848" w:type="pct"/>
                  <w:tcBorders>
                    <w:tl2br w:val="nil"/>
                    <w:tr2bl w:val="nil"/>
                  </w:tcBorders>
                  <w:vAlign w:val="center"/>
                </w:tcPr>
                <w:p w14:paraId="21D23881">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67" w:type="pct"/>
                  <w:tcBorders>
                    <w:tl2br w:val="nil"/>
                    <w:tr2bl w:val="nil"/>
                  </w:tcBorders>
                  <w:vAlign w:val="center"/>
                </w:tcPr>
                <w:p w14:paraId="68DFF6AC">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乌鲁木齐云创环安科技有限公司</w:t>
                  </w:r>
                </w:p>
              </w:tc>
              <w:tc>
                <w:tcPr>
                  <w:tcW w:w="714" w:type="pct"/>
                  <w:tcBorders>
                    <w:tl2br w:val="nil"/>
                    <w:tr2bl w:val="nil"/>
                  </w:tcBorders>
                  <w:vAlign w:val="center"/>
                </w:tcPr>
                <w:p w14:paraId="62C4E6A2">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5127B6CD">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2.12、现有工程</w:t>
            </w:r>
            <w:r>
              <w:rPr>
                <w:rFonts w:hint="default"/>
                <w:color w:val="000000" w:themeColor="text1"/>
                <w:highlight w:val="none"/>
                <w14:textFill>
                  <w14:solidFill>
                    <w14:schemeClr w14:val="tx1"/>
                  </w14:solidFill>
                </w14:textFill>
              </w:rPr>
              <w:t>建设</w:t>
            </w:r>
            <w:r>
              <w:rPr>
                <w:rFonts w:hint="eastAsia"/>
                <w:color w:val="000000" w:themeColor="text1"/>
                <w:highlight w:val="none"/>
                <w:lang w:val="en-US" w:eastAsia="zh-CN"/>
                <w14:textFill>
                  <w14:solidFill>
                    <w14:schemeClr w14:val="tx1"/>
                  </w14:solidFill>
                </w14:textFill>
              </w:rPr>
              <w:t>情况</w:t>
            </w:r>
          </w:p>
          <w:p w14:paraId="5F12DA14">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2.12.1现有工程</w:t>
            </w:r>
            <w:r>
              <w:rPr>
                <w:rFonts w:hint="default"/>
                <w:color w:val="000000" w:themeColor="text1"/>
                <w:highlight w:val="none"/>
                <w14:textFill>
                  <w14:solidFill>
                    <w14:schemeClr w14:val="tx1"/>
                  </w14:solidFill>
                </w14:textFill>
              </w:rPr>
              <w:t>建设</w:t>
            </w:r>
            <w:r>
              <w:rPr>
                <w:rFonts w:hint="eastAsia"/>
                <w:color w:val="000000" w:themeColor="text1"/>
                <w:highlight w:val="none"/>
                <w:lang w:val="en-US" w:eastAsia="zh-CN"/>
                <w14:textFill>
                  <w14:solidFill>
                    <w14:schemeClr w14:val="tx1"/>
                  </w14:solidFill>
                </w14:textFill>
              </w:rPr>
              <w:t>内容</w:t>
            </w:r>
          </w:p>
          <w:p w14:paraId="7B32A9FC">
            <w:pPr>
              <w:pStyle w:val="5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现有项目场地租赁昌吉市先导工程材料有限责任公司，将昌吉市先导工程材料有限责任公司</w:t>
            </w:r>
            <w:r>
              <w:rPr>
                <w:rFonts w:hint="eastAsia"/>
                <w:color w:val="000000" w:themeColor="text1"/>
                <w:highlight w:val="none"/>
                <w14:textFill>
                  <w14:solidFill>
                    <w14:schemeClr w14:val="tx1"/>
                  </w14:solidFill>
                </w14:textFill>
              </w:rPr>
              <w:t>原有铸造</w:t>
            </w:r>
            <w:r>
              <w:rPr>
                <w:rFonts w:hint="eastAsia"/>
                <w:color w:val="000000" w:themeColor="text1"/>
                <w:highlight w:val="none"/>
                <w:lang w:eastAsia="zh-CN"/>
                <w14:textFill>
                  <w14:solidFill>
                    <w14:schemeClr w14:val="tx1"/>
                  </w14:solidFill>
                </w14:textFill>
              </w:rPr>
              <w:t>生产线</w:t>
            </w:r>
            <w:r>
              <w:rPr>
                <w:rFonts w:hint="eastAsia"/>
                <w:color w:val="000000" w:themeColor="text1"/>
                <w:highlight w:val="none"/>
                <w14:textFill>
                  <w14:solidFill>
                    <w14:schemeClr w14:val="tx1"/>
                  </w14:solidFill>
                </w14:textFill>
              </w:rPr>
              <w:t>改造为工业硅废粉熔炼生产线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建成后达到年产14000吨光伏硅块的规模</w:t>
            </w:r>
            <w:r>
              <w:rPr>
                <w:rFonts w:hint="eastAsia"/>
                <w:color w:val="000000" w:themeColor="text1"/>
                <w:highlight w:val="none"/>
                <w14:textFill>
                  <w14:solidFill>
                    <w14:schemeClr w14:val="tx1"/>
                  </w14:solidFill>
                </w14:textFill>
              </w:rPr>
              <w:t>，购置配套生产设备，公用工程基础设施依托原有。</w:t>
            </w:r>
          </w:p>
          <w:p w14:paraId="55747169">
            <w:pPr>
              <w:pStyle w:val="3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表2-9   现有项目建设情况一览表</w:t>
            </w:r>
          </w:p>
          <w:tbl>
            <w:tblPr>
              <w:tblStyle w:val="2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
              <w:gridCol w:w="1172"/>
              <w:gridCol w:w="4903"/>
              <w:gridCol w:w="1305"/>
            </w:tblGrid>
            <w:tr w14:paraId="22E55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tcBorders>
                    <w:tl2br w:val="nil"/>
                    <w:tr2bl w:val="nil"/>
                  </w:tcBorders>
                  <w:vAlign w:val="center"/>
                </w:tcPr>
                <w:p w14:paraId="41CE8D8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名称</w:t>
                  </w:r>
                </w:p>
              </w:tc>
              <w:tc>
                <w:tcPr>
                  <w:tcW w:w="724" w:type="pct"/>
                  <w:tcBorders>
                    <w:tl2br w:val="nil"/>
                    <w:tr2bl w:val="nil"/>
                  </w:tcBorders>
                  <w:vAlign w:val="center"/>
                </w:tcPr>
                <w:p w14:paraId="6C7494D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项目</w:t>
                  </w:r>
                </w:p>
              </w:tc>
              <w:tc>
                <w:tcPr>
                  <w:tcW w:w="3029" w:type="pct"/>
                  <w:tcBorders>
                    <w:tl2br w:val="nil"/>
                    <w:tr2bl w:val="nil"/>
                  </w:tcBorders>
                  <w:vAlign w:val="center"/>
                </w:tcPr>
                <w:p w14:paraId="6DF82E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工程内容及规模</w:t>
                  </w:r>
                </w:p>
              </w:tc>
              <w:tc>
                <w:tcPr>
                  <w:tcW w:w="806" w:type="pct"/>
                  <w:tcBorders>
                    <w:tl2br w:val="nil"/>
                    <w:tr2bl w:val="nil"/>
                  </w:tcBorders>
                  <w:vAlign w:val="center"/>
                </w:tcPr>
                <w:p w14:paraId="6F6908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5A3B5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441" w:type="pct"/>
                  <w:tcBorders>
                    <w:tl2br w:val="nil"/>
                    <w:tr2bl w:val="nil"/>
                  </w:tcBorders>
                  <w:vAlign w:val="center"/>
                </w:tcPr>
                <w:p w14:paraId="0A1E52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主体</w:t>
                  </w:r>
                </w:p>
                <w:p w14:paraId="638C164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工程</w:t>
                  </w:r>
                </w:p>
              </w:tc>
              <w:tc>
                <w:tcPr>
                  <w:tcW w:w="724" w:type="pct"/>
                  <w:tcBorders>
                    <w:tl2br w:val="nil"/>
                    <w:tr2bl w:val="nil"/>
                  </w:tcBorders>
                  <w:vAlign w:val="center"/>
                </w:tcPr>
                <w:p w14:paraId="77F6C6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生产线</w:t>
                  </w:r>
                </w:p>
              </w:tc>
              <w:tc>
                <w:tcPr>
                  <w:tcW w:w="3029" w:type="pct"/>
                  <w:tcBorders>
                    <w:tl2br w:val="nil"/>
                    <w:tr2bl w:val="nil"/>
                  </w:tcBorders>
                  <w:vAlign w:val="center"/>
                </w:tcPr>
                <w:p w14:paraId="5DB796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建设废硅粉回收再加工生产线1条，年生产颗粒工业硅</w:t>
                  </w:r>
                  <w:r>
                    <w:rPr>
                      <w:color w:val="000000" w:themeColor="text1"/>
                      <w:sz w:val="21"/>
                      <w:szCs w:val="21"/>
                      <w:highlight w:val="none"/>
                      <w14:textFill>
                        <w14:solidFill>
                          <w14:schemeClr w14:val="tx1"/>
                        </w14:solidFill>
                      </w14:textFill>
                    </w:rPr>
                    <w:t>14000</w:t>
                  </w:r>
                  <w:r>
                    <w:rPr>
                      <w:rFonts w:hint="eastAsia"/>
                      <w:color w:val="000000" w:themeColor="text1"/>
                      <w:sz w:val="21"/>
                      <w:szCs w:val="21"/>
                      <w:highlight w:val="none"/>
                      <w14:textFill>
                        <w14:solidFill>
                          <w14:schemeClr w14:val="tx1"/>
                        </w14:solidFill>
                      </w14:textFill>
                    </w:rPr>
                    <w:t>吨</w:t>
                  </w:r>
                </w:p>
              </w:tc>
              <w:tc>
                <w:tcPr>
                  <w:tcW w:w="806" w:type="pct"/>
                  <w:tcBorders>
                    <w:tl2br w:val="nil"/>
                    <w:tr2bl w:val="nil"/>
                  </w:tcBorders>
                  <w:vAlign w:val="center"/>
                </w:tcPr>
                <w:p w14:paraId="7C36AC5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车间原有</w:t>
                  </w:r>
                  <w:r>
                    <w:rPr>
                      <w:rFonts w:hint="eastAsia"/>
                      <w:color w:val="000000" w:themeColor="text1"/>
                      <w:sz w:val="21"/>
                      <w:szCs w:val="21"/>
                      <w:highlight w:val="none"/>
                      <w:lang w:val="en-US" w:eastAsia="zh-CN"/>
                      <w14:textFill>
                        <w14:solidFill>
                          <w14:schemeClr w14:val="tx1"/>
                        </w14:solidFill>
                      </w14:textFill>
                    </w:rPr>
                    <w:t>生产线</w:t>
                  </w:r>
                </w:p>
              </w:tc>
            </w:tr>
            <w:tr w14:paraId="2865B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441" w:type="pct"/>
                  <w:tcBorders>
                    <w:tl2br w:val="nil"/>
                    <w:tr2bl w:val="nil"/>
                  </w:tcBorders>
                  <w:vAlign w:val="center"/>
                </w:tcPr>
                <w:p w14:paraId="05AD84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辅助工程</w:t>
                  </w:r>
                </w:p>
              </w:tc>
              <w:tc>
                <w:tcPr>
                  <w:tcW w:w="724" w:type="pct"/>
                  <w:tcBorders>
                    <w:tl2br w:val="nil"/>
                    <w:tr2bl w:val="nil"/>
                  </w:tcBorders>
                  <w:vAlign w:val="center"/>
                </w:tcPr>
                <w:p w14:paraId="712E0B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办公区</w:t>
                  </w:r>
                </w:p>
              </w:tc>
              <w:tc>
                <w:tcPr>
                  <w:tcW w:w="3029" w:type="pct"/>
                  <w:tcBorders>
                    <w:tl2br w:val="nil"/>
                    <w:tr2bl w:val="nil"/>
                  </w:tcBorders>
                  <w:vAlign w:val="center"/>
                </w:tcPr>
                <w:p w14:paraId="18E982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位于项目区南侧，占地面积约60m</w:t>
                  </w:r>
                  <w:r>
                    <w:rPr>
                      <w:color w:val="000000" w:themeColor="text1"/>
                      <w:sz w:val="21"/>
                      <w:szCs w:val="21"/>
                      <w:highlight w:val="none"/>
                      <w:vertAlign w:val="superscript"/>
                      <w14:textFill>
                        <w14:solidFill>
                          <w14:schemeClr w14:val="tx1"/>
                        </w14:solidFill>
                      </w14:textFill>
                    </w:rPr>
                    <w:t>2</w:t>
                  </w:r>
                </w:p>
              </w:tc>
              <w:tc>
                <w:tcPr>
                  <w:tcW w:w="806" w:type="pct"/>
                  <w:tcBorders>
                    <w:tl2br w:val="nil"/>
                    <w:tr2bl w:val="nil"/>
                  </w:tcBorders>
                  <w:vAlign w:val="center"/>
                </w:tcPr>
                <w:p w14:paraId="0F65EF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依托原有</w:t>
                  </w:r>
                  <w:r>
                    <w:rPr>
                      <w:rFonts w:hint="eastAsia"/>
                      <w:color w:val="000000" w:themeColor="text1"/>
                      <w:sz w:val="21"/>
                      <w:szCs w:val="21"/>
                      <w:highlight w:val="none"/>
                      <w14:textFill>
                        <w14:solidFill>
                          <w14:schemeClr w14:val="tx1"/>
                        </w14:solidFill>
                      </w14:textFill>
                    </w:rPr>
                    <w:t>办公区</w:t>
                  </w:r>
                </w:p>
              </w:tc>
            </w:tr>
            <w:tr w14:paraId="5ECC1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restart"/>
                  <w:tcBorders>
                    <w:tl2br w:val="nil"/>
                    <w:tr2bl w:val="nil"/>
                  </w:tcBorders>
                  <w:vAlign w:val="center"/>
                </w:tcPr>
                <w:p w14:paraId="55D0E9A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公用</w:t>
                  </w:r>
                </w:p>
                <w:p w14:paraId="1F2187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工程</w:t>
                  </w:r>
                </w:p>
              </w:tc>
              <w:tc>
                <w:tcPr>
                  <w:tcW w:w="724" w:type="pct"/>
                  <w:tcBorders>
                    <w:tl2br w:val="nil"/>
                    <w:tr2bl w:val="nil"/>
                  </w:tcBorders>
                  <w:vAlign w:val="center"/>
                </w:tcPr>
                <w:p w14:paraId="712ACA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供电</w:t>
                  </w:r>
                </w:p>
              </w:tc>
              <w:tc>
                <w:tcPr>
                  <w:tcW w:w="3029" w:type="pct"/>
                  <w:tcBorders>
                    <w:tl2br w:val="nil"/>
                    <w:tr2bl w:val="nil"/>
                  </w:tcBorders>
                  <w:vAlign w:val="center"/>
                </w:tcPr>
                <w:p w14:paraId="345CE55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依托园区供电管网统一供给</w:t>
                  </w:r>
                </w:p>
              </w:tc>
              <w:tc>
                <w:tcPr>
                  <w:tcW w:w="806" w:type="pct"/>
                  <w:vMerge w:val="restart"/>
                  <w:tcBorders>
                    <w:tl2br w:val="nil"/>
                    <w:tr2bl w:val="nil"/>
                  </w:tcBorders>
                  <w:vAlign w:val="center"/>
                </w:tcPr>
                <w:p w14:paraId="64EE562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w:t>
                  </w:r>
                  <w:r>
                    <w:rPr>
                      <w:color w:val="000000" w:themeColor="text1"/>
                      <w:sz w:val="21"/>
                      <w:szCs w:val="21"/>
                      <w:highlight w:val="none"/>
                      <w14:textFill>
                        <w14:solidFill>
                          <w14:schemeClr w14:val="tx1"/>
                        </w14:solidFill>
                      </w14:textFill>
                    </w:rPr>
                    <w:t>原有配套设施</w:t>
                  </w:r>
                </w:p>
              </w:tc>
            </w:tr>
            <w:tr w14:paraId="5428E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3524A3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7CA09D4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供水</w:t>
                  </w:r>
                </w:p>
              </w:tc>
              <w:tc>
                <w:tcPr>
                  <w:tcW w:w="3029" w:type="pct"/>
                  <w:tcBorders>
                    <w:tl2br w:val="nil"/>
                    <w:tr2bl w:val="nil"/>
                  </w:tcBorders>
                  <w:vAlign w:val="center"/>
                </w:tcPr>
                <w:p w14:paraId="027BDB5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依托园区供水管网统一供给</w:t>
                  </w:r>
                </w:p>
              </w:tc>
              <w:tc>
                <w:tcPr>
                  <w:tcW w:w="806" w:type="pct"/>
                  <w:vMerge w:val="continue"/>
                  <w:tcBorders>
                    <w:tl2br w:val="nil"/>
                    <w:tr2bl w:val="nil"/>
                  </w:tcBorders>
                  <w:vAlign w:val="center"/>
                </w:tcPr>
                <w:p w14:paraId="2853F781">
                  <w:pPr>
                    <w:keepNext w:val="0"/>
                    <w:keepLines w:val="0"/>
                    <w:pageBreakBefore w:val="0"/>
                    <w:widowControl w:val="0"/>
                    <w:kinsoku/>
                    <w:wordWrap/>
                    <w:overflowPunct/>
                    <w:topLinePunct w:val="0"/>
                    <w:autoSpaceDE/>
                    <w:autoSpaceDN/>
                    <w:bidi w:val="0"/>
                    <w:adjustRightInd/>
                    <w:snapToGrid w:val="0"/>
                    <w:spacing w:line="240" w:lineRule="auto"/>
                    <w:ind w:firstLine="420"/>
                    <w:jc w:val="center"/>
                    <w:textAlignment w:val="auto"/>
                    <w:rPr>
                      <w:color w:val="000000" w:themeColor="text1"/>
                      <w:sz w:val="21"/>
                      <w:szCs w:val="21"/>
                      <w:highlight w:val="none"/>
                      <w14:textFill>
                        <w14:solidFill>
                          <w14:schemeClr w14:val="tx1"/>
                        </w14:solidFill>
                      </w14:textFill>
                    </w:rPr>
                  </w:pPr>
                </w:p>
              </w:tc>
            </w:tr>
            <w:tr w14:paraId="7CC51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7F58CDC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71ECD0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供热</w:t>
                  </w:r>
                </w:p>
              </w:tc>
              <w:tc>
                <w:tcPr>
                  <w:tcW w:w="3029" w:type="pct"/>
                  <w:tcBorders>
                    <w:tl2br w:val="nil"/>
                    <w:tr2bl w:val="nil"/>
                  </w:tcBorders>
                  <w:vAlign w:val="center"/>
                </w:tcPr>
                <w:p w14:paraId="348290A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依托园区供</w:t>
                  </w:r>
                  <w:r>
                    <w:rPr>
                      <w:rFonts w:hint="eastAsia"/>
                      <w:color w:val="000000" w:themeColor="text1"/>
                      <w:sz w:val="21"/>
                      <w:szCs w:val="21"/>
                      <w:highlight w:val="none"/>
                      <w14:textFill>
                        <w14:solidFill>
                          <w14:schemeClr w14:val="tx1"/>
                        </w14:solidFill>
                      </w14:textFill>
                    </w:rPr>
                    <w:t>热</w:t>
                  </w:r>
                  <w:r>
                    <w:rPr>
                      <w:color w:val="000000" w:themeColor="text1"/>
                      <w:sz w:val="21"/>
                      <w:szCs w:val="21"/>
                      <w:highlight w:val="none"/>
                      <w14:textFill>
                        <w14:solidFill>
                          <w14:schemeClr w14:val="tx1"/>
                        </w14:solidFill>
                      </w14:textFill>
                    </w:rPr>
                    <w:t>管网统一供给</w:t>
                  </w:r>
                </w:p>
              </w:tc>
              <w:tc>
                <w:tcPr>
                  <w:tcW w:w="806" w:type="pct"/>
                  <w:vMerge w:val="continue"/>
                  <w:tcBorders>
                    <w:tl2br w:val="nil"/>
                    <w:tr2bl w:val="nil"/>
                  </w:tcBorders>
                  <w:vAlign w:val="center"/>
                </w:tcPr>
                <w:p w14:paraId="7C28BC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r>
            <w:tr w14:paraId="027A8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41" w:type="pct"/>
                  <w:tcBorders>
                    <w:tl2br w:val="nil"/>
                    <w:tr2bl w:val="nil"/>
                  </w:tcBorders>
                  <w:vAlign w:val="center"/>
                </w:tcPr>
                <w:p w14:paraId="444FB1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储运工程</w:t>
                  </w:r>
                </w:p>
              </w:tc>
              <w:tc>
                <w:tcPr>
                  <w:tcW w:w="724" w:type="pct"/>
                  <w:tcBorders>
                    <w:tl2br w:val="nil"/>
                    <w:tr2bl w:val="nil"/>
                  </w:tcBorders>
                  <w:vAlign w:val="center"/>
                </w:tcPr>
                <w:p w14:paraId="392677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成品堆</w:t>
                  </w:r>
                  <w:r>
                    <w:rPr>
                      <w:rFonts w:hint="eastAsia"/>
                      <w:color w:val="000000" w:themeColor="text1"/>
                      <w:sz w:val="21"/>
                      <w:szCs w:val="21"/>
                      <w:highlight w:val="none"/>
                      <w14:textFill>
                        <w14:solidFill>
                          <w14:schemeClr w14:val="tx1"/>
                        </w14:solidFill>
                      </w14:textFill>
                    </w:rPr>
                    <w:t>场</w:t>
                  </w:r>
                </w:p>
              </w:tc>
              <w:tc>
                <w:tcPr>
                  <w:tcW w:w="3029" w:type="pct"/>
                  <w:tcBorders>
                    <w:tl2br w:val="nil"/>
                    <w:tr2bl w:val="nil"/>
                  </w:tcBorders>
                  <w:vAlign w:val="center"/>
                </w:tcPr>
                <w:p w14:paraId="70C41C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租用昌吉先导工程材料有限责任公司</w:t>
                  </w:r>
                  <w:r>
                    <w:rPr>
                      <w:rFonts w:hint="eastAsia"/>
                      <w:color w:val="000000" w:themeColor="text1"/>
                      <w:sz w:val="21"/>
                      <w:szCs w:val="21"/>
                      <w:highlight w:val="none"/>
                      <w14:textFill>
                        <w14:solidFill>
                          <w14:schemeClr w14:val="tx1"/>
                        </w14:solidFill>
                      </w14:textFill>
                    </w:rPr>
                    <w:t>院内北</w:t>
                  </w:r>
                  <w:r>
                    <w:rPr>
                      <w:color w:val="000000" w:themeColor="text1"/>
                      <w:sz w:val="21"/>
                      <w:szCs w:val="21"/>
                      <w:highlight w:val="none"/>
                      <w14:textFill>
                        <w14:solidFill>
                          <w14:schemeClr w14:val="tx1"/>
                        </w14:solidFill>
                      </w14:textFill>
                    </w:rPr>
                    <w:t>侧</w:t>
                  </w:r>
                  <w:r>
                    <w:rPr>
                      <w:rFonts w:hint="eastAsia"/>
                      <w:color w:val="000000" w:themeColor="text1"/>
                      <w:sz w:val="21"/>
                      <w:szCs w:val="21"/>
                      <w:highlight w:val="none"/>
                      <w14:textFill>
                        <w14:solidFill>
                          <w14:schemeClr w14:val="tx1"/>
                        </w14:solidFill>
                      </w14:textFill>
                    </w:rPr>
                    <w:t>空地</w:t>
                  </w:r>
                  <w:r>
                    <w:rPr>
                      <w:color w:val="000000" w:themeColor="text1"/>
                      <w:sz w:val="21"/>
                      <w:szCs w:val="21"/>
                      <w:highlight w:val="none"/>
                      <w14:textFill>
                        <w14:solidFill>
                          <w14:schemeClr w14:val="tx1"/>
                        </w14:solidFill>
                      </w14:textFill>
                    </w:rPr>
                    <w:t>，占地面积约1000m</w:t>
                  </w:r>
                  <w:r>
                    <w:rPr>
                      <w:color w:val="000000" w:themeColor="text1"/>
                      <w:sz w:val="21"/>
                      <w:szCs w:val="21"/>
                      <w:highlight w:val="none"/>
                      <w:vertAlign w:val="superscript"/>
                      <w14:textFill>
                        <w14:solidFill>
                          <w14:schemeClr w14:val="tx1"/>
                        </w14:solidFill>
                      </w14:textFill>
                    </w:rPr>
                    <w:t>2</w:t>
                  </w:r>
                </w:p>
              </w:tc>
              <w:tc>
                <w:tcPr>
                  <w:tcW w:w="806" w:type="pct"/>
                  <w:tcBorders>
                    <w:tl2br w:val="nil"/>
                    <w:tr2bl w:val="nil"/>
                  </w:tcBorders>
                  <w:vAlign w:val="center"/>
                </w:tcPr>
                <w:p w14:paraId="0BDB62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租赁场地，无土建工程</w:t>
                  </w:r>
                </w:p>
              </w:tc>
            </w:tr>
            <w:tr w14:paraId="46306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41" w:type="pct"/>
                  <w:vMerge w:val="restart"/>
                  <w:tcBorders>
                    <w:tl2br w:val="nil"/>
                    <w:tr2bl w:val="nil"/>
                  </w:tcBorders>
                  <w:vAlign w:val="center"/>
                </w:tcPr>
                <w:p w14:paraId="0151E8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环保</w:t>
                  </w:r>
                </w:p>
                <w:p w14:paraId="3BDABF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工程</w:t>
                  </w:r>
                </w:p>
              </w:tc>
              <w:tc>
                <w:tcPr>
                  <w:tcW w:w="724" w:type="pct"/>
                  <w:tcBorders>
                    <w:tl2br w:val="nil"/>
                    <w:tr2bl w:val="nil"/>
                  </w:tcBorders>
                  <w:vAlign w:val="center"/>
                </w:tcPr>
                <w:p w14:paraId="1C0AABB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废气</w:t>
                  </w:r>
                </w:p>
              </w:tc>
              <w:tc>
                <w:tcPr>
                  <w:tcW w:w="3029" w:type="pct"/>
                  <w:tcBorders>
                    <w:tl2br w:val="nil"/>
                    <w:tr2bl w:val="nil"/>
                  </w:tcBorders>
                  <w:vAlign w:val="center"/>
                </w:tcPr>
                <w:p w14:paraId="2D4DBA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工业硅生产</w:t>
                  </w:r>
                  <w:r>
                    <w:rPr>
                      <w:color w:val="000000" w:themeColor="text1"/>
                      <w:sz w:val="21"/>
                      <w:szCs w:val="21"/>
                      <w:highlight w:val="none"/>
                      <w14:textFill>
                        <w14:solidFill>
                          <w14:schemeClr w14:val="tx1"/>
                        </w14:solidFill>
                      </w14:textFill>
                    </w:rPr>
                    <w:t>过程中产生</w:t>
                  </w:r>
                  <w:r>
                    <w:rPr>
                      <w:rFonts w:hint="eastAsia"/>
                      <w:color w:val="000000" w:themeColor="text1"/>
                      <w:sz w:val="21"/>
                      <w:szCs w:val="21"/>
                      <w:highlight w:val="none"/>
                      <w:lang w:val="en-US" w:eastAsia="zh-CN"/>
                      <w14:textFill>
                        <w14:solidFill>
                          <w14:schemeClr w14:val="tx1"/>
                        </w14:solidFill>
                      </w14:textFill>
                    </w:rPr>
                    <w:t>的</w:t>
                  </w:r>
                  <w:r>
                    <w:rPr>
                      <w:color w:val="000000" w:themeColor="text1"/>
                      <w:sz w:val="21"/>
                      <w:szCs w:val="21"/>
                      <w:highlight w:val="none"/>
                      <w14:textFill>
                        <w14:solidFill>
                          <w14:schemeClr w14:val="tx1"/>
                        </w14:solidFill>
                      </w14:textFill>
                    </w:rPr>
                    <w:t>粉尘</w:t>
                  </w:r>
                  <w:r>
                    <w:rPr>
                      <w:rFonts w:hint="eastAsia"/>
                      <w:color w:val="000000" w:themeColor="text1"/>
                      <w:sz w:val="21"/>
                      <w:szCs w:val="21"/>
                      <w:highlight w:val="none"/>
                      <w14:textFill>
                        <w14:solidFill>
                          <w14:schemeClr w14:val="tx1"/>
                        </w14:solidFill>
                      </w14:textFill>
                    </w:rPr>
                    <w:t>经旋风除尘器及袋式除尘器处理后，通过1</w:t>
                  </w:r>
                  <w:r>
                    <w:rPr>
                      <w:color w:val="000000" w:themeColor="text1"/>
                      <w:sz w:val="21"/>
                      <w:szCs w:val="21"/>
                      <w:highlight w:val="none"/>
                      <w14:textFill>
                        <w14:solidFill>
                          <w14:schemeClr w14:val="tx1"/>
                        </w14:solidFill>
                      </w14:textFill>
                    </w:rPr>
                    <w:t>5</w:t>
                  </w:r>
                  <w:r>
                    <w:rPr>
                      <w:rFonts w:hint="eastAsia"/>
                      <w:color w:val="000000" w:themeColor="text1"/>
                      <w:sz w:val="21"/>
                      <w:szCs w:val="21"/>
                      <w:highlight w:val="none"/>
                      <w14:textFill>
                        <w14:solidFill>
                          <w14:schemeClr w14:val="tx1"/>
                        </w14:solidFill>
                      </w14:textFill>
                    </w:rPr>
                    <w:t>米高排气筒有</w:t>
                  </w:r>
                  <w:r>
                    <w:rPr>
                      <w:color w:val="000000" w:themeColor="text1"/>
                      <w:sz w:val="21"/>
                      <w:szCs w:val="21"/>
                      <w:highlight w:val="none"/>
                      <w14:textFill>
                        <w14:solidFill>
                          <w14:schemeClr w14:val="tx1"/>
                        </w14:solidFill>
                      </w14:textFill>
                    </w:rPr>
                    <w:t>组织排放</w:t>
                  </w:r>
                  <w:r>
                    <w:rPr>
                      <w:rFonts w:hint="eastAsia"/>
                      <w:color w:val="000000" w:themeColor="text1"/>
                      <w:sz w:val="21"/>
                      <w:szCs w:val="21"/>
                      <w:highlight w:val="none"/>
                      <w14:textFill>
                        <w14:solidFill>
                          <w14:schemeClr w14:val="tx1"/>
                        </w14:solidFill>
                      </w14:textFill>
                    </w:rPr>
                    <w:t>。</w:t>
                  </w:r>
                </w:p>
              </w:tc>
              <w:tc>
                <w:tcPr>
                  <w:tcW w:w="806" w:type="pct"/>
                  <w:tcBorders>
                    <w:tl2br w:val="nil"/>
                    <w:tr2bl w:val="nil"/>
                  </w:tcBorders>
                  <w:vAlign w:val="center"/>
                </w:tcPr>
                <w:p w14:paraId="441911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w:t>
                  </w:r>
                  <w:r>
                    <w:rPr>
                      <w:color w:val="000000" w:themeColor="text1"/>
                      <w:sz w:val="21"/>
                      <w:szCs w:val="21"/>
                      <w:highlight w:val="none"/>
                      <w14:textFill>
                        <w14:solidFill>
                          <w14:schemeClr w14:val="tx1"/>
                        </w14:solidFill>
                      </w14:textFill>
                    </w:rPr>
                    <w:t>原有配套设施</w:t>
                  </w:r>
                </w:p>
              </w:tc>
            </w:tr>
            <w:tr w14:paraId="553CD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4E482A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00EB13F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3029" w:type="pct"/>
                  <w:tcBorders>
                    <w:tl2br w:val="nil"/>
                    <w:tr2bl w:val="nil"/>
                  </w:tcBorders>
                  <w:vAlign w:val="center"/>
                </w:tcPr>
                <w:p w14:paraId="0DF97B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生活污水依托厂区相邻的昌吉市先导工程材料有限责任公司的地埋式一体化污水处理，冬储夏灌。</w:t>
                  </w:r>
                </w:p>
              </w:tc>
              <w:tc>
                <w:tcPr>
                  <w:tcW w:w="806" w:type="pct"/>
                  <w:tcBorders>
                    <w:tl2br w:val="nil"/>
                    <w:tr2bl w:val="nil"/>
                  </w:tcBorders>
                  <w:vAlign w:val="center"/>
                </w:tcPr>
                <w:p w14:paraId="6AE80A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w:t>
                  </w:r>
                  <w:r>
                    <w:rPr>
                      <w:color w:val="000000" w:themeColor="text1"/>
                      <w:sz w:val="21"/>
                      <w:szCs w:val="21"/>
                      <w:highlight w:val="none"/>
                      <w14:textFill>
                        <w14:solidFill>
                          <w14:schemeClr w14:val="tx1"/>
                        </w14:solidFill>
                      </w14:textFill>
                    </w:rPr>
                    <w:t>原有配套设施</w:t>
                  </w:r>
                </w:p>
              </w:tc>
            </w:tr>
            <w:tr w14:paraId="3865A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540687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0032290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噪声</w:t>
                  </w:r>
                </w:p>
                <w:p w14:paraId="770AA0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治理</w:t>
                  </w:r>
                </w:p>
              </w:tc>
              <w:tc>
                <w:tcPr>
                  <w:tcW w:w="3029" w:type="pct"/>
                  <w:tcBorders>
                    <w:tl2br w:val="nil"/>
                    <w:tr2bl w:val="nil"/>
                  </w:tcBorders>
                  <w:vAlign w:val="center"/>
                </w:tcPr>
                <w:p w14:paraId="6E18B1C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选用低噪声设备，基础减振装置和柔性连接等措施</w:t>
                  </w:r>
                </w:p>
              </w:tc>
              <w:tc>
                <w:tcPr>
                  <w:tcW w:w="806" w:type="pct"/>
                  <w:tcBorders>
                    <w:tl2br w:val="nil"/>
                    <w:tr2bl w:val="nil"/>
                  </w:tcBorders>
                  <w:vAlign w:val="center"/>
                </w:tcPr>
                <w:p w14:paraId="7DB3E30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新建</w:t>
                  </w:r>
                </w:p>
              </w:tc>
            </w:tr>
            <w:tr w14:paraId="67418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441" w:type="pct"/>
                  <w:vMerge w:val="continue"/>
                  <w:tcBorders>
                    <w:tl2br w:val="nil"/>
                    <w:tr2bl w:val="nil"/>
                  </w:tcBorders>
                  <w:vAlign w:val="center"/>
                </w:tcPr>
                <w:p w14:paraId="02A1A1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5911313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固废</w:t>
                  </w:r>
                </w:p>
                <w:p w14:paraId="7D0FB26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治理</w:t>
                  </w:r>
                </w:p>
              </w:tc>
              <w:tc>
                <w:tcPr>
                  <w:tcW w:w="3029" w:type="pct"/>
                  <w:tcBorders>
                    <w:tl2br w:val="nil"/>
                    <w:tr2bl w:val="nil"/>
                  </w:tcBorders>
                  <w:vAlign w:val="center"/>
                </w:tcPr>
                <w:p w14:paraId="59D9240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一般固体废物：硅渣，外售。</w:t>
                  </w:r>
                  <w:r>
                    <w:rPr>
                      <w:color w:val="000000" w:themeColor="text1"/>
                      <w:sz w:val="21"/>
                      <w:szCs w:val="21"/>
                      <w:highlight w:val="none"/>
                      <w14:textFill>
                        <w14:solidFill>
                          <w14:schemeClr w14:val="tx1"/>
                        </w14:solidFill>
                      </w14:textFill>
                    </w:rPr>
                    <w:t>生活垃圾：集中收集后交由环卫部门处理</w:t>
                  </w:r>
                </w:p>
              </w:tc>
              <w:tc>
                <w:tcPr>
                  <w:tcW w:w="806" w:type="pct"/>
                  <w:tcBorders>
                    <w:tl2br w:val="nil"/>
                    <w:tr2bl w:val="nil"/>
                  </w:tcBorders>
                  <w:vAlign w:val="center"/>
                </w:tcPr>
                <w:p w14:paraId="06B04A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r>
          </w:tbl>
          <w:p w14:paraId="4F0353F7">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2.12.2现有工程</w:t>
            </w:r>
            <w:r>
              <w:rPr>
                <w:rFonts w:hint="default"/>
                <w:color w:val="000000" w:themeColor="text1"/>
                <w:highlight w:val="none"/>
                <w:lang w:val="en-US" w:eastAsia="zh-CN"/>
                <w14:textFill>
                  <w14:solidFill>
                    <w14:schemeClr w14:val="tx1"/>
                  </w14:solidFill>
                </w14:textFill>
              </w:rPr>
              <w:t>生产设备</w:t>
            </w:r>
          </w:p>
          <w:p w14:paraId="041BBC03">
            <w:pPr>
              <w:adjustRightInd/>
              <w:snapToGrid/>
              <w:spacing w:after="0" w:line="360" w:lineRule="auto"/>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工程</w:t>
            </w:r>
            <w:r>
              <w:rPr>
                <w:rFonts w:hint="default" w:ascii="Times New Roman" w:hAnsi="Times New Roman" w:eastAsia="宋体" w:cs="Times New Roman"/>
                <w:color w:val="000000" w:themeColor="text1"/>
                <w:sz w:val="24"/>
                <w:szCs w:val="24"/>
                <w:highlight w:val="none"/>
                <w14:textFill>
                  <w14:solidFill>
                    <w14:schemeClr w14:val="tx1"/>
                  </w14:solidFill>
                </w14:textFill>
              </w:rPr>
              <w:t>主要设备一览表</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见表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533C491B">
            <w:pPr>
              <w:pStyle w:val="51"/>
              <w:widowControl/>
              <w:adjustRightInd/>
              <w:snapToGrid/>
              <w:spacing w:after="0" w:line="240" w:lineRule="auto"/>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表</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2-</w:t>
            </w:r>
            <w:r>
              <w:rPr>
                <w:rFonts w:hint="eastAsia" w:cs="Times New Roman"/>
                <w:color w:val="000000" w:themeColor="text1"/>
                <w:sz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highlight w:val="none"/>
                <w14:textFill>
                  <w14:solidFill>
                    <w14:schemeClr w14:val="tx1"/>
                  </w14:solidFill>
                </w14:textFill>
              </w:rPr>
              <w:t xml:space="preserve">   项目主要设备一览表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2363"/>
              <w:gridCol w:w="1666"/>
              <w:gridCol w:w="1297"/>
              <w:gridCol w:w="1853"/>
            </w:tblGrid>
            <w:tr w14:paraId="5367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5" w:type="pct"/>
                  <w:tcBorders>
                    <w:tl2br w:val="nil"/>
                    <w:tr2bl w:val="nil"/>
                  </w:tcBorders>
                  <w:vAlign w:val="center"/>
                </w:tcPr>
                <w:p w14:paraId="3217C99D">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序号</w:t>
                  </w:r>
                </w:p>
              </w:tc>
              <w:tc>
                <w:tcPr>
                  <w:tcW w:w="1459" w:type="pct"/>
                  <w:tcBorders>
                    <w:tl2br w:val="nil"/>
                    <w:tr2bl w:val="nil"/>
                  </w:tcBorders>
                  <w:vAlign w:val="center"/>
                </w:tcPr>
                <w:p w14:paraId="4F1350D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设备名称</w:t>
                  </w:r>
                </w:p>
              </w:tc>
              <w:tc>
                <w:tcPr>
                  <w:tcW w:w="1029" w:type="pct"/>
                  <w:tcBorders>
                    <w:tl2br w:val="nil"/>
                    <w:tr2bl w:val="nil"/>
                  </w:tcBorders>
                  <w:vAlign w:val="center"/>
                </w:tcPr>
                <w:p w14:paraId="17840F0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型号</w:t>
                  </w:r>
                </w:p>
              </w:tc>
              <w:tc>
                <w:tcPr>
                  <w:tcW w:w="801" w:type="pct"/>
                  <w:tcBorders>
                    <w:tl2br w:val="nil"/>
                    <w:tr2bl w:val="nil"/>
                  </w:tcBorders>
                  <w:vAlign w:val="center"/>
                </w:tcPr>
                <w:p w14:paraId="4335293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单位</w:t>
                  </w:r>
                </w:p>
              </w:tc>
              <w:tc>
                <w:tcPr>
                  <w:tcW w:w="1144" w:type="pct"/>
                  <w:tcBorders>
                    <w:tl2br w:val="nil"/>
                    <w:tr2bl w:val="nil"/>
                  </w:tcBorders>
                  <w:vAlign w:val="center"/>
                </w:tcPr>
                <w:p w14:paraId="6670ABB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数量</w:t>
                  </w:r>
                </w:p>
              </w:tc>
            </w:tr>
            <w:tr w14:paraId="239A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59E30C0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c>
                <w:tcPr>
                  <w:tcW w:w="1459" w:type="pct"/>
                  <w:tcBorders>
                    <w:tl2br w:val="nil"/>
                    <w:tr2bl w:val="nil"/>
                  </w:tcBorders>
                  <w:vAlign w:val="center"/>
                </w:tcPr>
                <w:p w14:paraId="5F9D4A7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钢壳中频炉</w:t>
                  </w:r>
                </w:p>
              </w:tc>
              <w:tc>
                <w:tcPr>
                  <w:tcW w:w="1029" w:type="pct"/>
                  <w:tcBorders>
                    <w:tl2br w:val="nil"/>
                    <w:tr2bl w:val="nil"/>
                  </w:tcBorders>
                  <w:vAlign w:val="center"/>
                </w:tcPr>
                <w:p w14:paraId="6C50E04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GW-2t/h</w:t>
                  </w:r>
                </w:p>
              </w:tc>
              <w:tc>
                <w:tcPr>
                  <w:tcW w:w="801" w:type="pct"/>
                  <w:tcBorders>
                    <w:tl2br w:val="nil"/>
                    <w:tr2bl w:val="nil"/>
                  </w:tcBorders>
                  <w:vAlign w:val="center"/>
                </w:tcPr>
                <w:p w14:paraId="751475E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1144" w:type="pct"/>
                  <w:tcBorders>
                    <w:tl2br w:val="nil"/>
                    <w:tr2bl w:val="nil"/>
                  </w:tcBorders>
                  <w:vAlign w:val="center"/>
                </w:tcPr>
                <w:p w14:paraId="214AEF36">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4249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69A8705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p>
              </w:tc>
              <w:tc>
                <w:tcPr>
                  <w:tcW w:w="1459" w:type="pct"/>
                  <w:tcBorders>
                    <w:tl2br w:val="nil"/>
                    <w:tr2bl w:val="nil"/>
                  </w:tcBorders>
                  <w:vAlign w:val="center"/>
                </w:tcPr>
                <w:p w14:paraId="2C578FC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钢壳中频炉</w:t>
                  </w:r>
                </w:p>
              </w:tc>
              <w:tc>
                <w:tcPr>
                  <w:tcW w:w="1029" w:type="pct"/>
                  <w:tcBorders>
                    <w:tl2br w:val="nil"/>
                    <w:tr2bl w:val="nil"/>
                  </w:tcBorders>
                  <w:vAlign w:val="center"/>
                </w:tcPr>
                <w:p w14:paraId="23F7F5A5">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GW-</w:t>
                  </w:r>
                  <w:r>
                    <w:rPr>
                      <w:color w:val="000000" w:themeColor="text1"/>
                      <w:sz w:val="21"/>
                      <w:szCs w:val="21"/>
                      <w:highlight w:val="none"/>
                      <w14:textFill>
                        <w14:solidFill>
                          <w14:schemeClr w14:val="tx1"/>
                        </w14:solidFill>
                      </w14:textFill>
                    </w:rPr>
                    <w:t>5</w:t>
                  </w:r>
                  <w:r>
                    <w:rPr>
                      <w:rFonts w:hint="eastAsia"/>
                      <w:color w:val="000000" w:themeColor="text1"/>
                      <w:sz w:val="21"/>
                      <w:szCs w:val="21"/>
                      <w:highlight w:val="none"/>
                      <w14:textFill>
                        <w14:solidFill>
                          <w14:schemeClr w14:val="tx1"/>
                        </w14:solidFill>
                      </w14:textFill>
                    </w:rPr>
                    <w:t>t/h</w:t>
                  </w:r>
                </w:p>
              </w:tc>
              <w:tc>
                <w:tcPr>
                  <w:tcW w:w="801" w:type="pct"/>
                  <w:tcBorders>
                    <w:tl2br w:val="nil"/>
                    <w:tr2bl w:val="nil"/>
                  </w:tcBorders>
                  <w:vAlign w:val="center"/>
                </w:tcPr>
                <w:p w14:paraId="1249903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566A6503">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5085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537B309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p>
              </w:tc>
              <w:tc>
                <w:tcPr>
                  <w:tcW w:w="1459" w:type="pct"/>
                  <w:tcBorders>
                    <w:tl2br w:val="nil"/>
                    <w:tr2bl w:val="nil"/>
                  </w:tcBorders>
                  <w:vAlign w:val="center"/>
                </w:tcPr>
                <w:p w14:paraId="72BA416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变压器</w:t>
                  </w:r>
                </w:p>
              </w:tc>
              <w:tc>
                <w:tcPr>
                  <w:tcW w:w="1029" w:type="pct"/>
                  <w:tcBorders>
                    <w:tl2br w:val="nil"/>
                    <w:tr2bl w:val="nil"/>
                  </w:tcBorders>
                  <w:vAlign w:val="center"/>
                </w:tcPr>
                <w:p w14:paraId="4A9E6B5A">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2000KVA</w:t>
                  </w:r>
                </w:p>
              </w:tc>
              <w:tc>
                <w:tcPr>
                  <w:tcW w:w="801" w:type="pct"/>
                  <w:tcBorders>
                    <w:tl2br w:val="nil"/>
                    <w:tr2bl w:val="nil"/>
                  </w:tcBorders>
                  <w:vAlign w:val="center"/>
                </w:tcPr>
                <w:p w14:paraId="5BDDE9F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5B9234A7">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1370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73F3914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5</w:t>
                  </w:r>
                </w:p>
              </w:tc>
              <w:tc>
                <w:tcPr>
                  <w:tcW w:w="1459" w:type="pct"/>
                  <w:tcBorders>
                    <w:tl2br w:val="nil"/>
                    <w:tr2bl w:val="nil"/>
                  </w:tcBorders>
                  <w:vAlign w:val="center"/>
                </w:tcPr>
                <w:p w14:paraId="0E85532E">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r>
                    <w:rPr>
                      <w:color w:val="000000" w:themeColor="text1"/>
                      <w:sz w:val="21"/>
                      <w:szCs w:val="21"/>
                      <w:highlight w:val="none"/>
                      <w14:textFill>
                        <w14:solidFill>
                          <w14:schemeClr w14:val="tx1"/>
                        </w14:solidFill>
                      </w14:textFill>
                    </w:rPr>
                    <w:t>0</w:t>
                  </w:r>
                  <w:r>
                    <w:rPr>
                      <w:rFonts w:hint="eastAsia"/>
                      <w:color w:val="000000" w:themeColor="text1"/>
                      <w:sz w:val="21"/>
                      <w:szCs w:val="21"/>
                      <w:highlight w:val="none"/>
                      <w14:textFill>
                        <w14:solidFill>
                          <w14:schemeClr w14:val="tx1"/>
                        </w14:solidFill>
                      </w14:textFill>
                    </w:rPr>
                    <w:t>吨行车</w:t>
                  </w:r>
                </w:p>
              </w:tc>
              <w:tc>
                <w:tcPr>
                  <w:tcW w:w="1029" w:type="pct"/>
                  <w:tcBorders>
                    <w:tl2br w:val="nil"/>
                    <w:tr2bl w:val="nil"/>
                  </w:tcBorders>
                  <w:vAlign w:val="center"/>
                </w:tcPr>
                <w:p w14:paraId="5EEFC5EE">
                  <w:pPr>
                    <w:spacing w:line="240" w:lineRule="auto"/>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10</w:t>
                  </w:r>
                  <w:r>
                    <w:rPr>
                      <w:rFonts w:hint="eastAsia"/>
                      <w:color w:val="000000" w:themeColor="text1"/>
                      <w:sz w:val="21"/>
                      <w:szCs w:val="21"/>
                      <w:highlight w:val="none"/>
                      <w:lang w:val="en-US" w:eastAsia="zh-CN"/>
                      <w14:textFill>
                        <w14:solidFill>
                          <w14:schemeClr w14:val="tx1"/>
                        </w14:solidFill>
                      </w14:textFill>
                    </w:rPr>
                    <w:t>t</w:t>
                  </w:r>
                </w:p>
              </w:tc>
              <w:tc>
                <w:tcPr>
                  <w:tcW w:w="801" w:type="pct"/>
                  <w:tcBorders>
                    <w:tl2br w:val="nil"/>
                    <w:tr2bl w:val="nil"/>
                  </w:tcBorders>
                  <w:vAlign w:val="center"/>
                </w:tcPr>
                <w:p w14:paraId="22D0BA0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23BDF160">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25FA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153EBF0E">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6</w:t>
                  </w:r>
                </w:p>
              </w:tc>
              <w:tc>
                <w:tcPr>
                  <w:tcW w:w="1459" w:type="pct"/>
                  <w:tcBorders>
                    <w:tl2br w:val="nil"/>
                    <w:tr2bl w:val="nil"/>
                  </w:tcBorders>
                  <w:vAlign w:val="center"/>
                </w:tcPr>
                <w:p w14:paraId="2A2337D9">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r>
                    <w:rPr>
                      <w:color w:val="000000" w:themeColor="text1"/>
                      <w:sz w:val="21"/>
                      <w:szCs w:val="21"/>
                      <w:highlight w:val="none"/>
                      <w14:textFill>
                        <w14:solidFill>
                          <w14:schemeClr w14:val="tx1"/>
                        </w14:solidFill>
                      </w14:textFill>
                    </w:rPr>
                    <w:t>.8</w:t>
                  </w:r>
                  <w:r>
                    <w:rPr>
                      <w:rFonts w:hint="eastAsia"/>
                      <w:color w:val="000000" w:themeColor="text1"/>
                      <w:sz w:val="21"/>
                      <w:szCs w:val="21"/>
                      <w:highlight w:val="none"/>
                      <w14:textFill>
                        <w14:solidFill>
                          <w14:schemeClr w14:val="tx1"/>
                        </w14:solidFill>
                      </w14:textFill>
                    </w:rPr>
                    <w:t>吨行车</w:t>
                  </w:r>
                </w:p>
              </w:tc>
              <w:tc>
                <w:tcPr>
                  <w:tcW w:w="1029" w:type="pct"/>
                  <w:tcBorders>
                    <w:tl2br w:val="nil"/>
                    <w:tr2bl w:val="nil"/>
                  </w:tcBorders>
                  <w:vAlign w:val="center"/>
                </w:tcPr>
                <w:p w14:paraId="26C57DBD">
                  <w:pPr>
                    <w:spacing w:line="240" w:lineRule="auto"/>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r>
                    <w:rPr>
                      <w:color w:val="000000" w:themeColor="text1"/>
                      <w:sz w:val="21"/>
                      <w:szCs w:val="21"/>
                      <w:highlight w:val="none"/>
                      <w14:textFill>
                        <w14:solidFill>
                          <w14:schemeClr w14:val="tx1"/>
                        </w14:solidFill>
                      </w14:textFill>
                    </w:rPr>
                    <w:t>.8</w:t>
                  </w:r>
                  <w:r>
                    <w:rPr>
                      <w:rFonts w:hint="eastAsia"/>
                      <w:color w:val="000000" w:themeColor="text1"/>
                      <w:sz w:val="21"/>
                      <w:szCs w:val="21"/>
                      <w:highlight w:val="none"/>
                      <w:lang w:val="en-US" w:eastAsia="zh-CN"/>
                      <w14:textFill>
                        <w14:solidFill>
                          <w14:schemeClr w14:val="tx1"/>
                        </w14:solidFill>
                      </w14:textFill>
                    </w:rPr>
                    <w:t>t</w:t>
                  </w:r>
                </w:p>
              </w:tc>
              <w:tc>
                <w:tcPr>
                  <w:tcW w:w="801" w:type="pct"/>
                  <w:tcBorders>
                    <w:tl2br w:val="nil"/>
                    <w:tr2bl w:val="nil"/>
                  </w:tcBorders>
                  <w:vAlign w:val="center"/>
                </w:tcPr>
                <w:p w14:paraId="5E3E592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0392094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r w14:paraId="5E50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749ED90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7</w:t>
                  </w:r>
                </w:p>
              </w:tc>
              <w:tc>
                <w:tcPr>
                  <w:tcW w:w="1459" w:type="pct"/>
                  <w:tcBorders>
                    <w:tl2br w:val="nil"/>
                    <w:tr2bl w:val="nil"/>
                  </w:tcBorders>
                  <w:vAlign w:val="center"/>
                </w:tcPr>
                <w:p w14:paraId="54F74EB1">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叉车</w:t>
                  </w:r>
                </w:p>
              </w:tc>
              <w:tc>
                <w:tcPr>
                  <w:tcW w:w="1029" w:type="pct"/>
                  <w:tcBorders>
                    <w:tl2br w:val="nil"/>
                    <w:tr2bl w:val="nil"/>
                  </w:tcBorders>
                  <w:vAlign w:val="center"/>
                </w:tcPr>
                <w:p w14:paraId="22F1A096">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801" w:type="pct"/>
                  <w:tcBorders>
                    <w:tl2br w:val="nil"/>
                    <w:tr2bl w:val="nil"/>
                  </w:tcBorders>
                  <w:vAlign w:val="center"/>
                </w:tcPr>
                <w:p w14:paraId="2CA556B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31BE093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r w14:paraId="631C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trPr>
              <w:tc>
                <w:tcPr>
                  <w:tcW w:w="565" w:type="pct"/>
                  <w:tcBorders>
                    <w:tl2br w:val="nil"/>
                    <w:tr2bl w:val="nil"/>
                  </w:tcBorders>
                  <w:vAlign w:val="center"/>
                </w:tcPr>
                <w:p w14:paraId="14D9F8EC">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p>
              </w:tc>
              <w:tc>
                <w:tcPr>
                  <w:tcW w:w="1459" w:type="pct"/>
                  <w:tcBorders>
                    <w:tl2br w:val="nil"/>
                    <w:tr2bl w:val="nil"/>
                  </w:tcBorders>
                  <w:vAlign w:val="center"/>
                </w:tcPr>
                <w:p w14:paraId="723B885D">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硅液冷却模具</w:t>
                  </w:r>
                </w:p>
              </w:tc>
              <w:tc>
                <w:tcPr>
                  <w:tcW w:w="1029" w:type="pct"/>
                  <w:tcBorders>
                    <w:tl2br w:val="nil"/>
                    <w:tr2bl w:val="nil"/>
                  </w:tcBorders>
                  <w:vAlign w:val="center"/>
                </w:tcPr>
                <w:p w14:paraId="61F7612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801" w:type="pct"/>
                  <w:tcBorders>
                    <w:tl2br w:val="nil"/>
                    <w:tr2bl w:val="nil"/>
                  </w:tcBorders>
                  <w:vAlign w:val="center"/>
                </w:tcPr>
                <w:p w14:paraId="742F671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1144" w:type="pct"/>
                  <w:tcBorders>
                    <w:tl2br w:val="nil"/>
                    <w:tr2bl w:val="nil"/>
                  </w:tcBorders>
                  <w:vAlign w:val="center"/>
                </w:tcPr>
                <w:p w14:paraId="6F13CDD2">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r>
            <w:tr w14:paraId="7765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5A05717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9</w:t>
                  </w:r>
                </w:p>
              </w:tc>
              <w:tc>
                <w:tcPr>
                  <w:tcW w:w="1459" w:type="pct"/>
                  <w:tcBorders>
                    <w:tl2br w:val="nil"/>
                    <w:tr2bl w:val="nil"/>
                  </w:tcBorders>
                  <w:vAlign w:val="center"/>
                </w:tcPr>
                <w:p w14:paraId="55E31C13">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破碎平台</w:t>
                  </w:r>
                </w:p>
              </w:tc>
              <w:tc>
                <w:tcPr>
                  <w:tcW w:w="1029" w:type="pct"/>
                  <w:tcBorders>
                    <w:tl2br w:val="nil"/>
                    <w:tr2bl w:val="nil"/>
                  </w:tcBorders>
                  <w:vAlign w:val="center"/>
                </w:tcPr>
                <w:p w14:paraId="735B42B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801" w:type="pct"/>
                  <w:tcBorders>
                    <w:tl2br w:val="nil"/>
                    <w:tr2bl w:val="nil"/>
                  </w:tcBorders>
                  <w:vAlign w:val="center"/>
                </w:tcPr>
                <w:p w14:paraId="75D47EE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平方米</w:t>
                  </w:r>
                </w:p>
              </w:tc>
              <w:tc>
                <w:tcPr>
                  <w:tcW w:w="1144" w:type="pct"/>
                  <w:tcBorders>
                    <w:tl2br w:val="nil"/>
                    <w:tr2bl w:val="nil"/>
                  </w:tcBorders>
                  <w:vAlign w:val="center"/>
                </w:tcPr>
                <w:p w14:paraId="3192401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r>
                    <w:rPr>
                      <w:color w:val="000000" w:themeColor="text1"/>
                      <w:sz w:val="21"/>
                      <w:szCs w:val="21"/>
                      <w:highlight w:val="none"/>
                      <w14:textFill>
                        <w14:solidFill>
                          <w14:schemeClr w14:val="tx1"/>
                        </w14:solidFill>
                      </w14:textFill>
                    </w:rPr>
                    <w:t>5</w:t>
                  </w:r>
                </w:p>
              </w:tc>
            </w:tr>
            <w:tr w14:paraId="707E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00819E3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r>
                    <w:rPr>
                      <w:color w:val="000000" w:themeColor="text1"/>
                      <w:sz w:val="21"/>
                      <w:szCs w:val="21"/>
                      <w:highlight w:val="none"/>
                      <w14:textFill>
                        <w14:solidFill>
                          <w14:schemeClr w14:val="tx1"/>
                        </w14:solidFill>
                      </w14:textFill>
                    </w:rPr>
                    <w:t>0</w:t>
                  </w:r>
                </w:p>
              </w:tc>
              <w:tc>
                <w:tcPr>
                  <w:tcW w:w="1459" w:type="pct"/>
                  <w:tcBorders>
                    <w:tl2br w:val="nil"/>
                    <w:tr2bl w:val="nil"/>
                  </w:tcBorders>
                  <w:vAlign w:val="center"/>
                </w:tcPr>
                <w:p w14:paraId="4C49C5DC">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旋风除尘器、布袋防尘设施</w:t>
                  </w:r>
                </w:p>
              </w:tc>
              <w:tc>
                <w:tcPr>
                  <w:tcW w:w="1029" w:type="pct"/>
                  <w:tcBorders>
                    <w:tl2br w:val="nil"/>
                    <w:tr2bl w:val="nil"/>
                  </w:tcBorders>
                  <w:vAlign w:val="center"/>
                </w:tcPr>
                <w:p w14:paraId="7651E08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H</w:t>
                  </w:r>
                  <w:r>
                    <w:rPr>
                      <w:color w:val="000000" w:themeColor="text1"/>
                      <w:sz w:val="21"/>
                      <w:szCs w:val="21"/>
                      <w:highlight w:val="none"/>
                      <w14:textFill>
                        <w14:solidFill>
                          <w14:schemeClr w14:val="tx1"/>
                        </w14:solidFill>
                      </w14:textFill>
                    </w:rPr>
                    <w:t>R45-2</w:t>
                  </w:r>
                </w:p>
              </w:tc>
              <w:tc>
                <w:tcPr>
                  <w:tcW w:w="801" w:type="pct"/>
                  <w:tcBorders>
                    <w:tl2br w:val="nil"/>
                    <w:tr2bl w:val="nil"/>
                  </w:tcBorders>
                  <w:vAlign w:val="center"/>
                </w:tcPr>
                <w:p w14:paraId="377690D3">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1144" w:type="pct"/>
                  <w:tcBorders>
                    <w:tl2br w:val="nil"/>
                    <w:tr2bl w:val="nil"/>
                  </w:tcBorders>
                  <w:vAlign w:val="center"/>
                </w:tcPr>
                <w:p w14:paraId="3B4F83E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r w14:paraId="3512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7F2887C2">
                  <w:pPr>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11</w:t>
                  </w:r>
                </w:p>
              </w:tc>
              <w:tc>
                <w:tcPr>
                  <w:tcW w:w="1459" w:type="pct"/>
                  <w:tcBorders>
                    <w:tl2br w:val="nil"/>
                    <w:tr2bl w:val="nil"/>
                  </w:tcBorders>
                  <w:vAlign w:val="center"/>
                </w:tcPr>
                <w:p w14:paraId="13ACD2C3">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排气筒</w:t>
                  </w:r>
                </w:p>
              </w:tc>
              <w:tc>
                <w:tcPr>
                  <w:tcW w:w="1029" w:type="pct"/>
                  <w:tcBorders>
                    <w:tl2br w:val="nil"/>
                    <w:tr2bl w:val="nil"/>
                  </w:tcBorders>
                  <w:vAlign w:val="center"/>
                </w:tcPr>
                <w:p w14:paraId="3C457AFE">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钢制</w:t>
                  </w:r>
                </w:p>
              </w:tc>
              <w:tc>
                <w:tcPr>
                  <w:tcW w:w="801" w:type="pct"/>
                  <w:tcBorders>
                    <w:tl2br w:val="nil"/>
                    <w:tr2bl w:val="nil"/>
                  </w:tcBorders>
                  <w:vAlign w:val="center"/>
                </w:tcPr>
                <w:p w14:paraId="7AEF4936">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根</w:t>
                  </w:r>
                </w:p>
              </w:tc>
              <w:tc>
                <w:tcPr>
                  <w:tcW w:w="1144" w:type="pct"/>
                  <w:tcBorders>
                    <w:tl2br w:val="nil"/>
                    <w:tr2bl w:val="nil"/>
                  </w:tcBorders>
                  <w:vAlign w:val="center"/>
                </w:tcPr>
                <w:p w14:paraId="6E2C013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bl>
          <w:p w14:paraId="324FF804">
            <w:pPr>
              <w:bidi w:val="0"/>
              <w:spacing w:line="360" w:lineRule="auto"/>
              <w:rPr>
                <w:rFonts w:hint="default"/>
                <w:b/>
                <w:bCs/>
                <w:color w:val="000000" w:themeColor="text1"/>
                <w:sz w:val="24"/>
                <w:szCs w:val="32"/>
                <w:highlight w:val="none"/>
                <w14:textFill>
                  <w14:solidFill>
                    <w14:schemeClr w14:val="tx1"/>
                  </w14:solidFill>
                </w14:textFill>
              </w:rPr>
            </w:pPr>
            <w:r>
              <w:rPr>
                <w:rFonts w:hint="eastAsia"/>
                <w:b/>
                <w:bCs/>
                <w:color w:val="000000" w:themeColor="text1"/>
                <w:sz w:val="24"/>
                <w:szCs w:val="32"/>
                <w:highlight w:val="none"/>
                <w:lang w:val="en-US" w:eastAsia="zh-CN"/>
                <w14:textFill>
                  <w14:solidFill>
                    <w14:schemeClr w14:val="tx1"/>
                  </w14:solidFill>
                </w14:textFill>
              </w:rPr>
              <w:t>2.12.3</w:t>
            </w:r>
            <w:r>
              <w:rPr>
                <w:rFonts w:hint="eastAsia"/>
                <w:b/>
                <w:color w:val="000000" w:themeColor="text1"/>
                <w:sz w:val="24"/>
                <w:highlight w:val="none"/>
                <w:lang w:val="en-US" w:eastAsia="zh-CN"/>
                <w14:textFill>
                  <w14:solidFill>
                    <w14:schemeClr w14:val="tx1"/>
                  </w14:solidFill>
                </w14:textFill>
              </w:rPr>
              <w:t>现有工程</w:t>
            </w:r>
            <w:r>
              <w:rPr>
                <w:rFonts w:hint="default"/>
                <w:b/>
                <w:bCs/>
                <w:color w:val="000000" w:themeColor="text1"/>
                <w:sz w:val="24"/>
                <w:szCs w:val="32"/>
                <w:highlight w:val="none"/>
                <w14:textFill>
                  <w14:solidFill>
                    <w14:schemeClr w14:val="tx1"/>
                  </w14:solidFill>
                </w14:textFill>
              </w:rPr>
              <w:t>原辅材料</w:t>
            </w:r>
            <w:r>
              <w:rPr>
                <w:rFonts w:hint="eastAsia"/>
                <w:b/>
                <w:bCs/>
                <w:color w:val="000000" w:themeColor="text1"/>
                <w:sz w:val="24"/>
                <w:szCs w:val="32"/>
                <w:highlight w:val="none"/>
                <w:lang w:val="en-US" w:eastAsia="zh-CN"/>
                <w14:textFill>
                  <w14:solidFill>
                    <w14:schemeClr w14:val="tx1"/>
                  </w14:solidFill>
                </w14:textFill>
              </w:rPr>
              <w:t>及能源</w:t>
            </w:r>
            <w:r>
              <w:rPr>
                <w:rFonts w:hint="default"/>
                <w:b/>
                <w:bCs/>
                <w:color w:val="000000" w:themeColor="text1"/>
                <w:sz w:val="24"/>
                <w:szCs w:val="32"/>
                <w:highlight w:val="none"/>
                <w14:textFill>
                  <w14:solidFill>
                    <w14:schemeClr w14:val="tx1"/>
                  </w14:solidFill>
                </w14:textFill>
              </w:rPr>
              <w:t>消耗</w:t>
            </w:r>
          </w:p>
          <w:p w14:paraId="5B295EF6">
            <w:pPr>
              <w:adjustRightInd/>
              <w:snapToGrid/>
              <w:spacing w:after="0" w:line="360" w:lineRule="auto"/>
              <w:ind w:firstLine="480" w:firstLineChars="200"/>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pPr>
            <w:r>
              <w:rPr>
                <w:rFonts w:hint="eastAsia" w:cs="Times New Roman"/>
                <w:snapToGrid w:val="0"/>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工程</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运营期间原</w:t>
            </w:r>
            <w:r>
              <w:rPr>
                <w:rFonts w:hint="default" w:ascii="Times New Roman" w:hAnsi="Times New Roman" w:eastAsia="宋体" w:cs="Times New Roman"/>
                <w:snapToGrid w:val="0"/>
                <w:color w:val="000000" w:themeColor="text1"/>
                <w:sz w:val="24"/>
                <w:szCs w:val="24"/>
                <w:highlight w:val="none"/>
                <w:lang w:eastAsia="zh-CN"/>
                <w14:textFill>
                  <w14:solidFill>
                    <w14:schemeClr w14:val="tx1"/>
                  </w14:solidFill>
                </w14:textFill>
              </w:rPr>
              <w:t>辅</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料</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及能源</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消耗</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情况</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见表</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2-</w:t>
            </w:r>
            <w:r>
              <w:rPr>
                <w:rFonts w:hint="eastAsia" w:cs="Times New Roman"/>
                <w:snapToGrid w:val="0"/>
                <w:color w:val="000000" w:themeColor="text1"/>
                <w:sz w:val="24"/>
                <w:szCs w:val="24"/>
                <w:highlight w:val="none"/>
                <w:lang w:val="en-US" w:eastAsia="zh-CN"/>
                <w14:textFill>
                  <w14:solidFill>
                    <w14:schemeClr w14:val="tx1"/>
                  </w14:solidFill>
                </w14:textFill>
              </w:rPr>
              <w:t>11</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w:t>
            </w:r>
          </w:p>
          <w:p w14:paraId="34B1E3D5">
            <w:pPr>
              <w:pStyle w:val="51"/>
              <w:widowControl/>
              <w:adjustRightInd/>
              <w:snapToGrid/>
              <w:spacing w:after="0"/>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表</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2-</w:t>
            </w:r>
            <w:r>
              <w:rPr>
                <w:rFonts w:hint="eastAsia" w:cs="Times New Roman"/>
                <w:color w:val="000000" w:themeColor="text1"/>
                <w:sz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highlight w:val="none"/>
                <w14:textFill>
                  <w14:solidFill>
                    <w14:schemeClr w14:val="tx1"/>
                  </w14:solidFill>
                </w14:textFill>
              </w:rPr>
              <w:t xml:space="preserve">    原辅材料一览表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153"/>
              <w:gridCol w:w="1440"/>
              <w:gridCol w:w="1479"/>
              <w:gridCol w:w="3158"/>
            </w:tblGrid>
            <w:tr w14:paraId="48E2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8F22682">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序号</w:t>
                  </w:r>
                </w:p>
              </w:tc>
              <w:tc>
                <w:tcPr>
                  <w:tcW w:w="1094" w:type="dxa"/>
                  <w:vAlign w:val="center"/>
                </w:tcPr>
                <w:p w14:paraId="74341A5A">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名称</w:t>
                  </w:r>
                </w:p>
              </w:tc>
              <w:tc>
                <w:tcPr>
                  <w:tcW w:w="1366" w:type="dxa"/>
                  <w:vAlign w:val="center"/>
                </w:tcPr>
                <w:p w14:paraId="219DDAC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年消耗</w:t>
                  </w:r>
                  <w:r>
                    <w:rPr>
                      <w:color w:val="000000" w:themeColor="text1"/>
                      <w:sz w:val="21"/>
                      <w:szCs w:val="21"/>
                      <w:highlight w:val="none"/>
                      <w14:textFill>
                        <w14:solidFill>
                          <w14:schemeClr w14:val="tx1"/>
                        </w14:solidFill>
                      </w14:textFill>
                    </w:rPr>
                    <w:t>量</w:t>
                  </w:r>
                </w:p>
              </w:tc>
              <w:tc>
                <w:tcPr>
                  <w:tcW w:w="1403" w:type="dxa"/>
                  <w:vAlign w:val="center"/>
                </w:tcPr>
                <w:p w14:paraId="77FF281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单位</w:t>
                  </w:r>
                </w:p>
              </w:tc>
              <w:tc>
                <w:tcPr>
                  <w:tcW w:w="2996" w:type="dxa"/>
                  <w:vAlign w:val="center"/>
                </w:tcPr>
                <w:p w14:paraId="45D1D194">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51D0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25DF49B">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一</w:t>
                  </w:r>
                </w:p>
              </w:tc>
              <w:tc>
                <w:tcPr>
                  <w:tcW w:w="6859" w:type="dxa"/>
                  <w:gridSpan w:val="4"/>
                  <w:vAlign w:val="center"/>
                </w:tcPr>
                <w:p w14:paraId="627274BF">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原辅材料</w:t>
                  </w:r>
                </w:p>
              </w:tc>
            </w:tr>
            <w:tr w14:paraId="4CA7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7C115FD">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c>
                <w:tcPr>
                  <w:tcW w:w="1094" w:type="dxa"/>
                  <w:vAlign w:val="center"/>
                </w:tcPr>
                <w:p w14:paraId="66A643A8">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硅废粉</w:t>
                  </w:r>
                </w:p>
              </w:tc>
              <w:tc>
                <w:tcPr>
                  <w:tcW w:w="1366" w:type="dxa"/>
                  <w:vAlign w:val="center"/>
                </w:tcPr>
                <w:p w14:paraId="2F0F0C51">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14800</w:t>
                  </w:r>
                </w:p>
              </w:tc>
              <w:tc>
                <w:tcPr>
                  <w:tcW w:w="1403" w:type="dxa"/>
                  <w:vAlign w:val="center"/>
                </w:tcPr>
                <w:p w14:paraId="624FD55E">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t/a</w:t>
                  </w:r>
                </w:p>
              </w:tc>
              <w:tc>
                <w:tcPr>
                  <w:tcW w:w="2996" w:type="dxa"/>
                  <w:vAlign w:val="center"/>
                </w:tcPr>
                <w:p w14:paraId="4F07B754">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外购</w:t>
                  </w:r>
                </w:p>
              </w:tc>
            </w:tr>
            <w:tr w14:paraId="296A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1B2A1287">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p>
              </w:tc>
              <w:tc>
                <w:tcPr>
                  <w:tcW w:w="1094" w:type="dxa"/>
                  <w:vAlign w:val="center"/>
                </w:tcPr>
                <w:p w14:paraId="6C3E6642">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荧石粉</w:t>
                  </w:r>
                </w:p>
              </w:tc>
              <w:tc>
                <w:tcPr>
                  <w:tcW w:w="1366" w:type="dxa"/>
                  <w:vAlign w:val="center"/>
                </w:tcPr>
                <w:p w14:paraId="2C523D91">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150</w:t>
                  </w:r>
                </w:p>
              </w:tc>
              <w:tc>
                <w:tcPr>
                  <w:tcW w:w="1403" w:type="dxa"/>
                  <w:vAlign w:val="center"/>
                </w:tcPr>
                <w:p w14:paraId="5547606A">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t/a</w:t>
                  </w:r>
                </w:p>
              </w:tc>
              <w:tc>
                <w:tcPr>
                  <w:tcW w:w="2996" w:type="dxa"/>
                  <w:vAlign w:val="center"/>
                </w:tcPr>
                <w:p w14:paraId="28A44AEC">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外购</w:t>
                  </w:r>
                </w:p>
              </w:tc>
            </w:tr>
            <w:tr w14:paraId="594B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180F29A">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p>
              </w:tc>
              <w:tc>
                <w:tcPr>
                  <w:tcW w:w="1094" w:type="dxa"/>
                  <w:vAlign w:val="center"/>
                </w:tcPr>
                <w:p w14:paraId="54B07230">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石灰</w:t>
                  </w:r>
                </w:p>
              </w:tc>
              <w:tc>
                <w:tcPr>
                  <w:tcW w:w="1366" w:type="dxa"/>
                  <w:vAlign w:val="center"/>
                </w:tcPr>
                <w:p w14:paraId="09727B11">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150</w:t>
                  </w:r>
                </w:p>
              </w:tc>
              <w:tc>
                <w:tcPr>
                  <w:tcW w:w="1403" w:type="dxa"/>
                  <w:vAlign w:val="center"/>
                </w:tcPr>
                <w:p w14:paraId="7C200598">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t/a</w:t>
                  </w:r>
                </w:p>
              </w:tc>
              <w:tc>
                <w:tcPr>
                  <w:tcW w:w="2996" w:type="dxa"/>
                  <w:vAlign w:val="center"/>
                </w:tcPr>
                <w:p w14:paraId="5CE0502D">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外购</w:t>
                  </w:r>
                </w:p>
              </w:tc>
            </w:tr>
            <w:tr w14:paraId="22B1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35E95258">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二</w:t>
                  </w:r>
                </w:p>
              </w:tc>
              <w:tc>
                <w:tcPr>
                  <w:tcW w:w="6859" w:type="dxa"/>
                  <w:gridSpan w:val="4"/>
                  <w:vAlign w:val="center"/>
                </w:tcPr>
                <w:p w14:paraId="243C54F2">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能源</w:t>
                  </w:r>
                </w:p>
              </w:tc>
            </w:tr>
            <w:tr w14:paraId="601F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822" w:type="dxa"/>
                  <w:vAlign w:val="center"/>
                </w:tcPr>
                <w:p w14:paraId="68FEA796">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094" w:type="dxa"/>
                  <w:vAlign w:val="center"/>
                </w:tcPr>
                <w:p w14:paraId="5E2BD90E">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电</w:t>
                  </w:r>
                </w:p>
              </w:tc>
              <w:tc>
                <w:tcPr>
                  <w:tcW w:w="1366" w:type="dxa"/>
                  <w:vAlign w:val="center"/>
                </w:tcPr>
                <w:p w14:paraId="773D5D75">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2380</w:t>
                  </w:r>
                </w:p>
              </w:tc>
              <w:tc>
                <w:tcPr>
                  <w:tcW w:w="1403" w:type="dxa"/>
                  <w:vAlign w:val="center"/>
                </w:tcPr>
                <w:p w14:paraId="56DD16FB">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万</w:t>
                  </w:r>
                  <w:r>
                    <w:rPr>
                      <w:rFonts w:hint="eastAsia"/>
                      <w:color w:val="000000" w:themeColor="text1"/>
                      <w:sz w:val="21"/>
                      <w:szCs w:val="21"/>
                      <w:highlight w:val="none"/>
                      <w:lang w:val="en-US" w:eastAsia="zh-CN"/>
                      <w14:textFill>
                        <w14:solidFill>
                          <w14:schemeClr w14:val="tx1"/>
                        </w14:solidFill>
                      </w14:textFill>
                    </w:rPr>
                    <w:t>k</w:t>
                  </w:r>
                  <w:r>
                    <w:rPr>
                      <w:color w:val="000000" w:themeColor="text1"/>
                      <w:sz w:val="21"/>
                      <w:szCs w:val="21"/>
                      <w:highlight w:val="none"/>
                      <w14:textFill>
                        <w14:solidFill>
                          <w14:schemeClr w14:val="tx1"/>
                        </w14:solidFill>
                      </w14:textFill>
                    </w:rPr>
                    <w:t>W</w:t>
                  </w:r>
                  <w:r>
                    <w:rPr>
                      <w:rFonts w:hint="eastAsia"/>
                      <w:color w:val="000000" w:themeColor="text1"/>
                      <w:sz w:val="21"/>
                      <w:szCs w:val="21"/>
                      <w:highlight w:val="none"/>
                      <w14:textFill>
                        <w14:solidFill>
                          <w14:schemeClr w14:val="tx1"/>
                        </w14:solidFill>
                      </w14:textFill>
                    </w:rPr>
                    <w:t>h/a</w:t>
                  </w:r>
                </w:p>
              </w:tc>
              <w:tc>
                <w:tcPr>
                  <w:tcW w:w="2996" w:type="dxa"/>
                  <w:vAlign w:val="center"/>
                </w:tcPr>
                <w:p w14:paraId="4F00C96C">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由园区供电网统一供给</w:t>
                  </w:r>
                </w:p>
              </w:tc>
            </w:tr>
          </w:tbl>
          <w:p w14:paraId="3FD0A73A">
            <w:pPr>
              <w:spacing w:line="360" w:lineRule="auto"/>
              <w:jc w:val="left"/>
              <w:rPr>
                <w:rFonts w:hint="default"/>
                <w:b/>
                <w:color w:val="000000" w:themeColor="text1"/>
                <w:sz w:val="24"/>
                <w:highlight w:val="none"/>
                <w:lang w:val="en-US"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2.12.4现有工程工艺流程及产排污环节</w:t>
            </w:r>
          </w:p>
          <w:p w14:paraId="0C380A2C">
            <w:pPr>
              <w:widowControl/>
              <w:adjustRightInd/>
              <w:snapToGrid/>
              <w:spacing w:after="0" w:line="360" w:lineRule="auto"/>
              <w:ind w:firstLine="480" w:firstLineChars="200"/>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pPr>
            <w:r>
              <w:rPr>
                <w:rFonts w:hint="eastAsia" w:cs="Times New Roman"/>
                <w:snapToGrid w:val="0"/>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工程</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实际</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运营后</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生产工艺与环评</w:t>
            </w:r>
            <w:r>
              <w:rPr>
                <w:rFonts w:hint="eastAsia" w:cs="Times New Roman"/>
                <w:snapToGrid w:val="0"/>
                <w:color w:val="000000" w:themeColor="text1"/>
                <w:sz w:val="24"/>
                <w:szCs w:val="24"/>
                <w:highlight w:val="none"/>
                <w:lang w:eastAsia="zh-CN"/>
                <w14:textFill>
                  <w14:solidFill>
                    <w14:schemeClr w14:val="tx1"/>
                  </w14:solidFill>
                </w14:textFill>
              </w:rPr>
              <w:t>报告</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一致，工艺</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主要产污流程见图</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2-3</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w:t>
            </w:r>
          </w:p>
          <w:p w14:paraId="50477E57">
            <w:pPr>
              <w:snapToGrid w:val="0"/>
              <w:spacing w:line="360" w:lineRule="auto"/>
              <w:ind w:firstLine="480"/>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本项目运营期</w:t>
            </w:r>
            <w:r>
              <w:rPr>
                <w:color w:val="000000" w:themeColor="text1"/>
                <w:sz w:val="24"/>
                <w:szCs w:val="24"/>
                <w:highlight w:val="none"/>
                <w14:textFill>
                  <w14:solidFill>
                    <w14:schemeClr w14:val="tx1"/>
                  </w14:solidFill>
                </w14:textFill>
              </w:rPr>
              <w:t>工艺流程及产污环节图</w:t>
            </w:r>
            <w:r>
              <w:rPr>
                <w:rFonts w:hint="eastAsia"/>
                <w:color w:val="000000" w:themeColor="text1"/>
                <w:sz w:val="24"/>
                <w:szCs w:val="24"/>
                <w:highlight w:val="none"/>
                <w:lang w:val="en-US" w:eastAsia="zh-CN"/>
                <w14:textFill>
                  <w14:solidFill>
                    <w14:schemeClr w14:val="tx1"/>
                  </w14:solidFill>
                </w14:textFill>
              </w:rPr>
              <w:t>2-3</w:t>
            </w:r>
            <w:r>
              <w:rPr>
                <w:rFonts w:hint="eastAsia"/>
                <w:color w:val="000000" w:themeColor="text1"/>
                <w:sz w:val="24"/>
                <w:szCs w:val="24"/>
                <w:highlight w:val="none"/>
                <w14:textFill>
                  <w14:solidFill>
                    <w14:schemeClr w14:val="tx1"/>
                  </w14:solidFill>
                </w14:textFill>
              </w:rPr>
              <w:t>。</w:t>
            </w:r>
          </w:p>
          <w:p w14:paraId="33525814">
            <w:pPr>
              <w:pStyle w:val="6"/>
              <w:spacing w:line="360" w:lineRule="auto"/>
              <w:ind w:left="3" w:leftChars="-20" w:hanging="45" w:hangingChars="19"/>
              <w:rPr>
                <w:color w:val="000000" w:themeColor="text1"/>
                <w:sz w:val="24"/>
                <w:szCs w:val="24"/>
                <w:highlight w:val="none"/>
                <w14:textFill>
                  <w14:solidFill>
                    <w14:schemeClr w14:val="tx1"/>
                  </w14:solidFill>
                </w14:textFill>
              </w:rPr>
            </w:pPr>
            <w:r>
              <w:rPr>
                <w:rFonts w:ascii="黑体" w:hAnsi="黑体" w:eastAsia="黑体"/>
                <w:color w:val="000000" w:themeColor="text1"/>
                <w:sz w:val="24"/>
                <w:szCs w:val="24"/>
                <w:highlight w:val="none"/>
                <w14:textFill>
                  <w14:solidFill>
                    <w14:schemeClr w14:val="tx1"/>
                  </w14:solidFill>
                </w14:textFill>
              </w:rPr>
              <w:drawing>
                <wp:inline distT="0" distB="0" distL="0" distR="0">
                  <wp:extent cx="5109845" cy="2988310"/>
                  <wp:effectExtent l="0" t="0" r="14605" b="254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109845" cy="2988310"/>
                          </a:xfrm>
                          <a:prstGeom prst="rect">
                            <a:avLst/>
                          </a:prstGeom>
                          <a:noFill/>
                          <a:ln>
                            <a:noFill/>
                          </a:ln>
                        </pic:spPr>
                      </pic:pic>
                    </a:graphicData>
                  </a:graphic>
                </wp:inline>
              </w:drawing>
            </w:r>
          </w:p>
          <w:p w14:paraId="6D69A09A">
            <w:pPr>
              <w:snapToGrid w:val="0"/>
              <w:spacing w:line="360" w:lineRule="auto"/>
              <w:ind w:firstLine="0" w:firstLineChars="0"/>
              <w:jc w:val="center"/>
              <w:rPr>
                <w:color w:val="000000" w:themeColor="text1"/>
                <w:sz w:val="24"/>
                <w:szCs w:val="24"/>
                <w:highlight w:val="none"/>
                <w14:textFill>
                  <w14:solidFill>
                    <w14:schemeClr w14:val="tx1"/>
                  </w14:solidFill>
                </w14:textFill>
              </w:rPr>
            </w:pPr>
            <w:r>
              <w:rPr>
                <w:b/>
                <w:bCs/>
                <w:color w:val="000000" w:themeColor="text1"/>
                <w:sz w:val="24"/>
                <w:szCs w:val="24"/>
                <w:highlight w:val="none"/>
                <w14:textFill>
                  <w14:solidFill>
                    <w14:schemeClr w14:val="tx1"/>
                  </w14:solidFill>
                </w14:textFill>
              </w:rPr>
              <w:t>图</w:t>
            </w:r>
            <w:r>
              <w:rPr>
                <w:rFonts w:hint="eastAsia"/>
                <w:b/>
                <w:bCs/>
                <w:color w:val="000000" w:themeColor="text1"/>
                <w:sz w:val="24"/>
                <w:szCs w:val="24"/>
                <w:highlight w:val="none"/>
                <w:lang w:val="en-US" w:eastAsia="zh-CN"/>
                <w14:textFill>
                  <w14:solidFill>
                    <w14:schemeClr w14:val="tx1"/>
                  </w14:solidFill>
                </w14:textFill>
              </w:rPr>
              <w:t>2-3</w:t>
            </w:r>
            <w:r>
              <w:rPr>
                <w:b/>
                <w:bCs/>
                <w:color w:val="000000" w:themeColor="text1"/>
                <w:sz w:val="24"/>
                <w:szCs w:val="24"/>
                <w:highlight w:val="none"/>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项目运营期</w:t>
            </w:r>
            <w:r>
              <w:rPr>
                <w:b/>
                <w:bCs/>
                <w:color w:val="000000" w:themeColor="text1"/>
                <w:sz w:val="24"/>
                <w:szCs w:val="24"/>
                <w:highlight w:val="none"/>
                <w14:textFill>
                  <w14:solidFill>
                    <w14:schemeClr w14:val="tx1"/>
                  </w14:solidFill>
                </w14:textFill>
              </w:rPr>
              <w:t>工艺流程及产污环节</w:t>
            </w:r>
          </w:p>
          <w:p w14:paraId="4A618F46">
            <w:pPr>
              <w:snapToGrid w:val="0"/>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工艺流程简述：</w:t>
            </w:r>
          </w:p>
          <w:p w14:paraId="63442A7B">
            <w:pPr>
              <w:snapToGrid w:val="0"/>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硅粉热铸：废硅粉加入中频电炉，通电后加热至1</w:t>
            </w:r>
            <w:r>
              <w:rPr>
                <w:color w:val="000000" w:themeColor="text1"/>
                <w:sz w:val="24"/>
                <w:szCs w:val="24"/>
                <w:highlight w:val="none"/>
                <w14:textFill>
                  <w14:solidFill>
                    <w14:schemeClr w14:val="tx1"/>
                  </w14:solidFill>
                </w14:textFill>
              </w:rPr>
              <w:t>430-1700</w:t>
            </w:r>
            <w:r>
              <w:rPr>
                <w:rFonts w:hint="eastAsia"/>
                <w:color w:val="000000" w:themeColor="text1"/>
                <w:sz w:val="24"/>
                <w:szCs w:val="24"/>
                <w:highlight w:val="none"/>
                <w14:textFill>
                  <w14:solidFill>
                    <w14:schemeClr w14:val="tx1"/>
                  </w14:solidFill>
                </w14:textFill>
              </w:rPr>
              <w:t>度熔化，加入荧石及石灰等助熔剂后熔炼约</w:t>
            </w:r>
            <w:r>
              <w:rPr>
                <w:color w:val="000000" w:themeColor="text1"/>
                <w:sz w:val="24"/>
                <w:szCs w:val="24"/>
                <w:highlight w:val="none"/>
                <w14:textFill>
                  <w14:solidFill>
                    <w14:schemeClr w14:val="tx1"/>
                  </w14:solidFill>
                </w14:textFill>
              </w:rPr>
              <w:t>1</w:t>
            </w:r>
            <w:r>
              <w:rPr>
                <w:rFonts w:hint="eastAsia"/>
                <w:color w:val="000000" w:themeColor="text1"/>
                <w:sz w:val="24"/>
                <w:szCs w:val="24"/>
                <w:highlight w:val="none"/>
                <w14:textFill>
                  <w14:solidFill>
                    <w14:schemeClr w14:val="tx1"/>
                  </w14:solidFill>
                </w14:textFill>
              </w:rPr>
              <w:t>小时；该工序产生的污染物主要为机械噪声、熔化产生少量烟尘和熔炼渣。</w:t>
            </w:r>
          </w:p>
          <w:p w14:paraId="1373632E">
            <w:pPr>
              <w:snapToGrid w:val="0"/>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模具成型：将熔炼</w:t>
            </w:r>
            <w:r>
              <w:rPr>
                <w:rFonts w:hint="eastAsia"/>
                <w:color w:val="000000" w:themeColor="text1"/>
                <w:sz w:val="24"/>
                <w:szCs w:val="24"/>
                <w:highlight w:val="none"/>
                <w:lang w:eastAsia="zh-CN"/>
                <w14:textFill>
                  <w14:solidFill>
                    <w14:schemeClr w14:val="tx1"/>
                  </w14:solidFill>
                </w14:textFill>
              </w:rPr>
              <w:t>后的</w:t>
            </w:r>
            <w:r>
              <w:rPr>
                <w:rFonts w:hint="eastAsia"/>
                <w:color w:val="000000" w:themeColor="text1"/>
                <w:sz w:val="24"/>
                <w:szCs w:val="24"/>
                <w:highlight w:val="none"/>
                <w14:textFill>
                  <w14:solidFill>
                    <w14:schemeClr w14:val="tx1"/>
                  </w14:solidFill>
                </w14:textFill>
              </w:rPr>
              <w:t>硅液注入模具，</w:t>
            </w:r>
            <w:r>
              <w:rPr>
                <w:rFonts w:hint="eastAsia"/>
                <w:color w:val="000000" w:themeColor="text1"/>
                <w:sz w:val="24"/>
                <w:szCs w:val="24"/>
                <w:highlight w:val="none"/>
                <w:lang w:eastAsia="zh-CN"/>
                <w14:textFill>
                  <w14:solidFill>
                    <w14:schemeClr w14:val="tx1"/>
                  </w14:solidFill>
                </w14:textFill>
              </w:rPr>
              <w:t>浇铸成型</w:t>
            </w:r>
            <w:r>
              <w:rPr>
                <w:rFonts w:hint="eastAsia"/>
                <w:color w:val="000000" w:themeColor="text1"/>
                <w:sz w:val="24"/>
                <w:szCs w:val="24"/>
                <w:highlight w:val="none"/>
                <w14:textFill>
                  <w14:solidFill>
                    <w14:schemeClr w14:val="tx1"/>
                  </w14:solidFill>
                </w14:textFill>
              </w:rPr>
              <w:t>。</w:t>
            </w:r>
          </w:p>
          <w:p w14:paraId="42B05789">
            <w:pPr>
              <w:pStyle w:val="6"/>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冷却</w:t>
            </w:r>
            <w:r>
              <w:rPr>
                <w:color w:val="000000" w:themeColor="text1"/>
                <w:sz w:val="24"/>
                <w:szCs w:val="24"/>
                <w:highlight w:val="none"/>
                <w14:textFill>
                  <w14:solidFill>
                    <w14:schemeClr w14:val="tx1"/>
                  </w14:solidFill>
                </w14:textFill>
              </w:rPr>
              <w:t>脱模：</w:t>
            </w:r>
            <w:r>
              <w:rPr>
                <w:rFonts w:hint="eastAsia"/>
                <w:color w:val="000000" w:themeColor="text1"/>
                <w:sz w:val="24"/>
                <w:szCs w:val="24"/>
                <w:highlight w:val="none"/>
                <w14:textFill>
                  <w14:solidFill>
                    <w14:schemeClr w14:val="tx1"/>
                  </w14:solidFill>
                </w14:textFill>
              </w:rPr>
              <w:t>硅液在模具中自然冷却成型</w:t>
            </w:r>
            <w:r>
              <w:rPr>
                <w:color w:val="000000" w:themeColor="text1"/>
                <w:sz w:val="24"/>
                <w:szCs w:val="24"/>
                <w:highlight w:val="none"/>
                <w14:textFill>
                  <w14:solidFill>
                    <w14:schemeClr w14:val="tx1"/>
                  </w14:solidFill>
                </w14:textFill>
              </w:rPr>
              <w:t>，将模具去除，使用行吊将产品送至</w:t>
            </w:r>
            <w:r>
              <w:rPr>
                <w:rFonts w:hint="eastAsia"/>
                <w:color w:val="000000" w:themeColor="text1"/>
                <w:sz w:val="24"/>
                <w:szCs w:val="24"/>
                <w:highlight w:val="none"/>
                <w14:textFill>
                  <w14:solidFill>
                    <w14:schemeClr w14:val="tx1"/>
                  </w14:solidFill>
                </w14:textFill>
              </w:rPr>
              <w:t>破碎区人工破碎</w:t>
            </w:r>
            <w:r>
              <w:rPr>
                <w:color w:val="000000" w:themeColor="text1"/>
                <w:sz w:val="24"/>
                <w:szCs w:val="24"/>
                <w:highlight w:val="none"/>
                <w14:textFill>
                  <w14:solidFill>
                    <w14:schemeClr w14:val="tx1"/>
                  </w14:solidFill>
                </w14:textFill>
              </w:rPr>
              <w:t>后即为成品。</w:t>
            </w:r>
            <w:r>
              <w:rPr>
                <w:rFonts w:hint="eastAsia"/>
                <w:color w:val="000000" w:themeColor="text1"/>
                <w:sz w:val="24"/>
                <w:szCs w:val="24"/>
                <w:highlight w:val="none"/>
                <w14:textFill>
                  <w14:solidFill>
                    <w14:schemeClr w14:val="tx1"/>
                  </w14:solidFill>
                </w14:textFill>
              </w:rPr>
              <w:t>该工序产生的污染物主要为噪声和少量粉尘。</w:t>
            </w:r>
          </w:p>
          <w:p w14:paraId="04106FDC">
            <w:pPr>
              <w:snapToGrid w:val="0"/>
              <w:spacing w:line="360" w:lineRule="auto"/>
              <w:ind w:firstLine="48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成品检验：产品的检验按照标准要求和相关的工艺文件进行，</w:t>
            </w:r>
            <w:r>
              <w:rPr>
                <w:rFonts w:hint="eastAsia"/>
                <w:color w:val="000000" w:themeColor="text1"/>
                <w:sz w:val="24"/>
                <w:szCs w:val="24"/>
                <w:highlight w:val="none"/>
                <w14:textFill>
                  <w14:solidFill>
                    <w14:schemeClr w14:val="tx1"/>
                  </w14:solidFill>
                </w14:textFill>
              </w:rPr>
              <w:t>本项目不设检验区，由</w:t>
            </w:r>
            <w:r>
              <w:rPr>
                <w:color w:val="000000" w:themeColor="text1"/>
                <w:sz w:val="24"/>
                <w:szCs w:val="24"/>
                <w:highlight w:val="none"/>
                <w14:textFill>
                  <w14:solidFill>
                    <w14:schemeClr w14:val="tx1"/>
                  </w14:solidFill>
                </w14:textFill>
              </w:rPr>
              <w:t>客户</w:t>
            </w:r>
            <w:r>
              <w:rPr>
                <w:rFonts w:hint="eastAsia"/>
                <w:color w:val="000000" w:themeColor="text1"/>
                <w:sz w:val="24"/>
                <w:szCs w:val="24"/>
                <w:highlight w:val="none"/>
                <w14:textFill>
                  <w14:solidFill>
                    <w14:schemeClr w14:val="tx1"/>
                  </w14:solidFill>
                </w14:textFill>
              </w:rPr>
              <w:t>检测自行取样化验合格后按订单外运</w:t>
            </w:r>
            <w:r>
              <w:rPr>
                <w:color w:val="000000" w:themeColor="text1"/>
                <w:sz w:val="24"/>
                <w:szCs w:val="24"/>
                <w:highlight w:val="none"/>
                <w14:textFill>
                  <w14:solidFill>
                    <w14:schemeClr w14:val="tx1"/>
                  </w14:solidFill>
                </w14:textFill>
              </w:rPr>
              <w:t>。</w:t>
            </w:r>
          </w:p>
          <w:p w14:paraId="479186E9">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2.13现有工程污染防治措施</w:t>
            </w:r>
          </w:p>
          <w:p w14:paraId="1EF0C14B">
            <w:pPr>
              <w:pStyle w:val="4"/>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2.13.1</w:t>
            </w:r>
            <w:r>
              <w:rPr>
                <w:rFonts w:hint="eastAsia"/>
                <w:color w:val="000000" w:themeColor="text1"/>
                <w:highlight w:val="none"/>
                <w14:textFill>
                  <w14:solidFill>
                    <w14:schemeClr w14:val="tx1"/>
                  </w14:solidFill>
                </w14:textFill>
              </w:rPr>
              <w:t>废气</w:t>
            </w:r>
            <w:r>
              <w:rPr>
                <w:rFonts w:hint="eastAsia"/>
                <w:color w:val="000000" w:themeColor="text1"/>
                <w:highlight w:val="none"/>
                <w:lang w:val="en-US" w:eastAsia="zh-CN"/>
                <w14:textFill>
                  <w14:solidFill>
                    <w14:schemeClr w14:val="tx1"/>
                  </w14:solidFill>
                </w14:textFill>
              </w:rPr>
              <w:t>污染防治措施</w:t>
            </w:r>
          </w:p>
          <w:p w14:paraId="018D072C">
            <w:pPr>
              <w:widowControl/>
              <w:numPr>
                <w:ilvl w:val="0"/>
                <w:numId w:val="0"/>
              </w:numPr>
              <w:adjustRightInd/>
              <w:snapToGrid/>
              <w:spacing w:after="0" w:line="360" w:lineRule="auto"/>
              <w:ind w:firstLine="480" w:firstLineChars="200"/>
              <w:jc w:val="both"/>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工程运营期间项目产生的废气主要为中频炉排放粉尘、物料扰动过程中产生粉尘及破碎工序产生的粉尘</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粉尘经过旋风除尘器及袋式除尘器处理后，通过15米烟囱排放。</w:t>
            </w:r>
          </w:p>
          <w:p w14:paraId="6E35CF51">
            <w:pPr>
              <w:widowControl/>
              <w:numPr>
                <w:ilvl w:val="0"/>
                <w:numId w:val="0"/>
              </w:numPr>
              <w:adjustRightInd/>
              <w:snapToGrid/>
              <w:spacing w:after="0" w:line="360" w:lineRule="auto"/>
              <w:ind w:firstLine="480" w:firstLineChars="200"/>
              <w:jc w:val="both"/>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工程废气污染防治措施见表2-</w:t>
            </w:r>
            <w:r>
              <w:rPr>
                <w:rFonts w:hint="eastAsia" w:cs="Times New Roman"/>
                <w:color w:val="000000" w:themeColor="text1"/>
                <w:sz w:val="24"/>
                <w:highlight w:val="none"/>
                <w:lang w:val="en-US" w:eastAsia="zh-CN"/>
                <w14:textFill>
                  <w14:solidFill>
                    <w14:schemeClr w14:val="tx1"/>
                  </w14:solidFill>
                </w14:textFill>
              </w:rPr>
              <w:t>12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12B6603A">
            <w:pPr>
              <w:spacing w:after="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w:t>
            </w:r>
            <w:r>
              <w:rPr>
                <w:rFonts w:hint="eastAsia"/>
                <w:b/>
                <w:color w:val="000000" w:themeColor="text1"/>
                <w:sz w:val="21"/>
                <w:szCs w:val="21"/>
                <w:highlight w:val="none"/>
                <w:lang w:val="en-US" w:eastAsia="zh-CN"/>
                <w14:textFill>
                  <w14:solidFill>
                    <w14:schemeClr w14:val="tx1"/>
                  </w14:solidFill>
                </w14:textFill>
              </w:rPr>
              <w:t>12</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工程废气污染防治措施</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31"/>
              <w:gridCol w:w="1437"/>
              <w:gridCol w:w="3844"/>
              <w:gridCol w:w="1492"/>
            </w:tblGrid>
            <w:tr w14:paraId="3489AA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5" w:hRule="atLeast"/>
              </w:trPr>
              <w:tc>
                <w:tcPr>
                  <w:tcW w:w="821" w:type="pct"/>
                  <w:tcBorders>
                    <w:tl2br w:val="nil"/>
                    <w:tr2bl w:val="nil"/>
                  </w:tcBorders>
                  <w:noWrap w:val="0"/>
                  <w:vAlign w:val="center"/>
                </w:tcPr>
                <w:p w14:paraId="664583DC">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污染源</w:t>
                  </w:r>
                </w:p>
              </w:tc>
              <w:tc>
                <w:tcPr>
                  <w:tcW w:w="886" w:type="pct"/>
                  <w:tcBorders>
                    <w:tl2br w:val="nil"/>
                    <w:tr2bl w:val="nil"/>
                  </w:tcBorders>
                  <w:noWrap w:val="0"/>
                  <w:vAlign w:val="center"/>
                </w:tcPr>
                <w:p w14:paraId="632095BE">
                  <w:pPr>
                    <w:pStyle w:val="52"/>
                    <w:spacing w:after="0"/>
                    <w:rPr>
                      <w:rFonts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污染因子</w:t>
                  </w:r>
                </w:p>
              </w:tc>
              <w:tc>
                <w:tcPr>
                  <w:tcW w:w="2371" w:type="pct"/>
                  <w:tcBorders>
                    <w:tl2br w:val="nil"/>
                    <w:tr2bl w:val="nil"/>
                  </w:tcBorders>
                  <w:noWrap w:val="0"/>
                  <w:vAlign w:val="center"/>
                </w:tcPr>
                <w:p w14:paraId="646CC2FE">
                  <w:pPr>
                    <w:pStyle w:val="52"/>
                    <w:spacing w:after="0"/>
                    <w:rPr>
                      <w:rFonts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治理措施</w:t>
                  </w:r>
                </w:p>
              </w:tc>
              <w:tc>
                <w:tcPr>
                  <w:tcW w:w="920" w:type="pct"/>
                  <w:tcBorders>
                    <w:tl2br w:val="nil"/>
                    <w:tr2bl w:val="nil"/>
                  </w:tcBorders>
                  <w:noWrap w:val="0"/>
                  <w:vAlign w:val="center"/>
                </w:tcPr>
                <w:p w14:paraId="3870FB92">
                  <w:pPr>
                    <w:pStyle w:val="52"/>
                    <w:spacing w:after="0"/>
                    <w:rPr>
                      <w:rFonts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排放形式</w:t>
                  </w:r>
                </w:p>
              </w:tc>
            </w:tr>
            <w:tr w14:paraId="04801D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13" w:hRule="atLeast"/>
              </w:trPr>
              <w:tc>
                <w:tcPr>
                  <w:tcW w:w="821" w:type="pct"/>
                  <w:vMerge w:val="restart"/>
                  <w:tcBorders>
                    <w:tl2br w:val="nil"/>
                    <w:tr2bl w:val="nil"/>
                  </w:tcBorders>
                  <w:noWrap w:val="0"/>
                  <w:vAlign w:val="center"/>
                </w:tcPr>
                <w:p w14:paraId="435AFE14">
                  <w:pPr>
                    <w:pStyle w:val="52"/>
                    <w:spacing w:after="0"/>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中频炉排放粉尘</w:t>
                  </w:r>
                </w:p>
              </w:tc>
              <w:tc>
                <w:tcPr>
                  <w:tcW w:w="886" w:type="pct"/>
                  <w:tcBorders>
                    <w:tl2br w:val="nil"/>
                    <w:tr2bl w:val="nil"/>
                  </w:tcBorders>
                  <w:noWrap w:val="0"/>
                  <w:vAlign w:val="center"/>
                </w:tcPr>
                <w:p w14:paraId="7A0A0F5A">
                  <w:pPr>
                    <w:pStyle w:val="52"/>
                    <w:spacing w:after="0"/>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2C7DCA26">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集气罩+</w:t>
                  </w:r>
                  <w:r>
                    <w:rPr>
                      <w:rFonts w:hint="eastAsia" w:ascii="Times New Roman" w:hAnsi="Times New Roman" w:eastAsia="宋体"/>
                      <w:color w:val="000000" w:themeColor="text1"/>
                      <w:highlight w:val="none"/>
                      <w:lang w:val="en-US" w:eastAsia="zh-CN"/>
                      <w14:textFill>
                        <w14:solidFill>
                          <w14:schemeClr w14:val="tx1"/>
                        </w14:solidFill>
                      </w14:textFill>
                    </w:rPr>
                    <w:t>旋风除尘器+布袋除尘器+15m高的排气筒</w:t>
                  </w:r>
                </w:p>
              </w:tc>
              <w:tc>
                <w:tcPr>
                  <w:tcW w:w="920" w:type="pct"/>
                  <w:tcBorders>
                    <w:tl2br w:val="nil"/>
                    <w:tr2bl w:val="nil"/>
                  </w:tcBorders>
                  <w:noWrap w:val="0"/>
                  <w:vAlign w:val="center"/>
                </w:tcPr>
                <w:p w14:paraId="7A674F15">
                  <w:pPr>
                    <w:pStyle w:val="52"/>
                    <w:spacing w:after="0"/>
                    <w:rPr>
                      <w:rFonts w:hint="eastAsia" w:ascii="Times New Roman" w:hAnsi="Times New Roman" w:eastAsia="宋体"/>
                      <w:color w:val="000000" w:themeColor="text1"/>
                      <w:highlight w:val="none"/>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有</w:t>
                  </w:r>
                  <w:r>
                    <w:rPr>
                      <w:rFonts w:hint="eastAsia" w:ascii="Times New Roman" w:hAnsi="Times New Roman" w:eastAsia="宋体"/>
                      <w:color w:val="000000" w:themeColor="text1"/>
                      <w:highlight w:val="none"/>
                      <w14:textFill>
                        <w14:solidFill>
                          <w14:schemeClr w14:val="tx1"/>
                        </w14:solidFill>
                      </w14:textFill>
                    </w:rPr>
                    <w:t>组织排放</w:t>
                  </w:r>
                </w:p>
              </w:tc>
            </w:tr>
            <w:tr w14:paraId="3470E2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5" w:hRule="atLeast"/>
              </w:trPr>
              <w:tc>
                <w:tcPr>
                  <w:tcW w:w="821" w:type="pct"/>
                  <w:vMerge w:val="continue"/>
                  <w:tcBorders>
                    <w:tl2br w:val="nil"/>
                    <w:tr2bl w:val="nil"/>
                  </w:tcBorders>
                  <w:noWrap w:val="0"/>
                  <w:vAlign w:val="center"/>
                </w:tcPr>
                <w:p w14:paraId="364771C7">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p>
              </w:tc>
              <w:tc>
                <w:tcPr>
                  <w:tcW w:w="886" w:type="pct"/>
                  <w:tcBorders>
                    <w:tl2br w:val="nil"/>
                    <w:tr2bl w:val="nil"/>
                  </w:tcBorders>
                  <w:noWrap w:val="0"/>
                  <w:vAlign w:val="center"/>
                </w:tcPr>
                <w:p w14:paraId="53D73547">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060769B4">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封闭车间、洒水降尘</w:t>
                  </w:r>
                </w:p>
              </w:tc>
              <w:tc>
                <w:tcPr>
                  <w:tcW w:w="920" w:type="pct"/>
                  <w:tcBorders>
                    <w:tl2br w:val="nil"/>
                    <w:tr2bl w:val="nil"/>
                  </w:tcBorders>
                  <w:noWrap w:val="0"/>
                  <w:vAlign w:val="center"/>
                </w:tcPr>
                <w:p w14:paraId="037D2B81">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无组织排放</w:t>
                  </w:r>
                </w:p>
              </w:tc>
            </w:tr>
            <w:tr w14:paraId="4D1F8D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52" w:hRule="atLeast"/>
              </w:trPr>
              <w:tc>
                <w:tcPr>
                  <w:tcW w:w="821" w:type="pct"/>
                  <w:tcBorders>
                    <w:tl2br w:val="nil"/>
                    <w:tr2bl w:val="nil"/>
                  </w:tcBorders>
                  <w:noWrap w:val="0"/>
                  <w:vAlign w:val="center"/>
                </w:tcPr>
                <w:p w14:paraId="4D0DF328">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浇铸废气</w:t>
                  </w:r>
                </w:p>
              </w:tc>
              <w:tc>
                <w:tcPr>
                  <w:tcW w:w="886" w:type="pct"/>
                  <w:tcBorders>
                    <w:tl2br w:val="nil"/>
                    <w:tr2bl w:val="nil"/>
                  </w:tcBorders>
                  <w:noWrap w:val="0"/>
                  <w:vAlign w:val="center"/>
                </w:tcPr>
                <w:p w14:paraId="551B84AA">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7276339C">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机械通风</w:t>
                  </w:r>
                </w:p>
              </w:tc>
              <w:tc>
                <w:tcPr>
                  <w:tcW w:w="920" w:type="pct"/>
                  <w:tcBorders>
                    <w:tl2br w:val="nil"/>
                    <w:tr2bl w:val="nil"/>
                  </w:tcBorders>
                  <w:noWrap w:val="0"/>
                  <w:vAlign w:val="center"/>
                </w:tcPr>
                <w:p w14:paraId="7D4554D6">
                  <w:pPr>
                    <w:pStyle w:val="52"/>
                    <w:spacing w:after="0"/>
                    <w:rPr>
                      <w:rFonts w:hint="eastAsia" w:ascii="Times New Roman" w:hAnsi="Times New Roman" w:eastAsia="宋体"/>
                      <w:color w:val="000000" w:themeColor="text1"/>
                      <w:highlight w:val="none"/>
                      <w:lang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无组织排放</w:t>
                  </w:r>
                </w:p>
              </w:tc>
            </w:tr>
            <w:tr w14:paraId="19A114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720" w:hRule="atLeast"/>
              </w:trPr>
              <w:tc>
                <w:tcPr>
                  <w:tcW w:w="821" w:type="pct"/>
                  <w:vMerge w:val="restart"/>
                  <w:tcBorders>
                    <w:tl2br w:val="nil"/>
                    <w:tr2bl w:val="nil"/>
                  </w:tcBorders>
                  <w:noWrap w:val="0"/>
                  <w:vAlign w:val="center"/>
                </w:tcPr>
                <w:p w14:paraId="295CA93D">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破碎废气</w:t>
                  </w:r>
                </w:p>
              </w:tc>
              <w:tc>
                <w:tcPr>
                  <w:tcW w:w="886" w:type="pct"/>
                  <w:vMerge w:val="restart"/>
                  <w:tcBorders>
                    <w:tl2br w:val="nil"/>
                    <w:tr2bl w:val="nil"/>
                  </w:tcBorders>
                  <w:noWrap w:val="0"/>
                  <w:vAlign w:val="center"/>
                </w:tcPr>
                <w:p w14:paraId="12E2CC54">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58E02582">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集气罩+</w:t>
                  </w:r>
                  <w:r>
                    <w:rPr>
                      <w:rFonts w:hint="eastAsia" w:ascii="Times New Roman" w:hAnsi="Times New Roman" w:eastAsia="宋体"/>
                      <w:color w:val="000000" w:themeColor="text1"/>
                      <w:highlight w:val="none"/>
                      <w:lang w:val="en-US" w:eastAsia="zh-CN"/>
                      <w14:textFill>
                        <w14:solidFill>
                          <w14:schemeClr w14:val="tx1"/>
                        </w14:solidFill>
                      </w14:textFill>
                    </w:rPr>
                    <w:t>布袋除尘器+15m高的排气筒</w:t>
                  </w:r>
                </w:p>
              </w:tc>
              <w:tc>
                <w:tcPr>
                  <w:tcW w:w="920" w:type="pct"/>
                  <w:tcBorders>
                    <w:tl2br w:val="nil"/>
                    <w:tr2bl w:val="nil"/>
                  </w:tcBorders>
                  <w:noWrap w:val="0"/>
                  <w:vAlign w:val="center"/>
                </w:tcPr>
                <w:p w14:paraId="289D2E7D">
                  <w:pPr>
                    <w:pStyle w:val="52"/>
                    <w:spacing w:after="0"/>
                    <w:rPr>
                      <w:rFonts w:hint="eastAsia" w:ascii="Times New Roman" w:hAnsi="Times New Roman" w:eastAsia="宋体"/>
                      <w:color w:val="000000" w:themeColor="text1"/>
                      <w:highlight w:val="none"/>
                      <w:lang w:eastAsia="zh-CN"/>
                      <w14:textFill>
                        <w14:solidFill>
                          <w14:schemeClr w14:val="tx1"/>
                        </w14:solidFill>
                      </w14:textFill>
                    </w:rPr>
                  </w:pPr>
                  <w:r>
                    <w:rPr>
                      <w:rFonts w:hint="eastAsia" w:ascii="Times New Roman" w:hAnsi="Times New Roman" w:eastAsia="宋体"/>
                      <w:color w:val="000000" w:themeColor="text1"/>
                      <w:highlight w:val="none"/>
                      <w:lang w:eastAsia="zh-CN"/>
                      <w14:textFill>
                        <w14:solidFill>
                          <w14:schemeClr w14:val="tx1"/>
                        </w14:solidFill>
                      </w14:textFill>
                    </w:rPr>
                    <w:t>有</w:t>
                  </w:r>
                  <w:r>
                    <w:rPr>
                      <w:rFonts w:hint="eastAsia" w:ascii="Times New Roman" w:hAnsi="Times New Roman" w:eastAsia="宋体"/>
                      <w:color w:val="000000" w:themeColor="text1"/>
                      <w:highlight w:val="none"/>
                      <w14:textFill>
                        <w14:solidFill>
                          <w14:schemeClr w14:val="tx1"/>
                        </w14:solidFill>
                      </w14:textFill>
                    </w:rPr>
                    <w:t>组织排放</w:t>
                  </w:r>
                </w:p>
              </w:tc>
            </w:tr>
            <w:tr w14:paraId="3A2172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91" w:hRule="atLeast"/>
              </w:trPr>
              <w:tc>
                <w:tcPr>
                  <w:tcW w:w="821" w:type="pct"/>
                  <w:vMerge w:val="continue"/>
                  <w:tcBorders>
                    <w:tl2br w:val="nil"/>
                    <w:tr2bl w:val="nil"/>
                  </w:tcBorders>
                  <w:noWrap w:val="0"/>
                  <w:vAlign w:val="center"/>
                </w:tcPr>
                <w:p w14:paraId="2C3867CE">
                  <w:pPr>
                    <w:pStyle w:val="52"/>
                    <w:spacing w:after="0"/>
                    <w:rPr>
                      <w:rFonts w:hint="default" w:ascii="Times New Roman" w:hAnsi="Times New Roman" w:eastAsia="宋体"/>
                      <w:color w:val="000000" w:themeColor="text1"/>
                      <w:kern w:val="2"/>
                      <w:sz w:val="21"/>
                      <w:szCs w:val="21"/>
                      <w:highlight w:val="none"/>
                      <w:lang w:val="en-US" w:eastAsia="zh-CN" w:bidi="ar-SA"/>
                      <w14:textFill>
                        <w14:solidFill>
                          <w14:schemeClr w14:val="tx1"/>
                        </w14:solidFill>
                      </w14:textFill>
                    </w:rPr>
                  </w:pPr>
                </w:p>
              </w:tc>
              <w:tc>
                <w:tcPr>
                  <w:tcW w:w="886" w:type="pct"/>
                  <w:vMerge w:val="continue"/>
                  <w:tcBorders>
                    <w:tl2br w:val="nil"/>
                    <w:tr2bl w:val="nil"/>
                  </w:tcBorders>
                  <w:noWrap w:val="0"/>
                  <w:vAlign w:val="center"/>
                </w:tcPr>
                <w:p w14:paraId="363DF63E">
                  <w:pPr>
                    <w:pStyle w:val="52"/>
                    <w:spacing w:after="0"/>
                    <w:rPr>
                      <w:rFonts w:hint="eastAsia" w:ascii="Times New Roman" w:hAnsi="Times New Roman" w:eastAsia="宋体"/>
                      <w:color w:val="000000" w:themeColor="text1"/>
                      <w:kern w:val="2"/>
                      <w:sz w:val="21"/>
                      <w:szCs w:val="21"/>
                      <w:highlight w:val="none"/>
                      <w:lang w:val="en-US" w:eastAsia="zh-CN" w:bidi="ar-SA"/>
                      <w14:textFill>
                        <w14:solidFill>
                          <w14:schemeClr w14:val="tx1"/>
                        </w14:solidFill>
                      </w14:textFill>
                    </w:rPr>
                  </w:pPr>
                </w:p>
              </w:tc>
              <w:tc>
                <w:tcPr>
                  <w:tcW w:w="2371" w:type="pct"/>
                  <w:tcBorders>
                    <w:tl2br w:val="nil"/>
                    <w:tr2bl w:val="nil"/>
                  </w:tcBorders>
                  <w:noWrap w:val="0"/>
                  <w:vAlign w:val="center"/>
                </w:tcPr>
                <w:p w14:paraId="2E51ADB9">
                  <w:pPr>
                    <w:pStyle w:val="52"/>
                    <w:spacing w:after="0"/>
                    <w:rPr>
                      <w:rFonts w:hint="eastAsia" w:ascii="Times New Roman" w:hAnsi="Times New Roman" w:eastAsia="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车间通风</w:t>
                  </w:r>
                </w:p>
              </w:tc>
              <w:tc>
                <w:tcPr>
                  <w:tcW w:w="920" w:type="pct"/>
                  <w:tcBorders>
                    <w:tl2br w:val="nil"/>
                    <w:tr2bl w:val="nil"/>
                  </w:tcBorders>
                  <w:noWrap w:val="0"/>
                  <w:vAlign w:val="center"/>
                </w:tcPr>
                <w:p w14:paraId="166682AD">
                  <w:pPr>
                    <w:pStyle w:val="52"/>
                    <w:spacing w:after="0"/>
                    <w:rPr>
                      <w:rFonts w:hint="eastAsia" w:ascii="Times New Roman" w:hAnsi="Times New Roman" w:eastAsia="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r>
                    <w:rPr>
                      <w:rFonts w:hint="eastAsia" w:ascii="Times New Roman" w:hAnsi="Times New Roman" w:eastAsia="宋体"/>
                      <w:color w:val="000000" w:themeColor="text1"/>
                      <w:highlight w:val="none"/>
                      <w:lang w:eastAsia="zh-CN"/>
                      <w14:textFill>
                        <w14:solidFill>
                          <w14:schemeClr w14:val="tx1"/>
                        </w14:solidFill>
                      </w14:textFill>
                    </w:rPr>
                    <w:t>组织排放</w:t>
                  </w:r>
                </w:p>
              </w:tc>
            </w:tr>
          </w:tbl>
          <w:p w14:paraId="7A1AB683">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2.13.2废水污染防治措施</w:t>
            </w:r>
          </w:p>
          <w:p w14:paraId="047BD08F">
            <w:pPr>
              <w:spacing w:after="0" w:line="360" w:lineRule="auto"/>
              <w:ind w:firstLine="480" w:firstLineChars="200"/>
              <w:jc w:val="both"/>
              <w:rPr>
                <w:rFonts w:hint="eastAsia" w:ascii="Times New Roman" w:hAnsi="Times New Roman" w:eastAsia="宋体"/>
                <w:color w:val="000000" w:themeColor="text1"/>
                <w:sz w:val="24"/>
                <w:szCs w:val="24"/>
                <w:highlight w:val="none"/>
                <w:lang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工程运营期间</w:t>
            </w:r>
            <w:r>
              <w:rPr>
                <w:rFonts w:hint="eastAsia" w:ascii="Times New Roman" w:hAnsi="Times New Roman" w:eastAsia="宋体"/>
                <w:color w:val="000000" w:themeColor="text1"/>
                <w:sz w:val="24"/>
                <w:szCs w:val="24"/>
                <w:highlight w:val="none"/>
                <w:lang w:eastAsia="zh-CN"/>
                <w14:textFill>
                  <w14:solidFill>
                    <w14:schemeClr w14:val="tx1"/>
                  </w14:solidFill>
                </w14:textFill>
              </w:rPr>
              <w:t>无工艺废水产生。生活</w:t>
            </w:r>
            <w:r>
              <w:rPr>
                <w:rFonts w:ascii="Times New Roman" w:hAnsi="Times New Roman" w:eastAsia="宋体"/>
                <w:color w:val="000000" w:themeColor="text1"/>
                <w:sz w:val="24"/>
                <w:szCs w:val="24"/>
                <w:highlight w:val="none"/>
                <w14:textFill>
                  <w14:solidFill>
                    <w14:schemeClr w14:val="tx1"/>
                  </w14:solidFill>
                </w14:textFill>
              </w:rPr>
              <w:t>废水</w:t>
            </w:r>
            <w:r>
              <w:rPr>
                <w:rFonts w:hint="eastAsia" w:ascii="Times New Roman" w:hAnsi="Times New Roman" w:eastAsia="宋体"/>
                <w:color w:val="000000" w:themeColor="text1"/>
                <w:sz w:val="24"/>
                <w:szCs w:val="24"/>
                <w:highlight w:val="none"/>
                <w:lang w:eastAsia="zh-CN"/>
                <w14:textFill>
                  <w14:solidFill>
                    <w14:schemeClr w14:val="tx1"/>
                  </w14:solidFill>
                </w14:textFill>
              </w:rPr>
              <w:t>排入园区下水管网，</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最终由</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园区污水处理厂集中处理</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处置</w:t>
            </w:r>
            <w:r>
              <w:rPr>
                <w:rFonts w:hint="eastAsia" w:ascii="Times New Roman" w:hAnsi="Times New Roman" w:eastAsia="宋体"/>
                <w:color w:val="000000" w:themeColor="text1"/>
                <w:sz w:val="24"/>
                <w:szCs w:val="24"/>
                <w:highlight w:val="none"/>
                <w:lang w:eastAsia="zh-CN"/>
                <w14:textFill>
                  <w14:solidFill>
                    <w14:schemeClr w14:val="tx1"/>
                  </w14:solidFill>
                </w14:textFill>
              </w:rPr>
              <w:t>。</w:t>
            </w:r>
          </w:p>
          <w:p w14:paraId="35AC0D19">
            <w:pPr>
              <w:spacing w:after="0" w:line="360" w:lineRule="auto"/>
              <w:ind w:firstLine="480" w:firstLineChars="200"/>
              <w:jc w:val="both"/>
              <w:rPr>
                <w:rFonts w:ascii="Times New Roman" w:hAnsi="Times New Roman" w:eastAsia="宋体"/>
                <w:color w:val="000000" w:themeColor="text1"/>
                <w:sz w:val="24"/>
                <w:szCs w:val="24"/>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工程废水污染防治措施见表2-1</w:t>
            </w:r>
            <w:r>
              <w:rPr>
                <w:rFonts w:hint="eastAsia" w:cs="Times New Roman"/>
                <w:color w:val="000000" w:themeColor="text1"/>
                <w:sz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133EFA27">
            <w:pPr>
              <w:spacing w:after="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3</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工程废水污染防治措施</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911"/>
              <w:gridCol w:w="1299"/>
              <w:gridCol w:w="3196"/>
            </w:tblGrid>
            <w:tr w14:paraId="299FE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35" w:type="dxa"/>
                  <w:tcBorders>
                    <w:bottom w:val="single" w:color="auto" w:sz="12" w:space="0"/>
                  </w:tcBorders>
                  <w:noWrap w:val="0"/>
                  <w:vAlign w:val="center"/>
                </w:tcPr>
                <w:p w14:paraId="393D6641">
                  <w:pPr>
                    <w:pStyle w:val="52"/>
                    <w:spacing w:after="0"/>
                    <w:rPr>
                      <w:rFonts w:ascii="Times New Roman" w:hAnsi="Times New Roman" w:eastAsia="宋体"/>
                      <w:b/>
                      <w:bCs/>
                      <w:color w:val="000000" w:themeColor="text1"/>
                      <w:highlight w:val="none"/>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污染源</w:t>
                  </w:r>
                </w:p>
              </w:tc>
              <w:tc>
                <w:tcPr>
                  <w:tcW w:w="1813" w:type="dxa"/>
                  <w:tcBorders>
                    <w:bottom w:val="single" w:color="auto" w:sz="12" w:space="0"/>
                  </w:tcBorders>
                  <w:noWrap w:val="0"/>
                  <w:vAlign w:val="center"/>
                </w:tcPr>
                <w:p w14:paraId="0416D45A">
                  <w:pPr>
                    <w:pStyle w:val="52"/>
                    <w:spacing w:after="0"/>
                    <w:rPr>
                      <w:rFonts w:ascii="Times New Roman" w:hAnsi="Times New Roman" w:eastAsia="宋体"/>
                      <w:b/>
                      <w:bCs/>
                      <w:color w:val="000000" w:themeColor="text1"/>
                      <w:highlight w:val="none"/>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主要污染物</w:t>
                  </w:r>
                </w:p>
              </w:tc>
              <w:tc>
                <w:tcPr>
                  <w:tcW w:w="1233" w:type="dxa"/>
                  <w:tcBorders>
                    <w:bottom w:val="single" w:color="auto" w:sz="12" w:space="0"/>
                  </w:tcBorders>
                  <w:noWrap w:val="0"/>
                  <w:vAlign w:val="center"/>
                </w:tcPr>
                <w:p w14:paraId="15F6F1AE">
                  <w:pPr>
                    <w:pStyle w:val="52"/>
                    <w:spacing w:after="0"/>
                    <w:rPr>
                      <w:rFonts w:ascii="Times New Roman" w:hAnsi="Times New Roman" w:eastAsia="宋体"/>
                      <w:b/>
                      <w:bCs/>
                      <w:color w:val="000000" w:themeColor="text1"/>
                      <w:highlight w:val="none"/>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排放特征</w:t>
                  </w:r>
                </w:p>
              </w:tc>
              <w:tc>
                <w:tcPr>
                  <w:tcW w:w="3033" w:type="dxa"/>
                  <w:tcBorders>
                    <w:bottom w:val="single" w:color="auto" w:sz="12" w:space="0"/>
                  </w:tcBorders>
                  <w:noWrap w:val="0"/>
                  <w:vAlign w:val="center"/>
                </w:tcPr>
                <w:p w14:paraId="0863D639">
                  <w:pPr>
                    <w:pStyle w:val="52"/>
                    <w:spacing w:after="0"/>
                    <w:rPr>
                      <w:rFonts w:ascii="Times New Roman" w:hAnsi="Times New Roman" w:eastAsia="宋体"/>
                      <w:b/>
                      <w:bCs/>
                      <w:color w:val="000000" w:themeColor="text1"/>
                      <w:highlight w:val="none"/>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排放去向</w:t>
                  </w:r>
                </w:p>
              </w:tc>
            </w:tr>
            <w:tr w14:paraId="49DD2A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35" w:type="dxa"/>
                  <w:tcBorders>
                    <w:top w:val="single" w:color="auto" w:sz="12" w:space="0"/>
                    <w:tl2br w:val="nil"/>
                    <w:tr2bl w:val="nil"/>
                  </w:tcBorders>
                  <w:noWrap w:val="0"/>
                  <w:vAlign w:val="center"/>
                </w:tcPr>
                <w:p w14:paraId="44AA4600">
                  <w:pPr>
                    <w:pStyle w:val="52"/>
                    <w:spacing w:after="0"/>
                    <w:rPr>
                      <w:rFonts w:hint="eastAsia"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生活污水</w:t>
                  </w:r>
                </w:p>
              </w:tc>
              <w:tc>
                <w:tcPr>
                  <w:tcW w:w="1813" w:type="dxa"/>
                  <w:tcBorders>
                    <w:top w:val="single" w:color="auto" w:sz="12" w:space="0"/>
                    <w:tl2br w:val="nil"/>
                    <w:tr2bl w:val="nil"/>
                  </w:tcBorders>
                  <w:noWrap w:val="0"/>
                  <w:vAlign w:val="center"/>
                </w:tcPr>
                <w:p w14:paraId="56ECAF09">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COD、BOD、SS、氨氮</w:t>
                  </w:r>
                </w:p>
              </w:tc>
              <w:tc>
                <w:tcPr>
                  <w:tcW w:w="1233" w:type="dxa"/>
                  <w:tcBorders>
                    <w:top w:val="single" w:color="auto" w:sz="12" w:space="0"/>
                    <w:tl2br w:val="nil"/>
                    <w:tr2bl w:val="nil"/>
                  </w:tcBorders>
                  <w:noWrap w:val="0"/>
                  <w:vAlign w:val="center"/>
                </w:tcPr>
                <w:p w14:paraId="0B1826CA">
                  <w:pPr>
                    <w:pStyle w:val="52"/>
                    <w:spacing w:after="0"/>
                    <w:rPr>
                      <w:rFonts w:hint="eastAsia" w:ascii="Times New Roman" w:hAnsi="Times New Roman" w:eastAsia="宋体"/>
                      <w:color w:val="000000" w:themeColor="text1"/>
                      <w:highlight w:val="none"/>
                      <w:lang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间断</w:t>
                  </w:r>
                </w:p>
              </w:tc>
              <w:tc>
                <w:tcPr>
                  <w:tcW w:w="3033" w:type="dxa"/>
                  <w:tcBorders>
                    <w:top w:val="single" w:color="auto" w:sz="12" w:space="0"/>
                    <w:tl2br w:val="nil"/>
                    <w:tr2bl w:val="nil"/>
                  </w:tcBorders>
                  <w:noWrap w:val="0"/>
                  <w:vAlign w:val="center"/>
                </w:tcPr>
                <w:p w14:paraId="0A734D5D">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排入园区下水管网，最终进入</w:t>
                  </w:r>
                  <w:r>
                    <w:rPr>
                      <w:rFonts w:hint="eastAsia"/>
                      <w:color w:val="000000" w:themeColor="text1"/>
                      <w:highlight w:val="none"/>
                      <w:lang w:val="en-US" w:eastAsia="zh-CN"/>
                      <w14:textFill>
                        <w14:solidFill>
                          <w14:schemeClr w14:val="tx1"/>
                        </w14:solidFill>
                      </w14:textFill>
                    </w:rPr>
                    <w:t>昌吉高新海天污水处理厂</w:t>
                  </w:r>
                  <w:r>
                    <w:rPr>
                      <w:rFonts w:hint="eastAsia" w:ascii="Times New Roman" w:hAnsi="Times New Roman" w:eastAsia="宋体"/>
                      <w:color w:val="000000" w:themeColor="text1"/>
                      <w:highlight w:val="none"/>
                      <w:lang w:val="en-US" w:eastAsia="zh-CN"/>
                      <w14:textFill>
                        <w14:solidFill>
                          <w14:schemeClr w14:val="tx1"/>
                        </w14:solidFill>
                      </w14:textFill>
                    </w:rPr>
                    <w:t>集中处</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理</w:t>
                  </w:r>
                </w:p>
              </w:tc>
            </w:tr>
          </w:tbl>
          <w:p w14:paraId="0876D110">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2.13.3噪声污染防治措施</w:t>
            </w:r>
          </w:p>
          <w:p w14:paraId="15CA277B">
            <w:pPr>
              <w:spacing w:after="0" w:line="360" w:lineRule="auto"/>
              <w:ind w:firstLine="480" w:firstLineChars="200"/>
              <w:rPr>
                <w:rFonts w:hint="eastAsia" w:ascii="Times New Roman" w:hAnsi="Times New Roman" w:eastAsia="宋体"/>
                <w:color w:val="000000" w:themeColor="text1"/>
                <w:sz w:val="24"/>
                <w:szCs w:val="24"/>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工程运营期</w:t>
            </w:r>
            <w:r>
              <w:rPr>
                <w:rFonts w:hint="eastAsia" w:ascii="Times New Roman" w:hAnsi="Times New Roman" w:eastAsia="宋体"/>
                <w:color w:val="000000" w:themeColor="text1"/>
                <w:sz w:val="24"/>
                <w:szCs w:val="24"/>
                <w:highlight w:val="none"/>
                <w14:textFill>
                  <w14:solidFill>
                    <w14:schemeClr w14:val="tx1"/>
                  </w14:solidFill>
                </w14:textFill>
              </w:rPr>
              <w:t>间噪声源主要来自</w:t>
            </w:r>
            <w:r>
              <w:rPr>
                <w:rFonts w:hint="eastAsia" w:ascii="Times New Roman" w:hAnsi="Times New Roman" w:eastAsia="宋体"/>
                <w:color w:val="000000" w:themeColor="text1"/>
                <w:sz w:val="24"/>
                <w:szCs w:val="24"/>
                <w:highlight w:val="none"/>
                <w:lang w:eastAsia="zh-CN"/>
                <w14:textFill>
                  <w14:solidFill>
                    <w14:schemeClr w14:val="tx1"/>
                  </w14:solidFill>
                </w14:textFill>
              </w:rPr>
              <w:t>机械设备</w:t>
            </w:r>
            <w:r>
              <w:rPr>
                <w:rFonts w:hint="eastAsia" w:ascii="Times New Roman" w:hAnsi="Times New Roman" w:eastAsia="宋体"/>
                <w:color w:val="000000" w:themeColor="text1"/>
                <w:sz w:val="24"/>
                <w:szCs w:val="24"/>
                <w:highlight w:val="none"/>
                <w14:textFill>
                  <w14:solidFill>
                    <w14:schemeClr w14:val="tx1"/>
                  </w14:solidFill>
                </w14:textFill>
              </w:rPr>
              <w:t>等噪声</w:t>
            </w:r>
            <w:r>
              <w:rPr>
                <w:rFonts w:hint="eastAsia" w:ascii="Times New Roman" w:hAnsi="Times New Roman" w:eastAsia="宋体"/>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运营期全部机械设备均于</w:t>
            </w:r>
            <w:r>
              <w:rPr>
                <w:rFonts w:hint="eastAsia" w:ascii="Times New Roman" w:hAnsi="Times New Roman" w:eastAsia="宋体"/>
                <w:color w:val="000000" w:themeColor="text1"/>
                <w:sz w:val="24"/>
                <w:szCs w:val="24"/>
                <w:highlight w:val="none"/>
                <w:lang w:eastAsia="zh-CN"/>
                <w14:textFill>
                  <w14:solidFill>
                    <w14:schemeClr w14:val="tx1"/>
                  </w14:solidFill>
                </w14:textFill>
              </w:rPr>
              <w:t>室内安装</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并设置</w:t>
            </w:r>
            <w:r>
              <w:rPr>
                <w:rFonts w:hint="eastAsia" w:ascii="Times New Roman" w:hAnsi="Times New Roman" w:eastAsia="宋体"/>
                <w:color w:val="000000" w:themeColor="text1"/>
                <w:sz w:val="24"/>
                <w:szCs w:val="24"/>
                <w:highlight w:val="none"/>
                <w:lang w:eastAsia="zh-CN"/>
                <w14:textFill>
                  <w14:solidFill>
                    <w14:schemeClr w14:val="tx1"/>
                  </w14:solidFill>
                </w14:textFill>
              </w:rPr>
              <w:t>减振垫，</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同时通过</w:t>
            </w:r>
            <w:r>
              <w:rPr>
                <w:rFonts w:hint="eastAsia" w:ascii="Times New Roman" w:hAnsi="Times New Roman" w:eastAsia="宋体"/>
                <w:color w:val="000000" w:themeColor="text1"/>
                <w:sz w:val="24"/>
                <w:szCs w:val="24"/>
                <w:highlight w:val="none"/>
                <w:lang w:eastAsia="zh-CN"/>
                <w14:textFill>
                  <w14:solidFill>
                    <w14:schemeClr w14:val="tx1"/>
                  </w14:solidFill>
                </w14:textFill>
              </w:rPr>
              <w:t>建筑隔声</w:t>
            </w:r>
            <w:r>
              <w:rPr>
                <w:rFonts w:hint="eastAsia" w:ascii="Times New Roman" w:hAnsi="Times New Roman" w:eastAsia="宋体"/>
                <w:color w:val="000000" w:themeColor="text1"/>
                <w:sz w:val="24"/>
                <w:szCs w:val="24"/>
                <w:highlight w:val="none"/>
                <w14:textFill>
                  <w14:solidFill>
                    <w14:schemeClr w14:val="tx1"/>
                  </w14:solidFill>
                </w14:textFill>
              </w:rPr>
              <w:t>。</w:t>
            </w:r>
          </w:p>
          <w:p w14:paraId="3B014858">
            <w:pPr>
              <w:spacing w:after="0" w:line="360" w:lineRule="auto"/>
              <w:ind w:firstLine="480" w:firstLineChars="200"/>
              <w:rPr>
                <w:rFonts w:hint="default" w:ascii="Times New Roman" w:hAnsi="Times New Roman" w:eastAsia="宋体"/>
                <w:color w:val="000000" w:themeColor="text1"/>
                <w:sz w:val="24"/>
                <w:szCs w:val="24"/>
                <w:highlight w:val="none"/>
                <w:lang w:val="en-US"/>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工程噪声污染防治措施见表2-1</w:t>
            </w:r>
            <w:r>
              <w:rPr>
                <w:rFonts w:hint="eastAsia" w:cs="Times New Roman"/>
                <w:color w:val="000000" w:themeColor="text1"/>
                <w:sz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4E51B3DB">
            <w:pPr>
              <w:spacing w:after="0"/>
              <w:jc w:val="center"/>
              <w:rPr>
                <w:rFonts w:ascii="Times New Roman" w:hAnsi="Times New Roman" w:eastAsia="宋体" w:cs="Times New Roman"/>
                <w:b/>
                <w:color w:val="000000" w:themeColor="text1"/>
                <w:sz w:val="21"/>
                <w:szCs w:val="21"/>
                <w:highlight w:val="none"/>
                <w14:textFill>
                  <w14:solidFill>
                    <w14:schemeClr w14:val="tx1"/>
                  </w14:solidFill>
                </w14:textFill>
              </w:rPr>
            </w:pPr>
            <w:bookmarkStart w:id="2" w:name="_Toc263806432"/>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4</w:t>
            </w:r>
            <w:r>
              <w:rPr>
                <w:rFonts w:ascii="Times New Roman" w:hAnsi="Times New Roman" w:eastAsia="宋体"/>
                <w:b/>
                <w:color w:val="000000" w:themeColor="text1"/>
                <w:sz w:val="21"/>
                <w:szCs w:val="21"/>
                <w:highlight w:val="none"/>
                <w14:textFill>
                  <w14:solidFill>
                    <w14:schemeClr w14:val="tx1"/>
                  </w14:solidFill>
                </w14:textFill>
              </w:rPr>
              <w:t xml:space="preserve">    </w:t>
            </w:r>
            <w:bookmarkEnd w:id="2"/>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工程噪声污染防治措施</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
            <w:tblGrid>
              <w:gridCol w:w="2007"/>
              <w:gridCol w:w="3016"/>
              <w:gridCol w:w="3001"/>
            </w:tblGrid>
            <w:tr w14:paraId="76AFDBE8">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1904" w:type="dxa"/>
                  <w:tcBorders>
                    <w:tl2br w:val="nil"/>
                    <w:tr2bl w:val="nil"/>
                  </w:tcBorders>
                  <w:noWrap w:val="0"/>
                  <w:vAlign w:val="center"/>
                </w:tcPr>
                <w:p w14:paraId="1543FBFF">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噪声来源</w:t>
                  </w:r>
                </w:p>
              </w:tc>
              <w:tc>
                <w:tcPr>
                  <w:tcW w:w="2862" w:type="dxa"/>
                  <w:tcBorders>
                    <w:tl2br w:val="nil"/>
                    <w:tr2bl w:val="nil"/>
                  </w:tcBorders>
                  <w:noWrap w:val="0"/>
                  <w:vAlign w:val="center"/>
                </w:tcPr>
                <w:p w14:paraId="287E3D1F">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产噪设备</w:t>
                  </w:r>
                </w:p>
              </w:tc>
              <w:tc>
                <w:tcPr>
                  <w:tcW w:w="2848" w:type="dxa"/>
                  <w:tcBorders>
                    <w:tl2br w:val="nil"/>
                    <w:tr2bl w:val="nil"/>
                  </w:tcBorders>
                  <w:noWrap w:val="0"/>
                  <w:vAlign w:val="center"/>
                </w:tcPr>
                <w:p w14:paraId="557D295F">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防治措施</w:t>
                  </w:r>
                </w:p>
              </w:tc>
            </w:tr>
            <w:tr w14:paraId="66D40782">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1904" w:type="dxa"/>
                  <w:tcBorders>
                    <w:tl2br w:val="nil"/>
                    <w:tr2bl w:val="nil"/>
                  </w:tcBorders>
                  <w:noWrap w:val="0"/>
                  <w:vAlign w:val="center"/>
                </w:tcPr>
                <w:p w14:paraId="59871302">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生产设备</w:t>
                  </w:r>
                </w:p>
              </w:tc>
              <w:tc>
                <w:tcPr>
                  <w:tcW w:w="2862" w:type="dxa"/>
                  <w:tcBorders>
                    <w:tl2br w:val="nil"/>
                    <w:tr2bl w:val="nil"/>
                  </w:tcBorders>
                  <w:noWrap w:val="0"/>
                  <w:vAlign w:val="center"/>
                </w:tcPr>
                <w:p w14:paraId="61E08F07">
                  <w:pPr>
                    <w:bidi w:val="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生产设备</w:t>
                  </w:r>
                  <w:r>
                    <w:rPr>
                      <w:color w:val="000000" w:themeColor="text1"/>
                      <w:sz w:val="21"/>
                      <w:szCs w:val="21"/>
                      <w:highlight w:val="none"/>
                      <w14:textFill>
                        <w14:solidFill>
                          <w14:schemeClr w14:val="tx1"/>
                        </w14:solidFill>
                      </w14:textFill>
                    </w:rPr>
                    <w:t>等</w:t>
                  </w:r>
                </w:p>
              </w:tc>
              <w:tc>
                <w:tcPr>
                  <w:tcW w:w="2848" w:type="dxa"/>
                  <w:tcBorders>
                    <w:tl2br w:val="nil"/>
                    <w:tr2bl w:val="nil"/>
                  </w:tcBorders>
                  <w:noWrap w:val="0"/>
                  <w:vAlign w:val="center"/>
                </w:tcPr>
                <w:p w14:paraId="6B49195F">
                  <w:pPr>
                    <w:bidi w:val="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设</w:t>
                  </w:r>
                  <w:r>
                    <w:rPr>
                      <w:rFonts w:hint="eastAsia"/>
                      <w:color w:val="000000" w:themeColor="text1"/>
                      <w:sz w:val="21"/>
                      <w:szCs w:val="21"/>
                      <w:highlight w:val="none"/>
                      <w:lang w:eastAsia="zh-CN"/>
                      <w14:textFill>
                        <w14:solidFill>
                          <w14:schemeClr w14:val="tx1"/>
                        </w14:solidFill>
                      </w14:textFill>
                    </w:rPr>
                    <w:t>在室内，安装减振垫</w:t>
                  </w:r>
                </w:p>
              </w:tc>
            </w:tr>
          </w:tbl>
          <w:p w14:paraId="18A4C2E7">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2.13.4固体废物污染防治措施</w:t>
            </w:r>
          </w:p>
          <w:p w14:paraId="5AA9A2D3">
            <w:pPr>
              <w:spacing w:after="0" w:line="360" w:lineRule="auto"/>
              <w:ind w:firstLine="480" w:firstLineChars="200"/>
              <w:rPr>
                <w:rFonts w:ascii="Times New Roman" w:hAnsi="Times New Roman" w:eastAsia="宋体"/>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本项目产生的一般工业固体废物主要为</w:t>
            </w:r>
            <w:r>
              <w:rPr>
                <w:rFonts w:hint="eastAsia"/>
                <w:color w:val="000000" w:themeColor="text1"/>
                <w:sz w:val="24"/>
                <w:szCs w:val="24"/>
                <w:highlight w:val="none"/>
                <w:lang w:val="en-US" w:eastAsia="zh-CN"/>
                <w14:textFill>
                  <w14:solidFill>
                    <w14:schemeClr w14:val="tx1"/>
                  </w14:solidFill>
                </w14:textFill>
              </w:rPr>
              <w:t>熔炼</w:t>
            </w:r>
            <w:r>
              <w:rPr>
                <w:rFonts w:hint="eastAsia"/>
                <w:color w:val="000000" w:themeColor="text1"/>
                <w:sz w:val="24"/>
                <w:szCs w:val="24"/>
                <w:highlight w:val="none"/>
                <w14:textFill>
                  <w14:solidFill>
                    <w14:schemeClr w14:val="tx1"/>
                  </w14:solidFill>
                </w14:textFill>
              </w:rPr>
              <w:t>硅渣，</w:t>
            </w:r>
            <w:r>
              <w:rPr>
                <w:rFonts w:hint="eastAsia"/>
                <w:color w:val="000000" w:themeColor="text1"/>
                <w:sz w:val="24"/>
                <w:szCs w:val="24"/>
                <w:highlight w:val="none"/>
                <w:lang w:eastAsia="zh-CN"/>
                <w14:textFill>
                  <w14:solidFill>
                    <w14:schemeClr w14:val="tx1"/>
                  </w14:solidFill>
                </w14:textFill>
              </w:rPr>
              <w:t>主要成分为</w:t>
            </w:r>
            <w:r>
              <w:rPr>
                <w:rFonts w:hint="eastAsia"/>
                <w:color w:val="000000" w:themeColor="text1"/>
                <w:sz w:val="24"/>
                <w:szCs w:val="24"/>
                <w:highlight w:val="none"/>
                <w14:textFill>
                  <w14:solidFill>
                    <w14:schemeClr w14:val="tx1"/>
                  </w14:solidFill>
                </w14:textFill>
              </w:rPr>
              <w:t>含硅质的硅酸钙和氟硅酸钙，外售为建筑材料添加剂。</w:t>
            </w:r>
            <w:r>
              <w:rPr>
                <w:rFonts w:hint="eastAsia"/>
                <w:color w:val="000000" w:themeColor="text1"/>
                <w:sz w:val="24"/>
                <w:szCs w:val="24"/>
                <w:highlight w:val="none"/>
                <w:lang w:val="en-US" w:eastAsia="zh-CN"/>
                <w14:textFill>
                  <w14:solidFill>
                    <w14:schemeClr w14:val="tx1"/>
                  </w14:solidFill>
                </w14:textFill>
              </w:rPr>
              <w:t>熔炼</w:t>
            </w:r>
            <w:r>
              <w:rPr>
                <w:rFonts w:hint="eastAsia"/>
                <w:color w:val="000000" w:themeColor="text1"/>
                <w:sz w:val="24"/>
                <w:szCs w:val="24"/>
                <w:highlight w:val="none"/>
                <w14:textFill>
                  <w14:solidFill>
                    <w14:schemeClr w14:val="tx1"/>
                  </w14:solidFill>
                </w14:textFill>
              </w:rPr>
              <w:t>硅渣约为产品的</w:t>
            </w:r>
            <w:r>
              <w:rPr>
                <w:color w:val="000000" w:themeColor="text1"/>
                <w:sz w:val="24"/>
                <w:szCs w:val="24"/>
                <w:highlight w:val="none"/>
                <w14:textFill>
                  <w14:solidFill>
                    <w14:schemeClr w14:val="tx1"/>
                  </w14:solidFill>
                </w14:textFill>
              </w:rPr>
              <w:t>6.36%</w:t>
            </w:r>
            <w:r>
              <w:rPr>
                <w:rFonts w:hint="eastAsia"/>
                <w:color w:val="000000" w:themeColor="text1"/>
                <w:sz w:val="24"/>
                <w:szCs w:val="24"/>
                <w:highlight w:val="none"/>
                <w14:textFill>
                  <w14:solidFill>
                    <w14:schemeClr w14:val="tx1"/>
                  </w14:solidFill>
                </w14:textFill>
              </w:rPr>
              <w:t>，年产量约</w:t>
            </w:r>
            <w:r>
              <w:rPr>
                <w:color w:val="000000" w:themeColor="text1"/>
                <w:sz w:val="24"/>
                <w:szCs w:val="24"/>
                <w:highlight w:val="none"/>
                <w14:textFill>
                  <w14:solidFill>
                    <w14:schemeClr w14:val="tx1"/>
                  </w14:solidFill>
                </w14:textFill>
              </w:rPr>
              <w:t>890</w:t>
            </w:r>
            <w:r>
              <w:rPr>
                <w:rFonts w:hint="eastAsia"/>
                <w:color w:val="000000" w:themeColor="text1"/>
                <w:sz w:val="24"/>
                <w:szCs w:val="24"/>
                <w:highlight w:val="none"/>
                <w14:textFill>
                  <w14:solidFill>
                    <w14:schemeClr w14:val="tx1"/>
                  </w14:solidFill>
                </w14:textFill>
              </w:rPr>
              <w:t>吨。</w:t>
            </w:r>
            <w:r>
              <w:rPr>
                <w:rFonts w:hint="eastAsia" w:cs="Times New Roman"/>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工程固废污染防治措施见表2-1</w:t>
            </w:r>
            <w:r>
              <w:rPr>
                <w:rFonts w:hint="eastAsia" w:cs="Times New Roman"/>
                <w:color w:val="000000" w:themeColor="text1"/>
                <w:sz w:val="24"/>
                <w:szCs w:val="24"/>
                <w:highlight w:val="none"/>
                <w:lang w:val="en-US" w:eastAsia="zh-CN"/>
                <w14:textFill>
                  <w14:solidFill>
                    <w14:schemeClr w14:val="tx1"/>
                  </w14:solidFill>
                </w14:textFill>
              </w:rPr>
              <w:t>5</w:t>
            </w:r>
            <w:r>
              <w:rPr>
                <w:rFonts w:ascii="Times New Roman" w:hAnsi="Times New Roman" w:eastAsia="宋体"/>
                <w:color w:val="000000" w:themeColor="text1"/>
                <w:sz w:val="24"/>
                <w:szCs w:val="24"/>
                <w:highlight w:val="none"/>
                <w14:textFill>
                  <w14:solidFill>
                    <w14:schemeClr w14:val="tx1"/>
                  </w14:solidFill>
                </w14:textFill>
              </w:rPr>
              <w:t>。</w:t>
            </w:r>
          </w:p>
          <w:p w14:paraId="1516A181">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5</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w:t>
            </w:r>
            <w:r>
              <w:rPr>
                <w:rFonts w:hint="eastAsia" w:cs="Times New Roman"/>
                <w:b/>
                <w:color w:val="000000" w:themeColor="text1"/>
                <w:sz w:val="21"/>
                <w:szCs w:val="21"/>
                <w:highlight w:val="none"/>
                <w:lang w:val="en-US" w:eastAsia="zh-CN"/>
                <w14:textFill>
                  <w14:solidFill>
                    <w14:schemeClr w14:val="tx1"/>
                  </w14:solidFill>
                </w14:textFill>
              </w:rPr>
              <w:t>固废</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污染防治措施</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55"/>
              <w:gridCol w:w="1011"/>
              <w:gridCol w:w="1007"/>
              <w:gridCol w:w="867"/>
              <w:gridCol w:w="869"/>
              <w:gridCol w:w="485"/>
              <w:gridCol w:w="900"/>
              <w:gridCol w:w="899"/>
            </w:tblGrid>
            <w:tr w14:paraId="1939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vMerge w:val="restart"/>
                  <w:tcBorders>
                    <w:tl2br w:val="nil"/>
                    <w:tr2bl w:val="nil"/>
                  </w:tcBorders>
                  <w:vAlign w:val="center"/>
                </w:tcPr>
                <w:p w14:paraId="05471184">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工序/生产线</w:t>
                  </w:r>
                </w:p>
              </w:tc>
              <w:tc>
                <w:tcPr>
                  <w:tcW w:w="714" w:type="pct"/>
                  <w:vMerge w:val="restart"/>
                  <w:tcBorders>
                    <w:tl2br w:val="nil"/>
                    <w:tr2bl w:val="nil"/>
                  </w:tcBorders>
                  <w:vAlign w:val="center"/>
                </w:tcPr>
                <w:p w14:paraId="4A8CA31A">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装置</w:t>
                  </w:r>
                </w:p>
              </w:tc>
              <w:tc>
                <w:tcPr>
                  <w:tcW w:w="625" w:type="pct"/>
                  <w:vMerge w:val="restart"/>
                  <w:tcBorders>
                    <w:tl2br w:val="nil"/>
                    <w:tr2bl w:val="nil"/>
                  </w:tcBorders>
                  <w:vAlign w:val="center"/>
                </w:tcPr>
                <w:p w14:paraId="1ADED45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固体废物名称</w:t>
                  </w:r>
                </w:p>
              </w:tc>
              <w:tc>
                <w:tcPr>
                  <w:tcW w:w="622" w:type="pct"/>
                  <w:vMerge w:val="restart"/>
                  <w:tcBorders>
                    <w:tl2br w:val="nil"/>
                    <w:tr2bl w:val="nil"/>
                  </w:tcBorders>
                  <w:vAlign w:val="center"/>
                </w:tcPr>
                <w:p w14:paraId="5C91D06D">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固废属性</w:t>
                  </w:r>
                </w:p>
              </w:tc>
              <w:tc>
                <w:tcPr>
                  <w:tcW w:w="1073" w:type="pct"/>
                  <w:gridSpan w:val="2"/>
                  <w:tcBorders>
                    <w:tl2br w:val="nil"/>
                    <w:tr2bl w:val="nil"/>
                  </w:tcBorders>
                  <w:vAlign w:val="center"/>
                </w:tcPr>
                <w:p w14:paraId="1357415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产生情况</w:t>
                  </w:r>
                </w:p>
              </w:tc>
              <w:tc>
                <w:tcPr>
                  <w:tcW w:w="856" w:type="pct"/>
                  <w:gridSpan w:val="2"/>
                  <w:tcBorders>
                    <w:tl2br w:val="nil"/>
                    <w:tr2bl w:val="nil"/>
                  </w:tcBorders>
                  <w:vAlign w:val="center"/>
                </w:tcPr>
                <w:p w14:paraId="1730718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处置措施</w:t>
                  </w:r>
                </w:p>
              </w:tc>
              <w:tc>
                <w:tcPr>
                  <w:tcW w:w="555" w:type="pct"/>
                  <w:vMerge w:val="restart"/>
                  <w:tcBorders>
                    <w:tl2br w:val="nil"/>
                    <w:tr2bl w:val="nil"/>
                  </w:tcBorders>
                  <w:vAlign w:val="center"/>
                </w:tcPr>
                <w:p w14:paraId="297DDF5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最终</w:t>
                  </w:r>
                </w:p>
                <w:p w14:paraId="64B8FC5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去向</w:t>
                  </w:r>
                </w:p>
              </w:tc>
            </w:tr>
            <w:tr w14:paraId="0C99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vMerge w:val="continue"/>
                  <w:tcBorders>
                    <w:tl2br w:val="nil"/>
                    <w:tr2bl w:val="nil"/>
                  </w:tcBorders>
                  <w:vAlign w:val="center"/>
                </w:tcPr>
                <w:p w14:paraId="1B95DFB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714" w:type="pct"/>
                  <w:vMerge w:val="continue"/>
                  <w:tcBorders>
                    <w:tl2br w:val="nil"/>
                    <w:tr2bl w:val="nil"/>
                  </w:tcBorders>
                  <w:vAlign w:val="center"/>
                </w:tcPr>
                <w:p w14:paraId="3E6126D2">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625" w:type="pct"/>
                  <w:vMerge w:val="continue"/>
                  <w:tcBorders>
                    <w:tl2br w:val="nil"/>
                    <w:tr2bl w:val="nil"/>
                  </w:tcBorders>
                  <w:vAlign w:val="center"/>
                </w:tcPr>
                <w:p w14:paraId="734C6A22">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622" w:type="pct"/>
                  <w:vMerge w:val="continue"/>
                  <w:tcBorders>
                    <w:tl2br w:val="nil"/>
                    <w:tr2bl w:val="nil"/>
                  </w:tcBorders>
                  <w:vAlign w:val="center"/>
                </w:tcPr>
                <w:p w14:paraId="60168FDC">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536" w:type="pct"/>
                  <w:tcBorders>
                    <w:tl2br w:val="nil"/>
                    <w:tr2bl w:val="nil"/>
                  </w:tcBorders>
                  <w:vAlign w:val="center"/>
                </w:tcPr>
                <w:p w14:paraId="2892173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核算</w:t>
                  </w:r>
                </w:p>
                <w:p w14:paraId="1015BAC7">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方法</w:t>
                  </w:r>
                </w:p>
              </w:tc>
              <w:tc>
                <w:tcPr>
                  <w:tcW w:w="537" w:type="pct"/>
                  <w:tcBorders>
                    <w:tl2br w:val="nil"/>
                    <w:tr2bl w:val="nil"/>
                  </w:tcBorders>
                  <w:vAlign w:val="center"/>
                </w:tcPr>
                <w:p w14:paraId="30666343">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产生量</w:t>
                  </w:r>
                </w:p>
              </w:tc>
              <w:tc>
                <w:tcPr>
                  <w:tcW w:w="300" w:type="pct"/>
                  <w:tcBorders>
                    <w:tl2br w:val="nil"/>
                    <w:tr2bl w:val="nil"/>
                  </w:tcBorders>
                  <w:vAlign w:val="center"/>
                </w:tcPr>
                <w:p w14:paraId="390BDC60">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工艺</w:t>
                  </w:r>
                </w:p>
              </w:tc>
              <w:tc>
                <w:tcPr>
                  <w:tcW w:w="556" w:type="pct"/>
                  <w:tcBorders>
                    <w:tl2br w:val="nil"/>
                    <w:tr2bl w:val="nil"/>
                  </w:tcBorders>
                  <w:vAlign w:val="center"/>
                </w:tcPr>
                <w:p w14:paraId="5A61F26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处置量（t/a）</w:t>
                  </w:r>
                </w:p>
              </w:tc>
              <w:tc>
                <w:tcPr>
                  <w:tcW w:w="555" w:type="pct"/>
                  <w:vMerge w:val="continue"/>
                  <w:tcBorders>
                    <w:tl2br w:val="nil"/>
                    <w:tr2bl w:val="nil"/>
                  </w:tcBorders>
                  <w:vAlign w:val="center"/>
                </w:tcPr>
                <w:p w14:paraId="04AC3AA3">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r>
            <w:tr w14:paraId="6135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tcBorders>
                    <w:tl2br w:val="nil"/>
                    <w:tr2bl w:val="nil"/>
                  </w:tcBorders>
                  <w:vAlign w:val="center"/>
                </w:tcPr>
                <w:p w14:paraId="1ED35F9B">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铸造</w:t>
                  </w:r>
                </w:p>
              </w:tc>
              <w:tc>
                <w:tcPr>
                  <w:tcW w:w="714" w:type="pct"/>
                  <w:tcBorders>
                    <w:tl2br w:val="nil"/>
                    <w:tr2bl w:val="nil"/>
                  </w:tcBorders>
                  <w:vAlign w:val="center"/>
                </w:tcPr>
                <w:p w14:paraId="23CFD6E0">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袋式除尘器</w:t>
                  </w:r>
                </w:p>
              </w:tc>
              <w:tc>
                <w:tcPr>
                  <w:tcW w:w="625" w:type="pct"/>
                  <w:tcBorders>
                    <w:tl2br w:val="nil"/>
                    <w:tr2bl w:val="nil"/>
                  </w:tcBorders>
                  <w:vAlign w:val="center"/>
                </w:tcPr>
                <w:p w14:paraId="07DC58D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硅微粉</w:t>
                  </w:r>
                </w:p>
              </w:tc>
              <w:tc>
                <w:tcPr>
                  <w:tcW w:w="622" w:type="pct"/>
                  <w:tcBorders>
                    <w:tl2br w:val="nil"/>
                    <w:tr2bl w:val="nil"/>
                  </w:tcBorders>
                  <w:vAlign w:val="center"/>
                </w:tcPr>
                <w:p w14:paraId="5780B647">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一般工业固体废物</w:t>
                  </w:r>
                </w:p>
              </w:tc>
              <w:tc>
                <w:tcPr>
                  <w:tcW w:w="536" w:type="pct"/>
                  <w:tcBorders>
                    <w:tl2br w:val="nil"/>
                    <w:tr2bl w:val="nil"/>
                  </w:tcBorders>
                  <w:vAlign w:val="center"/>
                </w:tcPr>
                <w:p w14:paraId="7D39B7A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系数法</w:t>
                  </w:r>
                </w:p>
              </w:tc>
              <w:tc>
                <w:tcPr>
                  <w:tcW w:w="537" w:type="pct"/>
                  <w:tcBorders>
                    <w:tl2br w:val="nil"/>
                    <w:tr2bl w:val="nil"/>
                  </w:tcBorders>
                  <w:vAlign w:val="center"/>
                </w:tcPr>
                <w:p w14:paraId="32C49EC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81.5</w:t>
                  </w:r>
                </w:p>
              </w:tc>
              <w:tc>
                <w:tcPr>
                  <w:tcW w:w="300" w:type="pct"/>
                  <w:tcBorders>
                    <w:tl2br w:val="nil"/>
                    <w:tr2bl w:val="nil"/>
                  </w:tcBorders>
                  <w:vAlign w:val="center"/>
                </w:tcPr>
                <w:p w14:paraId="56F7615E">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外售</w:t>
                  </w:r>
                </w:p>
              </w:tc>
              <w:tc>
                <w:tcPr>
                  <w:tcW w:w="556" w:type="pct"/>
                  <w:tcBorders>
                    <w:tl2br w:val="nil"/>
                    <w:tr2bl w:val="nil"/>
                  </w:tcBorders>
                  <w:vAlign w:val="center"/>
                </w:tcPr>
                <w:p w14:paraId="28D91D8B">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81.5</w:t>
                  </w:r>
                </w:p>
              </w:tc>
              <w:tc>
                <w:tcPr>
                  <w:tcW w:w="555" w:type="pct"/>
                  <w:tcBorders>
                    <w:tl2br w:val="nil"/>
                    <w:tr2bl w:val="nil"/>
                  </w:tcBorders>
                  <w:vAlign w:val="center"/>
                </w:tcPr>
                <w:p w14:paraId="76132EF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作为建材外售，不外排</w:t>
                  </w:r>
                </w:p>
              </w:tc>
            </w:tr>
            <w:tr w14:paraId="7A39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tcBorders>
                    <w:tl2br w:val="nil"/>
                    <w:tr2bl w:val="nil"/>
                  </w:tcBorders>
                  <w:vAlign w:val="center"/>
                </w:tcPr>
                <w:p w14:paraId="6C9D8545">
                  <w:pPr>
                    <w:spacing w:line="240" w:lineRule="auto"/>
                    <w:ind w:left="-105" w:leftChars="-50" w:right="-105" w:rightChars="-50"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熔炼</w:t>
                  </w:r>
                </w:p>
              </w:tc>
              <w:tc>
                <w:tcPr>
                  <w:tcW w:w="714" w:type="pct"/>
                  <w:tcBorders>
                    <w:tl2br w:val="nil"/>
                    <w:tr2bl w:val="nil"/>
                  </w:tcBorders>
                  <w:vAlign w:val="center"/>
                </w:tcPr>
                <w:p w14:paraId="316AE16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中频炉</w:t>
                  </w:r>
                </w:p>
              </w:tc>
              <w:tc>
                <w:tcPr>
                  <w:tcW w:w="625" w:type="pct"/>
                  <w:tcBorders>
                    <w:tl2br w:val="nil"/>
                    <w:tr2bl w:val="nil"/>
                  </w:tcBorders>
                  <w:vAlign w:val="center"/>
                </w:tcPr>
                <w:p w14:paraId="532F0D60">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硅渣</w:t>
                  </w:r>
                </w:p>
              </w:tc>
              <w:tc>
                <w:tcPr>
                  <w:tcW w:w="622" w:type="pct"/>
                  <w:tcBorders>
                    <w:tl2br w:val="nil"/>
                    <w:tr2bl w:val="nil"/>
                  </w:tcBorders>
                  <w:vAlign w:val="center"/>
                </w:tcPr>
                <w:p w14:paraId="62894B66">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一般工业固体废物</w:t>
                  </w:r>
                </w:p>
              </w:tc>
              <w:tc>
                <w:tcPr>
                  <w:tcW w:w="536" w:type="pct"/>
                  <w:tcBorders>
                    <w:tl2br w:val="nil"/>
                    <w:tr2bl w:val="nil"/>
                  </w:tcBorders>
                  <w:vAlign w:val="center"/>
                </w:tcPr>
                <w:p w14:paraId="7A744F59">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系数法</w:t>
                  </w:r>
                </w:p>
              </w:tc>
              <w:tc>
                <w:tcPr>
                  <w:tcW w:w="537" w:type="pct"/>
                  <w:tcBorders>
                    <w:tl2br w:val="nil"/>
                    <w:tr2bl w:val="nil"/>
                  </w:tcBorders>
                  <w:vAlign w:val="center"/>
                </w:tcPr>
                <w:p w14:paraId="2A8EB4C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r>
                    <w:rPr>
                      <w:color w:val="000000" w:themeColor="text1"/>
                      <w:sz w:val="21"/>
                      <w:szCs w:val="21"/>
                      <w:highlight w:val="none"/>
                      <w14:textFill>
                        <w14:solidFill>
                          <w14:schemeClr w14:val="tx1"/>
                        </w14:solidFill>
                      </w14:textFill>
                    </w:rPr>
                    <w:t>90</w:t>
                  </w:r>
                </w:p>
              </w:tc>
              <w:tc>
                <w:tcPr>
                  <w:tcW w:w="300" w:type="pct"/>
                  <w:tcBorders>
                    <w:tl2br w:val="nil"/>
                    <w:tr2bl w:val="nil"/>
                  </w:tcBorders>
                  <w:vAlign w:val="center"/>
                </w:tcPr>
                <w:p w14:paraId="6EF75DC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外售</w:t>
                  </w:r>
                </w:p>
              </w:tc>
              <w:tc>
                <w:tcPr>
                  <w:tcW w:w="556" w:type="pct"/>
                  <w:tcBorders>
                    <w:tl2br w:val="nil"/>
                    <w:tr2bl w:val="nil"/>
                  </w:tcBorders>
                  <w:vAlign w:val="center"/>
                </w:tcPr>
                <w:p w14:paraId="6011E7F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r>
                    <w:rPr>
                      <w:color w:val="000000" w:themeColor="text1"/>
                      <w:sz w:val="21"/>
                      <w:szCs w:val="21"/>
                      <w:highlight w:val="none"/>
                      <w14:textFill>
                        <w14:solidFill>
                          <w14:schemeClr w14:val="tx1"/>
                        </w14:solidFill>
                      </w14:textFill>
                    </w:rPr>
                    <w:t>90</w:t>
                  </w:r>
                </w:p>
              </w:tc>
              <w:tc>
                <w:tcPr>
                  <w:tcW w:w="555" w:type="pct"/>
                  <w:tcBorders>
                    <w:tl2br w:val="nil"/>
                    <w:tr2bl w:val="nil"/>
                  </w:tcBorders>
                  <w:vAlign w:val="center"/>
                </w:tcPr>
                <w:p w14:paraId="2A12AA23">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作为建材外售，不外排</w:t>
                  </w:r>
                </w:p>
              </w:tc>
            </w:tr>
            <w:tr w14:paraId="50E2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tcBorders>
                    <w:tl2br w:val="nil"/>
                    <w:tr2bl w:val="nil"/>
                  </w:tcBorders>
                  <w:vAlign w:val="center"/>
                </w:tcPr>
                <w:p w14:paraId="0A9F817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员工生活</w:t>
                  </w:r>
                </w:p>
              </w:tc>
              <w:tc>
                <w:tcPr>
                  <w:tcW w:w="714" w:type="pct"/>
                  <w:tcBorders>
                    <w:tl2br w:val="nil"/>
                    <w:tr2bl w:val="nil"/>
                  </w:tcBorders>
                  <w:vAlign w:val="center"/>
                </w:tcPr>
                <w:p w14:paraId="189D9AA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625" w:type="pct"/>
                  <w:tcBorders>
                    <w:tl2br w:val="nil"/>
                    <w:tr2bl w:val="nil"/>
                  </w:tcBorders>
                  <w:vAlign w:val="center"/>
                </w:tcPr>
                <w:p w14:paraId="562A1D6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生活垃圾</w:t>
                  </w:r>
                </w:p>
              </w:tc>
              <w:tc>
                <w:tcPr>
                  <w:tcW w:w="622" w:type="pct"/>
                  <w:tcBorders>
                    <w:tl2br w:val="nil"/>
                    <w:tr2bl w:val="nil"/>
                  </w:tcBorders>
                  <w:vAlign w:val="center"/>
                </w:tcPr>
                <w:p w14:paraId="5CE92F1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生活垃圾</w:t>
                  </w:r>
                </w:p>
              </w:tc>
              <w:tc>
                <w:tcPr>
                  <w:tcW w:w="536" w:type="pct"/>
                  <w:tcBorders>
                    <w:tl2br w:val="nil"/>
                    <w:tr2bl w:val="nil"/>
                  </w:tcBorders>
                  <w:vAlign w:val="center"/>
                </w:tcPr>
                <w:p w14:paraId="06B9AB3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系数法</w:t>
                  </w:r>
                </w:p>
              </w:tc>
              <w:tc>
                <w:tcPr>
                  <w:tcW w:w="537" w:type="pct"/>
                  <w:tcBorders>
                    <w:tl2br w:val="nil"/>
                    <w:tr2bl w:val="nil"/>
                  </w:tcBorders>
                  <w:vAlign w:val="center"/>
                </w:tcPr>
                <w:p w14:paraId="71A6C52D">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1.6t/a</w:t>
                  </w:r>
                </w:p>
              </w:tc>
              <w:tc>
                <w:tcPr>
                  <w:tcW w:w="300" w:type="pct"/>
                  <w:tcBorders>
                    <w:tl2br w:val="nil"/>
                    <w:tr2bl w:val="nil"/>
                  </w:tcBorders>
                  <w:vAlign w:val="center"/>
                </w:tcPr>
                <w:p w14:paraId="484DCDEB">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556" w:type="pct"/>
                  <w:tcBorders>
                    <w:tl2br w:val="nil"/>
                    <w:tr2bl w:val="nil"/>
                  </w:tcBorders>
                  <w:vAlign w:val="center"/>
                </w:tcPr>
                <w:p w14:paraId="17A1FD39">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1.6t/a</w:t>
                  </w:r>
                </w:p>
              </w:tc>
              <w:tc>
                <w:tcPr>
                  <w:tcW w:w="555" w:type="pct"/>
                  <w:tcBorders>
                    <w:tl2br w:val="nil"/>
                    <w:tr2bl w:val="nil"/>
                  </w:tcBorders>
                  <w:vAlign w:val="center"/>
                </w:tcPr>
                <w:p w14:paraId="6EC5C0D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交由环卫部门处理</w:t>
                  </w:r>
                </w:p>
              </w:tc>
            </w:tr>
          </w:tbl>
          <w:p w14:paraId="5121C51E">
            <w:pPr>
              <w:pStyle w:val="3"/>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2.14、</w:t>
            </w:r>
            <w:r>
              <w:rPr>
                <w:rFonts w:hint="eastAsia"/>
                <w:color w:val="000000" w:themeColor="text1"/>
                <w:highlight w:val="none"/>
                <w:lang w:eastAsia="zh-CN"/>
                <w14:textFill>
                  <w14:solidFill>
                    <w14:schemeClr w14:val="tx1"/>
                  </w14:solidFill>
                </w14:textFill>
              </w:rPr>
              <w:t>现有</w:t>
            </w:r>
            <w:r>
              <w:rPr>
                <w:color w:val="000000" w:themeColor="text1"/>
                <w:highlight w:val="none"/>
                <w14:textFill>
                  <w14:solidFill>
                    <w14:schemeClr w14:val="tx1"/>
                  </w14:solidFill>
                </w14:textFill>
              </w:rPr>
              <w:t>工程</w:t>
            </w:r>
            <w:r>
              <w:rPr>
                <w:rFonts w:hint="eastAsia"/>
                <w:color w:val="000000" w:themeColor="text1"/>
                <w:highlight w:val="none"/>
                <w:lang w:val="en-US" w:eastAsia="zh-CN"/>
                <w14:textFill>
                  <w14:solidFill>
                    <w14:schemeClr w14:val="tx1"/>
                  </w14:solidFill>
                </w14:textFill>
              </w:rPr>
              <w:t>环境影响回顾</w:t>
            </w:r>
          </w:p>
          <w:p w14:paraId="68C3F076">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2.14.1大气环境影响回顾</w:t>
            </w:r>
          </w:p>
          <w:p w14:paraId="57609298">
            <w:pPr>
              <w:pStyle w:val="6"/>
              <w:spacing w:line="360" w:lineRule="auto"/>
              <w:ind w:firstLine="48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根据原环评及其验收材料结合企业实际，</w:t>
            </w:r>
            <w:r>
              <w:rPr>
                <w:rFonts w:hint="eastAsia"/>
                <w:color w:val="000000" w:themeColor="text1"/>
                <w:sz w:val="24"/>
                <w:szCs w:val="24"/>
                <w:highlight w:val="none"/>
                <w:lang w:eastAsia="zh-CN"/>
                <w14:textFill>
                  <w14:solidFill>
                    <w14:schemeClr w14:val="tx1"/>
                  </w14:solidFill>
                </w14:textFill>
              </w:rPr>
              <w:t>原有项目</w:t>
            </w:r>
            <w:r>
              <w:rPr>
                <w:rFonts w:hint="eastAsia"/>
                <w:color w:val="000000" w:themeColor="text1"/>
                <w:sz w:val="24"/>
                <w:szCs w:val="24"/>
                <w:highlight w:val="none"/>
                <w14:textFill>
                  <w14:solidFill>
                    <w14:schemeClr w14:val="tx1"/>
                  </w14:solidFill>
                </w14:textFill>
              </w:rPr>
              <w:t>熔融</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中频炉</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过程中产生少量的粉尘废气经降温、旋风除尘、布袋除尘处理后于15米高的排</w:t>
            </w:r>
            <w:r>
              <w:rPr>
                <w:rFonts w:hint="eastAsia"/>
                <w:color w:val="000000" w:themeColor="text1"/>
                <w:sz w:val="24"/>
                <w:szCs w:val="24"/>
                <w:highlight w:val="none"/>
                <w:lang w:eastAsia="zh-CN"/>
                <w14:textFill>
                  <w14:solidFill>
                    <w14:schemeClr w14:val="tx1"/>
                  </w14:solidFill>
                </w14:textFill>
              </w:rPr>
              <w:t>气筒</w:t>
            </w:r>
            <w:r>
              <w:rPr>
                <w:rFonts w:hint="eastAsia"/>
                <w:color w:val="000000" w:themeColor="text1"/>
                <w:sz w:val="24"/>
                <w:szCs w:val="24"/>
                <w:highlight w:val="none"/>
                <w14:textFill>
                  <w14:solidFill>
                    <w14:schemeClr w14:val="tx1"/>
                  </w14:solidFill>
                </w14:textFill>
              </w:rPr>
              <w:t>排放</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人工破碎将大块硅砸碎成块状硅的工艺产生的少量细微的金属硅粉尘，经在破碎区域上方</w:t>
            </w:r>
            <w:r>
              <w:rPr>
                <w:rFonts w:hint="eastAsia"/>
                <w:color w:val="000000" w:themeColor="text1"/>
                <w:sz w:val="24"/>
                <w:szCs w:val="24"/>
                <w:highlight w:val="none"/>
                <w:lang w:eastAsia="zh-CN"/>
                <w14:textFill>
                  <w14:solidFill>
                    <w14:schemeClr w14:val="tx1"/>
                  </w14:solidFill>
                </w14:textFill>
              </w:rPr>
              <w:t>设置</w:t>
            </w:r>
            <w:r>
              <w:rPr>
                <w:rFonts w:hint="eastAsia"/>
                <w:color w:val="000000" w:themeColor="text1"/>
                <w:sz w:val="24"/>
                <w:szCs w:val="24"/>
                <w:highlight w:val="none"/>
                <w14:textFill>
                  <w14:solidFill>
                    <w14:schemeClr w14:val="tx1"/>
                  </w14:solidFill>
                </w14:textFill>
              </w:rPr>
              <w:t>集成罩对粉尘收集后，通过新建的布袋除尘器处理后排放</w:t>
            </w:r>
            <w:r>
              <w:rPr>
                <w:rFonts w:hint="eastAsia"/>
                <w:color w:val="000000" w:themeColor="text1"/>
                <w:sz w:val="24"/>
                <w:szCs w:val="24"/>
                <w:highlight w:val="none"/>
                <w:lang w:eastAsia="zh-CN"/>
                <w14:textFill>
                  <w14:solidFill>
                    <w14:schemeClr w14:val="tx1"/>
                  </w14:solidFill>
                </w14:textFill>
              </w:rPr>
              <w:t>；</w:t>
            </w:r>
          </w:p>
          <w:p w14:paraId="0A31C2D0">
            <w:pPr>
              <w:pStyle w:val="6"/>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中频炉加料过程中产生少量粉尘</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硅熔化后的原料</w:t>
            </w:r>
            <w:r>
              <w:rPr>
                <w:rFonts w:hint="eastAsia"/>
                <w:color w:val="000000" w:themeColor="text1"/>
                <w:sz w:val="24"/>
                <w:szCs w:val="24"/>
                <w:highlight w:val="none"/>
                <w:lang w:eastAsia="zh-CN"/>
                <w14:textFill>
                  <w14:solidFill>
                    <w14:schemeClr w14:val="tx1"/>
                  </w14:solidFill>
                </w14:textFill>
              </w:rPr>
              <w:t>浇铸成型</w:t>
            </w:r>
            <w:r>
              <w:rPr>
                <w:rFonts w:hint="eastAsia"/>
                <w:color w:val="000000" w:themeColor="text1"/>
                <w:sz w:val="24"/>
                <w:szCs w:val="24"/>
                <w:highlight w:val="none"/>
                <w14:textFill>
                  <w14:solidFill>
                    <w14:schemeClr w14:val="tx1"/>
                  </w14:solidFill>
                </w14:textFill>
              </w:rPr>
              <w:t>，浇铸过程中会产生一定量的铸造粉尘，破碎</w:t>
            </w:r>
            <w:r>
              <w:rPr>
                <w:rFonts w:hint="eastAsia"/>
                <w:color w:val="000000" w:themeColor="text1"/>
                <w:sz w:val="24"/>
                <w:szCs w:val="24"/>
                <w:highlight w:val="none"/>
                <w:lang w:eastAsia="zh-CN"/>
                <w14:textFill>
                  <w14:solidFill>
                    <w14:schemeClr w14:val="tx1"/>
                  </w14:solidFill>
                </w14:textFill>
              </w:rPr>
              <w:t>工序</w:t>
            </w:r>
            <w:r>
              <w:rPr>
                <w:rFonts w:hint="eastAsia"/>
                <w:color w:val="000000" w:themeColor="text1"/>
                <w:sz w:val="24"/>
                <w:szCs w:val="24"/>
                <w:highlight w:val="none"/>
                <w14:textFill>
                  <w14:solidFill>
                    <w14:schemeClr w14:val="tx1"/>
                  </w14:solidFill>
                </w14:textFill>
              </w:rPr>
              <w:t>产生一定量的无组织金属粉尘，</w:t>
            </w:r>
            <w:r>
              <w:rPr>
                <w:rFonts w:hint="eastAsia"/>
                <w:color w:val="000000" w:themeColor="text1"/>
                <w:sz w:val="24"/>
                <w:szCs w:val="24"/>
                <w:highlight w:val="none"/>
                <w:lang w:eastAsia="zh-CN"/>
                <w14:textFill>
                  <w14:solidFill>
                    <w14:schemeClr w14:val="tx1"/>
                  </w14:solidFill>
                </w14:textFill>
              </w:rPr>
              <w:t>原有项目</w:t>
            </w:r>
            <w:r>
              <w:rPr>
                <w:rFonts w:hint="eastAsia"/>
                <w:color w:val="000000" w:themeColor="text1"/>
                <w:sz w:val="24"/>
                <w:szCs w:val="24"/>
                <w:highlight w:val="none"/>
                <w14:textFill>
                  <w14:solidFill>
                    <w14:schemeClr w14:val="tx1"/>
                  </w14:solidFill>
                </w14:textFill>
              </w:rPr>
              <w:t>在车间采取强制通风的方式处理无组织废气。</w:t>
            </w:r>
          </w:p>
          <w:p w14:paraId="074A5852">
            <w:pPr>
              <w:pStyle w:val="6"/>
              <w:snapToGrid w:val="0"/>
              <w:spacing w:before="120" w:beforeLines="50" w:line="360" w:lineRule="auto"/>
              <w:ind w:firstLine="480"/>
              <w:jc w:val="both"/>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根据企业委托新疆齐新环境服务有限公司于2024年2月21日-22日对原有项目进行验收监测的监测结果，原有项目有组织、无组织废气排放均达标，监测结果如下。</w:t>
            </w:r>
          </w:p>
          <w:p w14:paraId="15567E40">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6</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废气监测结果（有组织废气）</w:t>
            </w:r>
          </w:p>
          <w:tbl>
            <w:tblPr>
              <w:tblStyle w:val="46"/>
              <w:tblW w:w="81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3"/>
              <w:gridCol w:w="1170"/>
              <w:gridCol w:w="405"/>
              <w:gridCol w:w="645"/>
              <w:gridCol w:w="1275"/>
              <w:gridCol w:w="1410"/>
              <w:gridCol w:w="630"/>
              <w:gridCol w:w="525"/>
              <w:gridCol w:w="990"/>
              <w:gridCol w:w="593"/>
            </w:tblGrid>
            <w:tr w14:paraId="559A4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07B253D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设备名称</w:t>
                  </w:r>
                </w:p>
              </w:tc>
              <w:tc>
                <w:tcPr>
                  <w:tcW w:w="2325" w:type="dxa"/>
                  <w:gridSpan w:val="3"/>
                  <w:noWrap w:val="0"/>
                  <w:vAlign w:val="center"/>
                </w:tcPr>
                <w:p w14:paraId="3B4C497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t>
                  </w:r>
                </w:p>
              </w:tc>
              <w:tc>
                <w:tcPr>
                  <w:tcW w:w="2040" w:type="dxa"/>
                  <w:gridSpan w:val="2"/>
                  <w:noWrap w:val="0"/>
                  <w:vAlign w:val="center"/>
                </w:tcPr>
                <w:p w14:paraId="65FF595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采样时间</w:t>
                  </w:r>
                </w:p>
              </w:tc>
              <w:tc>
                <w:tcPr>
                  <w:tcW w:w="2108" w:type="dxa"/>
                  <w:gridSpan w:val="3"/>
                  <w:tcBorders>
                    <w:right w:val="single" w:color="auto" w:sz="4" w:space="0"/>
                  </w:tcBorders>
                  <w:noWrap w:val="0"/>
                  <w:vAlign w:val="center"/>
                </w:tcPr>
                <w:p w14:paraId="10BFC3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2024年2月21日-22日</w:t>
                  </w:r>
                </w:p>
              </w:tc>
            </w:tr>
            <w:tr w14:paraId="7D8DB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52C8C27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处理装置</w:t>
                  </w:r>
                </w:p>
              </w:tc>
              <w:tc>
                <w:tcPr>
                  <w:tcW w:w="2325" w:type="dxa"/>
                  <w:gridSpan w:val="3"/>
                  <w:noWrap w:val="0"/>
                  <w:vAlign w:val="center"/>
                </w:tcPr>
                <w:p w14:paraId="54BB49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布袋除尘器</w:t>
                  </w:r>
                </w:p>
              </w:tc>
              <w:tc>
                <w:tcPr>
                  <w:tcW w:w="2040" w:type="dxa"/>
                  <w:gridSpan w:val="2"/>
                  <w:noWrap w:val="0"/>
                  <w:vAlign w:val="center"/>
                </w:tcPr>
                <w:p w14:paraId="422B551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分析时间</w:t>
                  </w:r>
                </w:p>
              </w:tc>
              <w:tc>
                <w:tcPr>
                  <w:tcW w:w="2108" w:type="dxa"/>
                  <w:gridSpan w:val="3"/>
                  <w:tcBorders>
                    <w:right w:val="single" w:color="auto" w:sz="4" w:space="0"/>
                  </w:tcBorders>
                  <w:noWrap w:val="0"/>
                  <w:vAlign w:val="center"/>
                </w:tcPr>
                <w:p w14:paraId="5A52562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2024年2月25日</w:t>
                  </w:r>
                </w:p>
              </w:tc>
            </w:tr>
            <w:tr w14:paraId="76014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38DD99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检测点位</w:t>
                  </w:r>
                </w:p>
              </w:tc>
              <w:tc>
                <w:tcPr>
                  <w:tcW w:w="2325" w:type="dxa"/>
                  <w:gridSpan w:val="3"/>
                  <w:noWrap w:val="0"/>
                  <w:vAlign w:val="center"/>
                </w:tcPr>
                <w:p w14:paraId="5766CA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一号排口1"</w:t>
                  </w:r>
                </w:p>
              </w:tc>
              <w:tc>
                <w:tcPr>
                  <w:tcW w:w="2040" w:type="dxa"/>
                  <w:gridSpan w:val="2"/>
                  <w:noWrap w:val="0"/>
                  <w:vAlign w:val="center"/>
                </w:tcPr>
                <w:p w14:paraId="3729745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排气筒高度(m)</w:t>
                  </w:r>
                </w:p>
              </w:tc>
              <w:tc>
                <w:tcPr>
                  <w:tcW w:w="2108" w:type="dxa"/>
                  <w:gridSpan w:val="3"/>
                  <w:tcBorders>
                    <w:right w:val="single" w:color="auto" w:sz="4" w:space="0"/>
                  </w:tcBorders>
                  <w:noWrap w:val="0"/>
                  <w:vAlign w:val="center"/>
                </w:tcPr>
                <w:p w14:paraId="47F7C99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15</w:t>
                  </w:r>
                </w:p>
              </w:tc>
            </w:tr>
            <w:tr w14:paraId="6A830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6CFF08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生产负荷(%)</w:t>
                  </w:r>
                </w:p>
              </w:tc>
              <w:tc>
                <w:tcPr>
                  <w:tcW w:w="2325" w:type="dxa"/>
                  <w:gridSpan w:val="3"/>
                  <w:noWrap w:val="0"/>
                  <w:vAlign w:val="center"/>
                </w:tcPr>
                <w:p w14:paraId="20C67E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80</w:t>
                  </w:r>
                </w:p>
              </w:tc>
              <w:tc>
                <w:tcPr>
                  <w:tcW w:w="2040" w:type="dxa"/>
                  <w:gridSpan w:val="2"/>
                  <w:noWrap w:val="0"/>
                  <w:vAlign w:val="center"/>
                </w:tcPr>
                <w:p w14:paraId="34915FF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烟道截面积(m²)</w:t>
                  </w:r>
                </w:p>
              </w:tc>
              <w:tc>
                <w:tcPr>
                  <w:tcW w:w="2108" w:type="dxa"/>
                  <w:gridSpan w:val="3"/>
                  <w:tcBorders>
                    <w:right w:val="single" w:color="auto" w:sz="4" w:space="0"/>
                  </w:tcBorders>
                  <w:noWrap w:val="0"/>
                  <w:vAlign w:val="center"/>
                </w:tcPr>
                <w:p w14:paraId="4E65CFB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0.5027</w:t>
                  </w:r>
                </w:p>
              </w:tc>
            </w:tr>
            <w:tr w14:paraId="0AA81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31BE5C5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序号</w:t>
                  </w:r>
                </w:p>
              </w:tc>
              <w:tc>
                <w:tcPr>
                  <w:tcW w:w="1575" w:type="dxa"/>
                  <w:gridSpan w:val="2"/>
                  <w:noWrap w:val="0"/>
                  <w:vAlign w:val="center"/>
                </w:tcPr>
                <w:p w14:paraId="6EB5D32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测试项目</w:t>
                  </w:r>
                </w:p>
              </w:tc>
              <w:tc>
                <w:tcPr>
                  <w:tcW w:w="645" w:type="dxa"/>
                  <w:noWrap w:val="0"/>
                  <w:vAlign w:val="center"/>
                </w:tcPr>
                <w:p w14:paraId="087B94D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单位</w:t>
                  </w:r>
                </w:p>
              </w:tc>
              <w:tc>
                <w:tcPr>
                  <w:tcW w:w="1275" w:type="dxa"/>
                  <w:noWrap w:val="0"/>
                  <w:vAlign w:val="center"/>
                </w:tcPr>
                <w:p w14:paraId="5A107F5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YQ-1"-1-1-v</w:t>
                  </w:r>
                </w:p>
              </w:tc>
              <w:tc>
                <w:tcPr>
                  <w:tcW w:w="1410" w:type="dxa"/>
                  <w:noWrap w:val="0"/>
                  <w:vAlign w:val="center"/>
                </w:tcPr>
                <w:p w14:paraId="722A6C1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YQ-1"-1-2-v</w:t>
                  </w:r>
                </w:p>
              </w:tc>
              <w:tc>
                <w:tcPr>
                  <w:tcW w:w="1155" w:type="dxa"/>
                  <w:gridSpan w:val="2"/>
                  <w:tcBorders>
                    <w:right w:val="single" w:color="auto" w:sz="4" w:space="0"/>
                  </w:tcBorders>
                  <w:noWrap w:val="0"/>
                  <w:vAlign w:val="center"/>
                </w:tcPr>
                <w:p w14:paraId="3B55AD2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22102D1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7CC3E4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判定</w:t>
                  </w:r>
                </w:p>
              </w:tc>
            </w:tr>
            <w:tr w14:paraId="4224D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9" w:hRule="atLeast"/>
              </w:trPr>
              <w:tc>
                <w:tcPr>
                  <w:tcW w:w="473" w:type="dxa"/>
                  <w:noWrap w:val="0"/>
                  <w:vAlign w:val="center"/>
                </w:tcPr>
                <w:p w14:paraId="31F9445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1575" w:type="dxa"/>
                  <w:gridSpan w:val="2"/>
                  <w:noWrap w:val="0"/>
                  <w:vAlign w:val="center"/>
                </w:tcPr>
                <w:p w14:paraId="15FC498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烟气标干流量</w:t>
                  </w:r>
                </w:p>
              </w:tc>
              <w:tc>
                <w:tcPr>
                  <w:tcW w:w="645" w:type="dxa"/>
                  <w:noWrap w:val="0"/>
                  <w:vAlign w:val="center"/>
                </w:tcPr>
                <w:p w14:paraId="5B932D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11384C4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15825</w:t>
                  </w:r>
                </w:p>
              </w:tc>
              <w:tc>
                <w:tcPr>
                  <w:tcW w:w="1410" w:type="dxa"/>
                  <w:noWrap w:val="0"/>
                  <w:vAlign w:val="center"/>
                </w:tcPr>
                <w:p w14:paraId="744D558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16979</w:t>
                  </w:r>
                </w:p>
              </w:tc>
              <w:tc>
                <w:tcPr>
                  <w:tcW w:w="1155" w:type="dxa"/>
                  <w:gridSpan w:val="2"/>
                  <w:tcBorders>
                    <w:right w:val="single" w:color="auto" w:sz="4" w:space="0"/>
                  </w:tcBorders>
                  <w:noWrap w:val="0"/>
                  <w:vAlign w:val="center"/>
                </w:tcPr>
                <w:p w14:paraId="2DDAC80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16480</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62DEEF9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2AE82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760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7D28569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6</w:t>
                  </w:r>
                </w:p>
              </w:tc>
              <w:tc>
                <w:tcPr>
                  <w:tcW w:w="1575" w:type="dxa"/>
                  <w:gridSpan w:val="2"/>
                  <w:noWrap w:val="0"/>
                  <w:vAlign w:val="center"/>
                </w:tcPr>
                <w:p w14:paraId="4E5C549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7C46AC4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28482C0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25.1</w:t>
                  </w:r>
                </w:p>
              </w:tc>
              <w:tc>
                <w:tcPr>
                  <w:tcW w:w="1410" w:type="dxa"/>
                  <w:noWrap w:val="0"/>
                  <w:vAlign w:val="center"/>
                </w:tcPr>
                <w:p w14:paraId="5662A16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22.9</w:t>
                  </w:r>
                </w:p>
              </w:tc>
              <w:tc>
                <w:tcPr>
                  <w:tcW w:w="1155" w:type="dxa"/>
                  <w:gridSpan w:val="2"/>
                  <w:noWrap w:val="0"/>
                  <w:vAlign w:val="center"/>
                </w:tcPr>
                <w:p w14:paraId="6FB9EA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24.9</w:t>
                  </w:r>
                </w:p>
              </w:tc>
              <w:tc>
                <w:tcPr>
                  <w:tcW w:w="990" w:type="dxa"/>
                  <w:tcBorders>
                    <w:top w:val="single" w:color="auto" w:sz="4" w:space="0"/>
                  </w:tcBorders>
                  <w:noWrap w:val="0"/>
                  <w:vAlign w:val="center"/>
                </w:tcPr>
                <w:p w14:paraId="3E471A6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6FC1983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合格</w:t>
                  </w:r>
                </w:p>
              </w:tc>
            </w:tr>
            <w:tr w14:paraId="56CC3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473" w:type="dxa"/>
                  <w:noWrap w:val="0"/>
                  <w:vAlign w:val="center"/>
                </w:tcPr>
                <w:p w14:paraId="102D8F9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7</w:t>
                  </w:r>
                </w:p>
              </w:tc>
              <w:tc>
                <w:tcPr>
                  <w:tcW w:w="1575" w:type="dxa"/>
                  <w:gridSpan w:val="2"/>
                  <w:noWrap w:val="0"/>
                  <w:vAlign w:val="center"/>
                </w:tcPr>
                <w:p w14:paraId="4CFD2E7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6A47E6C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kg/h</w:t>
                  </w:r>
                </w:p>
              </w:tc>
              <w:tc>
                <w:tcPr>
                  <w:tcW w:w="1275" w:type="dxa"/>
                  <w:noWrap w:val="0"/>
                  <w:vAlign w:val="center"/>
                </w:tcPr>
                <w:p w14:paraId="2F4B1F0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0.397</w:t>
                  </w:r>
                </w:p>
              </w:tc>
              <w:tc>
                <w:tcPr>
                  <w:tcW w:w="1410" w:type="dxa"/>
                  <w:noWrap w:val="0"/>
                  <w:vAlign w:val="center"/>
                </w:tcPr>
                <w:p w14:paraId="1BEB2C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0.389</w:t>
                  </w:r>
                </w:p>
              </w:tc>
              <w:tc>
                <w:tcPr>
                  <w:tcW w:w="1155" w:type="dxa"/>
                  <w:gridSpan w:val="2"/>
                  <w:noWrap w:val="0"/>
                  <w:vAlign w:val="center"/>
                </w:tcPr>
                <w:p w14:paraId="629A363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0.410</w:t>
                  </w:r>
                </w:p>
              </w:tc>
              <w:tc>
                <w:tcPr>
                  <w:tcW w:w="990" w:type="dxa"/>
                  <w:tcBorders>
                    <w:bottom w:val="single" w:color="auto" w:sz="4" w:space="0"/>
                  </w:tcBorders>
                  <w:noWrap w:val="0"/>
                  <w:vAlign w:val="center"/>
                </w:tcPr>
                <w:p w14:paraId="5D90AB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tcBorders>
                    <w:bottom w:val="single" w:color="auto" w:sz="4" w:space="0"/>
                  </w:tcBorders>
                  <w:noWrap w:val="0"/>
                  <w:vAlign w:val="center"/>
                </w:tcPr>
                <w:p w14:paraId="614B4F6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C69B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2059C0E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序号</w:t>
                  </w:r>
                </w:p>
              </w:tc>
              <w:tc>
                <w:tcPr>
                  <w:tcW w:w="1575" w:type="dxa"/>
                  <w:gridSpan w:val="2"/>
                  <w:noWrap w:val="0"/>
                  <w:vAlign w:val="center"/>
                </w:tcPr>
                <w:p w14:paraId="1AF1356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测试项目</w:t>
                  </w:r>
                </w:p>
              </w:tc>
              <w:tc>
                <w:tcPr>
                  <w:tcW w:w="645" w:type="dxa"/>
                  <w:noWrap w:val="0"/>
                  <w:vAlign w:val="center"/>
                </w:tcPr>
                <w:p w14:paraId="0664B3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单位</w:t>
                  </w:r>
                </w:p>
              </w:tc>
              <w:tc>
                <w:tcPr>
                  <w:tcW w:w="1275" w:type="dxa"/>
                  <w:noWrap w:val="0"/>
                  <w:vAlign w:val="center"/>
                </w:tcPr>
                <w:p w14:paraId="2DC5D1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YQ-1"-2-1-V</w:t>
                  </w:r>
                </w:p>
              </w:tc>
              <w:tc>
                <w:tcPr>
                  <w:tcW w:w="1410" w:type="dxa"/>
                  <w:noWrap w:val="0"/>
                  <w:vAlign w:val="center"/>
                </w:tcPr>
                <w:p w14:paraId="30E329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YQ-1"-2-2-v</w:t>
                  </w:r>
                </w:p>
              </w:tc>
              <w:tc>
                <w:tcPr>
                  <w:tcW w:w="1155" w:type="dxa"/>
                  <w:gridSpan w:val="2"/>
                  <w:tcBorders>
                    <w:right w:val="single" w:color="auto" w:sz="4" w:space="0"/>
                  </w:tcBorders>
                  <w:noWrap w:val="0"/>
                  <w:vAlign w:val="center"/>
                </w:tcPr>
                <w:p w14:paraId="110816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2BF7E8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CD0420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判定</w:t>
                  </w:r>
                </w:p>
              </w:tc>
            </w:tr>
            <w:tr w14:paraId="3DA31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535BFE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1575" w:type="dxa"/>
                  <w:gridSpan w:val="2"/>
                  <w:noWrap w:val="0"/>
                  <w:vAlign w:val="center"/>
                </w:tcPr>
                <w:p w14:paraId="102200E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烟气标干流量</w:t>
                  </w:r>
                </w:p>
              </w:tc>
              <w:tc>
                <w:tcPr>
                  <w:tcW w:w="645" w:type="dxa"/>
                  <w:noWrap w:val="0"/>
                  <w:vAlign w:val="center"/>
                </w:tcPr>
                <w:p w14:paraId="31D6610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16A4EE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17154</w:t>
                  </w:r>
                </w:p>
              </w:tc>
              <w:tc>
                <w:tcPr>
                  <w:tcW w:w="1410" w:type="dxa"/>
                  <w:noWrap w:val="0"/>
                  <w:vAlign w:val="center"/>
                </w:tcPr>
                <w:p w14:paraId="754D529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16986</w:t>
                  </w:r>
                </w:p>
              </w:tc>
              <w:tc>
                <w:tcPr>
                  <w:tcW w:w="1155" w:type="dxa"/>
                  <w:gridSpan w:val="2"/>
                  <w:tcBorders>
                    <w:right w:val="single" w:color="auto" w:sz="4" w:space="0"/>
                  </w:tcBorders>
                  <w:noWrap w:val="0"/>
                  <w:vAlign w:val="center"/>
                </w:tcPr>
                <w:p w14:paraId="4C31A2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16623</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262BBFE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115D990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4B612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78D6FC1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6</w:t>
                  </w:r>
                </w:p>
              </w:tc>
              <w:tc>
                <w:tcPr>
                  <w:tcW w:w="1575" w:type="dxa"/>
                  <w:gridSpan w:val="2"/>
                  <w:noWrap w:val="0"/>
                  <w:vAlign w:val="center"/>
                </w:tcPr>
                <w:p w14:paraId="1B996B4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1983C6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6CE05B7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24.7</w:t>
                  </w:r>
                </w:p>
              </w:tc>
              <w:tc>
                <w:tcPr>
                  <w:tcW w:w="1410" w:type="dxa"/>
                  <w:noWrap w:val="0"/>
                  <w:vAlign w:val="center"/>
                </w:tcPr>
                <w:p w14:paraId="2FB2CD2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26.2</w:t>
                  </w:r>
                </w:p>
              </w:tc>
              <w:tc>
                <w:tcPr>
                  <w:tcW w:w="1155" w:type="dxa"/>
                  <w:gridSpan w:val="2"/>
                  <w:noWrap w:val="0"/>
                  <w:vAlign w:val="center"/>
                </w:tcPr>
                <w:p w14:paraId="786C6B9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25.9</w:t>
                  </w:r>
                </w:p>
              </w:tc>
              <w:tc>
                <w:tcPr>
                  <w:tcW w:w="990" w:type="dxa"/>
                  <w:tcBorders>
                    <w:top w:val="single" w:color="auto" w:sz="4" w:space="0"/>
                  </w:tcBorders>
                  <w:noWrap w:val="0"/>
                  <w:vAlign w:val="center"/>
                </w:tcPr>
                <w:p w14:paraId="7E2A1E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4CC962E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合格</w:t>
                  </w:r>
                </w:p>
              </w:tc>
            </w:tr>
            <w:tr w14:paraId="6F8CD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473" w:type="dxa"/>
                  <w:noWrap w:val="0"/>
                  <w:vAlign w:val="center"/>
                </w:tcPr>
                <w:p w14:paraId="1FACE57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7</w:t>
                  </w:r>
                </w:p>
              </w:tc>
              <w:tc>
                <w:tcPr>
                  <w:tcW w:w="1575" w:type="dxa"/>
                  <w:gridSpan w:val="2"/>
                  <w:noWrap w:val="0"/>
                  <w:vAlign w:val="center"/>
                </w:tcPr>
                <w:p w14:paraId="59532CC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2DD587F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kg/h</w:t>
                  </w:r>
                </w:p>
              </w:tc>
              <w:tc>
                <w:tcPr>
                  <w:tcW w:w="1275" w:type="dxa"/>
                  <w:noWrap w:val="0"/>
                  <w:vAlign w:val="center"/>
                </w:tcPr>
                <w:p w14:paraId="49250F8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0.424</w:t>
                  </w:r>
                </w:p>
              </w:tc>
              <w:tc>
                <w:tcPr>
                  <w:tcW w:w="1410" w:type="dxa"/>
                  <w:noWrap w:val="0"/>
                  <w:vAlign w:val="center"/>
                </w:tcPr>
                <w:p w14:paraId="7E5531F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0.445</w:t>
                  </w:r>
                </w:p>
              </w:tc>
              <w:tc>
                <w:tcPr>
                  <w:tcW w:w="1155" w:type="dxa"/>
                  <w:gridSpan w:val="2"/>
                  <w:noWrap w:val="0"/>
                  <w:vAlign w:val="center"/>
                </w:tcPr>
                <w:p w14:paraId="1A76EDB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0.431</w:t>
                  </w:r>
                </w:p>
              </w:tc>
              <w:tc>
                <w:tcPr>
                  <w:tcW w:w="990" w:type="dxa"/>
                  <w:noWrap w:val="0"/>
                  <w:vAlign w:val="center"/>
                </w:tcPr>
                <w:p w14:paraId="3198DC7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noWrap w:val="0"/>
                  <w:vAlign w:val="center"/>
                </w:tcPr>
                <w:p w14:paraId="77EB84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pacing w:val="-2"/>
                      <w:position w:val="-4"/>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
                      <w:position w:val="-4"/>
                      <w:sz w:val="21"/>
                      <w:szCs w:val="21"/>
                      <w:highlight w:val="none"/>
                      <w:lang w:val="en-US" w:eastAsia="zh-CN"/>
                      <w14:textFill>
                        <w14:solidFill>
                          <w14:schemeClr w14:val="tx1"/>
                        </w14:solidFill>
                      </w14:textFill>
                    </w:rPr>
                    <w:t>/</w:t>
                  </w:r>
                </w:p>
              </w:tc>
            </w:tr>
            <w:tr w14:paraId="70303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0A18380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设备名称</w:t>
                  </w:r>
                </w:p>
              </w:tc>
              <w:tc>
                <w:tcPr>
                  <w:tcW w:w="2325" w:type="dxa"/>
                  <w:gridSpan w:val="3"/>
                  <w:noWrap w:val="0"/>
                  <w:vAlign w:val="center"/>
                </w:tcPr>
                <w:p w14:paraId="603F66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t>
                  </w:r>
                </w:p>
              </w:tc>
              <w:tc>
                <w:tcPr>
                  <w:tcW w:w="2040" w:type="dxa"/>
                  <w:gridSpan w:val="2"/>
                  <w:noWrap w:val="0"/>
                  <w:vAlign w:val="center"/>
                </w:tcPr>
                <w:p w14:paraId="194F0A9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采样时间</w:t>
                  </w:r>
                </w:p>
              </w:tc>
              <w:tc>
                <w:tcPr>
                  <w:tcW w:w="2108" w:type="dxa"/>
                  <w:gridSpan w:val="3"/>
                  <w:tcBorders>
                    <w:right w:val="single" w:color="auto" w:sz="4" w:space="0"/>
                  </w:tcBorders>
                  <w:noWrap w:val="0"/>
                  <w:vAlign w:val="center"/>
                </w:tcPr>
                <w:p w14:paraId="7C026D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2024年2月21日-22日</w:t>
                  </w:r>
                </w:p>
              </w:tc>
            </w:tr>
            <w:tr w14:paraId="62404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4CB598A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处理装置</w:t>
                  </w:r>
                </w:p>
              </w:tc>
              <w:tc>
                <w:tcPr>
                  <w:tcW w:w="2325" w:type="dxa"/>
                  <w:gridSpan w:val="3"/>
                  <w:noWrap w:val="0"/>
                  <w:vAlign w:val="center"/>
                </w:tcPr>
                <w:p w14:paraId="0B9C0E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布袋除尘器</w:t>
                  </w:r>
                </w:p>
              </w:tc>
              <w:tc>
                <w:tcPr>
                  <w:tcW w:w="2040" w:type="dxa"/>
                  <w:gridSpan w:val="2"/>
                  <w:noWrap w:val="0"/>
                  <w:vAlign w:val="center"/>
                </w:tcPr>
                <w:p w14:paraId="3AB65EF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分析时间</w:t>
                  </w:r>
                </w:p>
              </w:tc>
              <w:tc>
                <w:tcPr>
                  <w:tcW w:w="2108" w:type="dxa"/>
                  <w:gridSpan w:val="3"/>
                  <w:tcBorders>
                    <w:right w:val="single" w:color="auto" w:sz="4" w:space="0"/>
                  </w:tcBorders>
                  <w:noWrap w:val="0"/>
                  <w:vAlign w:val="center"/>
                </w:tcPr>
                <w:p w14:paraId="31DA3FE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2024年2月25日</w:t>
                  </w:r>
                </w:p>
              </w:tc>
            </w:tr>
            <w:tr w14:paraId="60AC7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3C6150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检测点位</w:t>
                  </w:r>
                </w:p>
              </w:tc>
              <w:tc>
                <w:tcPr>
                  <w:tcW w:w="2325" w:type="dxa"/>
                  <w:gridSpan w:val="3"/>
                  <w:noWrap w:val="0"/>
                  <w:vAlign w:val="center"/>
                </w:tcPr>
                <w:p w14:paraId="643674C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号排口1"</w:t>
                  </w:r>
                </w:p>
              </w:tc>
              <w:tc>
                <w:tcPr>
                  <w:tcW w:w="2040" w:type="dxa"/>
                  <w:gridSpan w:val="2"/>
                  <w:noWrap w:val="0"/>
                  <w:vAlign w:val="center"/>
                </w:tcPr>
                <w:p w14:paraId="7737A56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排气筒高度(m)</w:t>
                  </w:r>
                </w:p>
              </w:tc>
              <w:tc>
                <w:tcPr>
                  <w:tcW w:w="2108" w:type="dxa"/>
                  <w:gridSpan w:val="3"/>
                  <w:tcBorders>
                    <w:right w:val="single" w:color="auto" w:sz="4" w:space="0"/>
                  </w:tcBorders>
                  <w:noWrap w:val="0"/>
                  <w:vAlign w:val="center"/>
                </w:tcPr>
                <w:p w14:paraId="4F4E32E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15</w:t>
                  </w:r>
                </w:p>
              </w:tc>
            </w:tr>
            <w:tr w14:paraId="710E5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6F68768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生产负荷(%)</w:t>
                  </w:r>
                </w:p>
              </w:tc>
              <w:tc>
                <w:tcPr>
                  <w:tcW w:w="2325" w:type="dxa"/>
                  <w:gridSpan w:val="3"/>
                  <w:noWrap w:val="0"/>
                  <w:vAlign w:val="center"/>
                </w:tcPr>
                <w:p w14:paraId="2210D10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80</w:t>
                  </w:r>
                </w:p>
              </w:tc>
              <w:tc>
                <w:tcPr>
                  <w:tcW w:w="2040" w:type="dxa"/>
                  <w:gridSpan w:val="2"/>
                  <w:noWrap w:val="0"/>
                  <w:vAlign w:val="center"/>
                </w:tcPr>
                <w:p w14:paraId="6A0CF6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烟道截面积(m²)</w:t>
                  </w:r>
                </w:p>
              </w:tc>
              <w:tc>
                <w:tcPr>
                  <w:tcW w:w="2108" w:type="dxa"/>
                  <w:gridSpan w:val="3"/>
                  <w:tcBorders>
                    <w:right w:val="single" w:color="auto" w:sz="4" w:space="0"/>
                  </w:tcBorders>
                  <w:noWrap w:val="0"/>
                  <w:vAlign w:val="center"/>
                </w:tcPr>
                <w:p w14:paraId="592B603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2827</w:t>
                  </w:r>
                </w:p>
              </w:tc>
            </w:tr>
            <w:tr w14:paraId="4B336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5E57B4A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序号</w:t>
                  </w:r>
                </w:p>
              </w:tc>
              <w:tc>
                <w:tcPr>
                  <w:tcW w:w="1575" w:type="dxa"/>
                  <w:gridSpan w:val="2"/>
                  <w:noWrap w:val="0"/>
                  <w:vAlign w:val="center"/>
                </w:tcPr>
                <w:p w14:paraId="3F477BA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测试项目</w:t>
                  </w:r>
                </w:p>
              </w:tc>
              <w:tc>
                <w:tcPr>
                  <w:tcW w:w="645" w:type="dxa"/>
                  <w:noWrap w:val="0"/>
                  <w:vAlign w:val="center"/>
                </w:tcPr>
                <w:p w14:paraId="3E8F825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单位</w:t>
                  </w:r>
                </w:p>
              </w:tc>
              <w:tc>
                <w:tcPr>
                  <w:tcW w:w="1275" w:type="dxa"/>
                  <w:noWrap w:val="0"/>
                  <w:vAlign w:val="center"/>
                </w:tcPr>
                <w:p w14:paraId="7D13711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YQ-1"-1-1-v</w:t>
                  </w:r>
                </w:p>
              </w:tc>
              <w:tc>
                <w:tcPr>
                  <w:tcW w:w="1410" w:type="dxa"/>
                  <w:noWrap w:val="0"/>
                  <w:vAlign w:val="center"/>
                </w:tcPr>
                <w:p w14:paraId="4F5A6C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YQ-1"-1-2-v</w:t>
                  </w:r>
                </w:p>
              </w:tc>
              <w:tc>
                <w:tcPr>
                  <w:tcW w:w="1155" w:type="dxa"/>
                  <w:gridSpan w:val="2"/>
                  <w:tcBorders>
                    <w:right w:val="single" w:color="auto" w:sz="4" w:space="0"/>
                  </w:tcBorders>
                  <w:noWrap w:val="0"/>
                  <w:vAlign w:val="center"/>
                </w:tcPr>
                <w:p w14:paraId="0A1BF9A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2FB6702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21C30C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判定</w:t>
                  </w:r>
                </w:p>
              </w:tc>
            </w:tr>
            <w:tr w14:paraId="034D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6DBD6AC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w:t>
                  </w:r>
                </w:p>
              </w:tc>
              <w:tc>
                <w:tcPr>
                  <w:tcW w:w="1575" w:type="dxa"/>
                  <w:gridSpan w:val="2"/>
                  <w:noWrap w:val="0"/>
                  <w:vAlign w:val="center"/>
                </w:tcPr>
                <w:p w14:paraId="0D8D654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烟气标干流量</w:t>
                  </w:r>
                </w:p>
              </w:tc>
              <w:tc>
                <w:tcPr>
                  <w:tcW w:w="645" w:type="dxa"/>
                  <w:noWrap w:val="0"/>
                  <w:vAlign w:val="center"/>
                </w:tcPr>
                <w:p w14:paraId="4D92EEA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6887DCA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12675</w:t>
                  </w:r>
                </w:p>
              </w:tc>
              <w:tc>
                <w:tcPr>
                  <w:tcW w:w="1410" w:type="dxa"/>
                  <w:noWrap w:val="0"/>
                  <w:vAlign w:val="center"/>
                </w:tcPr>
                <w:p w14:paraId="582F05E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12684</w:t>
                  </w:r>
                </w:p>
              </w:tc>
              <w:tc>
                <w:tcPr>
                  <w:tcW w:w="1155" w:type="dxa"/>
                  <w:gridSpan w:val="2"/>
                  <w:tcBorders>
                    <w:right w:val="single" w:color="auto" w:sz="4" w:space="0"/>
                  </w:tcBorders>
                  <w:noWrap w:val="0"/>
                  <w:vAlign w:val="center"/>
                </w:tcPr>
                <w:p w14:paraId="6404BF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12610</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128235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D25A0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r w14:paraId="4B63F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79F125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w:t>
                  </w:r>
                </w:p>
              </w:tc>
              <w:tc>
                <w:tcPr>
                  <w:tcW w:w="1575" w:type="dxa"/>
                  <w:gridSpan w:val="2"/>
                  <w:noWrap w:val="0"/>
                  <w:vAlign w:val="center"/>
                </w:tcPr>
                <w:p w14:paraId="31548D0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4920654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03C3E82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25.9</w:t>
                  </w:r>
                </w:p>
              </w:tc>
              <w:tc>
                <w:tcPr>
                  <w:tcW w:w="1410" w:type="dxa"/>
                  <w:noWrap w:val="0"/>
                  <w:vAlign w:val="center"/>
                </w:tcPr>
                <w:p w14:paraId="58BECF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24.4</w:t>
                  </w:r>
                </w:p>
              </w:tc>
              <w:tc>
                <w:tcPr>
                  <w:tcW w:w="1155" w:type="dxa"/>
                  <w:gridSpan w:val="2"/>
                  <w:noWrap w:val="0"/>
                  <w:vAlign w:val="center"/>
                </w:tcPr>
                <w:p w14:paraId="0563C51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26.6</w:t>
                  </w:r>
                </w:p>
              </w:tc>
              <w:tc>
                <w:tcPr>
                  <w:tcW w:w="990" w:type="dxa"/>
                  <w:tcBorders>
                    <w:top w:val="single" w:color="auto" w:sz="4" w:space="0"/>
                  </w:tcBorders>
                  <w:noWrap w:val="0"/>
                  <w:vAlign w:val="center"/>
                </w:tcPr>
                <w:p w14:paraId="7E29162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540ED98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3558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473" w:type="dxa"/>
                  <w:noWrap w:val="0"/>
                  <w:vAlign w:val="center"/>
                </w:tcPr>
                <w:p w14:paraId="5019F4C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7</w:t>
                  </w:r>
                </w:p>
              </w:tc>
              <w:tc>
                <w:tcPr>
                  <w:tcW w:w="1575" w:type="dxa"/>
                  <w:gridSpan w:val="2"/>
                  <w:noWrap w:val="0"/>
                  <w:vAlign w:val="center"/>
                </w:tcPr>
                <w:p w14:paraId="3D6A498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764C68C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kg/h</w:t>
                  </w:r>
                </w:p>
              </w:tc>
              <w:tc>
                <w:tcPr>
                  <w:tcW w:w="1275" w:type="dxa"/>
                  <w:noWrap w:val="0"/>
                  <w:vAlign w:val="center"/>
                </w:tcPr>
                <w:p w14:paraId="022EF52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0.328</w:t>
                  </w:r>
                </w:p>
              </w:tc>
              <w:tc>
                <w:tcPr>
                  <w:tcW w:w="1410" w:type="dxa"/>
                  <w:noWrap w:val="0"/>
                  <w:vAlign w:val="center"/>
                </w:tcPr>
                <w:p w14:paraId="2300B2B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0.309</w:t>
                  </w:r>
                </w:p>
              </w:tc>
              <w:tc>
                <w:tcPr>
                  <w:tcW w:w="1155" w:type="dxa"/>
                  <w:gridSpan w:val="2"/>
                  <w:noWrap w:val="0"/>
                  <w:vAlign w:val="center"/>
                </w:tcPr>
                <w:p w14:paraId="11781C6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0.335</w:t>
                  </w:r>
                </w:p>
              </w:tc>
              <w:tc>
                <w:tcPr>
                  <w:tcW w:w="990" w:type="dxa"/>
                  <w:tcBorders>
                    <w:bottom w:val="single" w:color="auto" w:sz="4" w:space="0"/>
                  </w:tcBorders>
                  <w:noWrap w:val="0"/>
                  <w:vAlign w:val="center"/>
                </w:tcPr>
                <w:p w14:paraId="33DF95F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tcBorders>
                    <w:bottom w:val="single" w:color="auto" w:sz="4" w:space="0"/>
                  </w:tcBorders>
                  <w:noWrap w:val="0"/>
                  <w:vAlign w:val="center"/>
                </w:tcPr>
                <w:p w14:paraId="3E54E6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r w14:paraId="080D6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6E6A9D0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序号</w:t>
                  </w:r>
                </w:p>
              </w:tc>
              <w:tc>
                <w:tcPr>
                  <w:tcW w:w="1575" w:type="dxa"/>
                  <w:gridSpan w:val="2"/>
                  <w:noWrap w:val="0"/>
                  <w:vAlign w:val="center"/>
                </w:tcPr>
                <w:p w14:paraId="4D4979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测试项目</w:t>
                  </w:r>
                </w:p>
              </w:tc>
              <w:tc>
                <w:tcPr>
                  <w:tcW w:w="645" w:type="dxa"/>
                  <w:noWrap w:val="0"/>
                  <w:vAlign w:val="center"/>
                </w:tcPr>
                <w:p w14:paraId="0FA107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单位</w:t>
                  </w:r>
                </w:p>
              </w:tc>
              <w:tc>
                <w:tcPr>
                  <w:tcW w:w="1275" w:type="dxa"/>
                  <w:noWrap w:val="0"/>
                  <w:vAlign w:val="center"/>
                </w:tcPr>
                <w:p w14:paraId="6544D82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YQ-1"-2-1-V</w:t>
                  </w:r>
                </w:p>
              </w:tc>
              <w:tc>
                <w:tcPr>
                  <w:tcW w:w="1410" w:type="dxa"/>
                  <w:noWrap w:val="0"/>
                  <w:vAlign w:val="center"/>
                </w:tcPr>
                <w:p w14:paraId="3780E1E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YQ-1"-2-2-v</w:t>
                  </w:r>
                </w:p>
              </w:tc>
              <w:tc>
                <w:tcPr>
                  <w:tcW w:w="1155" w:type="dxa"/>
                  <w:gridSpan w:val="2"/>
                  <w:tcBorders>
                    <w:right w:val="single" w:color="auto" w:sz="4" w:space="0"/>
                  </w:tcBorders>
                  <w:noWrap w:val="0"/>
                  <w:vAlign w:val="center"/>
                </w:tcPr>
                <w:p w14:paraId="43F0578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2862E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53A2B0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判定</w:t>
                  </w:r>
                </w:p>
              </w:tc>
            </w:tr>
            <w:tr w14:paraId="7F5AB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34278A7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w:t>
                  </w:r>
                </w:p>
              </w:tc>
              <w:tc>
                <w:tcPr>
                  <w:tcW w:w="1575" w:type="dxa"/>
                  <w:gridSpan w:val="2"/>
                  <w:noWrap w:val="0"/>
                  <w:vAlign w:val="center"/>
                </w:tcPr>
                <w:p w14:paraId="768716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烟气标干流量</w:t>
                  </w:r>
                </w:p>
              </w:tc>
              <w:tc>
                <w:tcPr>
                  <w:tcW w:w="645" w:type="dxa"/>
                  <w:noWrap w:val="0"/>
                  <w:vAlign w:val="center"/>
                </w:tcPr>
                <w:p w14:paraId="265A0A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056780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12651</w:t>
                  </w:r>
                </w:p>
              </w:tc>
              <w:tc>
                <w:tcPr>
                  <w:tcW w:w="1410" w:type="dxa"/>
                  <w:noWrap w:val="0"/>
                  <w:vAlign w:val="center"/>
                </w:tcPr>
                <w:p w14:paraId="446AA9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13017</w:t>
                  </w:r>
                </w:p>
              </w:tc>
              <w:tc>
                <w:tcPr>
                  <w:tcW w:w="1155" w:type="dxa"/>
                  <w:gridSpan w:val="2"/>
                  <w:tcBorders>
                    <w:right w:val="single" w:color="auto" w:sz="4" w:space="0"/>
                  </w:tcBorders>
                  <w:noWrap w:val="0"/>
                  <w:vAlign w:val="center"/>
                </w:tcPr>
                <w:p w14:paraId="2971333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12917</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508EAB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66D39DB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r w14:paraId="07387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3D3B805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w:t>
                  </w:r>
                </w:p>
              </w:tc>
              <w:tc>
                <w:tcPr>
                  <w:tcW w:w="1575" w:type="dxa"/>
                  <w:gridSpan w:val="2"/>
                  <w:noWrap w:val="0"/>
                  <w:vAlign w:val="center"/>
                </w:tcPr>
                <w:p w14:paraId="546348B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7963402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41A9C61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26.2</w:t>
                  </w:r>
                </w:p>
              </w:tc>
              <w:tc>
                <w:tcPr>
                  <w:tcW w:w="1410" w:type="dxa"/>
                  <w:noWrap w:val="0"/>
                  <w:vAlign w:val="center"/>
                </w:tcPr>
                <w:p w14:paraId="4F0126D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26.4</w:t>
                  </w:r>
                </w:p>
              </w:tc>
              <w:tc>
                <w:tcPr>
                  <w:tcW w:w="1155" w:type="dxa"/>
                  <w:gridSpan w:val="2"/>
                  <w:noWrap w:val="0"/>
                  <w:vAlign w:val="center"/>
                </w:tcPr>
                <w:p w14:paraId="05E04EE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25.2</w:t>
                  </w:r>
                </w:p>
              </w:tc>
              <w:tc>
                <w:tcPr>
                  <w:tcW w:w="990" w:type="dxa"/>
                  <w:tcBorders>
                    <w:top w:val="single" w:color="auto" w:sz="4" w:space="0"/>
                  </w:tcBorders>
                  <w:noWrap w:val="0"/>
                  <w:vAlign w:val="center"/>
                </w:tcPr>
                <w:p w14:paraId="7A4E92F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0050F28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7223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473" w:type="dxa"/>
                  <w:noWrap w:val="0"/>
                  <w:vAlign w:val="center"/>
                </w:tcPr>
                <w:p w14:paraId="282EA17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7</w:t>
                  </w:r>
                </w:p>
              </w:tc>
              <w:tc>
                <w:tcPr>
                  <w:tcW w:w="1575" w:type="dxa"/>
                  <w:gridSpan w:val="2"/>
                  <w:noWrap w:val="0"/>
                  <w:vAlign w:val="center"/>
                </w:tcPr>
                <w:p w14:paraId="70F346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710B957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kg/h</w:t>
                  </w:r>
                </w:p>
              </w:tc>
              <w:tc>
                <w:tcPr>
                  <w:tcW w:w="1275" w:type="dxa"/>
                  <w:noWrap w:val="0"/>
                  <w:vAlign w:val="center"/>
                </w:tcPr>
                <w:p w14:paraId="698F7CD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0.331</w:t>
                  </w:r>
                </w:p>
              </w:tc>
              <w:tc>
                <w:tcPr>
                  <w:tcW w:w="1410" w:type="dxa"/>
                  <w:noWrap w:val="0"/>
                  <w:vAlign w:val="center"/>
                </w:tcPr>
                <w:p w14:paraId="364446B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0.344</w:t>
                  </w:r>
                </w:p>
              </w:tc>
              <w:tc>
                <w:tcPr>
                  <w:tcW w:w="1155" w:type="dxa"/>
                  <w:gridSpan w:val="2"/>
                  <w:noWrap w:val="0"/>
                  <w:vAlign w:val="center"/>
                </w:tcPr>
                <w:p w14:paraId="73968A9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0.326</w:t>
                  </w:r>
                </w:p>
              </w:tc>
              <w:tc>
                <w:tcPr>
                  <w:tcW w:w="990" w:type="dxa"/>
                  <w:noWrap w:val="0"/>
                  <w:vAlign w:val="center"/>
                </w:tcPr>
                <w:p w14:paraId="057F84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noWrap w:val="0"/>
                  <w:vAlign w:val="center"/>
                </w:tcPr>
                <w:p w14:paraId="4C6E902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bl>
          <w:p w14:paraId="13909807">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7</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废气监测结果（无组织废气）</w:t>
            </w:r>
          </w:p>
          <w:tbl>
            <w:tblPr>
              <w:tblStyle w:val="46"/>
              <w:tblW w:w="81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2"/>
              <w:gridCol w:w="1510"/>
              <w:gridCol w:w="1518"/>
              <w:gridCol w:w="874"/>
              <w:gridCol w:w="1334"/>
              <w:gridCol w:w="897"/>
              <w:gridCol w:w="674"/>
            </w:tblGrid>
            <w:tr w14:paraId="38D24DC3">
              <w:tblPrEx>
                <w:tblCellMar>
                  <w:top w:w="0" w:type="dxa"/>
                  <w:left w:w="0" w:type="dxa"/>
                  <w:bottom w:w="0" w:type="dxa"/>
                  <w:right w:w="0" w:type="dxa"/>
                </w:tblCellMar>
              </w:tblPrEx>
              <w:trPr>
                <w:trHeight w:val="458" w:hRule="atLeast"/>
              </w:trPr>
              <w:tc>
                <w:tcPr>
                  <w:tcW w:w="4340" w:type="dxa"/>
                  <w:gridSpan w:val="3"/>
                  <w:noWrap w:val="0"/>
                  <w:vAlign w:val="center"/>
                </w:tcPr>
                <w:p w14:paraId="0F26877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分析日期</w:t>
                  </w:r>
                </w:p>
              </w:tc>
              <w:tc>
                <w:tcPr>
                  <w:tcW w:w="3779" w:type="dxa"/>
                  <w:gridSpan w:val="4"/>
                  <w:noWrap w:val="0"/>
                  <w:vAlign w:val="center"/>
                </w:tcPr>
                <w:p w14:paraId="7479FE3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2024年2月25日</w:t>
                  </w:r>
                </w:p>
              </w:tc>
            </w:tr>
            <w:tr w14:paraId="2E08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312" w:type="dxa"/>
                  <w:vMerge w:val="restart"/>
                  <w:noWrap w:val="0"/>
                  <w:vAlign w:val="center"/>
                </w:tcPr>
                <w:p w14:paraId="4C5490B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样品编号</w:t>
                  </w:r>
                </w:p>
              </w:tc>
              <w:tc>
                <w:tcPr>
                  <w:tcW w:w="1510" w:type="dxa"/>
                  <w:vMerge w:val="restart"/>
                  <w:noWrap w:val="0"/>
                  <w:vAlign w:val="center"/>
                </w:tcPr>
                <w:p w14:paraId="4F741E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采样日期</w:t>
                  </w:r>
                </w:p>
              </w:tc>
              <w:tc>
                <w:tcPr>
                  <w:tcW w:w="1518" w:type="dxa"/>
                  <w:vMerge w:val="restart"/>
                  <w:noWrap w:val="0"/>
                  <w:vAlign w:val="center"/>
                </w:tcPr>
                <w:p w14:paraId="3EC586D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采样地点</w:t>
                  </w:r>
                </w:p>
              </w:tc>
              <w:tc>
                <w:tcPr>
                  <w:tcW w:w="874" w:type="dxa"/>
                  <w:vMerge w:val="restart"/>
                  <w:noWrap w:val="0"/>
                  <w:vAlign w:val="center"/>
                </w:tcPr>
                <w:p w14:paraId="1B11ED5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采样频次</w:t>
                  </w:r>
                </w:p>
              </w:tc>
              <w:tc>
                <w:tcPr>
                  <w:tcW w:w="2905" w:type="dxa"/>
                  <w:gridSpan w:val="3"/>
                  <w:noWrap w:val="0"/>
                  <w:vAlign w:val="center"/>
                </w:tcPr>
                <w:p w14:paraId="2E23F04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检测项目</w:t>
                  </w:r>
                </w:p>
              </w:tc>
            </w:tr>
            <w:tr w14:paraId="4F29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8" w:hRule="atLeast"/>
              </w:trPr>
              <w:tc>
                <w:tcPr>
                  <w:tcW w:w="1312" w:type="dxa"/>
                  <w:vMerge w:val="continue"/>
                  <w:noWrap w:val="0"/>
                  <w:vAlign w:val="center"/>
                </w:tcPr>
                <w:p w14:paraId="1AD894A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0" w:type="dxa"/>
                  <w:vMerge w:val="continue"/>
                  <w:noWrap w:val="0"/>
                  <w:vAlign w:val="center"/>
                </w:tcPr>
                <w:p w14:paraId="02FB452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72E124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vMerge w:val="continue"/>
                  <w:noWrap w:val="0"/>
                  <w:vAlign w:val="center"/>
                </w:tcPr>
                <w:p w14:paraId="590FACF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334" w:type="dxa"/>
                  <w:noWrap w:val="0"/>
                  <w:vAlign w:val="center"/>
                </w:tcPr>
                <w:p w14:paraId="4F7D49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颗粒物单位：μg/m³</w:t>
                  </w:r>
                </w:p>
              </w:tc>
              <w:tc>
                <w:tcPr>
                  <w:tcW w:w="897" w:type="dxa"/>
                  <w:noWrap w:val="0"/>
                  <w:vAlign w:val="center"/>
                </w:tcPr>
                <w:p w14:paraId="4C51FDF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执行标准</w:t>
                  </w:r>
                </w:p>
                <w:p w14:paraId="6CBB171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3</w:t>
                  </w:r>
                </w:p>
              </w:tc>
              <w:tc>
                <w:tcPr>
                  <w:tcW w:w="674" w:type="dxa"/>
                  <w:noWrap w:val="0"/>
                  <w:vAlign w:val="center"/>
                </w:tcPr>
                <w:p w14:paraId="0267BA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判定</w:t>
                  </w:r>
                </w:p>
              </w:tc>
            </w:tr>
            <w:tr w14:paraId="1DCC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4AA7062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noWrap w:val="0"/>
                  <w:vAlign w:val="center"/>
                </w:tcPr>
                <w:p w14:paraId="1B99290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w:t>
                  </w:r>
                </w:p>
              </w:tc>
              <w:tc>
                <w:tcPr>
                  <w:tcW w:w="1518" w:type="dxa"/>
                  <w:vMerge w:val="restart"/>
                  <w:noWrap w:val="0"/>
                  <w:vAlign w:val="center"/>
                </w:tcPr>
                <w:p w14:paraId="00486B5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项目区上风向</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2A8293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0.32</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p w14:paraId="697B133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24.29</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noWrap w:val="0"/>
                  <w:vAlign w:val="center"/>
                </w:tcPr>
                <w:p w14:paraId="0CD42A1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5402347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592</w:t>
                  </w:r>
                </w:p>
              </w:tc>
              <w:tc>
                <w:tcPr>
                  <w:tcW w:w="897" w:type="dxa"/>
                  <w:vMerge w:val="restart"/>
                  <w:noWrap w:val="0"/>
                  <w:vAlign w:val="center"/>
                </w:tcPr>
                <w:p w14:paraId="72F5AC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1.0</w:t>
                  </w:r>
                </w:p>
              </w:tc>
              <w:tc>
                <w:tcPr>
                  <w:tcW w:w="674" w:type="dxa"/>
                  <w:noWrap w:val="0"/>
                  <w:vAlign w:val="center"/>
                </w:tcPr>
                <w:p w14:paraId="5D01DB3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3EFF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1FB029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noWrap w:val="0"/>
                  <w:vAlign w:val="center"/>
                </w:tcPr>
                <w:p w14:paraId="197BD14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6355AED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647EF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691503D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585</w:t>
                  </w:r>
                </w:p>
              </w:tc>
              <w:tc>
                <w:tcPr>
                  <w:tcW w:w="897" w:type="dxa"/>
                  <w:vMerge w:val="continue"/>
                  <w:noWrap w:val="0"/>
                  <w:vAlign w:val="center"/>
                </w:tcPr>
                <w:p w14:paraId="27BD1AC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1A53533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008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33F7503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noWrap w:val="0"/>
                  <w:vAlign w:val="center"/>
                </w:tcPr>
                <w:p w14:paraId="3FD10A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223605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0348A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1299D69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587</w:t>
                  </w:r>
                </w:p>
              </w:tc>
              <w:tc>
                <w:tcPr>
                  <w:tcW w:w="897" w:type="dxa"/>
                  <w:vMerge w:val="continue"/>
                  <w:noWrap w:val="0"/>
                  <w:vAlign w:val="center"/>
                </w:tcPr>
                <w:p w14:paraId="527B769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45D85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521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5121D52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noWrap w:val="0"/>
                  <w:vAlign w:val="center"/>
                </w:tcPr>
                <w:p w14:paraId="4FA103F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3330F44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8B24AA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57C1C20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593</w:t>
                  </w:r>
                </w:p>
              </w:tc>
              <w:tc>
                <w:tcPr>
                  <w:tcW w:w="897" w:type="dxa"/>
                  <w:vMerge w:val="continue"/>
                  <w:noWrap w:val="0"/>
                  <w:vAlign w:val="center"/>
                </w:tcPr>
                <w:p w14:paraId="0660303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FCC04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755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175379C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noWrap w:val="0"/>
                  <w:vAlign w:val="center"/>
                </w:tcPr>
                <w:p w14:paraId="7023F0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noWrap w:val="0"/>
                  <w:vAlign w:val="center"/>
                </w:tcPr>
                <w:p w14:paraId="1A3EA6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BE5385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69FCACA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578</w:t>
                  </w:r>
                </w:p>
              </w:tc>
              <w:tc>
                <w:tcPr>
                  <w:tcW w:w="897" w:type="dxa"/>
                  <w:vMerge w:val="continue"/>
                  <w:noWrap w:val="0"/>
                  <w:vAlign w:val="center"/>
                </w:tcPr>
                <w:p w14:paraId="18D979A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6B2D5DE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451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1312" w:type="dxa"/>
                  <w:noWrap w:val="0"/>
                  <w:vAlign w:val="center"/>
                </w:tcPr>
                <w:p w14:paraId="4FABED3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noWrap w:val="0"/>
                  <w:vAlign w:val="center"/>
                </w:tcPr>
                <w:p w14:paraId="1C10B0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1D69D1F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D741E6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02A2978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582</w:t>
                  </w:r>
                </w:p>
              </w:tc>
              <w:tc>
                <w:tcPr>
                  <w:tcW w:w="897" w:type="dxa"/>
                  <w:vMerge w:val="continue"/>
                  <w:noWrap w:val="0"/>
                  <w:vAlign w:val="center"/>
                </w:tcPr>
                <w:p w14:paraId="26C64B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775FB80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3D67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529EDA0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noWrap w:val="0"/>
                  <w:vAlign w:val="center"/>
                </w:tcPr>
                <w:p w14:paraId="28B90BA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44B93F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01DDB4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5583CE6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577</w:t>
                  </w:r>
                </w:p>
              </w:tc>
              <w:tc>
                <w:tcPr>
                  <w:tcW w:w="897" w:type="dxa"/>
                  <w:vMerge w:val="continue"/>
                  <w:noWrap w:val="0"/>
                  <w:vAlign w:val="center"/>
                </w:tcPr>
                <w:p w14:paraId="30D0420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668D52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10C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5A6289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noWrap w:val="0"/>
                  <w:vAlign w:val="center"/>
                </w:tcPr>
                <w:p w14:paraId="4A7078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357C944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7B9252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7A42DC4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588</w:t>
                  </w:r>
                </w:p>
              </w:tc>
              <w:tc>
                <w:tcPr>
                  <w:tcW w:w="897" w:type="dxa"/>
                  <w:vMerge w:val="continue"/>
                  <w:noWrap w:val="0"/>
                  <w:vAlign w:val="center"/>
                </w:tcPr>
                <w:p w14:paraId="0B8C289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0074F9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49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1312" w:type="dxa"/>
                  <w:noWrap w:val="0"/>
                  <w:vAlign w:val="center"/>
                </w:tcPr>
                <w:p w14:paraId="0DB766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noWrap w:val="0"/>
                  <w:vAlign w:val="center"/>
                </w:tcPr>
                <w:p w14:paraId="144E75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w:t>
                  </w:r>
                </w:p>
              </w:tc>
              <w:tc>
                <w:tcPr>
                  <w:tcW w:w="1518" w:type="dxa"/>
                  <w:vMerge w:val="restart"/>
                  <w:noWrap w:val="0"/>
                  <w:vAlign w:val="center"/>
                </w:tcPr>
                <w:p w14:paraId="4CD476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项目区下风向2</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5E907D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7.94</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p w14:paraId="1388AD9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18.80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noWrap w:val="0"/>
                  <w:vAlign w:val="center"/>
                </w:tcPr>
                <w:p w14:paraId="27DD0BE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4F39584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623</w:t>
                  </w:r>
                </w:p>
              </w:tc>
              <w:tc>
                <w:tcPr>
                  <w:tcW w:w="897" w:type="dxa"/>
                  <w:vMerge w:val="continue"/>
                  <w:noWrap w:val="0"/>
                  <w:vAlign w:val="center"/>
                </w:tcPr>
                <w:p w14:paraId="335AA5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5A452AB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32C5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trPr>
              <w:tc>
                <w:tcPr>
                  <w:tcW w:w="1312" w:type="dxa"/>
                  <w:noWrap w:val="0"/>
                  <w:vAlign w:val="center"/>
                </w:tcPr>
                <w:p w14:paraId="1D93E09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noWrap w:val="0"/>
                  <w:vAlign w:val="center"/>
                </w:tcPr>
                <w:p w14:paraId="3AB99B6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46C7224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05ABF8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35EE003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643</w:t>
                  </w:r>
                </w:p>
              </w:tc>
              <w:tc>
                <w:tcPr>
                  <w:tcW w:w="897" w:type="dxa"/>
                  <w:vMerge w:val="continue"/>
                  <w:noWrap w:val="0"/>
                  <w:vAlign w:val="center"/>
                </w:tcPr>
                <w:p w14:paraId="285EF66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2863AF8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2DB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58394ED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noWrap w:val="0"/>
                  <w:vAlign w:val="center"/>
                </w:tcPr>
                <w:p w14:paraId="26C6F2A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8DE403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35E909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5954CC7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635</w:t>
                  </w:r>
                </w:p>
              </w:tc>
              <w:tc>
                <w:tcPr>
                  <w:tcW w:w="897" w:type="dxa"/>
                  <w:vMerge w:val="continue"/>
                  <w:noWrap w:val="0"/>
                  <w:vAlign w:val="center"/>
                </w:tcPr>
                <w:p w14:paraId="4336675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5CBEA2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812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1312" w:type="dxa"/>
                  <w:noWrap w:val="0"/>
                  <w:vAlign w:val="center"/>
                </w:tcPr>
                <w:p w14:paraId="1FE003D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noWrap w:val="0"/>
                  <w:vAlign w:val="center"/>
                </w:tcPr>
                <w:p w14:paraId="5789004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BD8080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042EDE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31B7842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655</w:t>
                  </w:r>
                </w:p>
              </w:tc>
              <w:tc>
                <w:tcPr>
                  <w:tcW w:w="897" w:type="dxa"/>
                  <w:vMerge w:val="continue"/>
                  <w:noWrap w:val="0"/>
                  <w:vAlign w:val="center"/>
                </w:tcPr>
                <w:p w14:paraId="4590FA3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087AFE9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78C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1312" w:type="dxa"/>
                  <w:noWrap w:val="0"/>
                  <w:vAlign w:val="center"/>
                </w:tcPr>
                <w:p w14:paraId="4B9AD0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noWrap w:val="0"/>
                  <w:vAlign w:val="center"/>
                </w:tcPr>
                <w:p w14:paraId="6C9080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noWrap w:val="0"/>
                  <w:vAlign w:val="center"/>
                </w:tcPr>
                <w:p w14:paraId="301A12C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600DA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3A31C1C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608</w:t>
                  </w:r>
                </w:p>
              </w:tc>
              <w:tc>
                <w:tcPr>
                  <w:tcW w:w="897" w:type="dxa"/>
                  <w:vMerge w:val="continue"/>
                  <w:noWrap w:val="0"/>
                  <w:vAlign w:val="center"/>
                </w:tcPr>
                <w:p w14:paraId="24CD8BB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61A43C1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810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1312" w:type="dxa"/>
                  <w:noWrap w:val="0"/>
                  <w:vAlign w:val="center"/>
                </w:tcPr>
                <w:p w14:paraId="54E6A00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noWrap w:val="0"/>
                  <w:vAlign w:val="center"/>
                </w:tcPr>
                <w:p w14:paraId="12EB683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BFF3AD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016AFF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13BA3EF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615</w:t>
                  </w:r>
                </w:p>
              </w:tc>
              <w:tc>
                <w:tcPr>
                  <w:tcW w:w="897" w:type="dxa"/>
                  <w:vMerge w:val="continue"/>
                  <w:noWrap w:val="0"/>
                  <w:vAlign w:val="center"/>
                </w:tcPr>
                <w:p w14:paraId="18DBF45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C0E16A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C10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1312" w:type="dxa"/>
                  <w:noWrap w:val="0"/>
                  <w:vAlign w:val="center"/>
                </w:tcPr>
                <w:p w14:paraId="1E312BD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noWrap w:val="0"/>
                  <w:vAlign w:val="center"/>
                </w:tcPr>
                <w:p w14:paraId="4072E53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0B24DB0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ECB04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01235CC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612</w:t>
                  </w:r>
                </w:p>
              </w:tc>
              <w:tc>
                <w:tcPr>
                  <w:tcW w:w="897" w:type="dxa"/>
                  <w:vMerge w:val="continue"/>
                  <w:noWrap w:val="0"/>
                  <w:vAlign w:val="center"/>
                </w:tcPr>
                <w:p w14:paraId="2A81455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E1B963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9BD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1312" w:type="dxa"/>
                  <w:noWrap w:val="0"/>
                  <w:vAlign w:val="center"/>
                </w:tcPr>
                <w:p w14:paraId="2DDBF5C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noWrap w:val="0"/>
                  <w:vAlign w:val="center"/>
                </w:tcPr>
                <w:p w14:paraId="1296BBB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0B42CF6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606DA7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2F9918C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610</w:t>
                  </w:r>
                </w:p>
              </w:tc>
              <w:tc>
                <w:tcPr>
                  <w:tcW w:w="897" w:type="dxa"/>
                  <w:vMerge w:val="continue"/>
                  <w:noWrap w:val="0"/>
                  <w:vAlign w:val="center"/>
                </w:tcPr>
                <w:p w14:paraId="1DC81D5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BA0069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5439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519792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noWrap w:val="0"/>
                  <w:vAlign w:val="center"/>
                </w:tcPr>
                <w:p w14:paraId="3A28795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w:t>
                  </w:r>
                </w:p>
              </w:tc>
              <w:tc>
                <w:tcPr>
                  <w:tcW w:w="1518" w:type="dxa"/>
                  <w:vMerge w:val="restart"/>
                  <w:noWrap w:val="0"/>
                  <w:vAlign w:val="center"/>
                </w:tcPr>
                <w:p w14:paraId="2F52A6C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项目区下风向3</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1DBA688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9.49</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p w14:paraId="5D3641B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18.70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noWrap w:val="0"/>
                  <w:vAlign w:val="center"/>
                </w:tcPr>
                <w:p w14:paraId="2B19830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69CF1E2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615</w:t>
                  </w:r>
                </w:p>
              </w:tc>
              <w:tc>
                <w:tcPr>
                  <w:tcW w:w="897" w:type="dxa"/>
                  <w:vMerge w:val="continue"/>
                  <w:noWrap w:val="0"/>
                  <w:vAlign w:val="center"/>
                </w:tcPr>
                <w:p w14:paraId="50E7A46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35508E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FF8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6F192B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noWrap w:val="0"/>
                  <w:vAlign w:val="center"/>
                </w:tcPr>
                <w:p w14:paraId="7F2C912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78EC3E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31394E9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73054E8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620</w:t>
                  </w:r>
                </w:p>
              </w:tc>
              <w:tc>
                <w:tcPr>
                  <w:tcW w:w="897" w:type="dxa"/>
                  <w:vMerge w:val="continue"/>
                  <w:noWrap w:val="0"/>
                  <w:vAlign w:val="center"/>
                </w:tcPr>
                <w:p w14:paraId="5722AD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D3E637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517B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6AA2751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noWrap w:val="0"/>
                  <w:vAlign w:val="center"/>
                </w:tcPr>
                <w:p w14:paraId="54EC6A1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2473BBD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FF2A8E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22A2A8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633</w:t>
                  </w:r>
                </w:p>
              </w:tc>
              <w:tc>
                <w:tcPr>
                  <w:tcW w:w="897" w:type="dxa"/>
                  <w:vMerge w:val="continue"/>
                  <w:noWrap w:val="0"/>
                  <w:vAlign w:val="center"/>
                </w:tcPr>
                <w:p w14:paraId="5224FEF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126F35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AD1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2478C15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noWrap w:val="0"/>
                  <w:vAlign w:val="center"/>
                </w:tcPr>
                <w:p w14:paraId="04E09E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D0F1A8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18324F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5465A1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648</w:t>
                  </w:r>
                </w:p>
              </w:tc>
              <w:tc>
                <w:tcPr>
                  <w:tcW w:w="897" w:type="dxa"/>
                  <w:vMerge w:val="continue"/>
                  <w:noWrap w:val="0"/>
                  <w:vAlign w:val="center"/>
                </w:tcPr>
                <w:p w14:paraId="0E4A70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C4CE1F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2F62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1312" w:type="dxa"/>
                  <w:noWrap w:val="0"/>
                  <w:vAlign w:val="center"/>
                </w:tcPr>
                <w:p w14:paraId="17BCC71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noWrap w:val="0"/>
                  <w:vAlign w:val="center"/>
                </w:tcPr>
                <w:p w14:paraId="3F601DD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noWrap w:val="0"/>
                  <w:vAlign w:val="center"/>
                </w:tcPr>
                <w:p w14:paraId="1777FB3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1D4A109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7EE793F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653</w:t>
                  </w:r>
                </w:p>
              </w:tc>
              <w:tc>
                <w:tcPr>
                  <w:tcW w:w="897" w:type="dxa"/>
                  <w:vMerge w:val="continue"/>
                  <w:noWrap w:val="0"/>
                  <w:vAlign w:val="center"/>
                </w:tcPr>
                <w:p w14:paraId="083B7CC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bottom w:val="single" w:color="auto" w:sz="4" w:space="0"/>
                  </w:tcBorders>
                  <w:noWrap w:val="0"/>
                  <w:vAlign w:val="center"/>
                </w:tcPr>
                <w:p w14:paraId="38311D4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6B48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1312" w:type="dxa"/>
                  <w:noWrap w:val="0"/>
                  <w:vAlign w:val="center"/>
                </w:tcPr>
                <w:p w14:paraId="0EC4635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noWrap w:val="0"/>
                  <w:vAlign w:val="center"/>
                </w:tcPr>
                <w:p w14:paraId="0686B92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28FB290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D1FD3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  次</w:t>
                  </w:r>
                </w:p>
              </w:tc>
              <w:tc>
                <w:tcPr>
                  <w:tcW w:w="1334" w:type="dxa"/>
                  <w:noWrap w:val="0"/>
                  <w:vAlign w:val="center"/>
                </w:tcPr>
                <w:p w14:paraId="580B4C2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663</w:t>
                  </w:r>
                </w:p>
              </w:tc>
              <w:tc>
                <w:tcPr>
                  <w:tcW w:w="897" w:type="dxa"/>
                  <w:vMerge w:val="continue"/>
                  <w:noWrap w:val="0"/>
                  <w:vAlign w:val="center"/>
                </w:tcPr>
                <w:p w14:paraId="4FC594F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7E73C2F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9C2D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312" w:type="dxa"/>
                  <w:noWrap w:val="0"/>
                  <w:vAlign w:val="center"/>
                </w:tcPr>
                <w:p w14:paraId="4C200BC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noWrap w:val="0"/>
                  <w:vAlign w:val="center"/>
                </w:tcPr>
                <w:p w14:paraId="7C9F662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EC596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A245B1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2E43DD5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670</w:t>
                  </w:r>
                </w:p>
              </w:tc>
              <w:tc>
                <w:tcPr>
                  <w:tcW w:w="897" w:type="dxa"/>
                  <w:vMerge w:val="continue"/>
                  <w:noWrap w:val="0"/>
                  <w:vAlign w:val="center"/>
                </w:tcPr>
                <w:p w14:paraId="4140A16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5035705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0580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312" w:type="dxa"/>
                  <w:noWrap w:val="0"/>
                  <w:vAlign w:val="center"/>
                </w:tcPr>
                <w:p w14:paraId="2EF7EB3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noWrap w:val="0"/>
                  <w:vAlign w:val="center"/>
                </w:tcPr>
                <w:p w14:paraId="17BC77C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7EDCFD9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123CE7A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3D5E025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628</w:t>
                  </w:r>
                </w:p>
              </w:tc>
              <w:tc>
                <w:tcPr>
                  <w:tcW w:w="897" w:type="dxa"/>
                  <w:vMerge w:val="continue"/>
                  <w:noWrap w:val="0"/>
                  <w:vAlign w:val="center"/>
                </w:tcPr>
                <w:p w14:paraId="67D73FB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4926CC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F250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312" w:type="dxa"/>
                  <w:noWrap w:val="0"/>
                  <w:vAlign w:val="center"/>
                </w:tcPr>
                <w:p w14:paraId="6877409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tcBorders>
                    <w:bottom w:val="nil"/>
                  </w:tcBorders>
                  <w:noWrap w:val="0"/>
                  <w:vAlign w:val="center"/>
                </w:tcPr>
                <w:p w14:paraId="3EA055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日</w:t>
                  </w:r>
                </w:p>
              </w:tc>
              <w:tc>
                <w:tcPr>
                  <w:tcW w:w="1518" w:type="dxa"/>
                  <w:vMerge w:val="restart"/>
                  <w:tcBorders>
                    <w:bottom w:val="nil"/>
                  </w:tcBorders>
                  <w:noWrap w:val="0"/>
                  <w:vAlign w:val="center"/>
                </w:tcPr>
                <w:p w14:paraId="77D7A8B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项目区下风向4</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246649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9.5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8″</w:t>
                  </w:r>
                </w:p>
                <w:p w14:paraId="777168D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19.70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vMerge w:val="restart"/>
                  <w:tcBorders>
                    <w:bottom w:val="nil"/>
                  </w:tcBorders>
                  <w:noWrap w:val="0"/>
                  <w:vAlign w:val="center"/>
                </w:tcPr>
                <w:p w14:paraId="544DD9C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p w14:paraId="608940B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6FA4586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637</w:t>
                  </w:r>
                </w:p>
              </w:tc>
              <w:tc>
                <w:tcPr>
                  <w:tcW w:w="897" w:type="dxa"/>
                  <w:vMerge w:val="continue"/>
                  <w:noWrap w:val="0"/>
                  <w:vAlign w:val="center"/>
                </w:tcPr>
                <w:p w14:paraId="4CF08B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17F70C5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2EE6F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12" w:type="dxa"/>
                  <w:noWrap w:val="0"/>
                  <w:vAlign w:val="center"/>
                </w:tcPr>
                <w:p w14:paraId="59F64E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tcBorders>
                    <w:top w:val="nil"/>
                    <w:bottom w:val="nil"/>
                  </w:tcBorders>
                  <w:noWrap w:val="0"/>
                  <w:vAlign w:val="center"/>
                </w:tcPr>
                <w:p w14:paraId="56EB52A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0CE8D8B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vMerge w:val="continue"/>
                  <w:tcBorders>
                    <w:top w:val="nil"/>
                  </w:tcBorders>
                  <w:noWrap w:val="0"/>
                  <w:vAlign w:val="center"/>
                </w:tcPr>
                <w:p w14:paraId="55DD0E6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334" w:type="dxa"/>
                  <w:noWrap w:val="0"/>
                  <w:vAlign w:val="center"/>
                </w:tcPr>
                <w:p w14:paraId="16BEE0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642</w:t>
                  </w:r>
                </w:p>
              </w:tc>
              <w:tc>
                <w:tcPr>
                  <w:tcW w:w="897" w:type="dxa"/>
                  <w:vMerge w:val="continue"/>
                  <w:noWrap w:val="0"/>
                  <w:vAlign w:val="center"/>
                </w:tcPr>
                <w:p w14:paraId="7C36AC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43BB182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90BA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312" w:type="dxa"/>
                  <w:noWrap w:val="0"/>
                  <w:vAlign w:val="center"/>
                </w:tcPr>
                <w:p w14:paraId="4E12E1D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tcBorders>
                    <w:top w:val="nil"/>
                    <w:bottom w:val="nil"/>
                  </w:tcBorders>
                  <w:noWrap w:val="0"/>
                  <w:vAlign w:val="center"/>
                </w:tcPr>
                <w:p w14:paraId="073782F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72968A6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423E29F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6F399A1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632</w:t>
                  </w:r>
                </w:p>
              </w:tc>
              <w:tc>
                <w:tcPr>
                  <w:tcW w:w="897" w:type="dxa"/>
                  <w:vMerge w:val="continue"/>
                  <w:noWrap w:val="0"/>
                  <w:vAlign w:val="center"/>
                </w:tcPr>
                <w:p w14:paraId="1386519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69A6A69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3E31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312" w:type="dxa"/>
                  <w:noWrap w:val="0"/>
                  <w:vAlign w:val="center"/>
                </w:tcPr>
                <w:p w14:paraId="5C5F4EA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tcBorders>
                    <w:top w:val="nil"/>
                  </w:tcBorders>
                  <w:noWrap w:val="0"/>
                  <w:vAlign w:val="center"/>
                </w:tcPr>
                <w:p w14:paraId="141D64B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21A5C5D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76D4F8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302755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643</w:t>
                  </w:r>
                </w:p>
              </w:tc>
              <w:tc>
                <w:tcPr>
                  <w:tcW w:w="897" w:type="dxa"/>
                  <w:vMerge w:val="continue"/>
                  <w:noWrap w:val="0"/>
                  <w:vAlign w:val="center"/>
                </w:tcPr>
                <w:p w14:paraId="1F4D964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52B0786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5EF8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312" w:type="dxa"/>
                  <w:noWrap w:val="0"/>
                  <w:vAlign w:val="center"/>
                </w:tcPr>
                <w:p w14:paraId="4D1C8BA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tcBorders>
                    <w:bottom w:val="nil"/>
                  </w:tcBorders>
                  <w:noWrap w:val="0"/>
                  <w:vAlign w:val="center"/>
                </w:tcPr>
                <w:p w14:paraId="67D7292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tcBorders>
                    <w:top w:val="nil"/>
                    <w:bottom w:val="nil"/>
                  </w:tcBorders>
                  <w:noWrap w:val="0"/>
                  <w:vAlign w:val="center"/>
                </w:tcPr>
                <w:p w14:paraId="1CAACD9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DF53F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50F8ECE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627</w:t>
                  </w:r>
                </w:p>
              </w:tc>
              <w:tc>
                <w:tcPr>
                  <w:tcW w:w="897" w:type="dxa"/>
                  <w:vMerge w:val="continue"/>
                  <w:noWrap w:val="0"/>
                  <w:vAlign w:val="center"/>
                </w:tcPr>
                <w:p w14:paraId="7AA2FEC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774933C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D4B1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312" w:type="dxa"/>
                  <w:noWrap w:val="0"/>
                  <w:vAlign w:val="center"/>
                </w:tcPr>
                <w:p w14:paraId="1EBDE84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tcBorders>
                    <w:top w:val="nil"/>
                    <w:bottom w:val="nil"/>
                  </w:tcBorders>
                  <w:noWrap w:val="0"/>
                  <w:vAlign w:val="center"/>
                </w:tcPr>
                <w:p w14:paraId="2A0DBF6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0D46806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580169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6A39DAB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660</w:t>
                  </w:r>
                </w:p>
              </w:tc>
              <w:tc>
                <w:tcPr>
                  <w:tcW w:w="897" w:type="dxa"/>
                  <w:vMerge w:val="continue"/>
                  <w:noWrap w:val="0"/>
                  <w:vAlign w:val="center"/>
                </w:tcPr>
                <w:p w14:paraId="6448A1B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642B79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ECB6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312" w:type="dxa"/>
                  <w:noWrap w:val="0"/>
                  <w:vAlign w:val="center"/>
                </w:tcPr>
                <w:p w14:paraId="398276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tcBorders>
                    <w:top w:val="nil"/>
                    <w:bottom w:val="nil"/>
                  </w:tcBorders>
                  <w:noWrap w:val="0"/>
                  <w:vAlign w:val="center"/>
                </w:tcPr>
                <w:p w14:paraId="4A67D57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7066828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825800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11A19A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688</w:t>
                  </w:r>
                </w:p>
              </w:tc>
              <w:tc>
                <w:tcPr>
                  <w:tcW w:w="897" w:type="dxa"/>
                  <w:vMerge w:val="continue"/>
                  <w:noWrap w:val="0"/>
                  <w:vAlign w:val="center"/>
                </w:tcPr>
                <w:p w14:paraId="095DE85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67B7021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2A0F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312" w:type="dxa"/>
                  <w:noWrap w:val="0"/>
                  <w:vAlign w:val="center"/>
                </w:tcPr>
                <w:p w14:paraId="6034E54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tcBorders>
                    <w:top w:val="nil"/>
                  </w:tcBorders>
                  <w:noWrap w:val="0"/>
                  <w:vAlign w:val="center"/>
                </w:tcPr>
                <w:p w14:paraId="45D1821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tcBorders>
                  <w:noWrap w:val="0"/>
                  <w:vAlign w:val="center"/>
                </w:tcPr>
                <w:p w14:paraId="5FEC895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D18FA4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6A1FC1A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678</w:t>
                  </w:r>
                </w:p>
              </w:tc>
              <w:tc>
                <w:tcPr>
                  <w:tcW w:w="897" w:type="dxa"/>
                  <w:vMerge w:val="continue"/>
                  <w:noWrap w:val="0"/>
                  <w:vAlign w:val="center"/>
                </w:tcPr>
                <w:p w14:paraId="3359AA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1725F3C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C8A0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214" w:type="dxa"/>
                  <w:gridSpan w:val="4"/>
                  <w:noWrap w:val="0"/>
                  <w:vAlign w:val="center"/>
                </w:tcPr>
                <w:p w14:paraId="384372E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最大值</w:t>
                  </w:r>
                </w:p>
              </w:tc>
              <w:tc>
                <w:tcPr>
                  <w:tcW w:w="1334" w:type="dxa"/>
                  <w:noWrap w:val="0"/>
                  <w:vAlign w:val="center"/>
                </w:tcPr>
                <w:p w14:paraId="29C0E59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688</w:t>
                  </w:r>
                </w:p>
              </w:tc>
              <w:tc>
                <w:tcPr>
                  <w:tcW w:w="897" w:type="dxa"/>
                  <w:vMerge w:val="continue"/>
                  <w:noWrap w:val="0"/>
                  <w:vAlign w:val="center"/>
                </w:tcPr>
                <w:p w14:paraId="1AEF2D04">
                  <w:pPr>
                    <w:keepNext w:val="0"/>
                    <w:keepLines w:val="0"/>
                    <w:pageBreakBefore w:val="0"/>
                    <w:wordWrap/>
                    <w:overflowPunct/>
                    <w:topLinePunct w:val="0"/>
                    <w:bidi w:val="0"/>
                    <w:jc w:val="center"/>
                    <w:rPr>
                      <w:rFonts w:ascii="Arial"/>
                      <w:color w:val="000000" w:themeColor="text1"/>
                      <w:sz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349E171B">
                  <w:pPr>
                    <w:keepNext w:val="0"/>
                    <w:keepLines w:val="0"/>
                    <w:pageBreakBefore w:val="0"/>
                    <w:wordWrap/>
                    <w:overflowPunct/>
                    <w:topLinePunct w:val="0"/>
                    <w:bidi w:val="0"/>
                    <w:jc w:val="center"/>
                    <w:rPr>
                      <w:rFonts w:ascii="Arial"/>
                      <w:color w:val="000000" w:themeColor="text1"/>
                      <w:sz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bl>
          <w:p w14:paraId="730ABB1C">
            <w:pPr>
              <w:pStyle w:val="6"/>
              <w:snapToGrid w:val="0"/>
              <w:spacing w:before="120" w:beforeLines="50" w:line="360" w:lineRule="auto"/>
              <w:ind w:firstLine="480"/>
              <w:jc w:val="both"/>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根据上表</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可知</w:t>
            </w:r>
            <w:r>
              <w:rPr>
                <w:rFonts w:hint="eastAsia"/>
                <w:color w:val="000000" w:themeColor="text1"/>
                <w:sz w:val="24"/>
                <w:szCs w:val="24"/>
                <w:highlight w:val="none"/>
                <w:lang w:val="en-US" w:eastAsia="zh-CN"/>
                <w14:textFill>
                  <w14:solidFill>
                    <w14:schemeClr w14:val="tx1"/>
                  </w14:solidFill>
                </w14:textFill>
              </w:rPr>
              <w:t>，现有项目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有组织废气排放</w:t>
            </w:r>
            <w:r>
              <w:rPr>
                <w:rFonts w:hint="eastAsia"/>
                <w:color w:val="000000" w:themeColor="text1"/>
                <w:sz w:val="24"/>
                <w:szCs w:val="24"/>
                <w:highlight w:val="none"/>
                <w14:textFill>
                  <w14:solidFill>
                    <w14:schemeClr w14:val="tx1"/>
                  </w14:solidFill>
                </w14:textFill>
              </w:rPr>
              <w:t>符合《新疆维吾尔自治区工业炉窑大气污染综合治理实施方案》新大气发</w:t>
            </w:r>
            <w:r>
              <w:rPr>
                <w:rFonts w:hint="eastAsia"/>
                <w:color w:val="000000" w:themeColor="text1"/>
                <w:sz w:val="24"/>
                <w:szCs w:val="24"/>
                <w:highlight w:val="none"/>
                <w:lang w:eastAsia="zh-CN"/>
                <w14:textFill>
                  <w14:solidFill>
                    <w14:schemeClr w14:val="tx1"/>
                  </w14:solidFill>
                </w14:textFill>
              </w:rPr>
              <w:t>〔2019〕127号</w:t>
            </w:r>
            <w:r>
              <w:rPr>
                <w:rFonts w:hint="eastAsia"/>
                <w:color w:val="000000" w:themeColor="text1"/>
                <w:sz w:val="24"/>
                <w:szCs w:val="24"/>
                <w:highlight w:val="none"/>
                <w14:textFill>
                  <w14:solidFill>
                    <w14:schemeClr w14:val="tx1"/>
                  </w14:solidFill>
                </w14:textFill>
              </w:rPr>
              <w:t>中的颗粒物30mg/m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和《工业硅生产大气污染物排放标准》</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T/CNIA0123-2021</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表3中30mg/m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排放限值要求。无组织废气颗粒物排放浓度最大值</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0.688</w:t>
            </w:r>
            <w:r>
              <w:rPr>
                <w:rFonts w:hint="eastAsia"/>
                <w:color w:val="000000" w:themeColor="text1"/>
                <w:sz w:val="24"/>
                <w:szCs w:val="24"/>
                <w:highlight w:val="none"/>
                <w14:textFill>
                  <w14:solidFill>
                    <w14:schemeClr w14:val="tx1"/>
                  </w14:solidFill>
                </w14:textFill>
              </w:rPr>
              <w:t>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符合《工业硅生产大气污染物排放标准》</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T/CNIA0123-2021</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表4中的1mg/m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排放限值要求</w:t>
            </w:r>
          </w:p>
          <w:p w14:paraId="3B73B1D5">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2.14.2水环境影响回顾</w:t>
            </w:r>
          </w:p>
          <w:p w14:paraId="22AA8C07">
            <w:pPr>
              <w:pStyle w:val="53"/>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该项目废水主要为职工生活产生的生活污水，排入园区管网，最终进入</w:t>
            </w:r>
            <w:r>
              <w:rPr>
                <w:rFonts w:hint="eastAsia"/>
                <w:color w:val="000000" w:themeColor="text1"/>
                <w:highlight w:val="none"/>
                <w:lang w:val="en-US" w:eastAsia="zh-CN"/>
                <w14:textFill>
                  <w14:solidFill>
                    <w14:schemeClr w14:val="tx1"/>
                  </w14:solidFill>
                </w14:textFill>
              </w:rPr>
              <w:t>昌吉高新海天污水处理厂</w:t>
            </w:r>
            <w:r>
              <w:rPr>
                <w:rFonts w:hint="eastAsia"/>
                <w:color w:val="000000" w:themeColor="text1"/>
                <w:highlight w:val="none"/>
                <w14:textFill>
                  <w14:solidFill>
                    <w14:schemeClr w14:val="tx1"/>
                  </w14:solidFill>
                </w14:textFill>
              </w:rPr>
              <w:t>处置。</w:t>
            </w:r>
            <w:r>
              <w:rPr>
                <w:rFonts w:hint="eastAsia"/>
                <w:color w:val="000000" w:themeColor="text1"/>
                <w:highlight w:val="none"/>
                <w:lang w:val="en-US" w:eastAsia="zh-CN"/>
                <w14:textFill>
                  <w14:solidFill>
                    <w14:schemeClr w14:val="tx1"/>
                  </w14:solidFill>
                </w14:textFill>
              </w:rPr>
              <w:t>原有项目</w:t>
            </w:r>
            <w:r>
              <w:rPr>
                <w:rFonts w:hint="eastAsia"/>
                <w:color w:val="000000" w:themeColor="text1"/>
                <w:highlight w:val="none"/>
                <w14:textFill>
                  <w14:solidFill>
                    <w14:schemeClr w14:val="tx1"/>
                  </w14:solidFill>
                </w14:textFill>
              </w:rPr>
              <w:t>生产过程中主要使用循环冷却水，主要包括中频炉与铸件冷却水，该部分水循环使用不外排。</w:t>
            </w:r>
          </w:p>
          <w:p w14:paraId="60B69C9F">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8</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废水监测结果</w:t>
            </w:r>
          </w:p>
          <w:tbl>
            <w:tblPr>
              <w:tblStyle w:val="46"/>
              <w:tblW w:w="81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880"/>
              <w:gridCol w:w="988"/>
              <w:gridCol w:w="965"/>
              <w:gridCol w:w="1225"/>
              <w:gridCol w:w="1065"/>
              <w:gridCol w:w="1151"/>
              <w:gridCol w:w="618"/>
            </w:tblGrid>
            <w:tr w14:paraId="53875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568BFD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样品</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类型</w:t>
                  </w:r>
                </w:p>
              </w:tc>
              <w:tc>
                <w:tcPr>
                  <w:tcW w:w="6012" w:type="dxa"/>
                  <w:gridSpan w:val="6"/>
                  <w:tcBorders>
                    <w:top w:val="single" w:color="auto" w:sz="4" w:space="0"/>
                    <w:left w:val="single" w:color="auto" w:sz="4" w:space="0"/>
                    <w:bottom w:val="single" w:color="auto" w:sz="4" w:space="0"/>
                    <w:right w:val="single" w:color="auto" w:sz="4" w:space="0"/>
                  </w:tcBorders>
                  <w:noWrap w:val="0"/>
                  <w:vAlign w:val="center"/>
                </w:tcPr>
                <w:p w14:paraId="6A516BD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生活污水</w:t>
                  </w:r>
                </w:p>
              </w:tc>
            </w:tr>
            <w:tr w14:paraId="1FFFD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566F116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采程</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日期</w:t>
                  </w:r>
                </w:p>
              </w:tc>
              <w:tc>
                <w:tcPr>
                  <w:tcW w:w="1953" w:type="dxa"/>
                  <w:gridSpan w:val="2"/>
                  <w:tcBorders>
                    <w:top w:val="single" w:color="auto" w:sz="4" w:space="0"/>
                    <w:left w:val="single" w:color="auto" w:sz="4" w:space="0"/>
                    <w:bottom w:val="single" w:color="auto" w:sz="4" w:space="0"/>
                    <w:right w:val="single" w:color="auto" w:sz="4" w:space="0"/>
                  </w:tcBorders>
                  <w:noWrap w:val="0"/>
                  <w:vAlign w:val="center"/>
                </w:tcPr>
                <w:p w14:paraId="0FEE86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2024年2月21日-22日</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384622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分析日期</w:t>
                  </w:r>
                </w:p>
              </w:tc>
              <w:tc>
                <w:tcPr>
                  <w:tcW w:w="2834" w:type="dxa"/>
                  <w:gridSpan w:val="3"/>
                  <w:tcBorders>
                    <w:top w:val="single" w:color="auto" w:sz="4" w:space="0"/>
                    <w:left w:val="single" w:color="auto" w:sz="4" w:space="0"/>
                    <w:bottom w:val="single" w:color="auto" w:sz="4" w:space="0"/>
                    <w:right w:val="single" w:color="auto" w:sz="4" w:space="0"/>
                  </w:tcBorders>
                  <w:noWrap w:val="0"/>
                  <w:vAlign w:val="center"/>
                </w:tcPr>
                <w:p w14:paraId="0494760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2024年2月22日-28日</w:t>
                  </w:r>
                </w:p>
              </w:tc>
            </w:tr>
            <w:tr w14:paraId="41481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716C5576">
                  <w:pPr>
                    <w:pStyle w:val="44"/>
                    <w:keepNext w:val="0"/>
                    <w:keepLines w:val="0"/>
                    <w:pageBreakBefore w:val="0"/>
                    <w:wordWrap/>
                    <w:overflowPunct/>
                    <w:topLinePunct w:val="0"/>
                    <w:bidi w:val="0"/>
                    <w:spacing w:line="240" w:lineRule="auto"/>
                    <w:ind w:left="0" w:right="0"/>
                    <w:jc w:val="cente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采样地点</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7C8A78B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污水总排口</w:t>
                  </w:r>
                </w:p>
                <w:p w14:paraId="326B995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9.5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8″</w:t>
                  </w:r>
                </w:p>
                <w:p w14:paraId="3131E818">
                  <w:pPr>
                    <w:pStyle w:val="44"/>
                    <w:keepNext w:val="0"/>
                    <w:keepLines w:val="0"/>
                    <w:pageBreakBefore w:val="0"/>
                    <w:wordWrap/>
                    <w:overflowPunct/>
                    <w:topLinePunct w:val="0"/>
                    <w:bidi w:val="0"/>
                    <w:spacing w:line="240" w:lineRule="auto"/>
                    <w:ind w:left="0" w:right="0" w:firstLine="149"/>
                    <w:jc w:val="cente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19.70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1151" w:type="dxa"/>
                  <w:vMerge w:val="restart"/>
                  <w:tcBorders>
                    <w:top w:val="single" w:color="auto" w:sz="4" w:space="0"/>
                    <w:left w:val="single" w:color="auto" w:sz="4" w:space="0"/>
                    <w:right w:val="single" w:color="auto" w:sz="4" w:space="0"/>
                  </w:tcBorders>
                  <w:noWrap w:val="0"/>
                  <w:vAlign w:val="center"/>
                </w:tcPr>
                <w:p w14:paraId="7F79E83B">
                  <w:pPr>
                    <w:pStyle w:val="44"/>
                    <w:keepNext w:val="0"/>
                    <w:keepLines w:val="0"/>
                    <w:pageBreakBefore w:val="0"/>
                    <w:wordWrap/>
                    <w:overflowPunct/>
                    <w:topLinePunct w:val="0"/>
                    <w:bidi w:val="0"/>
                    <w:spacing w:line="240" w:lineRule="auto"/>
                    <w:ind w:left="0" w:right="0"/>
                    <w:jc w:val="cente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《污水综合排放标准》(GB8978-1996)表4中的三级标准</w:t>
                  </w:r>
                </w:p>
              </w:tc>
              <w:tc>
                <w:tcPr>
                  <w:tcW w:w="618" w:type="dxa"/>
                  <w:vMerge w:val="restart"/>
                  <w:tcBorders>
                    <w:top w:val="single" w:color="auto" w:sz="4" w:space="0"/>
                    <w:left w:val="single" w:color="auto" w:sz="4" w:space="0"/>
                    <w:right w:val="single" w:color="auto" w:sz="4" w:space="0"/>
                  </w:tcBorders>
                  <w:noWrap w:val="0"/>
                  <w:vAlign w:val="center"/>
                </w:tcPr>
                <w:p w14:paraId="18E937EB">
                  <w:pPr>
                    <w:pStyle w:val="44"/>
                    <w:keepNext w:val="0"/>
                    <w:keepLines w:val="0"/>
                    <w:pageBreakBefore w:val="0"/>
                    <w:wordWrap/>
                    <w:overflowPunct/>
                    <w:topLinePunct w:val="0"/>
                    <w:bidi w:val="0"/>
                    <w:spacing w:line="240" w:lineRule="auto"/>
                    <w:ind w:left="0" w:right="0"/>
                    <w:jc w:val="cente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判定</w:t>
                  </w:r>
                </w:p>
              </w:tc>
            </w:tr>
            <w:tr w14:paraId="2E27A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7144894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样品编号</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02092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w:t>
                  </w: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31D670A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w:t>
                  </w: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-1-2</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249037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-1-3</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3AC559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w:t>
                  </w: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-1-4</w:t>
                  </w:r>
                </w:p>
              </w:tc>
              <w:tc>
                <w:tcPr>
                  <w:tcW w:w="1151" w:type="dxa"/>
                  <w:vMerge w:val="continue"/>
                  <w:tcBorders>
                    <w:left w:val="single" w:color="auto" w:sz="4" w:space="0"/>
                    <w:right w:val="single" w:color="auto" w:sz="4" w:space="0"/>
                  </w:tcBorders>
                  <w:noWrap w:val="0"/>
                  <w:vAlign w:val="center"/>
                </w:tcPr>
                <w:p w14:paraId="74370B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right w:val="single" w:color="auto" w:sz="4" w:space="0"/>
                  </w:tcBorders>
                  <w:noWrap w:val="0"/>
                  <w:vAlign w:val="center"/>
                </w:tcPr>
                <w:p w14:paraId="18D896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0140D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66F3B4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样品状态</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669BC37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浅灰色、有异味、有悬浮物</w:t>
                  </w:r>
                </w:p>
              </w:tc>
              <w:tc>
                <w:tcPr>
                  <w:tcW w:w="1151" w:type="dxa"/>
                  <w:vMerge w:val="continue"/>
                  <w:tcBorders>
                    <w:left w:val="single" w:color="auto" w:sz="4" w:space="0"/>
                    <w:right w:val="single" w:color="auto" w:sz="4" w:space="0"/>
                  </w:tcBorders>
                  <w:noWrap w:val="0"/>
                  <w:vAlign w:val="center"/>
                </w:tcPr>
                <w:p w14:paraId="13B517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right w:val="single" w:color="auto" w:sz="4" w:space="0"/>
                  </w:tcBorders>
                  <w:noWrap w:val="0"/>
                  <w:vAlign w:val="center"/>
                </w:tcPr>
                <w:p w14:paraId="6EFC1F0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5B279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67E905E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检熟</w:t>
                  </w:r>
                  <w:r>
                    <w:rPr>
                      <w:rFonts w:hint="eastAsia" w:ascii="Times New Roman" w:hAnsi="Times New Roman" w:cs="Times New Roman"/>
                      <w:snapToGrid w:val="0"/>
                      <w:color w:val="000000" w:themeColor="text1"/>
                      <w:spacing w:val="-1"/>
                      <w:kern w:val="0"/>
                      <w:sz w:val="21"/>
                      <w:szCs w:val="21"/>
                      <w:highlight w:val="none"/>
                      <w:lang w:val="en-US" w:eastAsia="zh-CN" w:bidi="ar-SA"/>
                      <w14:textFill>
                        <w14:solidFill>
                          <w14:schemeClr w14:val="tx1"/>
                        </w14:solidFill>
                      </w14:textFill>
                    </w:rPr>
                    <w:t>项</w:t>
                  </w:r>
                  <w:bookmarkStart w:id="49" w:name="_GoBack"/>
                  <w:bookmarkEnd w:id="49"/>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5763227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单位</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298EAF2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检测结果</w:t>
                  </w:r>
                </w:p>
              </w:tc>
              <w:tc>
                <w:tcPr>
                  <w:tcW w:w="1151" w:type="dxa"/>
                  <w:vMerge w:val="continue"/>
                  <w:tcBorders>
                    <w:left w:val="single" w:color="auto" w:sz="4" w:space="0"/>
                    <w:bottom w:val="single" w:color="auto" w:sz="4" w:space="0"/>
                    <w:right w:val="single" w:color="auto" w:sz="4" w:space="0"/>
                  </w:tcBorders>
                  <w:noWrap w:val="0"/>
                  <w:vAlign w:val="center"/>
                </w:tcPr>
                <w:p w14:paraId="75C208D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bottom w:val="single" w:color="auto" w:sz="4" w:space="0"/>
                    <w:right w:val="single" w:color="auto" w:sz="4" w:space="0"/>
                  </w:tcBorders>
                  <w:noWrap w:val="0"/>
                  <w:vAlign w:val="center"/>
                </w:tcPr>
                <w:p w14:paraId="14D12A4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263D4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30506DB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化学需氧量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160F8C5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CAAF26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87</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7999D9E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103</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5C4D0E0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92</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1E5515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51BEBB3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500mg/L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3452EC0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30038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1BC1FAD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五日生化需氧量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629C87C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8DD11C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31.2</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307BC4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35.8</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67F1650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33.2</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249A95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34.0</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646420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4CD26F5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237D4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5ACE40E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悬浮物</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0D70763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07012A4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152</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122040F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153</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B75D31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154</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507A45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155</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39EC9F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400mg/L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12D2034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68CBB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7BE2632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氦氮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1C35A7F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5EE0598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0.030</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7815253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0.039</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0D6F4D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0.041</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07548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0.029</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C922D8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5A6BC87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w:t>
                  </w:r>
                </w:p>
              </w:tc>
            </w:tr>
            <w:tr w14:paraId="231D7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456D053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动植物油</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5C0419B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67C4E6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9.94</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5511A6C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9.45</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D1B23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8.95</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19C202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9.08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579F60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084D816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5E0A0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52E0C27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样品编号</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58FD0E5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2379A1C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-2-2</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7F7881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-2-3</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B1B2C7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-2-4</w:t>
                  </w:r>
                </w:p>
              </w:tc>
              <w:tc>
                <w:tcPr>
                  <w:tcW w:w="1151" w:type="dxa"/>
                  <w:vMerge w:val="restart"/>
                  <w:tcBorders>
                    <w:top w:val="single" w:color="auto" w:sz="4" w:space="0"/>
                    <w:left w:val="single" w:color="auto" w:sz="4" w:space="0"/>
                    <w:right w:val="single" w:color="auto" w:sz="4" w:space="0"/>
                  </w:tcBorders>
                  <w:noWrap w:val="0"/>
                  <w:vAlign w:val="center"/>
                </w:tcPr>
                <w:p w14:paraId="1E08AC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《污水综合排放标准》(GB8978-1996)表4中的三级标准</w:t>
                  </w:r>
                </w:p>
              </w:tc>
              <w:tc>
                <w:tcPr>
                  <w:tcW w:w="618" w:type="dxa"/>
                  <w:vMerge w:val="restart"/>
                  <w:tcBorders>
                    <w:top w:val="single" w:color="auto" w:sz="4" w:space="0"/>
                    <w:left w:val="single" w:color="auto" w:sz="4" w:space="0"/>
                    <w:right w:val="single" w:color="auto" w:sz="4" w:space="0"/>
                  </w:tcBorders>
                  <w:noWrap w:val="0"/>
                  <w:vAlign w:val="center"/>
                </w:tcPr>
                <w:p w14:paraId="6C7EFF2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判定</w:t>
                  </w:r>
                </w:p>
              </w:tc>
            </w:tr>
            <w:tr w14:paraId="31812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4EC68A2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样品状态</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1CF4FD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浅灰色、有异味、有悬浮物</w:t>
                  </w:r>
                </w:p>
              </w:tc>
              <w:tc>
                <w:tcPr>
                  <w:tcW w:w="1151" w:type="dxa"/>
                  <w:vMerge w:val="continue"/>
                  <w:tcBorders>
                    <w:left w:val="single" w:color="auto" w:sz="4" w:space="0"/>
                    <w:right w:val="single" w:color="auto" w:sz="4" w:space="0"/>
                  </w:tcBorders>
                  <w:noWrap w:val="0"/>
                  <w:vAlign w:val="center"/>
                </w:tcPr>
                <w:p w14:paraId="0092E1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right w:val="single" w:color="auto" w:sz="4" w:space="0"/>
                  </w:tcBorders>
                  <w:noWrap w:val="0"/>
                  <w:vAlign w:val="center"/>
                </w:tcPr>
                <w:p w14:paraId="41CB55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395F3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7C21989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检测项目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61670C8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单位</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66130B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检测结果</w:t>
                  </w:r>
                </w:p>
              </w:tc>
              <w:tc>
                <w:tcPr>
                  <w:tcW w:w="1151" w:type="dxa"/>
                  <w:vMerge w:val="continue"/>
                  <w:tcBorders>
                    <w:left w:val="single" w:color="auto" w:sz="4" w:space="0"/>
                    <w:bottom w:val="single" w:color="auto" w:sz="4" w:space="0"/>
                    <w:right w:val="single" w:color="auto" w:sz="4" w:space="0"/>
                  </w:tcBorders>
                  <w:noWrap w:val="0"/>
                  <w:vAlign w:val="center"/>
                </w:tcPr>
                <w:p w14:paraId="62CDE5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bottom w:val="single" w:color="auto" w:sz="4" w:space="0"/>
                    <w:right w:val="single" w:color="auto" w:sz="4" w:space="0"/>
                  </w:tcBorders>
                  <w:noWrap w:val="0"/>
                  <w:vAlign w:val="center"/>
                </w:tcPr>
                <w:p w14:paraId="3EEF9B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2BD09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2DEBC4A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化学需氧量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76B5B3B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271F3B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26D5D4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96</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571CD48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106</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3C0F0E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89</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9D4B5C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500mg/L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144D842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44864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0088965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五日生化需氧量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38AA369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A0C8D7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35.1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64C0E5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33.4</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E41D8D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36.5</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DF5283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32.4</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22C3E15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33DBAAB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40020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02EFD21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悬浮物</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4273B68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59C8AE2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154</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153351F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156</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3E1C42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151</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B78B46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153</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7DA726D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400mg/L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4560684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11306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4C01878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氨氮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1474F8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41932E8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0.036</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581EC7A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0.028</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4FD5D7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0.033</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4278D3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F29B68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474D185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w:t>
                  </w:r>
                </w:p>
              </w:tc>
            </w:tr>
            <w:tr w14:paraId="5E86A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1A2C673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动植物油</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42D17F4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1E47957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9.29</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7AEC89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9.29</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0B319C3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8.99</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A34B6D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9.48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04ECC6E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60D857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bl>
          <w:p w14:paraId="3045BF05">
            <w:pPr>
              <w:pStyle w:val="53"/>
              <w:bidi w:val="0"/>
              <w:rPr>
                <w:color w:val="000000" w:themeColor="text1"/>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根据上表</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可知</w:t>
            </w:r>
            <w:r>
              <w:rPr>
                <w:rFonts w:hint="eastAsia"/>
                <w:color w:val="000000" w:themeColor="text1"/>
                <w:sz w:val="24"/>
                <w:szCs w:val="24"/>
                <w:highlight w:val="none"/>
                <w:lang w:val="en-US" w:eastAsia="zh-CN"/>
                <w14:textFill>
                  <w14:solidFill>
                    <w14:schemeClr w14:val="tx1"/>
                  </w14:solidFill>
                </w14:textFill>
              </w:rPr>
              <w:t>原有项目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污水总排口主要污染物</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pH及化学需氧量、悬浮物、五日生化需氧量、动植物油、氨氮）排放浓度日均值符合《污水综合排放标准》</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GB8978-1996</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表2中三级标准。</w:t>
            </w:r>
          </w:p>
          <w:p w14:paraId="170A83E7">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2.14.3声环境影响回顾</w:t>
            </w:r>
          </w:p>
          <w:p w14:paraId="760873FD">
            <w:pPr>
              <w:pStyle w:val="5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原有项目</w:t>
            </w:r>
            <w:r>
              <w:rPr>
                <w:rFonts w:hint="eastAsia"/>
                <w:color w:val="000000" w:themeColor="text1"/>
                <w:highlight w:val="none"/>
                <w14:textFill>
                  <w14:solidFill>
                    <w14:schemeClr w14:val="tx1"/>
                  </w14:solidFill>
                </w14:textFill>
              </w:rPr>
              <w:t>运营期噪声源主要有行车吊、电频炉及人工破碎工序，噪声源强在70~80dB</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。通过对设备的隔声防护措施，减少对环境的影响。</w:t>
            </w:r>
            <w:r>
              <w:rPr>
                <w:rFonts w:hint="eastAsia"/>
                <w:color w:val="000000" w:themeColor="text1"/>
                <w:highlight w:val="none"/>
                <w:lang w:val="en-US" w:eastAsia="zh-CN"/>
                <w14:textFill>
                  <w14:solidFill>
                    <w14:schemeClr w14:val="tx1"/>
                  </w14:solidFill>
                </w14:textFill>
              </w:rPr>
              <w:t>原有项目</w:t>
            </w:r>
            <w:r>
              <w:rPr>
                <w:rFonts w:hint="eastAsia"/>
                <w:color w:val="000000" w:themeColor="text1"/>
                <w:highlight w:val="none"/>
                <w14:textFill>
                  <w14:solidFill>
                    <w14:schemeClr w14:val="tx1"/>
                  </w14:solidFill>
                </w14:textFill>
              </w:rPr>
              <w:t>采用先进的低噪声、振动小的生产设备</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安排合理生产时间，破碎工段不在夜间进行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加强设备保养、维护，对机械设备定期加润滑油进行维护</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加强管理，文明施工</w:t>
            </w:r>
            <w:r>
              <w:rPr>
                <w:rFonts w:hint="eastAsia"/>
                <w:color w:val="000000" w:themeColor="text1"/>
                <w:highlight w:val="none"/>
                <w:lang w:eastAsia="zh-CN"/>
                <w14:textFill>
                  <w14:solidFill>
                    <w14:schemeClr w14:val="tx1"/>
                  </w14:solidFill>
                </w14:textFill>
              </w:rPr>
              <w:t>操作</w:t>
            </w:r>
            <w:r>
              <w:rPr>
                <w:rFonts w:hint="eastAsia"/>
                <w:color w:val="000000" w:themeColor="text1"/>
                <w:highlight w:val="none"/>
                <w14:textFill>
                  <w14:solidFill>
                    <w14:schemeClr w14:val="tx1"/>
                  </w14:solidFill>
                </w14:textFill>
              </w:rPr>
              <w:t>，装卸货物时轻拿轻放等措施降低项目区噪声对周边环境的影响。</w:t>
            </w:r>
          </w:p>
          <w:p w14:paraId="11CF44E4">
            <w:pPr>
              <w:pStyle w:val="53"/>
              <w:bidi w:val="0"/>
              <w:rPr>
                <w:color w:val="000000" w:themeColor="text1"/>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《硅废粉回收再加工利用项目竣工环境保护验收监测表》可知</w:t>
            </w:r>
            <w:r>
              <w:rPr>
                <w:rFonts w:hint="eastAsia"/>
                <w:color w:val="000000" w:themeColor="text1"/>
                <w:sz w:val="24"/>
                <w:szCs w:val="24"/>
                <w:highlight w:val="none"/>
                <w:lang w:val="en-US" w:eastAsia="zh-CN"/>
                <w14:textFill>
                  <w14:solidFill>
                    <w14:schemeClr w14:val="tx1"/>
                  </w14:solidFill>
                </w14:textFill>
              </w:rPr>
              <w:t>原有项目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现有工程厂界四周噪声满足《工业企业厂界环境噪声排放标准》</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GB12348-2008</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中3类区限值的要求</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昼间65dB</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A</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，夜间55dB</w:t>
            </w:r>
            <w:r>
              <w:rPr>
                <w:rFonts w:hint="eastAsia"/>
                <w:color w:val="000000" w:themeColor="text1"/>
                <w:sz w:val="24"/>
                <w:szCs w:val="24"/>
                <w:highlight w:val="none"/>
                <w:lang w:val="en-US" w:eastAsia="zh-CN"/>
                <w14:textFill>
                  <w14:solidFill>
                    <w14:schemeClr w14:val="tx1"/>
                  </w14:solidFill>
                </w14:textFill>
              </w:rPr>
              <w:t>（A））</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w:t>
            </w:r>
          </w:p>
          <w:p w14:paraId="3D0951C7">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2.14.4固体废物环境影响回顾</w:t>
            </w:r>
          </w:p>
          <w:p w14:paraId="336A014B">
            <w:pPr>
              <w:pStyle w:val="53"/>
              <w:bidi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原有项目现有工程</w:t>
            </w:r>
            <w:r>
              <w:rPr>
                <w:rFonts w:hint="eastAsia"/>
                <w:color w:val="000000" w:themeColor="text1"/>
                <w:highlight w:val="none"/>
                <w14:textFill>
                  <w14:solidFill>
                    <w14:schemeClr w14:val="tx1"/>
                  </w14:solidFill>
                </w14:textFill>
              </w:rPr>
              <w:t>生活垃圾由垃圾袋装收集后委托市政环卫部门统一处置。固体废物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现有工程</w:t>
            </w:r>
            <w:r>
              <w:rPr>
                <w:rFonts w:hint="eastAsia"/>
                <w:color w:val="000000" w:themeColor="text1"/>
                <w:highlight w:val="none"/>
                <w14:textFill>
                  <w14:solidFill>
                    <w14:schemeClr w14:val="tx1"/>
                  </w14:solidFill>
                </w14:textFill>
              </w:rPr>
              <w:t>产生的一般固体废物主要是</w:t>
            </w:r>
            <w:r>
              <w:rPr>
                <w:rFonts w:hint="eastAsia"/>
                <w:color w:val="000000" w:themeColor="text1"/>
                <w:highlight w:val="none"/>
                <w:lang w:eastAsia="zh-CN"/>
                <w14:textFill>
                  <w14:solidFill>
                    <w14:schemeClr w14:val="tx1"/>
                  </w14:solidFill>
                </w14:textFill>
              </w:rPr>
              <w:t>熔炼</w:t>
            </w:r>
            <w:r>
              <w:rPr>
                <w:rFonts w:hint="eastAsia"/>
                <w:color w:val="000000" w:themeColor="text1"/>
                <w:highlight w:val="none"/>
                <w14:textFill>
                  <w14:solidFill>
                    <w14:schemeClr w14:val="tx1"/>
                  </w14:solidFill>
                </w14:textFill>
              </w:rPr>
              <w:t>硅渣和硅灰，均在一般工业固废暂存间内暂存，作为建材材料外售给建筑材料加工单位</w:t>
            </w:r>
            <w:r>
              <w:rPr>
                <w:rFonts w:hint="eastAsia"/>
                <w:color w:val="000000" w:themeColor="text1"/>
                <w:highlight w:val="none"/>
                <w:lang w:eastAsia="zh-CN"/>
                <w14:textFill>
                  <w14:solidFill>
                    <w14:schemeClr w14:val="tx1"/>
                  </w14:solidFill>
                </w14:textFill>
              </w:rPr>
              <w:t>。</w:t>
            </w:r>
          </w:p>
          <w:p w14:paraId="386D6385">
            <w:pPr>
              <w:pStyle w:val="53"/>
              <w:bidi w:val="0"/>
              <w:rPr>
                <w:rFonts w:hint="default"/>
                <w:color w:val="000000" w:themeColor="text1"/>
                <w:highlight w:val="none"/>
                <w:lang w:val="en-US"/>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《硅废粉回收再加工利用项目竣工环境保护验收监测表》可知</w:t>
            </w:r>
            <w:r>
              <w:rPr>
                <w:rFonts w:hint="eastAsia"/>
                <w:color w:val="000000" w:themeColor="text1"/>
                <w:highlight w:val="none"/>
                <w:lang w:val="en-US" w:eastAsia="zh-CN"/>
                <w14:textFill>
                  <w14:solidFill>
                    <w14:schemeClr w14:val="tx1"/>
                  </w14:solidFill>
                </w14:textFill>
              </w:rPr>
              <w:t>原有项目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现有工程固体废物均得到妥善处置。</w:t>
            </w:r>
          </w:p>
          <w:p w14:paraId="2BFBDB43">
            <w:pPr>
              <w:pStyle w:val="3"/>
              <w:bidi w:val="0"/>
              <w:rPr>
                <w:rFonts w:hint="eastAsia" w:ascii="Times New Roman" w:hAnsi="Times New Roman" w:eastAsia="宋体"/>
                <w:color w:val="000000" w:themeColor="text1"/>
                <w:sz w:val="24"/>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2.15、现有工程</w:t>
            </w:r>
            <w:r>
              <w:rPr>
                <w:rFonts w:hint="eastAsia"/>
                <w:color w:val="000000" w:themeColor="text1"/>
                <w:highlight w:val="none"/>
                <w14:textFill>
                  <w14:solidFill>
                    <w14:schemeClr w14:val="tx1"/>
                  </w14:solidFill>
                </w14:textFill>
              </w:rPr>
              <w:t>存在的</w:t>
            </w:r>
            <w:r>
              <w:rPr>
                <w:color w:val="000000" w:themeColor="text1"/>
                <w:highlight w:val="none"/>
                <w14:textFill>
                  <w14:solidFill>
                    <w14:schemeClr w14:val="tx1"/>
                  </w14:solidFill>
                </w14:textFill>
              </w:rPr>
              <w:t>环境问题</w:t>
            </w:r>
            <w:r>
              <w:rPr>
                <w:rFonts w:hint="eastAsia"/>
                <w:color w:val="000000" w:themeColor="text1"/>
                <w:highlight w:val="none"/>
                <w:lang w:val="en-US" w:eastAsia="zh-CN"/>
                <w14:textFill>
                  <w14:solidFill>
                    <w14:schemeClr w14:val="tx1"/>
                  </w14:solidFill>
                </w14:textFill>
              </w:rPr>
              <w:t>及整改措施</w:t>
            </w:r>
          </w:p>
          <w:p w14:paraId="74980FEF">
            <w:pPr>
              <w:pStyle w:val="54"/>
              <w:bidi w:val="0"/>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（1）根据现场调查与建设单位提供的资料，现有工程主要环境问题为：</w:t>
            </w:r>
          </w:p>
          <w:p w14:paraId="6AF8E1AD">
            <w:pPr>
              <w:pStyle w:val="53"/>
              <w:bidi w:val="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①通过查阅企业排污许可公示公开信息，发现企业未申报排污许可证，缺失企业自行监测信息资料，未按要求开展自行监测。根据《排污许可管理条例》（中华人民共</w:t>
            </w:r>
            <w:r>
              <w:rPr>
                <w:rFonts w:hint="eastAsia"/>
                <w:color w:val="000000" w:themeColor="text1"/>
                <w:highlight w:val="none"/>
                <w14:textFill>
                  <w14:solidFill>
                    <w14:schemeClr w14:val="tx1"/>
                  </w14:solidFill>
                </w14:textFill>
              </w:rPr>
              <w:t>和国国务院令 第736号）要求，排污单位应当按照排污许可证规定和有关标准规范，依法开展自行监测，并保存原始监测记录。原始监测记录保存期限不得少于5年。根据现场勘查，企业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硅废粉回收再加工利用项目</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未按排污许可证管理要求开展自行监测。</w:t>
            </w:r>
          </w:p>
          <w:p w14:paraId="71A9436E">
            <w:pPr>
              <w:pStyle w:val="53"/>
              <w:shd w:val="clear" w:color="auto" w:fill="auto"/>
              <w:bidi w:val="0"/>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②根据</w:t>
            </w:r>
            <w:r>
              <w:rPr>
                <w:rFonts w:hint="eastAsia"/>
                <w:color w:val="000000" w:themeColor="text1"/>
                <w:highlight w:val="none"/>
                <w14:textFill>
                  <w14:solidFill>
                    <w14:schemeClr w14:val="tx1"/>
                  </w14:solidFill>
                </w14:textFill>
              </w:rPr>
              <w:t>《突发环境事件应急预案管理暂行办法》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环发〔2010〕113号</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要求，突发环境事件应急预案每三年至少修订一次。企业暂未编制突发环境事件应急预</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案。</w:t>
            </w:r>
          </w:p>
          <w:p w14:paraId="5BAB10A0">
            <w:pPr>
              <w:pStyle w:val="53"/>
              <w:shd w:val="clear" w:color="auto" w:fill="auto"/>
              <w:bidi w:val="0"/>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（2）本次工程整改措施</w:t>
            </w:r>
          </w:p>
          <w:p w14:paraId="6918DDC3">
            <w:pPr>
              <w:pStyle w:val="53"/>
              <w:shd w:val="clear" w:color="auto" w:fill="auto"/>
              <w:bidi w:val="0"/>
              <w:rPr>
                <w:rFonts w:hint="eastAsia"/>
                <w:color w:val="000000" w:themeColor="text1"/>
                <w:sz w:val="24"/>
                <w:szCs w:val="32"/>
                <w:highlight w:val="none"/>
                <w14:textFill>
                  <w14:solidFill>
                    <w14:schemeClr w14:val="tx1"/>
                  </w14:solidFill>
                </w14:textFill>
              </w:rPr>
            </w:pP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①要求企业</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尽</w:t>
            </w:r>
            <w:r>
              <w:rPr>
                <w:rFonts w:hint="eastAsia"/>
                <w:color w:val="000000" w:themeColor="text1"/>
                <w:sz w:val="24"/>
                <w:szCs w:val="32"/>
                <w:highlight w:val="none"/>
                <w14:textFill>
                  <w14:solidFill>
                    <w14:schemeClr w14:val="tx1"/>
                  </w14:solidFill>
                </w14:textFill>
              </w:rPr>
              <w:t>快按照行</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业相关</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fldChar w:fldCharType="begin"/>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instrText xml:space="preserve"> HYPERLINK "https://permit.mee.gov.cn/perxxgkinfo/syssb/xkgg/xkgg!getNewsDetail.action?pkid=91eb0296-24c7-483b-bbf0-7a533c9f99fb" </w:instrTex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fldChar w:fldCharType="separate"/>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排污许可证申请与核发技术规范</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fldChar w:fldCharType="end"/>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w:t>
            </w:r>
            <w:r>
              <w:rPr>
                <w:rFonts w:hint="eastAsia" w:cs="Times New Roman"/>
                <w:color w:val="000000" w:themeColor="text1"/>
                <w:sz w:val="24"/>
                <w:szCs w:val="32"/>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建成运行前，需要按照《排污许可管理条例》中的相关要求，及时重新申请取得排污许可证，项目未取得排污许可证前不得投入生产。</w:t>
            </w:r>
          </w:p>
          <w:p w14:paraId="30332F9C">
            <w:pPr>
              <w:spacing w:line="360" w:lineRule="auto"/>
              <w:ind w:firstLine="480" w:firstLineChars="200"/>
              <w:rPr>
                <w:rFonts w:hint="eastAsia"/>
                <w:color w:val="000000" w:themeColor="text1"/>
                <w:sz w:val="24"/>
                <w:szCs w:val="32"/>
                <w:highlight w:val="none"/>
                <w14:textFill>
                  <w14:solidFill>
                    <w14:schemeClr w14:val="tx1"/>
                  </w14:solidFill>
                </w14:textFill>
              </w:rPr>
            </w:pPr>
            <w:r>
              <w:rPr>
                <w:rFonts w:hint="eastAsia"/>
                <w:color w:val="000000" w:themeColor="text1"/>
                <w:sz w:val="24"/>
                <w:szCs w:val="32"/>
                <w:highlight w:val="none"/>
                <w:lang w:val="en-US" w:eastAsia="zh-CN"/>
                <w14:textFill>
                  <w14:solidFill>
                    <w14:schemeClr w14:val="tx1"/>
                  </w14:solidFill>
                </w14:textFill>
              </w:rPr>
              <w:t>②</w:t>
            </w:r>
            <w:r>
              <w:rPr>
                <w:rFonts w:hint="eastAsia"/>
                <w:color w:val="000000" w:themeColor="text1"/>
                <w:sz w:val="24"/>
                <w:szCs w:val="32"/>
                <w:highlight w:val="none"/>
                <w14:textFill>
                  <w14:solidFill>
                    <w14:schemeClr w14:val="tx1"/>
                  </w14:solidFill>
                </w14:textFill>
              </w:rPr>
              <w:t>根据排污许可证管理要求，</w:t>
            </w:r>
            <w:r>
              <w:rPr>
                <w:rFonts w:hint="eastAsia"/>
                <w:color w:val="000000" w:themeColor="text1"/>
                <w:sz w:val="24"/>
                <w:szCs w:val="32"/>
                <w:highlight w:val="none"/>
                <w:lang w:val="en-US" w:eastAsia="zh-CN"/>
                <w14:textFill>
                  <w14:solidFill>
                    <w14:schemeClr w14:val="tx1"/>
                  </w14:solidFill>
                </w14:textFill>
              </w:rPr>
              <w:t>制定</w:t>
            </w:r>
            <w:r>
              <w:rPr>
                <w:rFonts w:hint="eastAsia"/>
                <w:color w:val="000000" w:themeColor="text1"/>
                <w:sz w:val="24"/>
                <w:szCs w:val="32"/>
                <w:highlight w:val="none"/>
                <w14:textFill>
                  <w14:solidFill>
                    <w14:schemeClr w14:val="tx1"/>
                  </w14:solidFill>
                </w14:textFill>
              </w:rPr>
              <w:t>自行监测计划并委托第三方环境监测机构定期开展自行监测，</w:t>
            </w:r>
            <w:r>
              <w:rPr>
                <w:color w:val="000000" w:themeColor="text1"/>
                <w:sz w:val="24"/>
                <w:szCs w:val="32"/>
                <w:highlight w:val="none"/>
                <w14:textFill>
                  <w14:solidFill>
                    <w14:schemeClr w14:val="tx1"/>
                  </w14:solidFill>
                </w14:textFill>
              </w:rPr>
              <w:t>并保存原始监测记录</w:t>
            </w:r>
            <w:r>
              <w:rPr>
                <w:rFonts w:hint="eastAsia"/>
                <w:color w:val="000000" w:themeColor="text1"/>
                <w:sz w:val="24"/>
                <w:szCs w:val="32"/>
                <w:highlight w:val="none"/>
                <w14:textFill>
                  <w14:solidFill>
                    <w14:schemeClr w14:val="tx1"/>
                  </w14:solidFill>
                </w14:textFill>
              </w:rPr>
              <w:t>。</w:t>
            </w:r>
          </w:p>
          <w:p w14:paraId="4BE63CF3">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r>
              <w:rPr>
                <w:rFonts w:hint="eastAsia" w:cs="Times New Roman"/>
                <w:color w:val="000000" w:themeColor="text1"/>
                <w:kern w:val="0"/>
                <w:sz w:val="24"/>
                <w:highlight w:val="none"/>
                <w:lang w:val="en-US" w:eastAsia="zh-CN"/>
                <w14:textFill>
                  <w14:solidFill>
                    <w14:schemeClr w14:val="tx1"/>
                  </w14:solidFill>
                </w14:textFill>
              </w:rPr>
              <w:t>③</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kern w:val="0"/>
                <w:sz w:val="24"/>
                <w:highlight w:val="none"/>
                <w14:textFill>
                  <w14:solidFill>
                    <w14:schemeClr w14:val="tx1"/>
                  </w14:solidFill>
                </w14:textFill>
              </w:rPr>
              <w:t>《突发环境事件应急预案管理暂行办法》</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r>
              <w:rPr>
                <w:rFonts w:ascii="Times New Roman" w:hAnsi="Times New Roman" w:eastAsia="宋体" w:cs="Times New Roman"/>
                <w:color w:val="000000" w:themeColor="text1"/>
                <w:kern w:val="0"/>
                <w:sz w:val="24"/>
                <w:highlight w:val="none"/>
                <w14:textFill>
                  <w14:solidFill>
                    <w14:schemeClr w14:val="tx1"/>
                  </w14:solidFill>
                </w14:textFill>
              </w:rPr>
              <w:t>环发〔2010〕113号</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要求，</w:t>
            </w:r>
            <w:r>
              <w:rPr>
                <w:rFonts w:hint="eastAsia" w:cs="Times New Roman"/>
                <w:color w:val="000000" w:themeColor="text1"/>
                <w:kern w:val="0"/>
                <w:sz w:val="24"/>
                <w:highlight w:val="none"/>
                <w:lang w:val="en-US" w:eastAsia="zh-CN"/>
                <w14:textFill>
                  <w14:solidFill>
                    <w14:schemeClr w14:val="tx1"/>
                  </w14:solidFill>
                </w14:textFill>
              </w:rPr>
              <w:t>本项目环评批复后，应开展突发环境事件应急预案编制工作</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，内容应包含</w:t>
            </w:r>
            <w:r>
              <w:rPr>
                <w:rFonts w:hint="eastAsia" w:cs="Times New Roman"/>
                <w:color w:val="000000" w:themeColor="text1"/>
                <w:kern w:val="0"/>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项目和本次扩建项目，并报生态环境局备案。</w:t>
            </w:r>
          </w:p>
          <w:p w14:paraId="1B6A264E">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470B2DFD">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0072E886">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F35C912">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5FADB33">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03FE155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31D8825D">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BA7742B">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12EE5C27">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0EE65C99">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6DA8621">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AB0C440">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26665069">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0C34DEA">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798C1AF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FFCDB3B">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C03E8C8">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2C8A7FCA">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1BD00B6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22FD1A5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97544AC">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79538B5E">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16A68BB5">
            <w:pPr>
              <w:spacing w:line="360" w:lineRule="auto"/>
              <w:ind w:firstLine="480" w:firstLineChars="200"/>
              <w:textAlignment w:val="baseline"/>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pPr>
          </w:p>
        </w:tc>
      </w:tr>
    </w:tbl>
    <w:p w14:paraId="7D63D28C">
      <w:pPr>
        <w:widowControl/>
        <w:jc w:val="left"/>
        <w:rPr>
          <w:rFonts w:hint="default" w:ascii="Times New Roman" w:hAnsi="Times New Roman" w:eastAsia="黑体" w:cs="Times New Roman"/>
          <w:color w:val="000000" w:themeColor="text1"/>
          <w:w w:val="100"/>
          <w:position w:val="0"/>
          <w:sz w:val="20"/>
          <w:szCs w:val="2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3B1D2141">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3" w:name="_Toc5920"/>
      <w:r>
        <w:rPr>
          <w:rFonts w:hint="default" w:ascii="Times New Roman" w:hAnsi="Times New Roman" w:cs="Times New Roman"/>
          <w:color w:val="000000" w:themeColor="text1"/>
          <w:w w:val="100"/>
          <w:position w:val="0"/>
          <w:highlight w:val="none"/>
          <w14:textFill>
            <w14:solidFill>
              <w14:schemeClr w14:val="tx1"/>
            </w14:solidFill>
          </w14:textFill>
        </w:rPr>
        <w:t>区域环境质量现状、环境保护目标及评价标准</w:t>
      </w:r>
      <w:bookmarkEnd w:id="3"/>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813"/>
      </w:tblGrid>
      <w:tr w14:paraId="4EE48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vAlign w:val="center"/>
          </w:tcPr>
          <w:p w14:paraId="16B39EDE">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区域</w:t>
            </w:r>
          </w:p>
          <w:p w14:paraId="0A777DB6">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环境</w:t>
            </w:r>
          </w:p>
          <w:p w14:paraId="1E0F3D47">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质量</w:t>
            </w:r>
          </w:p>
          <w:p w14:paraId="6015254E">
            <w:pPr>
              <w:pageBreakBefore w:val="0"/>
              <w:shd w:val="clear" w:color="auto" w:fill="auto"/>
              <w:bidi w:val="0"/>
              <w:adjustRightInd w:val="0"/>
              <w:snapToGrid w:val="0"/>
              <w:spacing w:beforeAutospacing="0" w:afterAutospacing="0"/>
              <w:ind w:left="0" w:leftChars="0" w:right="0" w:rightChars="0"/>
              <w:jc w:val="center"/>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现状</w:t>
            </w:r>
          </w:p>
        </w:tc>
        <w:tc>
          <w:tcPr>
            <w:tcW w:w="7592" w:type="dxa"/>
            <w:tcBorders>
              <w:tl2br w:val="nil"/>
              <w:tr2bl w:val="nil"/>
            </w:tcBorders>
            <w:vAlign w:val="center"/>
          </w:tcPr>
          <w:p w14:paraId="40608865">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环境空气质量现状调查与评价</w:t>
            </w:r>
          </w:p>
          <w:p w14:paraId="058FB8AC">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t>基本污染物环境质量现状情况</w:t>
            </w:r>
          </w:p>
          <w:p w14:paraId="4BA64D1B">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根据《建设项目环境影响报告表编制技术指南（污染影响类）（试行）》，本次评价选择</w:t>
            </w:r>
            <w:r>
              <w:rPr>
                <w:rFonts w:hint="eastAsia"/>
                <w:color w:val="000000" w:themeColor="text1"/>
                <w:spacing w:val="0"/>
                <w:w w:val="100"/>
                <w:sz w:val="24"/>
                <w:szCs w:val="24"/>
                <w:highlight w:val="none"/>
                <w:lang w:val="en-US" w:eastAsia="zh-CN"/>
                <w14:textFill>
                  <w14:solidFill>
                    <w14:schemeClr w14:val="tx1"/>
                  </w14:solidFill>
                </w14:textFill>
              </w:rPr>
              <w:t>距本项目12.9km</w:t>
            </w:r>
            <w:r>
              <w:rPr>
                <w:rFonts w:hint="eastAsia"/>
                <w:color w:val="000000" w:themeColor="text1"/>
                <w:spacing w:val="0"/>
                <w:w w:val="100"/>
                <w:sz w:val="24"/>
                <w:szCs w:val="24"/>
                <w:highlight w:val="none"/>
                <w14:textFill>
                  <w14:solidFill>
                    <w14:schemeClr w14:val="tx1"/>
                  </w14:solidFill>
                </w14:textFill>
              </w:rPr>
              <w:t>昌吉市</w:t>
            </w:r>
            <w:r>
              <w:rPr>
                <w:rFonts w:hint="eastAsia"/>
                <w:color w:val="000000" w:themeColor="text1"/>
                <w:spacing w:val="0"/>
                <w:w w:val="100"/>
                <w:sz w:val="24"/>
                <w:szCs w:val="24"/>
                <w:highlight w:val="none"/>
                <w:lang w:val="en-US" w:eastAsia="zh-CN"/>
                <w14:textFill>
                  <w14:solidFill>
                    <w14:schemeClr w14:val="tx1"/>
                  </w14:solidFill>
                </w14:textFill>
              </w:rPr>
              <w:t>新区政务中心</w:t>
            </w:r>
            <w:r>
              <w:rPr>
                <w:rFonts w:hint="eastAsia"/>
                <w:color w:val="000000" w:themeColor="text1"/>
                <w:spacing w:val="0"/>
                <w:w w:val="100"/>
                <w:sz w:val="24"/>
                <w:szCs w:val="24"/>
                <w:highlight w:val="none"/>
                <w14:textFill>
                  <w14:solidFill>
                    <w14:schemeClr w14:val="tx1"/>
                  </w14:solidFill>
                </w14:textFill>
              </w:rPr>
              <w:t>空气监测站点</w:t>
            </w:r>
            <w:r>
              <w:rPr>
                <w:rFonts w:hint="eastAsia"/>
                <w:color w:val="000000" w:themeColor="text1"/>
                <w:spacing w:val="0"/>
                <w:w w:val="100"/>
                <w:sz w:val="24"/>
                <w:szCs w:val="24"/>
                <w:highlight w:val="none"/>
                <w:lang w:val="en-US" w:eastAsia="zh-CN"/>
                <w14:textFill>
                  <w14:solidFill>
                    <w14:schemeClr w14:val="tx1"/>
                  </w14:solidFill>
                </w14:textFill>
              </w:rPr>
              <w:t>2024</w:t>
            </w:r>
            <w:r>
              <w:rPr>
                <w:rFonts w:hint="eastAsia"/>
                <w:color w:val="000000" w:themeColor="text1"/>
                <w:spacing w:val="0"/>
                <w:w w:val="100"/>
                <w:sz w:val="24"/>
                <w:szCs w:val="24"/>
                <w:highlight w:val="none"/>
                <w14:textFill>
                  <w14:solidFill>
                    <w14:schemeClr w14:val="tx1"/>
                  </w14:solidFill>
                </w14:textFill>
              </w:rPr>
              <w:t>年</w:t>
            </w:r>
            <w:r>
              <w:rPr>
                <w:color w:val="000000" w:themeColor="text1"/>
                <w:spacing w:val="0"/>
                <w:w w:val="100"/>
                <w:sz w:val="24"/>
                <w:szCs w:val="24"/>
                <w:highlight w:val="none"/>
                <w14:textFill>
                  <w14:solidFill>
                    <w14:schemeClr w14:val="tx1"/>
                  </w14:solidFill>
                </w14:textFill>
              </w:rPr>
              <w:t>的监测数据，作为本项目环境空气现状评价基本污染物SO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、NO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10</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2.5</w:t>
            </w:r>
            <w:r>
              <w:rPr>
                <w:color w:val="000000" w:themeColor="text1"/>
                <w:spacing w:val="0"/>
                <w:w w:val="100"/>
                <w:sz w:val="24"/>
                <w:szCs w:val="24"/>
                <w:highlight w:val="none"/>
                <w14:textFill>
                  <w14:solidFill>
                    <w14:schemeClr w14:val="tx1"/>
                  </w14:solidFill>
                </w14:textFill>
              </w:rPr>
              <w:t>、CO和O</w:t>
            </w:r>
            <w:r>
              <w:rPr>
                <w:color w:val="000000" w:themeColor="text1"/>
                <w:spacing w:val="0"/>
                <w:w w:val="100"/>
                <w:sz w:val="24"/>
                <w:szCs w:val="24"/>
                <w:highlight w:val="none"/>
                <w:vertAlign w:val="subscript"/>
                <w14:textFill>
                  <w14:solidFill>
                    <w14:schemeClr w14:val="tx1"/>
                  </w14:solidFill>
                </w14:textFill>
              </w:rPr>
              <w:t>3</w:t>
            </w:r>
            <w:r>
              <w:rPr>
                <w:color w:val="000000" w:themeColor="text1"/>
                <w:spacing w:val="0"/>
                <w:w w:val="100"/>
                <w:sz w:val="24"/>
                <w:szCs w:val="24"/>
                <w:highlight w:val="none"/>
                <w14:textFill>
                  <w14:solidFill>
                    <w14:schemeClr w14:val="tx1"/>
                  </w14:solidFill>
                </w14:textFill>
              </w:rPr>
              <w:t>的数据来源。</w:t>
            </w:r>
            <w:r>
              <w:rPr>
                <w:rFonts w:hint="eastAsia"/>
                <w:color w:val="000000" w:themeColor="text1"/>
                <w:spacing w:val="0"/>
                <w:w w:val="100"/>
                <w:sz w:val="24"/>
                <w:szCs w:val="24"/>
                <w:highlight w:val="none"/>
                <w14:textFill>
                  <w14:solidFill>
                    <w14:schemeClr w14:val="tx1"/>
                  </w14:solidFill>
                </w14:textFill>
              </w:rPr>
              <w:t>高新技术产业开发区</w:t>
            </w:r>
            <w:r>
              <w:rPr>
                <w:color w:val="000000" w:themeColor="text1"/>
                <w:spacing w:val="0"/>
                <w:w w:val="100"/>
                <w:sz w:val="24"/>
                <w:szCs w:val="24"/>
                <w:highlight w:val="none"/>
                <w14:textFill>
                  <w14:solidFill>
                    <w14:schemeClr w14:val="tx1"/>
                  </w14:solidFill>
                </w14:textFill>
              </w:rPr>
              <w:t>空气质量现状详见下表：</w:t>
            </w:r>
          </w:p>
          <w:p w14:paraId="131F444D">
            <w:pPr>
              <w:pStyle w:val="35"/>
              <w:keepNext w:val="0"/>
              <w:keepLines w:val="0"/>
              <w:pageBreakBefore w:val="0"/>
              <w:widowControl w:val="0"/>
              <w:kinsoku/>
              <w:wordWrap/>
              <w:overflowPunct/>
              <w:topLinePunct w:val="0"/>
              <w:autoSpaceDE/>
              <w:autoSpaceDN/>
              <w:bidi w:val="0"/>
              <w:adjustRightInd w:val="0"/>
              <w:snapToGrid w:val="0"/>
              <w:ind w:left="0" w:leftChars="0" w:right="0" w:rightChars="0"/>
              <w:rPr>
                <w:color w:val="000000" w:themeColor="text1"/>
                <w:spacing w:val="0"/>
                <w:w w:val="100"/>
                <w:highlight w:val="none"/>
                <w14:textFill>
                  <w14:solidFill>
                    <w14:schemeClr w14:val="tx1"/>
                  </w14:solidFill>
                </w14:textFill>
              </w:rPr>
            </w:pPr>
            <w:r>
              <w:rPr>
                <w:color w:val="000000" w:themeColor="text1"/>
                <w:spacing w:val="0"/>
                <w:w w:val="100"/>
                <w:highlight w:val="none"/>
                <w14:textFill>
                  <w14:solidFill>
                    <w14:schemeClr w14:val="tx1"/>
                  </w14:solidFill>
                </w14:textFill>
              </w:rPr>
              <w:t>表3-1</w:t>
            </w:r>
            <w:r>
              <w:rPr>
                <w:rFonts w:hint="eastAsia"/>
                <w:color w:val="000000" w:themeColor="text1"/>
                <w:spacing w:val="0"/>
                <w:w w:val="100"/>
                <w:highlight w:val="none"/>
                <w14:textFill>
                  <w14:solidFill>
                    <w14:schemeClr w14:val="tx1"/>
                  </w14:solidFill>
                </w14:textFill>
              </w:rPr>
              <w:t xml:space="preserve">  </w:t>
            </w:r>
            <w:r>
              <w:rPr>
                <w:color w:val="000000" w:themeColor="text1"/>
                <w:spacing w:val="0"/>
                <w:w w:val="100"/>
                <w:highlight w:val="none"/>
                <w14:textFill>
                  <w14:solidFill>
                    <w14:schemeClr w14:val="tx1"/>
                  </w14:solidFill>
                </w14:textFill>
              </w:rPr>
              <w:t xml:space="preserve">  区域空气质量现状评价表</w:t>
            </w:r>
          </w:p>
          <w:tbl>
            <w:tblPr>
              <w:tblStyle w:val="21"/>
              <w:tblW w:w="4996" w:type="pct"/>
              <w:tblInd w:w="0" w:type="dxa"/>
              <w:tblLayout w:type="autofit"/>
              <w:tblCellMar>
                <w:top w:w="0" w:type="dxa"/>
                <w:left w:w="108" w:type="dxa"/>
                <w:bottom w:w="0" w:type="dxa"/>
                <w:right w:w="108" w:type="dxa"/>
              </w:tblCellMar>
            </w:tblPr>
            <w:tblGrid>
              <w:gridCol w:w="761"/>
              <w:gridCol w:w="2995"/>
              <w:gridCol w:w="1009"/>
              <w:gridCol w:w="1033"/>
              <w:gridCol w:w="851"/>
              <w:gridCol w:w="942"/>
            </w:tblGrid>
            <w:tr w14:paraId="11A6F775">
              <w:tblPrEx>
                <w:tblCellMar>
                  <w:top w:w="0" w:type="dxa"/>
                  <w:left w:w="108" w:type="dxa"/>
                  <w:bottom w:w="0" w:type="dxa"/>
                  <w:right w:w="108" w:type="dxa"/>
                </w:tblCellMar>
              </w:tblPrEx>
              <w:trPr>
                <w:trHeight w:val="605" w:hRule="atLeast"/>
              </w:trPr>
              <w:tc>
                <w:tcPr>
                  <w:tcW w:w="501" w:type="pct"/>
                  <w:tcBorders>
                    <w:top w:val="single" w:color="000000" w:sz="12" w:space="0"/>
                    <w:left w:val="nil"/>
                    <w:bottom w:val="single" w:color="auto" w:sz="2" w:space="0"/>
                    <w:right w:val="single" w:color="auto" w:sz="2" w:space="0"/>
                  </w:tcBorders>
                  <w:shd w:val="clear" w:color="auto" w:fill="FFFFFF"/>
                  <w:noWrap w:val="0"/>
                  <w:vAlign w:val="center"/>
                </w:tcPr>
                <w:p w14:paraId="08F1754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污染物</w:t>
                  </w:r>
                </w:p>
              </w:tc>
              <w:tc>
                <w:tcPr>
                  <w:tcW w:w="1971"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67E8215A">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评价指标</w:t>
                  </w:r>
                </w:p>
              </w:tc>
              <w:tc>
                <w:tcPr>
                  <w:tcW w:w="664"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737F00D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现状浓度μg/m³</w:t>
                  </w:r>
                </w:p>
              </w:tc>
              <w:tc>
                <w:tcPr>
                  <w:tcW w:w="680"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47D3763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标准值μg/m³</w:t>
                  </w:r>
                </w:p>
              </w:tc>
              <w:tc>
                <w:tcPr>
                  <w:tcW w:w="560"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271A196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占标率%</w:t>
                  </w:r>
                </w:p>
              </w:tc>
              <w:tc>
                <w:tcPr>
                  <w:tcW w:w="620" w:type="pct"/>
                  <w:tcBorders>
                    <w:top w:val="single" w:color="000000" w:sz="12" w:space="0"/>
                    <w:left w:val="single" w:color="auto" w:sz="2" w:space="0"/>
                    <w:bottom w:val="single" w:color="auto" w:sz="2" w:space="0"/>
                    <w:right w:val="nil"/>
                  </w:tcBorders>
                  <w:shd w:val="clear" w:color="auto" w:fill="FFFFFF"/>
                  <w:noWrap w:val="0"/>
                  <w:vAlign w:val="center"/>
                </w:tcPr>
                <w:p w14:paraId="676A7F4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达标情况</w:t>
                  </w:r>
                </w:p>
              </w:tc>
            </w:tr>
            <w:tr w14:paraId="38BCA3D1">
              <w:tblPrEx>
                <w:tblCellMar>
                  <w:top w:w="0" w:type="dxa"/>
                  <w:left w:w="108" w:type="dxa"/>
                  <w:bottom w:w="0" w:type="dxa"/>
                  <w:right w:w="108" w:type="dxa"/>
                </w:tblCellMar>
              </w:tblPrEx>
              <w:trPr>
                <w:trHeight w:val="224"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12BDBC4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SO</w:t>
                  </w:r>
                  <w:r>
                    <w:rPr>
                      <w:rFonts w:ascii="Times New Roman"/>
                      <w:color w:val="000000" w:themeColor="text1"/>
                      <w:spacing w:val="0"/>
                      <w:w w:val="100"/>
                      <w:sz w:val="21"/>
                      <w:szCs w:val="21"/>
                      <w:highlight w:val="none"/>
                      <w:vertAlign w:val="subscript"/>
                      <w14:textFill>
                        <w14:solidFill>
                          <w14:schemeClr w14:val="tx1"/>
                        </w14:solidFill>
                      </w14:textFill>
                    </w:rPr>
                    <w:t>2</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1B9BFD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5450A3C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7</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4094A55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60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40DF447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11.</w:t>
                  </w:r>
                  <w:r>
                    <w:rPr>
                      <w:rFonts w:hint="eastAsia" w:ascii="Times New Roman"/>
                      <w:color w:val="000000" w:themeColor="text1"/>
                      <w:spacing w:val="0"/>
                      <w:w w:val="100"/>
                      <w:sz w:val="21"/>
                      <w:szCs w:val="21"/>
                      <w:highlight w:val="none"/>
                      <w:lang w:val="en-US" w:eastAsia="zh-CN"/>
                      <w14:textFill>
                        <w14:solidFill>
                          <w14:schemeClr w14:val="tx1"/>
                        </w14:solidFill>
                      </w14:textFill>
                    </w:rPr>
                    <w:t>7</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5CE8A79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r w14:paraId="09903CD0">
              <w:tblPrEx>
                <w:tblCellMar>
                  <w:top w:w="0" w:type="dxa"/>
                  <w:left w:w="108" w:type="dxa"/>
                  <w:bottom w:w="0" w:type="dxa"/>
                  <w:right w:w="108" w:type="dxa"/>
                </w:tblCellMar>
              </w:tblPrEx>
              <w:trPr>
                <w:trHeight w:val="142"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337ED15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NO</w:t>
                  </w:r>
                  <w:r>
                    <w:rPr>
                      <w:rFonts w:ascii="Times New Roman"/>
                      <w:color w:val="000000" w:themeColor="text1"/>
                      <w:spacing w:val="0"/>
                      <w:w w:val="100"/>
                      <w:sz w:val="21"/>
                      <w:szCs w:val="21"/>
                      <w:highlight w:val="none"/>
                      <w:vertAlign w:val="subscript"/>
                      <w14:textFill>
                        <w14:solidFill>
                          <w14:schemeClr w14:val="tx1"/>
                        </w14:solidFill>
                      </w14:textFill>
                    </w:rPr>
                    <w:t>2</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43578B7A">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68FB335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3</w:t>
                  </w:r>
                  <w:r>
                    <w:rPr>
                      <w:rFonts w:hint="eastAsia" w:ascii="Times New Roman"/>
                      <w:color w:val="000000" w:themeColor="text1"/>
                      <w:spacing w:val="0"/>
                      <w:w w:val="100"/>
                      <w:sz w:val="21"/>
                      <w:szCs w:val="21"/>
                      <w:highlight w:val="none"/>
                      <w:lang w:val="en-US" w:eastAsia="zh-CN"/>
                      <w14:textFill>
                        <w14:solidFill>
                          <w14:schemeClr w14:val="tx1"/>
                        </w14:solidFill>
                      </w14:textFill>
                    </w:rPr>
                    <w:t>0</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38E7D96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40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3AEC074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75</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1F580DC3">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r w14:paraId="1B2F4561">
              <w:tblPrEx>
                <w:tblCellMar>
                  <w:top w:w="0" w:type="dxa"/>
                  <w:left w:w="108" w:type="dxa"/>
                  <w:bottom w:w="0" w:type="dxa"/>
                  <w:right w:w="108" w:type="dxa"/>
                </w:tblCellMar>
              </w:tblPrEx>
              <w:trPr>
                <w:trHeight w:val="285"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7DDF264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PM</w:t>
                  </w:r>
                  <w:r>
                    <w:rPr>
                      <w:rFonts w:ascii="Times New Roman"/>
                      <w:color w:val="000000" w:themeColor="text1"/>
                      <w:spacing w:val="0"/>
                      <w:w w:val="100"/>
                      <w:sz w:val="21"/>
                      <w:szCs w:val="21"/>
                      <w:highlight w:val="none"/>
                      <w:vertAlign w:val="subscript"/>
                      <w14:textFill>
                        <w14:solidFill>
                          <w14:schemeClr w14:val="tx1"/>
                        </w14:solidFill>
                      </w14:textFill>
                    </w:rPr>
                    <w:t>10</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D3B41A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CA96DD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75</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2AF356E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70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21B22E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107.1</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1BCEC6B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不</w:t>
                  </w:r>
                  <w:r>
                    <w:rPr>
                      <w:rFonts w:ascii="Times New Roman"/>
                      <w:color w:val="000000" w:themeColor="text1"/>
                      <w:spacing w:val="0"/>
                      <w:w w:val="100"/>
                      <w:sz w:val="21"/>
                      <w:szCs w:val="21"/>
                      <w:highlight w:val="none"/>
                      <w14:textFill>
                        <w14:solidFill>
                          <w14:schemeClr w14:val="tx1"/>
                        </w14:solidFill>
                      </w14:textFill>
                    </w:rPr>
                    <w:t>达标</w:t>
                  </w:r>
                </w:p>
              </w:tc>
            </w:tr>
            <w:tr w14:paraId="46184A90">
              <w:tblPrEx>
                <w:tblCellMar>
                  <w:top w:w="0" w:type="dxa"/>
                  <w:left w:w="108" w:type="dxa"/>
                  <w:bottom w:w="0" w:type="dxa"/>
                  <w:right w:w="108" w:type="dxa"/>
                </w:tblCellMar>
              </w:tblPrEx>
              <w:trPr>
                <w:trHeight w:val="285"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27CB8C6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PM</w:t>
                  </w:r>
                  <w:r>
                    <w:rPr>
                      <w:rFonts w:ascii="Times New Roman"/>
                      <w:color w:val="000000" w:themeColor="text1"/>
                      <w:spacing w:val="0"/>
                      <w:w w:val="100"/>
                      <w:sz w:val="21"/>
                      <w:szCs w:val="21"/>
                      <w:highlight w:val="none"/>
                      <w:vertAlign w:val="subscript"/>
                      <w14:textFill>
                        <w14:solidFill>
                          <w14:schemeClr w14:val="tx1"/>
                        </w14:solidFill>
                      </w14:textFill>
                    </w:rPr>
                    <w:t>2.5</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10ED638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2D055DCA">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4</w:t>
                  </w:r>
                  <w:r>
                    <w:rPr>
                      <w:rFonts w:hint="eastAsia" w:ascii="Times New Roman"/>
                      <w:color w:val="000000" w:themeColor="text1"/>
                      <w:spacing w:val="0"/>
                      <w:w w:val="100"/>
                      <w:sz w:val="21"/>
                      <w:szCs w:val="21"/>
                      <w:highlight w:val="none"/>
                      <w:lang w:val="en-US" w:eastAsia="zh-CN"/>
                      <w14:textFill>
                        <w14:solidFill>
                          <w14:schemeClr w14:val="tx1"/>
                        </w14:solidFill>
                      </w14:textFill>
                    </w:rPr>
                    <w:t>0</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38490D8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35</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58D3502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114.3</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5BD7E608">
                  <w:pPr>
                    <w:pStyle w:val="37"/>
                    <w:keepNext w:val="0"/>
                    <w:keepLines w:val="0"/>
                    <w:pageBreakBefore w:val="0"/>
                    <w:widowControl w:val="0"/>
                    <w:tabs>
                      <w:tab w:val="left" w:pos="630"/>
                    </w:tabs>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不</w:t>
                  </w:r>
                  <w:r>
                    <w:rPr>
                      <w:rFonts w:ascii="Times New Roman"/>
                      <w:color w:val="000000" w:themeColor="text1"/>
                      <w:spacing w:val="0"/>
                      <w:w w:val="100"/>
                      <w:sz w:val="21"/>
                      <w:szCs w:val="21"/>
                      <w:highlight w:val="none"/>
                      <w14:textFill>
                        <w14:solidFill>
                          <w14:schemeClr w14:val="tx1"/>
                        </w14:solidFill>
                      </w14:textFill>
                    </w:rPr>
                    <w:t>达标</w:t>
                  </w:r>
                </w:p>
              </w:tc>
            </w:tr>
            <w:tr w14:paraId="5F1E78A4">
              <w:tblPrEx>
                <w:tblCellMar>
                  <w:top w:w="0" w:type="dxa"/>
                  <w:left w:w="108" w:type="dxa"/>
                  <w:bottom w:w="0" w:type="dxa"/>
                  <w:right w:w="108" w:type="dxa"/>
                </w:tblCellMar>
              </w:tblPrEx>
              <w:trPr>
                <w:trHeight w:val="406"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6DCFFC8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CO</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72AB3A2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24小时平均第95百分位数</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1D010F4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800</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31A9A0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4000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57156A2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20</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299D999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r w14:paraId="53844D34">
              <w:tblPrEx>
                <w:tblCellMar>
                  <w:top w:w="0" w:type="dxa"/>
                  <w:left w:w="108" w:type="dxa"/>
                  <w:bottom w:w="0" w:type="dxa"/>
                  <w:right w:w="108" w:type="dxa"/>
                </w:tblCellMar>
              </w:tblPrEx>
              <w:trPr>
                <w:trHeight w:val="343" w:hRule="atLeast"/>
              </w:trPr>
              <w:tc>
                <w:tcPr>
                  <w:tcW w:w="501" w:type="pct"/>
                  <w:tcBorders>
                    <w:top w:val="single" w:color="auto" w:sz="2" w:space="0"/>
                    <w:left w:val="nil"/>
                    <w:bottom w:val="single" w:color="000000" w:sz="12" w:space="0"/>
                    <w:right w:val="single" w:color="auto" w:sz="2" w:space="0"/>
                  </w:tcBorders>
                  <w:shd w:val="clear" w:color="auto" w:fill="FFFFFF"/>
                  <w:noWrap w:val="0"/>
                  <w:vAlign w:val="center"/>
                </w:tcPr>
                <w:p w14:paraId="697BAA6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O</w:t>
                  </w:r>
                  <w:r>
                    <w:rPr>
                      <w:rFonts w:ascii="Times New Roman"/>
                      <w:color w:val="000000" w:themeColor="text1"/>
                      <w:spacing w:val="0"/>
                      <w:w w:val="100"/>
                      <w:sz w:val="21"/>
                      <w:szCs w:val="21"/>
                      <w:highlight w:val="none"/>
                      <w:vertAlign w:val="subscript"/>
                      <w14:textFill>
                        <w14:solidFill>
                          <w14:schemeClr w14:val="tx1"/>
                        </w14:solidFill>
                      </w14:textFill>
                    </w:rPr>
                    <w:t>3</w:t>
                  </w:r>
                </w:p>
              </w:tc>
              <w:tc>
                <w:tcPr>
                  <w:tcW w:w="1971"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3F9FEFB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最大8小时平均第90百分位数</w:t>
                  </w:r>
                </w:p>
              </w:tc>
              <w:tc>
                <w:tcPr>
                  <w:tcW w:w="664"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62D5C08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9</w:t>
                  </w:r>
                  <w:r>
                    <w:rPr>
                      <w:rFonts w:hint="eastAsia" w:ascii="Times New Roman"/>
                      <w:color w:val="000000" w:themeColor="text1"/>
                      <w:spacing w:val="0"/>
                      <w:w w:val="100"/>
                      <w:sz w:val="21"/>
                      <w:szCs w:val="21"/>
                      <w:highlight w:val="none"/>
                      <w:lang w:val="en-US" w:eastAsia="zh-CN"/>
                      <w14:textFill>
                        <w14:solidFill>
                          <w14:schemeClr w14:val="tx1"/>
                        </w14:solidFill>
                      </w14:textFill>
                    </w:rPr>
                    <w:t>2</w:t>
                  </w:r>
                </w:p>
              </w:tc>
              <w:tc>
                <w:tcPr>
                  <w:tcW w:w="680"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1C4CB023">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160</w:t>
                  </w:r>
                </w:p>
              </w:tc>
              <w:tc>
                <w:tcPr>
                  <w:tcW w:w="560"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3B0E8E2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57.5</w:t>
                  </w:r>
                </w:p>
              </w:tc>
              <w:tc>
                <w:tcPr>
                  <w:tcW w:w="620" w:type="pct"/>
                  <w:tcBorders>
                    <w:top w:val="single" w:color="auto" w:sz="2" w:space="0"/>
                    <w:left w:val="single" w:color="auto" w:sz="2" w:space="0"/>
                    <w:bottom w:val="single" w:color="000000" w:sz="12" w:space="0"/>
                    <w:right w:val="nil"/>
                  </w:tcBorders>
                  <w:shd w:val="clear" w:color="auto" w:fill="FFFFFF"/>
                  <w:noWrap w:val="0"/>
                  <w:vAlign w:val="center"/>
                </w:tcPr>
                <w:p w14:paraId="13E5EB08">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bl>
          <w:p w14:paraId="1E22C048">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rFonts w:hint="eastAsia"/>
                <w:color w:val="000000" w:themeColor="text1"/>
                <w:spacing w:val="0"/>
                <w:w w:val="100"/>
                <w:sz w:val="24"/>
                <w:szCs w:val="24"/>
                <w:highlight w:val="none"/>
                <w14:textFill>
                  <w14:solidFill>
                    <w14:schemeClr w14:val="tx1"/>
                  </w14:solidFill>
                </w14:textFill>
              </w:rPr>
            </w:pPr>
            <w:r>
              <w:rPr>
                <w:rFonts w:hint="eastAsia"/>
                <w:color w:val="000000" w:themeColor="text1"/>
                <w:spacing w:val="0"/>
                <w:w w:val="100"/>
                <w:sz w:val="24"/>
                <w:szCs w:val="24"/>
                <w:highlight w:val="none"/>
                <w14:textFill>
                  <w14:solidFill>
                    <w14:schemeClr w14:val="tx1"/>
                  </w14:solidFill>
                </w14:textFill>
              </w:rPr>
              <w:t>根据上表评价结果可知，2024年昌吉市PM</w:t>
            </w:r>
            <w:r>
              <w:rPr>
                <w:rFonts w:hint="eastAsia"/>
                <w:color w:val="000000" w:themeColor="text1"/>
                <w:spacing w:val="0"/>
                <w:w w:val="100"/>
                <w:sz w:val="24"/>
                <w:szCs w:val="24"/>
                <w:highlight w:val="none"/>
                <w:vertAlign w:val="subscript"/>
                <w14:textFill>
                  <w14:solidFill>
                    <w14:schemeClr w14:val="tx1"/>
                  </w14:solidFill>
                </w14:textFill>
              </w:rPr>
              <w:t>2.5</w:t>
            </w:r>
            <w:r>
              <w:rPr>
                <w:rFonts w:hint="eastAsia"/>
                <w:color w:val="000000" w:themeColor="text1"/>
                <w:spacing w:val="0"/>
                <w:w w:val="100"/>
                <w:sz w:val="24"/>
                <w:szCs w:val="24"/>
                <w:highlight w:val="none"/>
                <w14:textFill>
                  <w14:solidFill>
                    <w14:schemeClr w14:val="tx1"/>
                  </w14:solidFill>
                </w14:textFill>
              </w:rPr>
              <w:t>、PM</w:t>
            </w:r>
            <w:r>
              <w:rPr>
                <w:rFonts w:hint="eastAsia"/>
                <w:color w:val="000000" w:themeColor="text1"/>
                <w:spacing w:val="0"/>
                <w:w w:val="100"/>
                <w:sz w:val="24"/>
                <w:szCs w:val="24"/>
                <w:highlight w:val="none"/>
                <w:vertAlign w:val="subscript"/>
                <w14:textFill>
                  <w14:solidFill>
                    <w14:schemeClr w14:val="tx1"/>
                  </w14:solidFill>
                </w14:textFill>
              </w:rPr>
              <w:t>10</w:t>
            </w:r>
            <w:r>
              <w:rPr>
                <w:rFonts w:hint="eastAsia"/>
                <w:color w:val="000000" w:themeColor="text1"/>
                <w:spacing w:val="0"/>
                <w:w w:val="100"/>
                <w:sz w:val="24"/>
                <w:szCs w:val="24"/>
                <w:highlight w:val="none"/>
                <w14:textFill>
                  <w14:solidFill>
                    <w14:schemeClr w14:val="tx1"/>
                  </w14:solidFill>
                </w14:textFill>
              </w:rPr>
              <w:t>不能满足《环境空气质量标准》（GB3095-2012）及修改单中二级标准，NO</w:t>
            </w:r>
            <w:r>
              <w:rPr>
                <w:rFonts w:hint="eastAsia"/>
                <w:color w:val="000000" w:themeColor="text1"/>
                <w:spacing w:val="0"/>
                <w:w w:val="100"/>
                <w:sz w:val="24"/>
                <w:szCs w:val="24"/>
                <w:highlight w:val="none"/>
                <w:vertAlign w:val="subscript"/>
                <w14:textFill>
                  <w14:solidFill>
                    <w14:schemeClr w14:val="tx1"/>
                  </w14:solidFill>
                </w14:textFill>
              </w:rPr>
              <w:t>2</w:t>
            </w:r>
            <w:r>
              <w:rPr>
                <w:rFonts w:hint="eastAsia"/>
                <w:color w:val="000000" w:themeColor="text1"/>
                <w:spacing w:val="0"/>
                <w:w w:val="100"/>
                <w:sz w:val="24"/>
                <w:szCs w:val="24"/>
                <w:highlight w:val="none"/>
                <w14:textFill>
                  <w14:solidFill>
                    <w14:schemeClr w14:val="tx1"/>
                  </w14:solidFill>
                </w14:textFill>
              </w:rPr>
              <w:t>、O</w:t>
            </w:r>
            <w:r>
              <w:rPr>
                <w:rFonts w:hint="eastAsia"/>
                <w:color w:val="000000" w:themeColor="text1"/>
                <w:spacing w:val="0"/>
                <w:w w:val="100"/>
                <w:sz w:val="24"/>
                <w:szCs w:val="24"/>
                <w:highlight w:val="none"/>
                <w:vertAlign w:val="subscript"/>
                <w14:textFill>
                  <w14:solidFill>
                    <w14:schemeClr w14:val="tx1"/>
                  </w14:solidFill>
                </w14:textFill>
              </w:rPr>
              <w:t>3</w:t>
            </w:r>
            <w:r>
              <w:rPr>
                <w:rFonts w:hint="eastAsia"/>
                <w:color w:val="000000" w:themeColor="text1"/>
                <w:spacing w:val="0"/>
                <w:w w:val="100"/>
                <w:sz w:val="24"/>
                <w:szCs w:val="24"/>
                <w:highlight w:val="none"/>
                <w14:textFill>
                  <w14:solidFill>
                    <w14:schemeClr w14:val="tx1"/>
                  </w14:solidFill>
                </w14:textFill>
              </w:rPr>
              <w:t>、CO、SO</w:t>
            </w:r>
            <w:r>
              <w:rPr>
                <w:rFonts w:hint="eastAsia"/>
                <w:color w:val="000000" w:themeColor="text1"/>
                <w:spacing w:val="0"/>
                <w:w w:val="100"/>
                <w:sz w:val="24"/>
                <w:szCs w:val="24"/>
                <w:highlight w:val="none"/>
                <w:vertAlign w:val="subscript"/>
                <w14:textFill>
                  <w14:solidFill>
                    <w14:schemeClr w14:val="tx1"/>
                  </w14:solidFill>
                </w14:textFill>
              </w:rPr>
              <w:t>2</w:t>
            </w:r>
            <w:r>
              <w:rPr>
                <w:rFonts w:hint="eastAsia"/>
                <w:color w:val="000000" w:themeColor="text1"/>
                <w:spacing w:val="0"/>
                <w:w w:val="100"/>
                <w:sz w:val="24"/>
                <w:szCs w:val="24"/>
                <w:highlight w:val="none"/>
                <w14:textFill>
                  <w14:solidFill>
                    <w14:schemeClr w14:val="tx1"/>
                  </w14:solidFill>
                </w14:textFill>
              </w:rPr>
              <w:t>指标均符合《环境空气质量标准》（GB3095-2012）及修改单中二级标准。根据《环境影响评价技术导则 大气环境》（HJ2.2-2018），判定该区域环境空气质量不达标，判定评价区域环境空气质量不达标。PM</w:t>
            </w:r>
            <w:r>
              <w:rPr>
                <w:rFonts w:hint="eastAsia"/>
                <w:color w:val="000000" w:themeColor="text1"/>
                <w:spacing w:val="0"/>
                <w:w w:val="100"/>
                <w:sz w:val="24"/>
                <w:szCs w:val="24"/>
                <w:highlight w:val="none"/>
                <w:vertAlign w:val="subscript"/>
                <w14:textFill>
                  <w14:solidFill>
                    <w14:schemeClr w14:val="tx1"/>
                  </w14:solidFill>
                </w14:textFill>
              </w:rPr>
              <w:t>10</w:t>
            </w:r>
            <w:r>
              <w:rPr>
                <w:rFonts w:hint="eastAsia"/>
                <w:color w:val="000000" w:themeColor="text1"/>
                <w:spacing w:val="0"/>
                <w:w w:val="100"/>
                <w:sz w:val="24"/>
                <w:szCs w:val="24"/>
                <w:highlight w:val="none"/>
                <w14:textFill>
                  <w14:solidFill>
                    <w14:schemeClr w14:val="tx1"/>
                  </w14:solidFill>
                </w14:textFill>
              </w:rPr>
              <w:t>、PM</w:t>
            </w:r>
            <w:r>
              <w:rPr>
                <w:rFonts w:hint="eastAsia"/>
                <w:color w:val="000000" w:themeColor="text1"/>
                <w:spacing w:val="0"/>
                <w:w w:val="100"/>
                <w:sz w:val="24"/>
                <w:szCs w:val="24"/>
                <w:highlight w:val="none"/>
                <w:vertAlign w:val="subscript"/>
                <w14:textFill>
                  <w14:solidFill>
                    <w14:schemeClr w14:val="tx1"/>
                  </w14:solidFill>
                </w14:textFill>
              </w:rPr>
              <w:t>2.5</w:t>
            </w:r>
            <w:r>
              <w:rPr>
                <w:rFonts w:hint="eastAsia"/>
                <w:color w:val="000000" w:themeColor="text1"/>
                <w:spacing w:val="0"/>
                <w:w w:val="100"/>
                <w:sz w:val="24"/>
                <w:szCs w:val="24"/>
                <w:highlight w:val="none"/>
                <w14:textFill>
                  <w14:solidFill>
                    <w14:schemeClr w14:val="tx1"/>
                  </w14:solidFill>
                </w14:textFill>
              </w:rPr>
              <w:t>超标原因主要是因为</w:t>
            </w:r>
            <w:r>
              <w:rPr>
                <w:rFonts w:hint="eastAsia"/>
                <w:color w:val="000000" w:themeColor="text1"/>
                <w:spacing w:val="0"/>
                <w:w w:val="100"/>
                <w:sz w:val="24"/>
                <w:szCs w:val="24"/>
                <w:highlight w:val="none"/>
                <w:lang w:val="en-US" w:eastAsia="zh-CN"/>
                <w14:textFill>
                  <w14:solidFill>
                    <w14:schemeClr w14:val="tx1"/>
                  </w14:solidFill>
                </w14:textFill>
              </w:rPr>
              <w:t>工业污染和冬季逆温</w:t>
            </w:r>
            <w:r>
              <w:rPr>
                <w:rFonts w:hint="eastAsia"/>
                <w:color w:val="000000" w:themeColor="text1"/>
                <w:spacing w:val="0"/>
                <w:w w:val="100"/>
                <w:sz w:val="24"/>
                <w:szCs w:val="24"/>
                <w:highlight w:val="none"/>
                <w14:textFill>
                  <w14:solidFill>
                    <w14:schemeClr w14:val="tx1"/>
                  </w14:solidFill>
                </w14:textFill>
              </w:rPr>
              <w:t>。</w:t>
            </w:r>
          </w:p>
          <w:p w14:paraId="089631EE">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1.2特征污染物质量现状调查及评价</w:t>
            </w:r>
          </w:p>
          <w:p w14:paraId="12D03B2B">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jc w:val="both"/>
              <w:rPr>
                <w:color w:val="000000" w:themeColor="text1"/>
                <w:spacing w:val="0"/>
                <w:w w:val="100"/>
                <w:sz w:val="24"/>
                <w:szCs w:val="24"/>
                <w:highlight w:val="none"/>
                <w14:textFill>
                  <w14:solidFill>
                    <w14:schemeClr w14:val="tx1"/>
                  </w14:solidFill>
                </w14:textFill>
              </w:rPr>
            </w:pPr>
            <w:r>
              <w:rPr>
                <w:rFonts w:hint="eastAsia"/>
                <w:color w:val="000000" w:themeColor="text1"/>
                <w:spacing w:val="0"/>
                <w:w w:val="100"/>
                <w:sz w:val="24"/>
                <w:szCs w:val="24"/>
                <w:highlight w:val="none"/>
                <w14:textFill>
                  <w14:solidFill>
                    <w14:schemeClr w14:val="tx1"/>
                  </w14:solidFill>
                </w14:textFill>
              </w:rPr>
              <w:t>根据《环境空气质量标准》</w:t>
            </w:r>
            <w:r>
              <w:rPr>
                <w:rFonts w:hint="eastAsia"/>
                <w:color w:val="000000" w:themeColor="text1"/>
                <w:spacing w:val="0"/>
                <w:w w:val="100"/>
                <w:sz w:val="24"/>
                <w:szCs w:val="24"/>
                <w:highlight w:val="none"/>
                <w:lang w:eastAsia="zh-CN"/>
                <w14:textFill>
                  <w14:solidFill>
                    <w14:schemeClr w14:val="tx1"/>
                  </w14:solidFill>
                </w14:textFill>
              </w:rPr>
              <w:t>（</w:t>
            </w:r>
            <w:r>
              <w:rPr>
                <w:rFonts w:hint="eastAsia"/>
                <w:color w:val="000000" w:themeColor="text1"/>
                <w:spacing w:val="0"/>
                <w:w w:val="100"/>
                <w:sz w:val="24"/>
                <w:szCs w:val="24"/>
                <w:highlight w:val="none"/>
                <w14:textFill>
                  <w14:solidFill>
                    <w14:schemeClr w14:val="tx1"/>
                  </w14:solidFill>
                </w14:textFill>
              </w:rPr>
              <w:t>GB3095-2012</w:t>
            </w:r>
            <w:r>
              <w:rPr>
                <w:rFonts w:hint="eastAsia"/>
                <w:color w:val="000000" w:themeColor="text1"/>
                <w:spacing w:val="0"/>
                <w:w w:val="100"/>
                <w:sz w:val="24"/>
                <w:szCs w:val="24"/>
                <w:highlight w:val="none"/>
                <w:lang w:eastAsia="zh-CN"/>
                <w14:textFill>
                  <w14:solidFill>
                    <w14:schemeClr w14:val="tx1"/>
                  </w14:solidFill>
                </w14:textFill>
              </w:rPr>
              <w:t>）</w:t>
            </w:r>
            <w:r>
              <w:rPr>
                <w:rFonts w:hint="eastAsia"/>
                <w:color w:val="000000" w:themeColor="text1"/>
                <w:spacing w:val="0"/>
                <w:w w:val="100"/>
                <w:sz w:val="24"/>
                <w:szCs w:val="24"/>
                <w:highlight w:val="none"/>
                <w14:textFill>
                  <w14:solidFill>
                    <w14:schemeClr w14:val="tx1"/>
                  </w14:solidFill>
                </w14:textFill>
              </w:rPr>
              <w:t>中规定的方法，本次特征污染物TSP质</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量现状调查引用新疆齐新环境服务有限公司于2025年4月12日</w:t>
            </w:r>
            <w:r>
              <w:rPr>
                <w:rFonts w:hint="eastAsia"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15日在监测点</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87°8</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35.55</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E</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44°3</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56.15</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N</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距离项目区约</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2.8</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km</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进行的TSP现状监测数据；项目监测点位图详见附图3-1</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其数据作为本次特征污染物质量现</w:t>
            </w:r>
            <w:r>
              <w:rPr>
                <w:rFonts w:hint="eastAsia"/>
                <w:color w:val="000000" w:themeColor="text1"/>
                <w:spacing w:val="0"/>
                <w:w w:val="100"/>
                <w:sz w:val="24"/>
                <w:szCs w:val="24"/>
                <w:highlight w:val="none"/>
                <w14:textFill>
                  <w14:solidFill>
                    <w14:schemeClr w14:val="tx1"/>
                  </w14:solidFill>
                </w14:textFill>
              </w:rPr>
              <w:t>状的评价依据。</w:t>
            </w:r>
          </w:p>
          <w:p w14:paraId="039218DE">
            <w:pPr>
              <w:pStyle w:val="35"/>
              <w:keepNext w:val="0"/>
              <w:keepLines w:val="0"/>
              <w:pageBreakBefore w:val="0"/>
              <w:widowControl w:val="0"/>
              <w:kinsoku/>
              <w:wordWrap/>
              <w:overflowPunct/>
              <w:topLinePunct w:val="0"/>
              <w:autoSpaceDE/>
              <w:autoSpaceDN/>
              <w:bidi w:val="0"/>
              <w:adjustRightInd w:val="0"/>
              <w:snapToGrid w:val="0"/>
              <w:ind w:left="0" w:leftChars="0" w:right="0" w:rightChars="0"/>
              <w:rPr>
                <w:color w:val="000000" w:themeColor="text1"/>
                <w:spacing w:val="0"/>
                <w:w w:val="100"/>
                <w:highlight w:val="none"/>
                <w14:textFill>
                  <w14:solidFill>
                    <w14:schemeClr w14:val="tx1"/>
                  </w14:solidFill>
                </w14:textFill>
              </w:rPr>
            </w:pPr>
            <w:r>
              <w:rPr>
                <w:color w:val="000000" w:themeColor="text1"/>
                <w:spacing w:val="0"/>
                <w:w w:val="100"/>
                <w:highlight w:val="none"/>
                <w14:textFill>
                  <w14:solidFill>
                    <w14:schemeClr w14:val="tx1"/>
                  </w14:solidFill>
                </w14:textFill>
              </w:rPr>
              <w:t xml:space="preserve">表3-2 </w:t>
            </w:r>
            <w:r>
              <w:rPr>
                <w:rFonts w:hint="eastAsia"/>
                <w:color w:val="000000" w:themeColor="text1"/>
                <w:spacing w:val="0"/>
                <w:w w:val="100"/>
                <w:highlight w:val="none"/>
                <w14:textFill>
                  <w14:solidFill>
                    <w14:schemeClr w14:val="tx1"/>
                  </w14:solidFill>
                </w14:textFill>
              </w:rPr>
              <w:t xml:space="preserve">  </w:t>
            </w:r>
            <w:r>
              <w:rPr>
                <w:color w:val="000000" w:themeColor="text1"/>
                <w:spacing w:val="0"/>
                <w:w w:val="100"/>
                <w:highlight w:val="none"/>
                <w14:textFill>
                  <w14:solidFill>
                    <w14:schemeClr w14:val="tx1"/>
                  </w14:solidFill>
                </w14:textFill>
              </w:rPr>
              <w:t xml:space="preserve"> 特征因子监测点位置及监测项目表</w:t>
            </w:r>
          </w:p>
          <w:tbl>
            <w:tblPr>
              <w:tblStyle w:val="21"/>
              <w:tblW w:w="4970" w:type="pct"/>
              <w:jc w:val="center"/>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autofit"/>
              <w:tblCellMar>
                <w:top w:w="0" w:type="dxa"/>
                <w:left w:w="108" w:type="dxa"/>
                <w:bottom w:w="0" w:type="dxa"/>
                <w:right w:w="108" w:type="dxa"/>
              </w:tblCellMar>
            </w:tblPr>
            <w:tblGrid>
              <w:gridCol w:w="1494"/>
              <w:gridCol w:w="2559"/>
              <w:gridCol w:w="701"/>
              <w:gridCol w:w="1266"/>
              <w:gridCol w:w="1512"/>
            </w:tblGrid>
            <w:tr w14:paraId="3A3350D7">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25" w:hRule="atLeast"/>
                <w:jc w:val="center"/>
              </w:trPr>
              <w:tc>
                <w:tcPr>
                  <w:tcW w:w="1031" w:type="pct"/>
                  <w:tcBorders>
                    <w:top w:val="single" w:color="000000" w:sz="12" w:space="0"/>
                    <w:left w:val="nil"/>
                  </w:tcBorders>
                  <w:shd w:val="clear" w:color="auto" w:fill="FFFFFF"/>
                  <w:noWrap w:val="0"/>
                  <w:vAlign w:val="center"/>
                </w:tcPr>
                <w:p w14:paraId="3C0F8AB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采样日期</w:t>
                  </w:r>
                </w:p>
              </w:tc>
              <w:tc>
                <w:tcPr>
                  <w:tcW w:w="1297" w:type="pct"/>
                  <w:tcBorders>
                    <w:top w:val="single" w:color="000000" w:sz="12" w:space="0"/>
                  </w:tcBorders>
                  <w:shd w:val="clear" w:color="auto" w:fill="FFFFFF"/>
                  <w:noWrap w:val="0"/>
                  <w:vAlign w:val="center"/>
                </w:tcPr>
                <w:p w14:paraId="6A1D8D53">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监测点位</w:t>
                  </w:r>
                </w:p>
              </w:tc>
              <w:tc>
                <w:tcPr>
                  <w:tcW w:w="626" w:type="pct"/>
                  <w:tcBorders>
                    <w:top w:val="single" w:color="000000" w:sz="12" w:space="0"/>
                  </w:tcBorders>
                  <w:shd w:val="clear" w:color="auto" w:fill="FFFFFF"/>
                  <w:noWrap w:val="0"/>
                  <w:vAlign w:val="center"/>
                </w:tcPr>
                <w:p w14:paraId="7BBD83B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监测项目</w:t>
                  </w:r>
                </w:p>
              </w:tc>
              <w:tc>
                <w:tcPr>
                  <w:tcW w:w="940" w:type="pct"/>
                  <w:tcBorders>
                    <w:top w:val="single" w:color="000000" w:sz="12" w:space="0"/>
                  </w:tcBorders>
                  <w:shd w:val="clear" w:color="auto" w:fill="FFFFFF"/>
                  <w:noWrap w:val="0"/>
                  <w:vAlign w:val="center"/>
                </w:tcPr>
                <w:p w14:paraId="7E7A679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监测结果</w:t>
                  </w:r>
                </w:p>
              </w:tc>
              <w:tc>
                <w:tcPr>
                  <w:tcW w:w="1103" w:type="pct"/>
                  <w:tcBorders>
                    <w:top w:val="single" w:color="000000" w:sz="12" w:space="0"/>
                  </w:tcBorders>
                  <w:shd w:val="clear" w:color="auto" w:fill="FFFFFF"/>
                  <w:noWrap w:val="0"/>
                  <w:vAlign w:val="center"/>
                </w:tcPr>
                <w:p w14:paraId="3C7B20F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标准限值</w:t>
                  </w:r>
                </w:p>
              </w:tc>
            </w:tr>
            <w:tr w14:paraId="0BCD3C54">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405" w:hRule="atLeast"/>
                <w:jc w:val="center"/>
              </w:trPr>
              <w:tc>
                <w:tcPr>
                  <w:tcW w:w="1031" w:type="pct"/>
                  <w:tcBorders>
                    <w:left w:val="nil"/>
                  </w:tcBorders>
                  <w:shd w:val="clear" w:color="auto" w:fill="FFFFFF"/>
                  <w:noWrap w:val="0"/>
                  <w:vAlign w:val="center"/>
                </w:tcPr>
                <w:p w14:paraId="3466E5D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eastAsia="宋体"/>
                      <w:color w:val="000000" w:themeColor="text1"/>
                      <w:spacing w:val="0"/>
                      <w:w w:val="100"/>
                      <w:sz w:val="21"/>
                      <w:szCs w:val="21"/>
                      <w:highlight w:val="none"/>
                      <w:lang w:val="en-US" w:eastAsia="zh-CN"/>
                      <w14:textFill>
                        <w14:solidFill>
                          <w14:schemeClr w14:val="tx1"/>
                        </w14:solidFill>
                      </w14:textFill>
                    </w:rPr>
                    <w:t>2025.4.12-4.13</w:t>
                  </w:r>
                </w:p>
              </w:tc>
              <w:tc>
                <w:tcPr>
                  <w:tcW w:w="1297" w:type="pct"/>
                  <w:vMerge w:val="restart"/>
                  <w:shd w:val="clear" w:color="auto" w:fill="FFFFFF"/>
                  <w:noWrap w:val="0"/>
                  <w:vAlign w:val="center"/>
                </w:tcPr>
                <w:p w14:paraId="603B6768">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sz w:val="21"/>
                      <w:szCs w:val="21"/>
                      <w:highlight w:val="none"/>
                      <w14:textFill>
                        <w14:solidFill>
                          <w14:schemeClr w14:val="tx1"/>
                        </w14:solidFill>
                      </w14:textFill>
                    </w:rPr>
                    <w:t>87°8</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35.55</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E</w:t>
                  </w:r>
                  <w:r>
                    <w:rPr>
                      <w:rFonts w:hint="eastAsia" w:ascii="Times New Roman" w:cs="Times New Roman"/>
                      <w:color w:val="000000" w:themeColor="text1"/>
                      <w:spacing w:val="0"/>
                      <w:w w:val="10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44°3</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56.15</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N</w:t>
                  </w:r>
                </w:p>
              </w:tc>
              <w:tc>
                <w:tcPr>
                  <w:tcW w:w="626" w:type="pct"/>
                  <w:vMerge w:val="restart"/>
                  <w:shd w:val="clear" w:color="auto" w:fill="FFFFFF"/>
                  <w:noWrap w:val="0"/>
                  <w:vAlign w:val="center"/>
                </w:tcPr>
                <w:p w14:paraId="2509C03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TSP</w:t>
                  </w:r>
                </w:p>
              </w:tc>
              <w:tc>
                <w:tcPr>
                  <w:tcW w:w="940" w:type="pct"/>
                  <w:shd w:val="clear" w:color="auto" w:fill="FFFFFF"/>
                  <w:noWrap w:val="0"/>
                  <w:vAlign w:val="center"/>
                </w:tcPr>
                <w:p w14:paraId="471C9CE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0.077</w:t>
                  </w:r>
                </w:p>
              </w:tc>
              <w:tc>
                <w:tcPr>
                  <w:tcW w:w="1103" w:type="pct"/>
                  <w:vMerge w:val="restart"/>
                  <w:shd w:val="clear" w:color="auto" w:fill="FFFFFF"/>
                  <w:noWrap w:val="0"/>
                  <w:vAlign w:val="center"/>
                </w:tcPr>
                <w:p w14:paraId="0AC73808">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0.3mg/m</w:t>
                  </w:r>
                  <w:r>
                    <w:rPr>
                      <w:rFonts w:hint="eastAsia" w:ascii="Times New Roman"/>
                      <w:color w:val="000000" w:themeColor="text1"/>
                      <w:spacing w:val="0"/>
                      <w:w w:val="100"/>
                      <w:sz w:val="21"/>
                      <w:szCs w:val="21"/>
                      <w:highlight w:val="none"/>
                      <w:vertAlign w:val="superscript"/>
                      <w:lang w:val="en-US" w:eastAsia="zh-CN"/>
                      <w14:textFill>
                        <w14:solidFill>
                          <w14:schemeClr w14:val="tx1"/>
                        </w14:solidFill>
                      </w14:textFill>
                    </w:rPr>
                    <w:t>3</w:t>
                  </w:r>
                </w:p>
              </w:tc>
            </w:tr>
            <w:tr w14:paraId="6A9F080A">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405" w:hRule="atLeast"/>
                <w:jc w:val="center"/>
              </w:trPr>
              <w:tc>
                <w:tcPr>
                  <w:tcW w:w="1031" w:type="pct"/>
                  <w:tcBorders>
                    <w:left w:val="nil"/>
                  </w:tcBorders>
                  <w:shd w:val="clear" w:color="auto" w:fill="FFFFFF"/>
                  <w:noWrap w:val="0"/>
                  <w:vAlign w:val="center"/>
                </w:tcPr>
                <w:p w14:paraId="17A2389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eastAsia="宋体"/>
                      <w:color w:val="000000" w:themeColor="text1"/>
                      <w:spacing w:val="0"/>
                      <w:w w:val="100"/>
                      <w:sz w:val="21"/>
                      <w:szCs w:val="21"/>
                      <w:highlight w:val="none"/>
                      <w:lang w:val="en-US" w:eastAsia="zh-CN"/>
                      <w14:textFill>
                        <w14:solidFill>
                          <w14:schemeClr w14:val="tx1"/>
                        </w14:solidFill>
                      </w14:textFill>
                    </w:rPr>
                    <w:t>2025.4.13-4.14</w:t>
                  </w:r>
                </w:p>
              </w:tc>
              <w:tc>
                <w:tcPr>
                  <w:tcW w:w="1297" w:type="pct"/>
                  <w:vMerge w:val="continue"/>
                  <w:shd w:val="clear" w:color="auto" w:fill="FFFFFF"/>
                  <w:noWrap w:val="0"/>
                  <w:vAlign w:val="center"/>
                </w:tcPr>
                <w:p w14:paraId="7BB3833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626" w:type="pct"/>
                  <w:vMerge w:val="continue"/>
                  <w:shd w:val="clear" w:color="auto" w:fill="FFFFFF"/>
                  <w:noWrap w:val="0"/>
                  <w:vAlign w:val="center"/>
                </w:tcPr>
                <w:p w14:paraId="28BA0E9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940" w:type="pct"/>
                  <w:shd w:val="clear" w:color="auto" w:fill="FFFFFF"/>
                  <w:noWrap w:val="0"/>
                  <w:vAlign w:val="center"/>
                </w:tcPr>
                <w:p w14:paraId="3BE0BB0F">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0.075</w:t>
                  </w:r>
                </w:p>
              </w:tc>
              <w:tc>
                <w:tcPr>
                  <w:tcW w:w="1103" w:type="pct"/>
                  <w:vMerge w:val="continue"/>
                  <w:shd w:val="clear" w:color="auto" w:fill="FFFFFF"/>
                  <w:noWrap w:val="0"/>
                  <w:vAlign w:val="center"/>
                </w:tcPr>
                <w:p w14:paraId="2230260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r>
            <w:tr w14:paraId="07B4A614">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405" w:hRule="atLeast"/>
                <w:jc w:val="center"/>
              </w:trPr>
              <w:tc>
                <w:tcPr>
                  <w:tcW w:w="1031" w:type="pct"/>
                  <w:tcBorders>
                    <w:left w:val="nil"/>
                    <w:bottom w:val="single" w:color="000000" w:sz="12" w:space="0"/>
                  </w:tcBorders>
                  <w:shd w:val="clear" w:color="auto" w:fill="FFFFFF"/>
                  <w:noWrap w:val="0"/>
                  <w:vAlign w:val="center"/>
                </w:tcPr>
                <w:p w14:paraId="3A0EBD5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eastAsia="宋体"/>
                      <w:color w:val="000000" w:themeColor="text1"/>
                      <w:spacing w:val="0"/>
                      <w:w w:val="100"/>
                      <w:sz w:val="21"/>
                      <w:szCs w:val="21"/>
                      <w:highlight w:val="none"/>
                      <w:lang w:val="en-US" w:eastAsia="zh-CN"/>
                      <w14:textFill>
                        <w14:solidFill>
                          <w14:schemeClr w14:val="tx1"/>
                        </w14:solidFill>
                      </w14:textFill>
                    </w:rPr>
                    <w:t>2025.4.14-4.15</w:t>
                  </w:r>
                </w:p>
              </w:tc>
              <w:tc>
                <w:tcPr>
                  <w:tcW w:w="1297" w:type="pct"/>
                  <w:vMerge w:val="continue"/>
                  <w:tcBorders>
                    <w:bottom w:val="single" w:color="000000" w:sz="12" w:space="0"/>
                  </w:tcBorders>
                  <w:shd w:val="clear" w:color="auto" w:fill="FFFFFF"/>
                  <w:noWrap w:val="0"/>
                  <w:vAlign w:val="center"/>
                </w:tcPr>
                <w:p w14:paraId="0DABCF7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626" w:type="pct"/>
                  <w:vMerge w:val="continue"/>
                  <w:tcBorders>
                    <w:bottom w:val="single" w:color="000000" w:sz="12" w:space="0"/>
                  </w:tcBorders>
                  <w:shd w:val="clear" w:color="auto" w:fill="FFFFFF"/>
                  <w:noWrap w:val="0"/>
                  <w:vAlign w:val="center"/>
                </w:tcPr>
                <w:p w14:paraId="6C38780F">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940" w:type="pct"/>
                  <w:tcBorders>
                    <w:bottom w:val="single" w:color="000000" w:sz="12" w:space="0"/>
                  </w:tcBorders>
                  <w:shd w:val="clear" w:color="auto" w:fill="FFFFFF"/>
                  <w:noWrap w:val="0"/>
                  <w:vAlign w:val="center"/>
                </w:tcPr>
                <w:p w14:paraId="1AB0448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0.074</w:t>
                  </w:r>
                </w:p>
              </w:tc>
              <w:tc>
                <w:tcPr>
                  <w:tcW w:w="1103" w:type="pct"/>
                  <w:vMerge w:val="continue"/>
                  <w:tcBorders>
                    <w:bottom w:val="single" w:color="000000" w:sz="12" w:space="0"/>
                  </w:tcBorders>
                  <w:shd w:val="clear" w:color="auto" w:fill="FFFFFF"/>
                  <w:noWrap w:val="0"/>
                  <w:vAlign w:val="center"/>
                </w:tcPr>
                <w:p w14:paraId="702B440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r>
          </w:tbl>
          <w:p w14:paraId="3AAF3359">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本次环评引用的监测数据满足《建设项目环境影响报告表编制技术指南（污染影响类）（试行）》中</w:t>
            </w:r>
            <w:r>
              <w:rPr>
                <w:rFonts w:hint="eastAsia"/>
                <w:color w:val="000000" w:themeColor="text1"/>
                <w:spacing w:val="0"/>
                <w:w w:val="100"/>
                <w:sz w:val="24"/>
                <w:szCs w:val="24"/>
                <w:highlight w:val="none"/>
                <w14:textFill>
                  <w14:solidFill>
                    <w14:schemeClr w14:val="tx1"/>
                  </w14:solidFill>
                </w14:textFill>
              </w:rPr>
              <w:t>“</w:t>
            </w:r>
            <w:r>
              <w:rPr>
                <w:color w:val="000000" w:themeColor="text1"/>
                <w:spacing w:val="0"/>
                <w:w w:val="100"/>
                <w:sz w:val="24"/>
                <w:szCs w:val="24"/>
                <w:highlight w:val="none"/>
                <w14:textFill>
                  <w14:solidFill>
                    <w14:schemeClr w14:val="tx1"/>
                  </w14:solidFill>
                </w14:textFill>
              </w:rPr>
              <w:t>引用建设项目周边5千米范围内近3年的现有监测数据</w:t>
            </w:r>
            <w:r>
              <w:rPr>
                <w:rFonts w:hint="eastAsia"/>
                <w:color w:val="000000" w:themeColor="text1"/>
                <w:spacing w:val="0"/>
                <w:w w:val="100"/>
                <w:sz w:val="24"/>
                <w:szCs w:val="24"/>
                <w:highlight w:val="none"/>
                <w14:textFill>
                  <w14:solidFill>
                    <w14:schemeClr w14:val="tx1"/>
                  </w14:solidFill>
                </w14:textFill>
              </w:rPr>
              <w:t>”</w:t>
            </w:r>
            <w:r>
              <w:rPr>
                <w:color w:val="000000" w:themeColor="text1"/>
                <w:spacing w:val="0"/>
                <w:w w:val="100"/>
                <w:sz w:val="24"/>
                <w:szCs w:val="24"/>
                <w:highlight w:val="none"/>
                <w14:textFill>
                  <w14:solidFill>
                    <w14:schemeClr w14:val="tx1"/>
                  </w14:solidFill>
                </w14:textFill>
              </w:rPr>
              <w:t>要求。</w:t>
            </w:r>
          </w:p>
          <w:p w14:paraId="7BAD1575">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监测结果见下表：</w:t>
            </w:r>
          </w:p>
          <w:p w14:paraId="54082033">
            <w:pPr>
              <w:pStyle w:val="35"/>
              <w:keepNext w:val="0"/>
              <w:keepLines w:val="0"/>
              <w:pageBreakBefore w:val="0"/>
              <w:widowControl w:val="0"/>
              <w:kinsoku/>
              <w:wordWrap/>
              <w:overflowPunct/>
              <w:topLinePunct w:val="0"/>
              <w:autoSpaceDE/>
              <w:autoSpaceDN/>
              <w:bidi w:val="0"/>
              <w:adjustRightInd w:val="0"/>
              <w:snapToGrid w:val="0"/>
              <w:ind w:left="0" w:leftChars="0" w:right="0" w:rightChars="0"/>
              <w:rPr>
                <w:color w:val="000000" w:themeColor="text1"/>
                <w:spacing w:val="0"/>
                <w:w w:val="100"/>
                <w:highlight w:val="none"/>
                <w14:textFill>
                  <w14:solidFill>
                    <w14:schemeClr w14:val="tx1"/>
                  </w14:solidFill>
                </w14:textFill>
              </w:rPr>
            </w:pPr>
            <w:r>
              <w:rPr>
                <w:color w:val="000000" w:themeColor="text1"/>
                <w:spacing w:val="0"/>
                <w:w w:val="100"/>
                <w:highlight w:val="none"/>
                <w14:textFill>
                  <w14:solidFill>
                    <w14:schemeClr w14:val="tx1"/>
                  </w14:solidFill>
                </w14:textFill>
              </w:rPr>
              <w:t xml:space="preserve">表3-3 </w:t>
            </w:r>
            <w:r>
              <w:rPr>
                <w:rFonts w:hint="eastAsia"/>
                <w:color w:val="000000" w:themeColor="text1"/>
                <w:spacing w:val="0"/>
                <w:w w:val="100"/>
                <w:highlight w:val="none"/>
                <w14:textFill>
                  <w14:solidFill>
                    <w14:schemeClr w14:val="tx1"/>
                  </w14:solidFill>
                </w14:textFill>
              </w:rPr>
              <w:t xml:space="preserve">  </w:t>
            </w:r>
            <w:r>
              <w:rPr>
                <w:color w:val="000000" w:themeColor="text1"/>
                <w:spacing w:val="0"/>
                <w:w w:val="100"/>
                <w:highlight w:val="none"/>
                <w14:textFill>
                  <w14:solidFill>
                    <w14:schemeClr w14:val="tx1"/>
                  </w14:solidFill>
                </w14:textFill>
              </w:rPr>
              <w:t xml:space="preserve"> 监测结果及达标评定表</w:t>
            </w:r>
          </w:p>
          <w:tbl>
            <w:tblPr>
              <w:tblStyle w:val="21"/>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327"/>
              <w:gridCol w:w="1773"/>
              <w:gridCol w:w="3484"/>
              <w:gridCol w:w="990"/>
            </w:tblGrid>
            <w:tr w14:paraId="59D0BB5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876" w:type="pct"/>
                  <w:tcBorders>
                    <w:top w:val="single" w:color="000000" w:sz="12" w:space="0"/>
                    <w:left w:val="nil"/>
                    <w:bottom w:val="single" w:color="auto" w:sz="2" w:space="0"/>
                    <w:right w:val="single" w:color="auto" w:sz="2" w:space="0"/>
                  </w:tcBorders>
                  <w:shd w:val="clear" w:color="auto" w:fill="FFFFFF"/>
                  <w:noWrap w:val="0"/>
                  <w:vAlign w:val="center"/>
                </w:tcPr>
                <w:p w14:paraId="17549ABF">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监测因子</w:t>
                  </w:r>
                </w:p>
              </w:tc>
              <w:tc>
                <w:tcPr>
                  <w:tcW w:w="1170"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7918F44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监测结果</w:t>
                  </w:r>
                </w:p>
                <w:p w14:paraId="6C4E24F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（浓度范围）</w:t>
                  </w:r>
                </w:p>
              </w:tc>
              <w:tc>
                <w:tcPr>
                  <w:tcW w:w="2299"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7F7F79F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标准及标准值</w:t>
                  </w:r>
                </w:p>
              </w:tc>
              <w:tc>
                <w:tcPr>
                  <w:tcW w:w="653" w:type="pct"/>
                  <w:tcBorders>
                    <w:top w:val="single" w:color="000000" w:sz="12" w:space="0"/>
                    <w:left w:val="single" w:color="auto" w:sz="2" w:space="0"/>
                    <w:bottom w:val="single" w:color="auto" w:sz="2" w:space="0"/>
                    <w:right w:val="nil"/>
                  </w:tcBorders>
                  <w:shd w:val="clear" w:color="auto" w:fill="FFFFFF"/>
                  <w:noWrap w:val="0"/>
                  <w:vAlign w:val="center"/>
                </w:tcPr>
                <w:p w14:paraId="0EAF5A1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超达标情况</w:t>
                  </w:r>
                </w:p>
              </w:tc>
            </w:tr>
            <w:tr w14:paraId="235731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876" w:type="pct"/>
                  <w:tcBorders>
                    <w:top w:val="single" w:color="auto" w:sz="2" w:space="0"/>
                    <w:left w:val="nil"/>
                    <w:bottom w:val="single" w:color="000000" w:sz="12" w:space="0"/>
                    <w:right w:val="single" w:color="auto" w:sz="2" w:space="0"/>
                  </w:tcBorders>
                  <w:shd w:val="clear" w:color="auto" w:fill="FFFFFF"/>
                  <w:noWrap w:val="0"/>
                  <w:vAlign w:val="center"/>
                </w:tcPr>
                <w:p w14:paraId="1B528F4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总悬浮颗粒物</w:t>
                  </w:r>
                </w:p>
              </w:tc>
              <w:tc>
                <w:tcPr>
                  <w:tcW w:w="1170"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34DBDC3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0.074～0.077mg/m</w:t>
                  </w:r>
                  <w:r>
                    <w:rPr>
                      <w:rFonts w:hint="eastAsia" w:ascii="Times New Roman"/>
                      <w:color w:val="000000" w:themeColor="text1"/>
                      <w:spacing w:val="0"/>
                      <w:w w:val="100"/>
                      <w:sz w:val="21"/>
                      <w:szCs w:val="21"/>
                      <w:highlight w:val="none"/>
                      <w:vertAlign w:val="superscript"/>
                      <w:lang w:val="en-US" w:eastAsia="zh-CN"/>
                      <w14:textFill>
                        <w14:solidFill>
                          <w14:schemeClr w14:val="tx1"/>
                        </w14:solidFill>
                      </w14:textFill>
                    </w:rPr>
                    <w:t>3</w:t>
                  </w:r>
                </w:p>
              </w:tc>
              <w:tc>
                <w:tcPr>
                  <w:tcW w:w="2299"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22FA389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《环境空气质量标准》（GB3095-2012）</w:t>
                  </w:r>
                  <w:r>
                    <w:rPr>
                      <w:rFonts w:hint="eastAsia" w:ascii="Times New Roman"/>
                      <w:color w:val="000000" w:themeColor="text1"/>
                      <w:spacing w:val="0"/>
                      <w:w w:val="100"/>
                      <w:sz w:val="21"/>
                      <w:szCs w:val="21"/>
                      <w:highlight w:val="none"/>
                      <w:lang w:val="en-US" w:eastAsia="zh-CN"/>
                      <w14:textFill>
                        <w14:solidFill>
                          <w14:schemeClr w14:val="tx1"/>
                        </w14:solidFill>
                      </w14:textFill>
                    </w:rPr>
                    <w:t>及修改单中</w:t>
                  </w:r>
                  <w:r>
                    <w:rPr>
                      <w:rFonts w:ascii="Times New Roman"/>
                      <w:color w:val="000000" w:themeColor="text1"/>
                      <w:spacing w:val="0"/>
                      <w:w w:val="100"/>
                      <w:sz w:val="21"/>
                      <w:szCs w:val="21"/>
                      <w:highlight w:val="none"/>
                      <w14:textFill>
                        <w14:solidFill>
                          <w14:schemeClr w14:val="tx1"/>
                        </w14:solidFill>
                      </w14:textFill>
                    </w:rPr>
                    <w:t>二级</w:t>
                  </w:r>
                  <w:r>
                    <w:rPr>
                      <w:rFonts w:hint="eastAsia" w:ascii="Times New Roman"/>
                      <w:color w:val="000000" w:themeColor="text1"/>
                      <w:spacing w:val="0"/>
                      <w:w w:val="100"/>
                      <w:sz w:val="21"/>
                      <w:szCs w:val="21"/>
                      <w:highlight w:val="none"/>
                      <w:lang w:val="en-US" w:eastAsia="zh-CN"/>
                      <w14:textFill>
                        <w14:solidFill>
                          <w14:schemeClr w14:val="tx1"/>
                        </w14:solidFill>
                      </w14:textFill>
                    </w:rPr>
                    <w:t>标准0.3mg/m</w:t>
                  </w:r>
                  <w:r>
                    <w:rPr>
                      <w:rFonts w:hint="eastAsia" w:ascii="Times New Roman"/>
                      <w:color w:val="000000" w:themeColor="text1"/>
                      <w:spacing w:val="0"/>
                      <w:w w:val="100"/>
                      <w:sz w:val="21"/>
                      <w:szCs w:val="21"/>
                      <w:highlight w:val="none"/>
                      <w:vertAlign w:val="superscript"/>
                      <w:lang w:val="en-US" w:eastAsia="zh-CN"/>
                      <w14:textFill>
                        <w14:solidFill>
                          <w14:schemeClr w14:val="tx1"/>
                        </w14:solidFill>
                      </w14:textFill>
                    </w:rPr>
                    <w:t>3</w:t>
                  </w:r>
                </w:p>
              </w:tc>
              <w:tc>
                <w:tcPr>
                  <w:tcW w:w="653" w:type="pct"/>
                  <w:tcBorders>
                    <w:top w:val="single" w:color="auto" w:sz="2" w:space="0"/>
                    <w:left w:val="single" w:color="auto" w:sz="2" w:space="0"/>
                    <w:bottom w:val="single" w:color="000000" w:sz="12" w:space="0"/>
                    <w:right w:val="nil"/>
                  </w:tcBorders>
                  <w:shd w:val="clear" w:color="auto" w:fill="FFFFFF"/>
                  <w:noWrap w:val="0"/>
                  <w:vAlign w:val="center"/>
                </w:tcPr>
                <w:p w14:paraId="48FDBC2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bl>
          <w:p w14:paraId="6143B492">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jc w:val="both"/>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根据监测结果可知，项目特征因子总悬浮颗粒物现状环境质量浓度满足《环境空气质量标准》（GB3095-2012）</w:t>
            </w:r>
            <w:r>
              <w:rPr>
                <w:rFonts w:hint="eastAsia"/>
                <w:color w:val="000000" w:themeColor="text1"/>
                <w:spacing w:val="0"/>
                <w:w w:val="100"/>
                <w:sz w:val="24"/>
                <w:szCs w:val="24"/>
                <w:highlight w:val="none"/>
                <w:lang w:val="en-US" w:eastAsia="zh-CN"/>
                <w14:textFill>
                  <w14:solidFill>
                    <w14:schemeClr w14:val="tx1"/>
                  </w14:solidFill>
                </w14:textFill>
              </w:rPr>
              <w:t>及修改单中</w:t>
            </w:r>
            <w:r>
              <w:rPr>
                <w:color w:val="000000" w:themeColor="text1"/>
                <w:spacing w:val="0"/>
                <w:w w:val="100"/>
                <w:sz w:val="24"/>
                <w:szCs w:val="24"/>
                <w:highlight w:val="none"/>
                <w14:textFill>
                  <w14:solidFill>
                    <w14:schemeClr w14:val="tx1"/>
                  </w14:solidFill>
                </w14:textFill>
              </w:rPr>
              <w:t>二级标准</w:t>
            </w:r>
            <w:r>
              <w:rPr>
                <w:rFonts w:hint="eastAsia" w:ascii="Times New Roman"/>
                <w:color w:val="000000" w:themeColor="text1"/>
                <w:spacing w:val="0"/>
                <w:w w:val="100"/>
                <w:sz w:val="24"/>
                <w:szCs w:val="24"/>
                <w:highlight w:val="none"/>
                <w:lang w:val="en-US" w:eastAsia="zh-CN"/>
                <w14:textFill>
                  <w14:solidFill>
                    <w14:schemeClr w14:val="tx1"/>
                  </w14:solidFill>
                </w14:textFill>
              </w:rPr>
              <w:t>0.3mg/m</w:t>
            </w:r>
            <w:r>
              <w:rPr>
                <w:rFonts w:hint="eastAsia" w:ascii="Times New Roman"/>
                <w:color w:val="000000" w:themeColor="text1"/>
                <w:spacing w:val="0"/>
                <w:w w:val="100"/>
                <w:sz w:val="24"/>
                <w:szCs w:val="24"/>
                <w:highlight w:val="none"/>
                <w:vertAlign w:val="superscript"/>
                <w:lang w:val="en-US" w:eastAsia="zh-CN"/>
                <w14:textFill>
                  <w14:solidFill>
                    <w14:schemeClr w14:val="tx1"/>
                  </w14:solidFill>
                </w14:textFill>
              </w:rPr>
              <w:t>3</w:t>
            </w:r>
            <w:r>
              <w:rPr>
                <w:color w:val="000000" w:themeColor="text1"/>
                <w:spacing w:val="0"/>
                <w:w w:val="100"/>
                <w:sz w:val="24"/>
                <w:szCs w:val="24"/>
                <w:highlight w:val="none"/>
                <w14:textFill>
                  <w14:solidFill>
                    <w14:schemeClr w14:val="tx1"/>
                  </w14:solidFill>
                </w14:textFill>
              </w:rPr>
              <w:t>限值要求。</w:t>
            </w:r>
          </w:p>
          <w:p w14:paraId="1469514C">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w:t>
            </w:r>
            <w:r>
              <w:rPr>
                <w:rFonts w:hint="default"/>
                <w:color w:val="000000" w:themeColor="text1"/>
                <w:highlight w:val="none"/>
                <w14:textFill>
                  <w14:solidFill>
                    <w14:schemeClr w14:val="tx1"/>
                  </w14:solidFill>
                </w14:textFill>
              </w:rPr>
              <w:t>地表水环境质量现状调查与评价</w:t>
            </w:r>
          </w:p>
          <w:p w14:paraId="7151ADF3">
            <w:pPr>
              <w:pStyle w:val="44"/>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right="0" w:firstLine="481"/>
              <w:textAlignment w:val="auto"/>
              <w:rPr>
                <w:rFonts w:hint="default" w:ascii="Times New Roman" w:hAnsi="Times New Roman" w:eastAsia="宋体" w:cs="Times New Roman"/>
                <w:color w:val="000000" w:themeColor="text1"/>
                <w:spacing w:val="0"/>
                <w:w w:val="100"/>
                <w:sz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sz w:val="24"/>
                <w:highlight w:val="none"/>
                <w14:textFill>
                  <w14:solidFill>
                    <w14:schemeClr w14:val="tx1"/>
                  </w14:solidFill>
                </w14:textFill>
              </w:rPr>
              <w:t>经现场</w:t>
            </w:r>
            <w:r>
              <w:rPr>
                <w:rFonts w:hint="default" w:ascii="Times New Roman" w:hAnsi="Times New Roman" w:eastAsia="宋体" w:cs="Times New Roman"/>
                <w:color w:val="000000" w:themeColor="text1"/>
                <w:spacing w:val="0"/>
                <w:w w:val="100"/>
                <w:sz w:val="24"/>
                <w:highlight w:val="none"/>
                <w14:textFill>
                  <w14:solidFill>
                    <w14:schemeClr w14:val="tx1"/>
                  </w14:solidFill>
                </w14:textFill>
              </w:rPr>
              <w:t>调查，本项目3km内无天然地表水体分布，</w:t>
            </w:r>
            <w:r>
              <w:rPr>
                <w:rFonts w:hint="default" w:ascii="Times New Roman" w:hAnsi="Times New Roman" w:eastAsia="宋体" w:cs="Times New Roman"/>
                <w:color w:val="000000" w:themeColor="text1"/>
                <w:spacing w:val="0"/>
                <w:w w:val="100"/>
                <w:sz w:val="24"/>
                <w:highlight w:val="none"/>
                <w:lang w:val="en-US" w:eastAsia="zh-CN"/>
                <w14:textFill>
                  <w14:solidFill>
                    <w14:schemeClr w14:val="tx1"/>
                  </w14:solidFill>
                </w14:textFill>
              </w:rPr>
              <w:t>运营期产生的锅炉排污水（锅炉排污水+软化处理废水）经园区污水管网，最终排入昌吉高新海天污水处理厂处理，其余生产废水循环使用不外排，</w:t>
            </w:r>
            <w:r>
              <w:rPr>
                <w:rFonts w:hint="default" w:ascii="Times New Roman" w:hAnsi="Times New Roman" w:eastAsia="宋体" w:cs="Times New Roman"/>
                <w:color w:val="000000" w:themeColor="text1"/>
                <w:spacing w:val="0"/>
                <w:w w:val="100"/>
                <w:sz w:val="24"/>
                <w:highlight w:val="none"/>
                <w14:textFill>
                  <w14:solidFill>
                    <w14:schemeClr w14:val="tx1"/>
                  </w14:solidFill>
                </w14:textFill>
              </w:rPr>
              <w:t>项目无新增</w:t>
            </w:r>
            <w:r>
              <w:rPr>
                <w:rFonts w:hint="eastAsia" w:ascii="Times New Roman" w:hAnsi="Times New Roman" w:cs="Times New Roman"/>
                <w:color w:val="000000" w:themeColor="text1"/>
                <w:spacing w:val="0"/>
                <w:w w:val="100"/>
                <w:sz w:val="24"/>
                <w:highlight w:val="none"/>
                <w:lang w:val="en-US" w:eastAsia="zh-CN"/>
                <w14:textFill>
                  <w14:solidFill>
                    <w14:schemeClr w14:val="tx1"/>
                  </w14:solidFill>
                </w14:textFill>
              </w:rPr>
              <w:t>劳动定员</w:t>
            </w:r>
            <w:r>
              <w:rPr>
                <w:rFonts w:hint="default" w:ascii="Times New Roman" w:hAnsi="Times New Roman" w:eastAsia="宋体" w:cs="Times New Roman"/>
                <w:color w:val="000000" w:themeColor="text1"/>
                <w:spacing w:val="0"/>
                <w:w w:val="100"/>
                <w:sz w:val="24"/>
                <w:highlight w:val="none"/>
                <w14:textFill>
                  <w14:solidFill>
                    <w14:schemeClr w14:val="tx1"/>
                  </w14:solidFill>
                </w14:textFill>
              </w:rPr>
              <w:t>，不新增生活污水，因此本次环评对地表水环境质量现状不做评价。</w:t>
            </w:r>
          </w:p>
          <w:p w14:paraId="1D9E4A06">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3.3、土壤、</w:t>
            </w:r>
            <w:r>
              <w:rPr>
                <w:rFonts w:hint="default"/>
                <w:color w:val="000000" w:themeColor="text1"/>
                <w:highlight w:val="none"/>
                <w14:textFill>
                  <w14:solidFill>
                    <w14:schemeClr w14:val="tx1"/>
                  </w14:solidFill>
                </w14:textFill>
              </w:rPr>
              <w:t>地下水环境质量现状调查与评价</w:t>
            </w:r>
          </w:p>
          <w:p w14:paraId="4879CDE8">
            <w:pPr>
              <w:pageBreakBefore w:val="0"/>
              <w:shd w:val="clear" w:color="auto" w:fill="auto"/>
              <w:bidi w:val="0"/>
              <w:spacing w:beforeAutospacing="0" w:afterAutospacing="0" w:line="360" w:lineRule="auto"/>
              <w:ind w:left="0" w:leftChars="0" w:right="0" w:firstLine="480"/>
              <w:rPr>
                <w:rFonts w:hint="default" w:ascii="Times New Roman" w:hAnsi="Times New Roman" w:cs="Times New Roman"/>
                <w:color w:val="000000" w:themeColor="text1"/>
                <w:w w:val="100"/>
                <w:position w:val="0"/>
                <w:sz w:val="24"/>
                <w:szCs w:val="32"/>
                <w:highlight w:val="none"/>
                <w14:textFill>
                  <w14:solidFill>
                    <w14:schemeClr w14:val="tx1"/>
                  </w14:solidFill>
                </w14:textFill>
              </w:rPr>
            </w:pPr>
            <w:r>
              <w:rPr>
                <w:rFonts w:hint="default" w:ascii="Times New Roman" w:hAnsi="Times New Roman" w:cs="Times New Roman"/>
                <w:color w:val="000000" w:themeColor="text1"/>
                <w:w w:val="100"/>
                <w:position w:val="0"/>
                <w:sz w:val="24"/>
                <w:highlight w:val="none"/>
                <w14:textFill>
                  <w14:solidFill>
                    <w14:schemeClr w14:val="tx1"/>
                  </w14:solidFill>
                </w14:textFill>
              </w:rPr>
              <w:t>根据《建设项目环境影响报告表编制技术指南</w:t>
            </w:r>
            <w:r>
              <w:rPr>
                <w:rFonts w:hint="eastAsia" w:cs="Times New Roman"/>
                <w:color w:val="000000" w:themeColor="text1"/>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 w:val="24"/>
                <w:highlight w:val="none"/>
                <w14:textFill>
                  <w14:solidFill>
                    <w14:schemeClr w14:val="tx1"/>
                  </w14:solidFill>
                </w14:textFill>
              </w:rPr>
              <w:t>污染影响类</w:t>
            </w:r>
            <w:r>
              <w:rPr>
                <w:rFonts w:hint="eastAsia" w:cs="Times New Roman"/>
                <w:color w:val="000000" w:themeColor="text1"/>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 w:val="24"/>
                <w:highlight w:val="none"/>
                <w14:textFill>
                  <w14:solidFill>
                    <w14:schemeClr w14:val="tx1"/>
                  </w14:solidFill>
                </w14:textFill>
              </w:rPr>
              <w:t>试行</w:t>
            </w:r>
            <w:r>
              <w:rPr>
                <w:rFonts w:hint="eastAsia" w:cs="Times New Roman"/>
                <w:color w:val="000000" w:themeColor="text1"/>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 w:val="24"/>
                <w:highlight w:val="none"/>
                <w14:textFill>
                  <w14:solidFill>
                    <w14:schemeClr w14:val="tx1"/>
                  </w14:solidFill>
                </w14:textFill>
              </w:rPr>
              <w:t>》中建设项目存在土壤、地下水环境污染途径的，应结合污染源、保护目标分布情况开展现状调查以留作背景值。项目地下水与土壤环境影响评价项目类别均属于Ⅳ类，</w:t>
            </w:r>
            <w:r>
              <w:rPr>
                <w:rFonts w:hint="eastAsia" w:cs="Times New Roman"/>
                <w:color w:val="000000" w:themeColor="text1"/>
                <w:w w:val="100"/>
                <w:position w:val="0"/>
                <w:sz w:val="24"/>
                <w:highlight w:val="none"/>
                <w:lang w:val="en-US" w:eastAsia="zh-CN"/>
                <w14:textFill>
                  <w14:solidFill>
                    <w14:schemeClr w14:val="tx1"/>
                  </w14:solidFill>
                </w14:textFill>
              </w:rPr>
              <w:t>且</w:t>
            </w:r>
            <w:r>
              <w:rPr>
                <w:rFonts w:hint="default" w:ascii="Times New Roman" w:hAnsi="Times New Roman" w:cs="Times New Roman"/>
                <w:color w:val="000000" w:themeColor="text1"/>
                <w:w w:val="100"/>
                <w:position w:val="0"/>
                <w:sz w:val="24"/>
                <w:highlight w:val="none"/>
                <w14:textFill>
                  <w14:solidFill>
                    <w14:schemeClr w14:val="tx1"/>
                  </w14:solidFill>
                </w14:textFill>
              </w:rPr>
              <w:t>不涉及土壤、地下水污染途径，故不进行地下水、土壤质量现状调查及评价。</w:t>
            </w:r>
          </w:p>
          <w:p w14:paraId="6ADFDDAB">
            <w:pPr>
              <w:pStyle w:val="3"/>
              <w:bidi w:val="0"/>
              <w:rPr>
                <w:rFonts w:hint="default"/>
                <w:color w:val="000000" w:themeColor="text1"/>
                <w:highlight w:val="none"/>
                <w14:textFill>
                  <w14:solidFill>
                    <w14:schemeClr w14:val="tx1"/>
                  </w14:solidFill>
                </w14:textFill>
              </w:rPr>
            </w:pPr>
            <w:r>
              <w:rPr>
                <w:rFonts w:hint="default"/>
                <w:color w:val="000000" w:themeColor="text1"/>
                <w:highlight w:val="none"/>
                <w:lang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声环境质量现状及分析</w:t>
            </w:r>
          </w:p>
          <w:p w14:paraId="60D70AD6">
            <w:pPr>
              <w:pageBreakBefore w:val="0"/>
              <w:shd w:val="clear" w:color="auto" w:fill="auto"/>
              <w:bidi w:val="0"/>
              <w:spacing w:beforeAutospacing="0" w:afterAutospacing="0" w:line="360" w:lineRule="auto"/>
              <w:ind w:left="0" w:leftChars="0" w:right="0" w:firstLine="480" w:firstLineChars="200"/>
              <w:rPr>
                <w:rFonts w:hint="default" w:ascii="Times New Roman" w:hAnsi="Times New Roman" w:cs="Times New Roman"/>
                <w:color w:val="000000" w:themeColor="text1"/>
                <w:w w:val="100"/>
                <w:position w:val="0"/>
                <w:sz w:val="24"/>
                <w:highlight w:val="none"/>
                <w14:textFill>
                  <w14:solidFill>
                    <w14:schemeClr w14:val="tx1"/>
                  </w14:solidFill>
                </w14:textFill>
              </w:rPr>
            </w:pPr>
            <w:r>
              <w:rPr>
                <w:rFonts w:hint="default" w:ascii="Times New Roman" w:hAnsi="Times New Roman" w:cs="Times New Roman"/>
                <w:color w:val="000000" w:themeColor="text1"/>
                <w:w w:val="100"/>
                <w:position w:val="0"/>
                <w:sz w:val="24"/>
                <w:highlight w:val="none"/>
                <w14:textFill>
                  <w14:solidFill>
                    <w14:schemeClr w14:val="tx1"/>
                  </w14:solidFill>
                </w14:textFill>
              </w:rPr>
              <w:t>依据生态环境部发布的《建设项目环境影响报告表编制技术指南（污染影响类）（试行）》，本项目厂界周边50m范围内不存在声环境保护目标，且项目位于工业园区内，故不进行现状监测及评价。</w:t>
            </w:r>
          </w:p>
          <w:p w14:paraId="55262661">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eastAsia="zh-CN"/>
                <w14:textFill>
                  <w14:solidFill>
                    <w14:schemeClr w14:val="tx1"/>
                  </w14:solidFill>
                </w14:textFill>
              </w:rPr>
              <w:t>5</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生态环境质量现状调查与评价</w:t>
            </w:r>
          </w:p>
          <w:p w14:paraId="563BE982">
            <w:pPr>
              <w:pageBreakBefore w:val="0"/>
              <w:shd w:val="clear" w:color="auto" w:fill="auto"/>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highlight w:val="none"/>
                <w14:textFill>
                  <w14:solidFill>
                    <w14:schemeClr w14:val="tx1"/>
                  </w14:solidFill>
                </w14:textFill>
              </w:rPr>
              <w:t>根据《建设项目环境影响报告表编制技术指南（污染影响类）（试行）》，“产业园区外建设项目新增用地的，应明确新增用地范围内生态环境保护目标”。本项目</w:t>
            </w:r>
            <w:r>
              <w:rPr>
                <w:rFonts w:hint="eastAsia" w:cs="Times New Roman"/>
                <w:color w:val="000000" w:themeColor="text1"/>
                <w:w w:val="100"/>
                <w:position w:val="0"/>
                <w:sz w:val="24"/>
                <w:highlight w:val="none"/>
                <w:lang w:val="en-US" w:eastAsia="zh-CN"/>
                <w14:textFill>
                  <w14:solidFill>
                    <w14:schemeClr w14:val="tx1"/>
                  </w14:solidFill>
                </w14:textFill>
              </w:rPr>
              <w:t>位</w:t>
            </w:r>
            <w:r>
              <w:rPr>
                <w:rFonts w:hint="eastAsia" w:ascii="Times New Roman" w:hAnsi="Times New Roman" w:eastAsia="宋体" w:cs="Times New Roman"/>
                <w:color w:val="000000" w:themeColor="text1"/>
                <w:w w:val="100"/>
                <w:position w:val="0"/>
                <w:sz w:val="24"/>
                <w:highlight w:val="none"/>
                <w:lang w:val="en-US" w:eastAsia="zh-CN"/>
                <w14:textFill>
                  <w14:solidFill>
                    <w14:schemeClr w14:val="tx1"/>
                  </w14:solidFill>
                </w14:textFill>
              </w:rPr>
              <w:t>于</w:t>
            </w:r>
            <w:r>
              <w:rPr>
                <w:rFonts w:hint="default" w:ascii="Times New Roman" w:hAnsi="Times New Roman" w:eastAsia="宋体" w:cs="Times New Roman"/>
                <w:color w:val="000000" w:themeColor="text1"/>
                <w:w w:val="100"/>
                <w:position w:val="0"/>
                <w:sz w:val="24"/>
                <w:highlight w:val="none"/>
                <w:lang w:val="en-US" w:eastAsia="zh-CN"/>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s="Times New Roman"/>
                <w:color w:val="000000" w:themeColor="text1"/>
                <w:w w:val="100"/>
                <w:position w:val="0"/>
                <w:sz w:val="24"/>
                <w:highlight w:val="none"/>
                <w:lang w:val="en-US" w:eastAsia="zh-CN"/>
                <w14:textFill>
                  <w14:solidFill>
                    <w14:schemeClr w14:val="tx1"/>
                  </w14:solidFill>
                </w14:textFill>
              </w:rPr>
              <w:t>已建车间</w:t>
            </w:r>
            <w:r>
              <w:rPr>
                <w:rFonts w:hint="default" w:ascii="Times New Roman" w:hAnsi="Times New Roman" w:eastAsia="宋体" w:cs="Times New Roman"/>
                <w:color w:val="000000" w:themeColor="text1"/>
                <w:w w:val="100"/>
                <w:position w:val="0"/>
                <w:sz w:val="24"/>
                <w:highlight w:val="none"/>
                <w14:textFill>
                  <w14:solidFill>
                    <w14:schemeClr w14:val="tx1"/>
                  </w14:solidFill>
                </w14:textFill>
              </w:rPr>
              <w:t>，项目</w:t>
            </w:r>
            <w:r>
              <w:rPr>
                <w:rFonts w:hint="default" w:ascii="Times New Roman" w:hAnsi="Times New Roman" w:cs="Times New Roman"/>
                <w:color w:val="000000" w:themeColor="text1"/>
                <w:w w:val="100"/>
                <w:position w:val="0"/>
                <w:sz w:val="24"/>
                <w:highlight w:val="none"/>
                <w14:textFill>
                  <w14:solidFill>
                    <w14:schemeClr w14:val="tx1"/>
                  </w14:solidFill>
                </w14:textFill>
              </w:rPr>
              <w:t>用地为工业用地，且用地范围内不含有生态环境保护目标，故不进行生态环境质量现状调查及评价。</w:t>
            </w:r>
          </w:p>
        </w:tc>
      </w:tr>
      <w:tr w14:paraId="74066F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vAlign w:val="center"/>
          </w:tcPr>
          <w:p w14:paraId="3FFE7990">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环境</w:t>
            </w:r>
          </w:p>
          <w:p w14:paraId="6F8D3DA8">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保护</w:t>
            </w:r>
          </w:p>
          <w:p w14:paraId="238D0C22">
            <w:pPr>
              <w:pageBreakBefore w:val="0"/>
              <w:shd w:val="clear" w:color="auto" w:fill="auto"/>
              <w:bidi w:val="0"/>
              <w:adjustRightInd w:val="0"/>
              <w:snapToGrid w:val="0"/>
              <w:spacing w:beforeAutospacing="0" w:afterAutospacing="0"/>
              <w:ind w:left="0" w:leftChars="0" w:right="0" w:rightChars="0"/>
              <w:jc w:val="center"/>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目标</w:t>
            </w:r>
          </w:p>
        </w:tc>
        <w:tc>
          <w:tcPr>
            <w:tcW w:w="7592" w:type="dxa"/>
            <w:tcBorders>
              <w:tl2br w:val="nil"/>
              <w:tr2bl w:val="nil"/>
            </w:tcBorders>
            <w:vAlign w:val="center"/>
          </w:tcPr>
          <w:p w14:paraId="1E6E9FF1">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b/>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1</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大气环境</w:t>
            </w:r>
          </w:p>
          <w:p w14:paraId="7E7C709E">
            <w:pPr>
              <w:pageBreakBefore w:val="0"/>
              <w:shd w:val="clear" w:color="auto" w:fill="auto"/>
              <w:bidi w:val="0"/>
              <w:adjustRightInd w:val="0"/>
              <w:snapToGrid w:val="0"/>
              <w:spacing w:beforeAutospacing="0" w:afterAutospacing="0" w:line="360" w:lineRule="auto"/>
              <w:ind w:left="0" w:leftChars="0" w:right="0" w:firstLine="480" w:firstLineChars="200"/>
              <w:jc w:val="left"/>
              <w:rPr>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本项目厂界外500米范围内无自然保护区、风景名胜区、居住区、文化区和农村地区中人群较集中的区域等保护目标。</w:t>
            </w:r>
          </w:p>
          <w:p w14:paraId="29820E34">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b/>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2</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声环境</w:t>
            </w:r>
          </w:p>
          <w:p w14:paraId="2375B586">
            <w:pPr>
              <w:pStyle w:val="45"/>
              <w:pageBreakBefore w:val="0"/>
              <w:shd w:val="clear" w:color="auto" w:fill="auto"/>
              <w:bidi w:val="0"/>
              <w:spacing w:beforeAutospacing="0" w:afterAutospacing="0" w:line="360" w:lineRule="auto"/>
              <w:ind w:left="0" w:leftChars="0" w:right="0"/>
              <w:rPr>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本项目厂界外50米范围内无声环境保护目标。</w:t>
            </w:r>
          </w:p>
          <w:p w14:paraId="266DED3F">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b/>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3</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地下水环境</w:t>
            </w:r>
          </w:p>
          <w:p w14:paraId="21EDD688">
            <w:pPr>
              <w:pStyle w:val="45"/>
              <w:pageBreakBefore w:val="0"/>
              <w:shd w:val="clear" w:color="auto" w:fill="auto"/>
              <w:bidi w:val="0"/>
              <w:spacing w:beforeAutospacing="0" w:afterAutospacing="0" w:line="360" w:lineRule="auto"/>
              <w:ind w:left="0" w:leftChars="0" w:right="0"/>
              <w:rPr>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本项目厂界外500米范围内无地下水集中式饮用水水源和热水、矿泉水、温泉等特殊地下水资源。</w:t>
            </w:r>
          </w:p>
          <w:p w14:paraId="386879F0">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color w:val="000000" w:themeColor="text1"/>
                <w:w w:val="100"/>
                <w:kern w:val="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4</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生态环境</w:t>
            </w:r>
          </w:p>
          <w:p w14:paraId="2CA2F899">
            <w:pPr>
              <w:pageBreakBefore w:val="0"/>
              <w:shd w:val="clear" w:color="auto" w:fill="auto"/>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kern w:val="0"/>
                <w:position w:val="0"/>
                <w:sz w:val="24"/>
                <w:szCs w:val="24"/>
                <w:highlight w:val="none"/>
                <w14:textFill>
                  <w14:solidFill>
                    <w14:schemeClr w14:val="tx1"/>
                  </w14:solidFill>
                </w14:textFill>
              </w:rPr>
              <w:t>项目位于</w:t>
            </w:r>
            <w:r>
              <w:rPr>
                <w:rFonts w:hint="default" w:ascii="Times New Roman" w:hAnsi="Times New Roman" w:cs="Times New Roman"/>
                <w:color w:val="000000" w:themeColor="text1"/>
                <w:w w:val="100"/>
                <w:kern w:val="0"/>
                <w:position w:val="0"/>
                <w:sz w:val="24"/>
                <w:szCs w:val="24"/>
                <w:highlight w:val="none"/>
                <w:lang w:val="en-US" w:eastAsia="zh-CN"/>
                <w14:textFill>
                  <w14:solidFill>
                    <w14:schemeClr w14:val="tx1"/>
                  </w14:solidFill>
                </w14:textFill>
              </w:rPr>
              <w:t>产业园区</w:t>
            </w:r>
            <w:r>
              <w:rPr>
                <w:rFonts w:hint="default" w:ascii="Times New Roman" w:hAnsi="Times New Roman" w:cs="Times New Roman"/>
                <w:color w:val="000000" w:themeColor="text1"/>
                <w:w w:val="100"/>
                <w:kern w:val="0"/>
                <w:position w:val="0"/>
                <w:sz w:val="24"/>
                <w:szCs w:val="24"/>
                <w:highlight w:val="none"/>
                <w14:textFill>
                  <w14:solidFill>
                    <w14:schemeClr w14:val="tx1"/>
                  </w14:solidFill>
                </w14:textFill>
              </w:rPr>
              <w:t>内，周围无生态环境保护目标。</w:t>
            </w:r>
          </w:p>
        </w:tc>
      </w:tr>
      <w:tr w14:paraId="72CAB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vAlign w:val="center"/>
          </w:tcPr>
          <w:p w14:paraId="568B994A">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污染物排放控制标准</w:t>
            </w:r>
          </w:p>
        </w:tc>
        <w:tc>
          <w:tcPr>
            <w:tcW w:w="7592" w:type="dxa"/>
            <w:tcBorders>
              <w:tl2br w:val="nil"/>
              <w:tr2bl w:val="nil"/>
            </w:tcBorders>
          </w:tcPr>
          <w:p w14:paraId="732BCE2C">
            <w:pPr>
              <w:pageBreakBefore w:val="0"/>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t>1.废气</w:t>
            </w: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污染物排放标准</w:t>
            </w:r>
          </w:p>
          <w:p w14:paraId="5F759211">
            <w:pPr>
              <w:pageBreakBefore w:val="0"/>
              <w:shd w:val="clear" w:color="auto" w:fill="auto"/>
              <w:wordWrap w:val="0"/>
              <w:bidi w:val="0"/>
              <w:adjustRightInd w:val="0"/>
              <w:snapToGrid w:val="0"/>
              <w:spacing w:beforeAutospacing="0" w:afterAutospacing="0" w:line="360" w:lineRule="auto"/>
              <w:ind w:left="0" w:leftChars="0" w:right="0" w:firstLine="480" w:firstLineChars="200"/>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（1）酸洗搅拌工序与储罐呼吸产生的</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氯化氢废气</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与预搅拌工序颗粒物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执行</w:t>
            </w:r>
            <w:r>
              <w:rPr>
                <w:rFonts w:hint="eastAsia"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16297</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-1996）中表2中氯化氢排放限值要求（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100mg/m</w:t>
            </w:r>
            <w:r>
              <w:rPr>
                <w:rFonts w:hint="eastAsia"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0.26kg/h）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无组织废气排放浓度能满足《大气污染物综合排放标准》（GB16297-1996）表2中氯化氢无组织排放限值0.2mg/m</w:t>
            </w:r>
            <w:r>
              <w:rPr>
                <w:rFonts w:hint="eastAsia"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7032F615">
            <w:pPr>
              <w:pageBreakBefore w:val="0"/>
              <w:shd w:val="clear" w:color="auto" w:fill="auto"/>
              <w:wordWrap w:val="0"/>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eastAsia" w:cs="Times New Roman"/>
                <w:color w:val="000000" w:themeColor="text1"/>
                <w:w w:val="100"/>
                <w:kern w:val="0"/>
                <w:position w:val="0"/>
                <w:sz w:val="24"/>
                <w:szCs w:val="24"/>
                <w:highlight w:val="none"/>
                <w:lang w:val="en-US" w:eastAsia="zh-CN"/>
                <w14:textFill>
                  <w14:solidFill>
                    <w14:schemeClr w14:val="tx1"/>
                  </w14:solidFill>
                </w14:textFill>
              </w:rPr>
              <w:t>（2）醇基锅炉燃烧废气中</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的颗粒物、二氧化硫、氮氧化物</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《锅炉大气污染物排放标准》（GB-13271-2014）中表3燃油锅炉大气污染物特别排放浓度限值</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43240DD3">
            <w:pPr>
              <w:pStyle w:val="53"/>
              <w:bidi w:val="0"/>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（3）原料堆场与装卸扬尘、</w:t>
            </w:r>
            <w:r>
              <w:rPr>
                <w:rFonts w:hint="default" w:ascii="Times New Roman" w:hAnsi="Times New Roman" w:eastAsia="宋体" w:cs="Times New Roman"/>
                <w:color w:val="000000" w:themeColor="text1"/>
                <w:highlight w:val="none"/>
                <w:lang w:val="en-US" w:eastAsia="zh-CN"/>
                <w14:textFill>
                  <w14:solidFill>
                    <w14:schemeClr w14:val="tx1"/>
                  </w14:solidFill>
                </w14:textFill>
              </w:rPr>
              <w:t>破</w:t>
            </w:r>
            <w:r>
              <w:rPr>
                <w:rFonts w:hint="default"/>
                <w:color w:val="000000" w:themeColor="text1"/>
                <w:highlight w:val="none"/>
                <w:lang w:val="en-US" w:eastAsia="zh-CN"/>
                <w14:textFill>
                  <w14:solidFill>
                    <w14:schemeClr w14:val="tx1"/>
                  </w14:solidFill>
                </w14:textFill>
              </w:rPr>
              <w:t>碎、球磨工序</w:t>
            </w:r>
            <w:r>
              <w:rPr>
                <w:rFonts w:hint="eastAsia"/>
                <w:color w:val="000000" w:themeColor="text1"/>
                <w:highlight w:val="none"/>
                <w:lang w:val="en-US" w:eastAsia="zh-CN"/>
                <w14:textFill>
                  <w14:solidFill>
                    <w14:schemeClr w14:val="tx1"/>
                  </w14:solidFill>
                </w14:textFill>
              </w:rPr>
              <w:t>与烘干</w:t>
            </w:r>
            <w:r>
              <w:rPr>
                <w:rFonts w:hint="default"/>
                <w:color w:val="000000" w:themeColor="text1"/>
                <w:highlight w:val="none"/>
                <w:lang w:val="en-US" w:eastAsia="zh-CN"/>
                <w14:textFill>
                  <w14:solidFill>
                    <w14:schemeClr w14:val="tx1"/>
                  </w14:solidFill>
                </w14:textFill>
              </w:rPr>
              <w:t>工序</w:t>
            </w:r>
            <w:r>
              <w:rPr>
                <w:rFonts w:hint="eastAsia"/>
                <w:color w:val="000000" w:themeColor="text1"/>
                <w:highlight w:val="none"/>
                <w:lang w:val="en-US" w:eastAsia="zh-CN"/>
                <w14:textFill>
                  <w14:solidFill>
                    <w14:schemeClr w14:val="tx1"/>
                  </w14:solidFill>
                </w14:textFill>
              </w:rPr>
              <w:t>废气</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排放</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有组织废气：</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；无组织废气：1.0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791E772D">
            <w:pPr>
              <w:pStyle w:val="11"/>
              <w:keepNext w:val="0"/>
              <w:keepLines w:val="0"/>
              <w:pageBreakBefore w:val="0"/>
              <w:kinsoku/>
              <w:wordWrap/>
              <w:overflowPunct/>
              <w:topLinePunct w:val="0"/>
              <w:autoSpaceDE/>
              <w:autoSpaceDN/>
              <w:bidi w:val="0"/>
              <w:snapToGrid w:val="0"/>
              <w:spacing w:before="0" w:after="0" w:line="360" w:lineRule="auto"/>
              <w:ind w:firstLine="480" w:firstLineChars="200"/>
              <w:textAlignment w:val="auto"/>
              <w:rPr>
                <w:rFonts w:hint="eastAsia"/>
                <w:color w:val="000000" w:themeColor="text1"/>
                <w:sz w:val="24"/>
                <w:szCs w:val="28"/>
                <w:highlight w:val="none"/>
                <w:lang w:val="en-US" w:eastAsia="zh-CN"/>
                <w14:textFill>
                  <w14:solidFill>
                    <w14:schemeClr w14:val="tx1"/>
                  </w14:solidFill>
                </w14:textFill>
              </w:rPr>
            </w:pPr>
            <w:r>
              <w:rPr>
                <w:rFonts w:hint="eastAsia"/>
                <w:color w:val="000000" w:themeColor="text1"/>
                <w:sz w:val="24"/>
                <w:szCs w:val="28"/>
                <w:highlight w:val="none"/>
                <w:lang w:val="en-US" w:eastAsia="zh-CN"/>
                <w14:textFill>
                  <w14:solidFill>
                    <w14:schemeClr w14:val="tx1"/>
                  </w14:solidFill>
                </w14:textFill>
              </w:rPr>
              <w:t>本项目大气污染物排放限值见表3-7。</w:t>
            </w:r>
          </w:p>
          <w:p w14:paraId="6C939538">
            <w:pPr>
              <w:pStyle w:val="3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表3-7    大气污染物排放限值标准</w:t>
            </w:r>
          </w:p>
          <w:tbl>
            <w:tblPr>
              <w:tblStyle w:val="22"/>
              <w:tblW w:w="75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669"/>
              <w:gridCol w:w="670"/>
              <w:gridCol w:w="1090"/>
              <w:gridCol w:w="3852"/>
            </w:tblGrid>
            <w:tr w14:paraId="37D8D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6" w:type="dxa"/>
                  <w:tcBorders>
                    <w:bottom w:val="single" w:color="auto" w:sz="12" w:space="0"/>
                  </w:tcBorders>
                  <w:vAlign w:val="center"/>
                </w:tcPr>
                <w:p w14:paraId="4F93188E">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污染物产生工序</w:t>
                  </w:r>
                </w:p>
              </w:tc>
              <w:tc>
                <w:tcPr>
                  <w:tcW w:w="1339" w:type="dxa"/>
                  <w:gridSpan w:val="2"/>
                  <w:tcBorders>
                    <w:bottom w:val="single" w:color="auto" w:sz="12" w:space="0"/>
                  </w:tcBorders>
                  <w:vAlign w:val="center"/>
                </w:tcPr>
                <w:p w14:paraId="12CBFA25">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w:t>
                  </w:r>
                </w:p>
              </w:tc>
              <w:tc>
                <w:tcPr>
                  <w:tcW w:w="1090" w:type="dxa"/>
                  <w:tcBorders>
                    <w:bottom w:val="single" w:color="auto" w:sz="12" w:space="0"/>
                  </w:tcBorders>
                  <w:vAlign w:val="center"/>
                </w:tcPr>
                <w:p w14:paraId="485942A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限值</w:t>
                  </w:r>
                </w:p>
              </w:tc>
              <w:tc>
                <w:tcPr>
                  <w:tcW w:w="3852" w:type="dxa"/>
                  <w:tcBorders>
                    <w:bottom w:val="single" w:color="auto" w:sz="12" w:space="0"/>
                  </w:tcBorders>
                  <w:vAlign w:val="center"/>
                </w:tcPr>
                <w:p w14:paraId="1650A5F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标准</w:t>
                  </w:r>
                </w:p>
              </w:tc>
            </w:tr>
            <w:tr w14:paraId="706E19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restart"/>
                  <w:tcBorders>
                    <w:top w:val="single" w:color="auto" w:sz="12" w:space="0"/>
                    <w:tl2br w:val="nil"/>
                    <w:tr2bl w:val="nil"/>
                  </w:tcBorders>
                  <w:vAlign w:val="center"/>
                </w:tcPr>
                <w:p w14:paraId="4F1A8A68">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醇基锅炉</w:t>
                  </w:r>
                </w:p>
              </w:tc>
              <w:tc>
                <w:tcPr>
                  <w:tcW w:w="669" w:type="dxa"/>
                  <w:tcBorders>
                    <w:top w:val="single" w:color="auto" w:sz="12" w:space="0"/>
                    <w:tl2br w:val="nil"/>
                    <w:tr2bl w:val="nil"/>
                  </w:tcBorders>
                  <w:vAlign w:val="center"/>
                </w:tcPr>
                <w:p w14:paraId="279F0533">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p>
              </w:tc>
              <w:tc>
                <w:tcPr>
                  <w:tcW w:w="670" w:type="dxa"/>
                  <w:tcBorders>
                    <w:top w:val="single" w:color="auto" w:sz="12" w:space="0"/>
                    <w:tl2br w:val="nil"/>
                    <w:tr2bl w:val="nil"/>
                  </w:tcBorders>
                  <w:vAlign w:val="center"/>
                </w:tcPr>
                <w:p w14:paraId="4E522FF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op w:val="single" w:color="auto" w:sz="12" w:space="0"/>
                    <w:tl2br w:val="nil"/>
                    <w:tr2bl w:val="nil"/>
                  </w:tcBorders>
                  <w:vAlign w:val="center"/>
                </w:tcPr>
                <w:p w14:paraId="57900A55">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vMerge w:val="restart"/>
                  <w:tcBorders>
                    <w:top w:val="single" w:color="auto" w:sz="12" w:space="0"/>
                    <w:tl2br w:val="nil"/>
                    <w:tr2bl w:val="nil"/>
                  </w:tcBorders>
                  <w:vAlign w:val="center"/>
                </w:tcPr>
                <w:p w14:paraId="4010EE90">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《锅炉大气污染物排放标准》（GB-13271-2014）中表3燃油锅炉大气污染物特别排放浓度限值</w:t>
                  </w:r>
                </w:p>
              </w:tc>
            </w:tr>
            <w:tr w14:paraId="68D33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052E7B4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69" w:type="dxa"/>
                  <w:tcBorders>
                    <w:tl2br w:val="nil"/>
                    <w:tr2bl w:val="nil"/>
                  </w:tcBorders>
                  <w:vAlign w:val="center"/>
                </w:tcPr>
                <w:p w14:paraId="5B70746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color w:val="000000" w:themeColor="text1"/>
                      <w:highlight w:val="none"/>
                      <w14:textFill>
                        <w14:solidFill>
                          <w14:schemeClr w14:val="tx1"/>
                        </w14:solidFill>
                      </w14:textFill>
                    </w:rPr>
                  </w:pPr>
                  <w:r>
                    <w:rPr>
                      <w:rFonts w:hint="default" w:ascii="Times New Roman" w:hAnsi="Times New Roman" w:cs="Times New Roman"/>
                      <w:b w:val="0"/>
                      <w:bCs/>
                      <w:i w:val="0"/>
                      <w:color w:val="000000" w:themeColor="text1"/>
                      <w:sz w:val="21"/>
                      <w:szCs w:val="21"/>
                      <w:highlight w:val="none"/>
                      <w:lang w:val="en-US" w:eastAsia="zh-CN"/>
                      <w14:textFill>
                        <w14:solidFill>
                          <w14:schemeClr w14:val="tx1"/>
                        </w14:solidFill>
                      </w14:textFill>
                    </w:rPr>
                    <w:t>SO</w:t>
                  </w:r>
                  <w:r>
                    <w:rPr>
                      <w:rFonts w:hint="default" w:ascii="Times New Roman" w:hAnsi="Times New Roman" w:cs="Times New Roman"/>
                      <w:b w:val="0"/>
                      <w:bCs/>
                      <w:i w:val="0"/>
                      <w:color w:val="000000" w:themeColor="text1"/>
                      <w:sz w:val="21"/>
                      <w:szCs w:val="21"/>
                      <w:highlight w:val="none"/>
                      <w:vertAlign w:val="subscript"/>
                      <w:lang w:val="en-US" w:eastAsia="zh-CN"/>
                      <w14:textFill>
                        <w14:solidFill>
                          <w14:schemeClr w14:val="tx1"/>
                        </w14:solidFill>
                      </w14:textFill>
                    </w:rPr>
                    <w:t>2</w:t>
                  </w:r>
                </w:p>
              </w:tc>
              <w:tc>
                <w:tcPr>
                  <w:tcW w:w="670" w:type="dxa"/>
                  <w:tcBorders>
                    <w:tl2br w:val="nil"/>
                    <w:tr2bl w:val="nil"/>
                  </w:tcBorders>
                  <w:shd w:val="clear" w:color="auto" w:fill="auto"/>
                  <w:vAlign w:val="center"/>
                </w:tcPr>
                <w:p w14:paraId="27DD50A6">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shd w:val="clear" w:color="auto" w:fill="auto"/>
                  <w:vAlign w:val="center"/>
                </w:tcPr>
                <w:p w14:paraId="3FB076C4">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100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vMerge w:val="continue"/>
                  <w:tcBorders>
                    <w:tl2br w:val="nil"/>
                    <w:tr2bl w:val="nil"/>
                  </w:tcBorders>
                  <w:shd w:val="clear" w:color="auto" w:fill="auto"/>
                  <w:vAlign w:val="center"/>
                </w:tcPr>
                <w:p w14:paraId="02D309E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p>
              </w:tc>
            </w:tr>
            <w:tr w14:paraId="1819A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69F33BE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69" w:type="dxa"/>
                  <w:tcBorders>
                    <w:tl2br w:val="nil"/>
                    <w:tr2bl w:val="nil"/>
                  </w:tcBorders>
                  <w:vAlign w:val="center"/>
                </w:tcPr>
                <w:p w14:paraId="41B8382C">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color w:val="000000" w:themeColor="text1"/>
                      <w:highlight w:val="none"/>
                      <w14:textFill>
                        <w14:solidFill>
                          <w14:schemeClr w14:val="tx1"/>
                        </w14:solidFill>
                      </w14:textFill>
                    </w:rPr>
                  </w:pPr>
                  <w:r>
                    <w:rPr>
                      <w:rFonts w:hint="default" w:ascii="Times New Roman" w:hAnsi="Times New Roman" w:cs="Times New Roman"/>
                      <w:b w:val="0"/>
                      <w:bCs/>
                      <w:i w:val="0"/>
                      <w:color w:val="000000" w:themeColor="text1"/>
                      <w:sz w:val="21"/>
                      <w:szCs w:val="21"/>
                      <w:highlight w:val="none"/>
                      <w:lang w:val="en-US" w:eastAsia="zh-CN"/>
                      <w14:textFill>
                        <w14:solidFill>
                          <w14:schemeClr w14:val="tx1"/>
                        </w14:solidFill>
                      </w14:textFill>
                    </w:rPr>
                    <w:t>NO</w:t>
                  </w: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x</w:t>
                  </w:r>
                </w:p>
              </w:tc>
              <w:tc>
                <w:tcPr>
                  <w:tcW w:w="670" w:type="dxa"/>
                  <w:tcBorders>
                    <w:tl2br w:val="nil"/>
                    <w:tr2bl w:val="nil"/>
                  </w:tcBorders>
                  <w:shd w:val="clear" w:color="auto" w:fill="auto"/>
                  <w:vAlign w:val="center"/>
                </w:tcPr>
                <w:p w14:paraId="6749B76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shd w:val="clear" w:color="auto" w:fill="auto"/>
                  <w:vAlign w:val="center"/>
                </w:tcPr>
                <w:p w14:paraId="5421D57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200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vMerge w:val="continue"/>
                  <w:tcBorders>
                    <w:tl2br w:val="nil"/>
                    <w:tr2bl w:val="nil"/>
                  </w:tcBorders>
                  <w:shd w:val="clear" w:color="auto" w:fill="auto"/>
                  <w:vAlign w:val="center"/>
                </w:tcPr>
                <w:p w14:paraId="4731162C">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p>
              </w:tc>
            </w:tr>
            <w:tr w14:paraId="2B0D0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478EFBB8">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1339" w:type="dxa"/>
                  <w:gridSpan w:val="2"/>
                  <w:tcBorders>
                    <w:tl2br w:val="nil"/>
                    <w:tr2bl w:val="nil"/>
                  </w:tcBorders>
                  <w:shd w:val="clear" w:color="auto" w:fill="auto"/>
                  <w:vAlign w:val="center"/>
                </w:tcPr>
                <w:p w14:paraId="27AE4C77">
                  <w:pPr>
                    <w:pStyle w:val="11"/>
                    <w:keepNext w:val="0"/>
                    <w:keepLines w:val="0"/>
                    <w:pageBreakBefore w:val="0"/>
                    <w:kinsoku/>
                    <w:wordWrap/>
                    <w:overflowPunct/>
                    <w:topLinePunct w:val="0"/>
                    <w:autoSpaceDE/>
                    <w:autoSpaceDN/>
                    <w:bidi w:val="0"/>
                    <w:snapToGrid w:val="0"/>
                    <w:spacing w:before="0" w:after="0" w:line="240" w:lineRule="auto"/>
                    <w:ind w:right="113" w:rightChars="0"/>
                    <w:jc w:val="center"/>
                    <w:textAlignment w:val="auto"/>
                    <w:rPr>
                      <w:rFonts w:hint="eastAsia" w:ascii="Times New Roman" w:hAnsi="Times New Roman" w:eastAsia="黑体" w:cs="Times New Roman"/>
                      <w:b w:val="0"/>
                      <w:bCs/>
                      <w:i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t>烟气黑度</w:t>
                  </w:r>
                  <w:r>
                    <w:rPr>
                      <w:rFonts w:hint="eastAsia" w:ascii="宋体" w:hAnsi="宋体" w:cs="宋体"/>
                      <w:b w:val="0"/>
                      <w:bCs/>
                      <w:i w:val="0"/>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t>林格曼黑度，级</w:t>
                  </w:r>
                  <w:r>
                    <w:rPr>
                      <w:rFonts w:hint="eastAsia" w:ascii="宋体" w:hAnsi="宋体" w:cs="宋体"/>
                      <w:b w:val="0"/>
                      <w:bCs/>
                      <w:i w:val="0"/>
                      <w:color w:val="000000" w:themeColor="text1"/>
                      <w:kern w:val="0"/>
                      <w:sz w:val="21"/>
                      <w:szCs w:val="21"/>
                      <w:highlight w:val="none"/>
                      <w:lang w:val="en-US" w:eastAsia="zh-CN" w:bidi="ar-SA"/>
                      <w14:textFill>
                        <w14:solidFill>
                          <w14:schemeClr w14:val="tx1"/>
                        </w14:solidFill>
                      </w14:textFill>
                    </w:rPr>
                    <w:t>）</w:t>
                  </w:r>
                </w:p>
              </w:tc>
              <w:tc>
                <w:tcPr>
                  <w:tcW w:w="1090" w:type="dxa"/>
                  <w:tcBorders>
                    <w:tl2br w:val="nil"/>
                    <w:tr2bl w:val="nil"/>
                  </w:tcBorders>
                  <w:shd w:val="clear" w:color="auto" w:fill="auto"/>
                  <w:vAlign w:val="center"/>
                </w:tcPr>
                <w:p w14:paraId="368E3E0B">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i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i w:val="0"/>
                      <w:color w:val="000000" w:themeColor="text1"/>
                      <w:kern w:val="0"/>
                      <w:sz w:val="21"/>
                      <w:szCs w:val="21"/>
                      <w:highlight w:val="none"/>
                      <w:lang w:val="en-US" w:eastAsia="zh-CN" w:bidi="ar-SA"/>
                      <w14:textFill>
                        <w14:solidFill>
                          <w14:schemeClr w14:val="tx1"/>
                        </w14:solidFill>
                      </w14:textFill>
                    </w:rPr>
                    <w:t>≤1（级）</w:t>
                  </w:r>
                </w:p>
              </w:tc>
              <w:tc>
                <w:tcPr>
                  <w:tcW w:w="3852" w:type="dxa"/>
                  <w:vMerge w:val="continue"/>
                  <w:tcBorders>
                    <w:tl2br w:val="nil"/>
                    <w:tr2bl w:val="nil"/>
                  </w:tcBorders>
                  <w:shd w:val="clear" w:color="auto" w:fill="auto"/>
                  <w:vAlign w:val="center"/>
                </w:tcPr>
                <w:p w14:paraId="25A8C48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p>
              </w:tc>
            </w:tr>
            <w:tr w14:paraId="4C699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restart"/>
                  <w:tcBorders>
                    <w:tl2br w:val="nil"/>
                    <w:tr2bl w:val="nil"/>
                  </w:tcBorders>
                  <w:vAlign w:val="center"/>
                </w:tcPr>
                <w:p w14:paraId="2CB6AF1D">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原料堆场与装卸扬尘、</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破碎、球磨工序</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与烘干</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工序</w:t>
                  </w:r>
                </w:p>
              </w:tc>
              <w:tc>
                <w:tcPr>
                  <w:tcW w:w="669" w:type="dxa"/>
                  <w:vMerge w:val="restart"/>
                  <w:tcBorders>
                    <w:tl2br w:val="nil"/>
                    <w:tr2bl w:val="nil"/>
                  </w:tcBorders>
                  <w:vAlign w:val="center"/>
                </w:tcPr>
                <w:p w14:paraId="3A91890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p>
              </w:tc>
              <w:tc>
                <w:tcPr>
                  <w:tcW w:w="670" w:type="dxa"/>
                  <w:tcBorders>
                    <w:tl2br w:val="nil"/>
                    <w:tr2bl w:val="nil"/>
                  </w:tcBorders>
                  <w:shd w:val="clear" w:color="auto" w:fill="auto"/>
                  <w:vAlign w:val="center"/>
                </w:tcPr>
                <w:p w14:paraId="08102855">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黑体" w:hAnsi="黑体" w:eastAsia="黑体" w:cstheme="minorBidi"/>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shd w:val="clear" w:color="auto" w:fill="auto"/>
                  <w:vAlign w:val="center"/>
                </w:tcPr>
                <w:p w14:paraId="29C79EB4">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120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tcBorders>
                    <w:tl2br w:val="nil"/>
                    <w:tr2bl w:val="nil"/>
                  </w:tcBorders>
                  <w:shd w:val="clear" w:color="auto" w:fill="auto"/>
                  <w:vAlign w:val="center"/>
                </w:tcPr>
                <w:p w14:paraId="67BC9B73">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《大气污染物综合排</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放标准》（GB16297-1996）中表2中</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排放</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限值</w:t>
                  </w:r>
                </w:p>
              </w:tc>
            </w:tr>
            <w:tr w14:paraId="6A309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6325C15A">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69" w:type="dxa"/>
                  <w:vMerge w:val="continue"/>
                  <w:tcBorders>
                    <w:tl2br w:val="nil"/>
                    <w:tr2bl w:val="nil"/>
                  </w:tcBorders>
                  <w:vAlign w:val="center"/>
                </w:tcPr>
                <w:p w14:paraId="11568D3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70" w:type="dxa"/>
                  <w:tcBorders>
                    <w:tl2br w:val="nil"/>
                    <w:tr2bl w:val="nil"/>
                  </w:tcBorders>
                  <w:shd w:val="clear" w:color="auto" w:fill="auto"/>
                  <w:vAlign w:val="center"/>
                </w:tcPr>
                <w:p w14:paraId="406722CC">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黑体" w:hAnsi="黑体" w:eastAsia="黑体" w:cstheme="minorBidi"/>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无组织</w:t>
                  </w:r>
                </w:p>
              </w:tc>
              <w:tc>
                <w:tcPr>
                  <w:tcW w:w="1090" w:type="dxa"/>
                  <w:tcBorders>
                    <w:tl2br w:val="nil"/>
                    <w:tr2bl w:val="nil"/>
                  </w:tcBorders>
                  <w:shd w:val="clear" w:color="auto" w:fill="auto"/>
                  <w:vAlign w:val="center"/>
                </w:tcPr>
                <w:p w14:paraId="7BBD751B">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tcBorders>
                    <w:tl2br w:val="nil"/>
                    <w:tr2bl w:val="nil"/>
                  </w:tcBorders>
                  <w:shd w:val="clear" w:color="auto" w:fill="auto"/>
                  <w:vAlign w:val="center"/>
                </w:tcPr>
                <w:p w14:paraId="4E0260E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《大气污染物综合排</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放标准》（GB16297-1996）中表2中</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排放</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限值</w:t>
                  </w:r>
                </w:p>
              </w:tc>
            </w:tr>
            <w:tr w14:paraId="101DC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6" w:type="dxa"/>
                  <w:tcBorders>
                    <w:tl2br w:val="nil"/>
                    <w:tr2bl w:val="nil"/>
                  </w:tcBorders>
                  <w:vAlign w:val="center"/>
                </w:tcPr>
                <w:p w14:paraId="473369DD">
                  <w:pPr>
                    <w:pStyle w:val="11"/>
                    <w:keepNext w:val="0"/>
                    <w:keepLines w:val="0"/>
                    <w:pageBreakBefore w:val="0"/>
                    <w:kinsoku/>
                    <w:wordWrap/>
                    <w:overflowPunct/>
                    <w:topLinePunct w:val="0"/>
                    <w:autoSpaceDE/>
                    <w:autoSpaceDN/>
                    <w:bidi w:val="0"/>
                    <w:snapToGrid w:val="0"/>
                    <w:spacing w:before="0" w:after="0" w:line="240" w:lineRule="auto"/>
                    <w:jc w:val="center"/>
                    <w:textAlignment w:val="auto"/>
                    <w:rPr>
                      <w:rFonts w:hint="default"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b w:val="0"/>
                      <w:bCs/>
                      <w:i w:val="0"/>
                      <w:color w:val="000000" w:themeColor="text1"/>
                      <w:kern w:val="0"/>
                      <w:sz w:val="21"/>
                      <w:szCs w:val="21"/>
                      <w:highlight w:val="none"/>
                      <w:lang w:val="en-US" w:eastAsia="zh-CN" w:bidi="ar-SA"/>
                      <w14:textFill>
                        <w14:solidFill>
                          <w14:schemeClr w14:val="tx1"/>
                        </w14:solidFill>
                      </w14:textFill>
                    </w:rPr>
                    <w:t>碱淋塔</w:t>
                  </w:r>
                </w:p>
              </w:tc>
              <w:tc>
                <w:tcPr>
                  <w:tcW w:w="669" w:type="dxa"/>
                  <w:tcBorders>
                    <w:tl2br w:val="nil"/>
                    <w:tr2bl w:val="nil"/>
                  </w:tcBorders>
                  <w:vAlign w:val="center"/>
                </w:tcPr>
                <w:p w14:paraId="3CD28208">
                  <w:pPr>
                    <w:pStyle w:val="11"/>
                    <w:keepNext w:val="0"/>
                    <w:keepLines w:val="0"/>
                    <w:pageBreakBefore w:val="0"/>
                    <w:kinsoku/>
                    <w:wordWrap/>
                    <w:overflowPunct/>
                    <w:topLinePunct w:val="0"/>
                    <w:autoSpaceDE/>
                    <w:autoSpaceDN/>
                    <w:bidi w:val="0"/>
                    <w:snapToGrid w:val="0"/>
                    <w:spacing w:before="0" w:after="0" w:line="240" w:lineRule="auto"/>
                    <w:jc w:val="center"/>
                    <w:textAlignment w:val="auto"/>
                    <w:rPr>
                      <w:rFonts w:hint="default"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t>氯化氢</w:t>
                  </w:r>
                </w:p>
              </w:tc>
              <w:tc>
                <w:tcPr>
                  <w:tcW w:w="670" w:type="dxa"/>
                  <w:tcBorders>
                    <w:tl2br w:val="nil"/>
                    <w:tr2bl w:val="nil"/>
                  </w:tcBorders>
                  <w:shd w:val="clear" w:color="auto" w:fill="auto"/>
                  <w:vAlign w:val="center"/>
                </w:tcPr>
                <w:p w14:paraId="27E0085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黑体" w:hAnsi="黑体" w:eastAsia="黑体" w:cstheme="minorBidi"/>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vAlign w:val="center"/>
                </w:tcPr>
                <w:p w14:paraId="33B763E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黑体" w:cs="Times New Roman"/>
                      <w:b w:val="0"/>
                      <w:bCs/>
                      <w:i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kern w:val="0"/>
                      <w:sz w:val="21"/>
                      <w:szCs w:val="21"/>
                      <w:highlight w:val="none"/>
                      <w:lang w:val="en-US" w:eastAsia="zh-CN" w:bidi="ar-SA"/>
                      <w14:textFill>
                        <w14:solidFill>
                          <w14:schemeClr w14:val="tx1"/>
                        </w14:solidFill>
                      </w14:textFill>
                    </w:rPr>
                    <w:t>100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tcBorders>
                    <w:tl2br w:val="nil"/>
                    <w:tr2bl w:val="nil"/>
                  </w:tcBorders>
                  <w:vAlign w:val="center"/>
                </w:tcPr>
                <w:p w14:paraId="1F2D85EE">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14:textFill>
                        <w14:solidFill>
                          <w14:schemeClr w14:val="tx1"/>
                        </w14:solidFill>
                      </w14:textFill>
                    </w:rPr>
                    <w:t>《大气污染物综合排</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放标准》（GB</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16297</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-1996）</w:t>
                  </w:r>
                </w:p>
              </w:tc>
            </w:tr>
          </w:tbl>
          <w:p w14:paraId="44E7AA38">
            <w:pPr>
              <w:pageBreakBefore w:val="0"/>
              <w:numPr>
                <w:ilvl w:val="0"/>
                <w:numId w:val="5"/>
              </w:numPr>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水污染物排放标准</w:t>
            </w:r>
          </w:p>
          <w:p w14:paraId="46805FBF">
            <w:pPr>
              <w:pStyle w:val="36"/>
              <w:keepNext w:val="0"/>
              <w:keepLines w:val="0"/>
              <w:pageBreakBefore w:val="0"/>
              <w:widowControl/>
              <w:shd w:val="clear" w:color="auto" w:fill="auto"/>
              <w:kinsoku/>
              <w:wordWrap/>
              <w:overflowPunct/>
              <w:topLinePunct w:val="0"/>
              <w:autoSpaceDE/>
              <w:autoSpaceDN/>
              <w:bidi w:val="0"/>
              <w:adjustRightInd w:val="0"/>
              <w:snapToGrid w:val="0"/>
              <w:spacing w:before="0" w:beforeAutospacing="0" w:after="0" w:afterAutospacing="0"/>
              <w:ind w:left="0" w:leftChars="0" w:right="0"/>
              <w:textAlignment w:val="baseline"/>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表3-5</w:t>
            </w:r>
            <w:r>
              <w:rPr>
                <w:rFonts w:hint="default" w:ascii="Times New Roman" w:hAnsi="Times New Roman" w:cs="Times New Roman"/>
                <w:color w:val="000000" w:themeColor="text1"/>
                <w:w w:val="100"/>
                <w:position w:val="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w w:val="100"/>
                <w:position w:val="0"/>
                <w:highlight w:val="none"/>
                <w14:textFill>
                  <w14:solidFill>
                    <w14:schemeClr w14:val="tx1"/>
                  </w14:solidFill>
                </w14:textFill>
              </w:rPr>
              <w:t>水污染物排放限值标准</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4879"/>
              <w:gridCol w:w="1365"/>
            </w:tblGrid>
            <w:tr w14:paraId="47EB1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tcBorders>
                    <w:bottom w:val="single" w:color="auto" w:sz="12" w:space="0"/>
                  </w:tcBorders>
                  <w:noWrap w:val="0"/>
                  <w:vAlign w:val="center"/>
                </w:tcPr>
                <w:p w14:paraId="011D997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污染物</w:t>
                  </w:r>
                </w:p>
              </w:tc>
              <w:tc>
                <w:tcPr>
                  <w:tcW w:w="4927" w:type="dxa"/>
                  <w:tcBorders>
                    <w:bottom w:val="single" w:color="auto" w:sz="12" w:space="0"/>
                  </w:tcBorders>
                  <w:noWrap w:val="0"/>
                  <w:vAlign w:val="center"/>
                </w:tcPr>
                <w:p w14:paraId="666A578A">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标准</w:t>
                  </w:r>
                </w:p>
              </w:tc>
              <w:tc>
                <w:tcPr>
                  <w:tcW w:w="1374" w:type="dxa"/>
                  <w:tcBorders>
                    <w:bottom w:val="single" w:color="auto" w:sz="12" w:space="0"/>
                  </w:tcBorders>
                  <w:noWrap w:val="0"/>
                  <w:vAlign w:val="center"/>
                </w:tcPr>
                <w:p w14:paraId="2B187B3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限值</w:t>
                  </w:r>
                  <w:r>
                    <w:rPr>
                      <w:rFonts w:hint="default" w:ascii="Times New Roman" w:hAnsi="Times New Roman" w:cs="Times New Roman"/>
                      <w:color w:val="000000" w:themeColor="text1"/>
                      <w:w w:val="100"/>
                      <w:position w:val="0"/>
                      <w:szCs w:val="21"/>
                      <w:highlight w:val="none"/>
                      <w14:textFill>
                        <w14:solidFill>
                          <w14:schemeClr w14:val="tx1"/>
                        </w14:solidFill>
                      </w14:textFill>
                    </w:rPr>
                    <w:t>mg/m</w:t>
                  </w:r>
                  <w:r>
                    <w:rPr>
                      <w:rFonts w:hint="default" w:ascii="Times New Roman" w:hAnsi="Times New Roman" w:cs="Times New Roman"/>
                      <w:color w:val="000000" w:themeColor="text1"/>
                      <w:w w:val="100"/>
                      <w:position w:val="0"/>
                      <w:szCs w:val="21"/>
                      <w:highlight w:val="none"/>
                      <w:vertAlign w:val="superscript"/>
                      <w14:textFill>
                        <w14:solidFill>
                          <w14:schemeClr w14:val="tx1"/>
                        </w14:solidFill>
                      </w14:textFill>
                    </w:rPr>
                    <w:t>3</w:t>
                  </w:r>
                </w:p>
              </w:tc>
            </w:tr>
            <w:tr w14:paraId="5C91D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tcBorders>
                    <w:top w:val="single" w:color="auto" w:sz="12" w:space="0"/>
                  </w:tcBorders>
                  <w:noWrap w:val="0"/>
                  <w:vAlign w:val="center"/>
                </w:tcPr>
                <w:p w14:paraId="51E9D7D4">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CODcr</w:t>
                  </w:r>
                </w:p>
              </w:tc>
              <w:tc>
                <w:tcPr>
                  <w:tcW w:w="4927" w:type="dxa"/>
                  <w:vMerge w:val="restart"/>
                  <w:tcBorders>
                    <w:top w:val="single" w:color="auto" w:sz="12" w:space="0"/>
                  </w:tcBorders>
                  <w:noWrap w:val="0"/>
                  <w:vAlign w:val="center"/>
                </w:tcPr>
                <w:p w14:paraId="6EF1409B">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《污水综合排放标准》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GB8978-1996</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中三级标准和《污水排入城镇下水道水质标准》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GBT319622015</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中NH</w:t>
                  </w:r>
                  <w:r>
                    <w:rPr>
                      <w:rFonts w:hint="default" w:ascii="Times New Roman" w:hAnsi="Times New Roman" w:cs="Times New Roman"/>
                      <w:color w:val="000000" w:themeColor="text1"/>
                      <w:w w:val="100"/>
                      <w:position w:val="0"/>
                      <w:szCs w:val="21"/>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szCs w:val="21"/>
                      <w:highlight w:val="none"/>
                      <w14:textFill>
                        <w14:solidFill>
                          <w14:schemeClr w14:val="tx1"/>
                        </w14:solidFill>
                      </w14:textFill>
                    </w:rPr>
                    <w:t>-N最高允许值中B级标准45mg/m</w:t>
                  </w:r>
                  <w:r>
                    <w:rPr>
                      <w:rFonts w:hint="default" w:ascii="Times New Roman" w:hAnsi="Times New Roman" w:cs="Times New Roman"/>
                      <w:color w:val="000000" w:themeColor="text1"/>
                      <w:w w:val="100"/>
                      <w:position w:val="0"/>
                      <w:szCs w:val="21"/>
                      <w:highlight w:val="none"/>
                      <w:vertAlign w:val="superscript"/>
                      <w14:textFill>
                        <w14:solidFill>
                          <w14:schemeClr w14:val="tx1"/>
                        </w14:solidFill>
                      </w14:textFill>
                    </w:rPr>
                    <w:t>3</w:t>
                  </w:r>
                  <w:r>
                    <w:rPr>
                      <w:rFonts w:hint="default" w:ascii="Times New Roman" w:hAnsi="Times New Roman" w:cs="Times New Roman"/>
                      <w:color w:val="000000" w:themeColor="text1"/>
                      <w:w w:val="100"/>
                      <w:position w:val="0"/>
                      <w:szCs w:val="21"/>
                      <w:highlight w:val="none"/>
                      <w14:textFill>
                        <w14:solidFill>
                          <w14:schemeClr w14:val="tx1"/>
                        </w14:solidFill>
                      </w14:textFill>
                    </w:rPr>
                    <w:t>。</w:t>
                  </w:r>
                </w:p>
              </w:tc>
              <w:tc>
                <w:tcPr>
                  <w:tcW w:w="1374" w:type="dxa"/>
                  <w:tcBorders>
                    <w:top w:val="single" w:color="auto" w:sz="12" w:space="0"/>
                  </w:tcBorders>
                  <w:noWrap w:val="0"/>
                  <w:vAlign w:val="center"/>
                </w:tcPr>
                <w:p w14:paraId="2E832E32">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500</w:t>
                  </w:r>
                </w:p>
              </w:tc>
            </w:tr>
            <w:tr w14:paraId="42607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noWrap w:val="0"/>
                  <w:vAlign w:val="center"/>
                </w:tcPr>
                <w:p w14:paraId="17B98270">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kern w:val="2"/>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SS</w:t>
                  </w:r>
                </w:p>
              </w:tc>
              <w:tc>
                <w:tcPr>
                  <w:tcW w:w="4927" w:type="dxa"/>
                  <w:vMerge w:val="continue"/>
                  <w:noWrap w:val="0"/>
                  <w:vAlign w:val="center"/>
                </w:tcPr>
                <w:p w14:paraId="7F24A107">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p>
              </w:tc>
              <w:tc>
                <w:tcPr>
                  <w:tcW w:w="1374" w:type="dxa"/>
                  <w:noWrap w:val="0"/>
                  <w:vAlign w:val="center"/>
                </w:tcPr>
                <w:p w14:paraId="440BCD9C">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400</w:t>
                  </w:r>
                </w:p>
              </w:tc>
            </w:tr>
            <w:tr w14:paraId="307EB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noWrap w:val="0"/>
                  <w:vAlign w:val="center"/>
                </w:tcPr>
                <w:p w14:paraId="7BE43357">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BOD</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5</w:t>
                  </w:r>
                </w:p>
              </w:tc>
              <w:tc>
                <w:tcPr>
                  <w:tcW w:w="4927" w:type="dxa"/>
                  <w:vMerge w:val="continue"/>
                  <w:noWrap w:val="0"/>
                  <w:vAlign w:val="center"/>
                </w:tcPr>
                <w:p w14:paraId="6D34C16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p>
              </w:tc>
              <w:tc>
                <w:tcPr>
                  <w:tcW w:w="1374" w:type="dxa"/>
                  <w:noWrap w:val="0"/>
                  <w:vAlign w:val="center"/>
                </w:tcPr>
                <w:p w14:paraId="7A649BF7">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300</w:t>
                  </w:r>
                </w:p>
              </w:tc>
            </w:tr>
            <w:tr w14:paraId="2CA129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noWrap w:val="0"/>
                  <w:vAlign w:val="center"/>
                </w:tcPr>
                <w:p w14:paraId="238395B7">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NH</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highlight w:val="none"/>
                      <w14:textFill>
                        <w14:solidFill>
                          <w14:schemeClr w14:val="tx1"/>
                        </w14:solidFill>
                      </w14:textFill>
                    </w:rPr>
                    <w:t>-N</w:t>
                  </w:r>
                </w:p>
              </w:tc>
              <w:tc>
                <w:tcPr>
                  <w:tcW w:w="4927" w:type="dxa"/>
                  <w:vMerge w:val="continue"/>
                  <w:noWrap w:val="0"/>
                  <w:vAlign w:val="center"/>
                </w:tcPr>
                <w:p w14:paraId="12FE4C7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p>
              </w:tc>
              <w:tc>
                <w:tcPr>
                  <w:tcW w:w="1374" w:type="dxa"/>
                  <w:noWrap w:val="0"/>
                  <w:vAlign w:val="center"/>
                </w:tcPr>
                <w:p w14:paraId="2A6C4502">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45</w:t>
                  </w:r>
                </w:p>
              </w:tc>
            </w:tr>
          </w:tbl>
          <w:p w14:paraId="19F5BD1B">
            <w:pPr>
              <w:pageBreakBefore w:val="0"/>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lang w:eastAsia="zh-CN"/>
                <w14:textFill>
                  <w14:solidFill>
                    <w14:schemeClr w14:val="tx1"/>
                  </w14:solidFill>
                </w14:textFill>
              </w:rPr>
              <w:t>3.</w:t>
            </w: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噪声排放标准</w:t>
            </w:r>
          </w:p>
          <w:p w14:paraId="7E781DAE">
            <w:pPr>
              <w:pStyle w:val="36"/>
              <w:keepNext w:val="0"/>
              <w:keepLines w:val="0"/>
              <w:pageBreakBefore w:val="0"/>
              <w:widowControl/>
              <w:shd w:val="clear" w:color="auto" w:fill="auto"/>
              <w:kinsoku/>
              <w:wordWrap/>
              <w:overflowPunct/>
              <w:topLinePunct w:val="0"/>
              <w:autoSpaceDE/>
              <w:autoSpaceDN/>
              <w:bidi w:val="0"/>
              <w:adjustRightInd w:val="0"/>
              <w:snapToGrid w:val="0"/>
              <w:spacing w:before="0" w:beforeAutospacing="0" w:after="0" w:afterAutospacing="0"/>
              <w:ind w:left="0" w:leftChars="0" w:right="0"/>
              <w:textAlignment w:val="baseline"/>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表3-6</w:t>
            </w:r>
            <w:r>
              <w:rPr>
                <w:rFonts w:hint="default" w:ascii="Times New Roman" w:hAnsi="Times New Roman" w:cs="Times New Roman"/>
                <w:color w:val="000000" w:themeColor="text1"/>
                <w:w w:val="100"/>
                <w:position w:val="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w w:val="100"/>
                <w:position w:val="0"/>
                <w:highlight w:val="none"/>
                <w14:textFill>
                  <w14:solidFill>
                    <w14:schemeClr w14:val="tx1"/>
                  </w14:solidFill>
                </w14:textFill>
              </w:rPr>
              <w:t>噪声排放限值标准</w:t>
            </w:r>
          </w:p>
          <w:tbl>
            <w:tblPr>
              <w:tblStyle w:val="21"/>
              <w:tblW w:w="494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3275"/>
              <w:gridCol w:w="3232"/>
            </w:tblGrid>
            <w:tr w14:paraId="53DC6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1" w:type="dxa"/>
                  <w:tcBorders>
                    <w:bottom w:val="single" w:color="auto" w:sz="12" w:space="0"/>
                  </w:tcBorders>
                  <w:noWrap w:val="0"/>
                  <w:vAlign w:val="center"/>
                </w:tcPr>
                <w:p w14:paraId="2DA4B890">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时期</w:t>
                  </w:r>
                </w:p>
              </w:tc>
              <w:tc>
                <w:tcPr>
                  <w:tcW w:w="3276" w:type="dxa"/>
                  <w:tcBorders>
                    <w:bottom w:val="single" w:color="auto" w:sz="12" w:space="0"/>
                  </w:tcBorders>
                  <w:noWrap w:val="0"/>
                  <w:vAlign w:val="center"/>
                </w:tcPr>
                <w:p w14:paraId="6F427937">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标准</w:t>
                  </w:r>
                </w:p>
              </w:tc>
              <w:tc>
                <w:tcPr>
                  <w:tcW w:w="3234" w:type="dxa"/>
                  <w:tcBorders>
                    <w:bottom w:val="single" w:color="auto" w:sz="12" w:space="0"/>
                  </w:tcBorders>
                  <w:noWrap w:val="0"/>
                  <w:vAlign w:val="center"/>
                </w:tcPr>
                <w:p w14:paraId="29AB3490">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限值</w:t>
                  </w:r>
                </w:p>
              </w:tc>
            </w:tr>
            <w:tr w14:paraId="253A0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1" w:type="dxa"/>
                  <w:tcBorders>
                    <w:top w:val="single" w:color="auto" w:sz="12" w:space="0"/>
                    <w:bottom w:val="single" w:color="auto" w:sz="4" w:space="0"/>
                  </w:tcBorders>
                  <w:noWrap w:val="0"/>
                  <w:vAlign w:val="center"/>
                </w:tcPr>
                <w:p w14:paraId="334CCF58">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施工期</w:t>
                  </w:r>
                </w:p>
              </w:tc>
              <w:tc>
                <w:tcPr>
                  <w:tcW w:w="3276" w:type="dxa"/>
                  <w:tcBorders>
                    <w:top w:val="single" w:color="auto" w:sz="12" w:space="0"/>
                    <w:bottom w:val="single" w:color="auto" w:sz="4" w:space="0"/>
                  </w:tcBorders>
                  <w:noWrap w:val="0"/>
                  <w:vAlign w:val="center"/>
                </w:tcPr>
                <w:p w14:paraId="278C6C48">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《建筑施工场界环境噪声排放标准》（GB12532-2011）</w:t>
                  </w:r>
                </w:p>
              </w:tc>
              <w:tc>
                <w:tcPr>
                  <w:tcW w:w="3234" w:type="dxa"/>
                  <w:tcBorders>
                    <w:top w:val="single" w:color="auto" w:sz="12" w:space="0"/>
                    <w:bottom w:val="single" w:color="auto" w:sz="4" w:space="0"/>
                  </w:tcBorders>
                  <w:noWrap w:val="0"/>
                  <w:vAlign w:val="center"/>
                </w:tcPr>
                <w:p w14:paraId="1E5DADBB">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Cs w:val="21"/>
                      <w:highlight w:val="none"/>
                      <w:lang w:eastAsia="zh-CN"/>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昼间70dB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、夜间55dB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p>
              </w:tc>
            </w:tr>
            <w:tr w14:paraId="15F05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1" w:type="dxa"/>
                  <w:tcBorders>
                    <w:top w:val="single" w:color="auto" w:sz="4" w:space="0"/>
                  </w:tcBorders>
                  <w:noWrap w:val="0"/>
                  <w:vAlign w:val="center"/>
                </w:tcPr>
                <w:p w14:paraId="12FD57A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运营期</w:t>
                  </w:r>
                </w:p>
              </w:tc>
              <w:tc>
                <w:tcPr>
                  <w:tcW w:w="3276" w:type="dxa"/>
                  <w:tcBorders>
                    <w:top w:val="single" w:color="auto" w:sz="4" w:space="0"/>
                  </w:tcBorders>
                  <w:noWrap w:val="0"/>
                  <w:vAlign w:val="center"/>
                </w:tcPr>
                <w:p w14:paraId="24518F45">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《工业企业厂界环境噪声排放标准》（GB12348-2008）</w:t>
                  </w:r>
                </w:p>
              </w:tc>
              <w:tc>
                <w:tcPr>
                  <w:tcW w:w="3234" w:type="dxa"/>
                  <w:tcBorders>
                    <w:top w:val="single" w:color="auto" w:sz="4" w:space="0"/>
                  </w:tcBorders>
                  <w:noWrap w:val="0"/>
                  <w:vAlign w:val="center"/>
                </w:tcPr>
                <w:p w14:paraId="6F30425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昼间65dB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、夜间55dB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p>
              </w:tc>
            </w:tr>
          </w:tbl>
          <w:p w14:paraId="5BC812CE">
            <w:pPr>
              <w:pageBreakBefore w:val="0"/>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lang w:eastAsia="zh-CN"/>
                <w14:textFill>
                  <w14:solidFill>
                    <w14:schemeClr w14:val="tx1"/>
                  </w14:solidFill>
                </w14:textFill>
              </w:rPr>
              <w:t>4.</w:t>
            </w: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固体废物控制标准</w:t>
            </w:r>
          </w:p>
          <w:p w14:paraId="74922AED">
            <w:pPr>
              <w:pStyle w:val="11"/>
              <w:pageBreakBefore w:val="0"/>
              <w:shd w:val="clear" w:color="auto" w:fill="auto"/>
              <w:bidi w:val="0"/>
              <w:spacing w:before="0" w:beforeAutospacing="0" w:after="0" w:afterAutospacing="0" w:line="360" w:lineRule="auto"/>
              <w:ind w:left="0" w:leftChars="0" w:right="0" w:firstLine="480" w:firstLineChars="200"/>
              <w:rPr>
                <w:rFonts w:hint="eastAsia" w:ascii="Times New Roman" w:hAnsi="Times New Roman" w:eastAsia="宋体" w:cs="Times New Roman"/>
                <w:color w:val="000000" w:themeColor="text1"/>
                <w:w w:val="100"/>
                <w:kern w:val="2"/>
                <w:positio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一般</w:t>
            </w:r>
            <w:r>
              <w:rPr>
                <w:rFonts w:hint="eastAsia" w:cs="Times New Roman"/>
                <w:color w:val="000000" w:themeColor="text1"/>
                <w:w w:val="100"/>
                <w:kern w:val="2"/>
                <w:position w:val="0"/>
                <w:sz w:val="24"/>
                <w:szCs w:val="24"/>
                <w:highlight w:val="none"/>
                <w:lang w:val="en-US" w:eastAsia="zh-CN"/>
                <w14:textFill>
                  <w14:solidFill>
                    <w14:schemeClr w14:val="tx1"/>
                  </w14:solidFill>
                </w14:textFill>
              </w:rPr>
              <w:t>工业</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固体废物执行</w:t>
            </w:r>
            <w:r>
              <w:rPr>
                <w:rFonts w:hint="default" w:ascii="Times New Roman" w:hAnsi="Times New Roman" w:cs="Times New Roman"/>
                <w:color w:val="000000" w:themeColor="text1"/>
                <w:w w:val="100"/>
                <w:position w:val="0"/>
                <w:sz w:val="24"/>
                <w:highlight w:val="none"/>
                <w14:textFill>
                  <w14:solidFill>
                    <w14:schemeClr w14:val="tx1"/>
                  </w14:solidFill>
                </w14:textFill>
              </w:rPr>
              <w:t>《一般工业固体废物贮存和填埋污染控制标准》</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（GB18599-2020）</w:t>
            </w:r>
            <w:r>
              <w:rPr>
                <w:rFonts w:hint="eastAsia" w:cs="Times New Roman"/>
                <w:color w:val="000000" w:themeColor="text1"/>
                <w:w w:val="100"/>
                <w:kern w:val="2"/>
                <w:position w:val="0"/>
                <w:sz w:val="24"/>
                <w:szCs w:val="24"/>
                <w:highlight w:val="none"/>
                <w:lang w:eastAsia="zh-CN"/>
                <w14:textFill>
                  <w14:solidFill>
                    <w14:schemeClr w14:val="tx1"/>
                  </w14:solidFill>
                </w14:textFill>
              </w:rPr>
              <w:t>。</w:t>
            </w:r>
          </w:p>
          <w:p w14:paraId="4C0C6BDB">
            <w:pPr>
              <w:pStyle w:val="29"/>
              <w:ind w:firstLine="420"/>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危险废物执行</w:t>
            </w: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《危险废物贮存污染控制标准》（GB18597-2023）</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中的相关要求。</w:t>
            </w:r>
          </w:p>
          <w:p w14:paraId="3410A0B7">
            <w:pPr>
              <w:pStyle w:val="29"/>
              <w:ind w:firstLine="420"/>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pPr>
          </w:p>
          <w:p w14:paraId="38573041">
            <w:pPr>
              <w:pStyle w:val="29"/>
              <w:ind w:firstLine="420"/>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pPr>
          </w:p>
        </w:tc>
      </w:tr>
      <w:tr w14:paraId="7292B3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22" w:hRule="atLeast"/>
        </w:trPr>
        <w:tc>
          <w:tcPr>
            <w:tcW w:w="704" w:type="dxa"/>
            <w:tcBorders>
              <w:tl2br w:val="nil"/>
              <w:tr2bl w:val="nil"/>
            </w:tcBorders>
            <w:vAlign w:val="center"/>
          </w:tcPr>
          <w:p w14:paraId="33635E63">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总量控制指标</w:t>
            </w:r>
          </w:p>
        </w:tc>
        <w:tc>
          <w:tcPr>
            <w:tcW w:w="7592" w:type="dxa"/>
            <w:tcBorders>
              <w:tl2br w:val="nil"/>
              <w:tr2bl w:val="nil"/>
            </w:tcBorders>
            <w:vAlign w:val="center"/>
          </w:tcPr>
          <w:p w14:paraId="53F1EB8B">
            <w:pPr>
              <w:pStyle w:val="29"/>
              <w:ind w:firstLine="420"/>
              <w:jc w:val="center"/>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本项目有组织废气颗粒物排放总量为：</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0.36</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t/a、氮氧化物：0.</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248</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w:t>
            </w:r>
            <w:r>
              <w:rPr>
                <w:rFonts w:hint="default" w:ascii="Times New Roman" w:hAnsi="Times New Roman" w:eastAsia="宋体" w:cs="Times New Roman"/>
                <w:color w:val="000000" w:themeColor="text1"/>
                <w:kern w:val="0"/>
                <w:sz w:val="24"/>
                <w:highlight w:val="none"/>
                <w14:textFill>
                  <w14:solidFill>
                    <w14:schemeClr w14:val="tx1"/>
                  </w14:solidFill>
                </w14:textFill>
              </w:rPr>
              <w:t>项目所在地区位于</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14:textFill>
                  <w14:solidFill>
                    <w14:schemeClr w14:val="tx1"/>
                  </w14:solidFill>
                </w14:textFill>
              </w:rPr>
              <w:t>乌-昌-石</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14:textFill>
                  <w14:solidFill>
                    <w14:schemeClr w14:val="tx1"/>
                  </w14:solidFill>
                </w14:textFill>
              </w:rPr>
              <w:t>联防联控区。根据重点区域大气污染物实行2倍替代的要求，故需消减替代量指标为</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颗粒物：</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0.72</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t/a；氮氧化物：0.</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496</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w:t>
            </w:r>
            <w:r>
              <w:rPr>
                <w:rFonts w:hint="default" w:ascii="Times New Roman" w:hAnsi="Times New Roman" w:eastAsia="宋体" w:cs="Times New Roman"/>
                <w:color w:val="000000" w:themeColor="text1"/>
                <w:kern w:val="0"/>
                <w:sz w:val="24"/>
                <w:highlight w:val="none"/>
                <w14:textFill>
                  <w14:solidFill>
                    <w14:schemeClr w14:val="tx1"/>
                  </w14:solidFill>
                </w14:textFill>
              </w:rPr>
              <w:t>。</w:t>
            </w:r>
          </w:p>
        </w:tc>
      </w:tr>
    </w:tbl>
    <w:p w14:paraId="0AC73C49">
      <w:pPr>
        <w:widowControl/>
        <w:jc w:val="left"/>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5713A8DB">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4" w:name="_Toc7214"/>
      <w:r>
        <w:rPr>
          <w:rFonts w:hint="default" w:ascii="Times New Roman" w:hAnsi="Times New Roman" w:cs="Times New Roman"/>
          <w:color w:val="000000" w:themeColor="text1"/>
          <w:w w:val="100"/>
          <w:position w:val="0"/>
          <w:highlight w:val="none"/>
          <w14:textFill>
            <w14:solidFill>
              <w14:schemeClr w14:val="tx1"/>
            </w14:solidFill>
          </w14:textFill>
        </w:rPr>
        <w:t>主要环境影响和保护措施</w:t>
      </w:r>
      <w:bookmarkEnd w:id="4"/>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592"/>
      </w:tblGrid>
      <w:tr w14:paraId="4BFD92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vAlign w:val="center"/>
          </w:tcPr>
          <w:p w14:paraId="14F7D893">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施工期环境保护措施</w:t>
            </w:r>
          </w:p>
        </w:tc>
        <w:tc>
          <w:tcPr>
            <w:tcW w:w="7592" w:type="dxa"/>
            <w:tcBorders>
              <w:tl2br w:val="nil"/>
              <w:tr2bl w:val="nil"/>
            </w:tcBorders>
          </w:tcPr>
          <w:p w14:paraId="64BDF3E0">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施工期大气环境影响和保护措施</w:t>
            </w:r>
          </w:p>
          <w:p w14:paraId="63A1329F">
            <w:pPr>
              <w:pStyle w:val="5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本项目租赁现有车间，施工期间主要进行设备安装及配套设施的铺设等，施工期短影响小。</w:t>
            </w:r>
            <w:r>
              <w:rPr>
                <w:color w:val="000000" w:themeColor="text1"/>
                <w:highlight w:val="none"/>
                <w14:textFill>
                  <w14:solidFill>
                    <w14:schemeClr w14:val="tx1"/>
                  </w14:solidFill>
                </w14:textFill>
              </w:rPr>
              <w:t>施工废气主要</w:t>
            </w:r>
            <w:r>
              <w:rPr>
                <w:rFonts w:hint="eastAsia"/>
                <w:color w:val="000000" w:themeColor="text1"/>
                <w:highlight w:val="none"/>
                <w:lang w:val="en-US" w:eastAsia="zh-CN"/>
                <w14:textFill>
                  <w14:solidFill>
                    <w14:schemeClr w14:val="tx1"/>
                  </w14:solidFill>
                </w14:textFill>
              </w:rPr>
              <w:t>包括材料</w:t>
            </w:r>
            <w:r>
              <w:rPr>
                <w:rFonts w:hint="eastAsia"/>
                <w:color w:val="000000" w:themeColor="text1"/>
                <w:highlight w:val="none"/>
                <w14:textFill>
                  <w14:solidFill>
                    <w14:schemeClr w14:val="tx1"/>
                  </w14:solidFill>
                </w14:textFill>
              </w:rPr>
              <w:t>运输</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装卸</w:t>
            </w:r>
            <w:r>
              <w:rPr>
                <w:rFonts w:hint="eastAsia"/>
                <w:color w:val="000000" w:themeColor="text1"/>
                <w:highlight w:val="none"/>
                <w14:textFill>
                  <w14:solidFill>
                    <w14:schemeClr w14:val="tx1"/>
                  </w14:solidFill>
                </w14:textFill>
              </w:rPr>
              <w:t>车辆道路扬尘</w:t>
            </w:r>
            <w:r>
              <w:rPr>
                <w:rFonts w:hint="eastAsia"/>
                <w:color w:val="000000" w:themeColor="text1"/>
                <w:highlight w:val="none"/>
                <w:lang w:val="en-US" w:eastAsia="zh-CN"/>
                <w14:textFill>
                  <w14:solidFill>
                    <w14:schemeClr w14:val="tx1"/>
                  </w14:solidFill>
                </w14:textFill>
              </w:rPr>
              <w:t>以及</w:t>
            </w:r>
            <w:r>
              <w:rPr>
                <w:rFonts w:hint="eastAsia"/>
                <w:color w:val="000000" w:themeColor="text1"/>
                <w:sz w:val="24"/>
                <w:highlight w:val="none"/>
                <w14:textFill>
                  <w14:solidFill>
                    <w14:schemeClr w14:val="tx1"/>
                  </w14:solidFill>
                </w14:textFill>
              </w:rPr>
              <w:t>各类燃油动力机械施工作业时产生的燃油废气</w:t>
            </w:r>
            <w:r>
              <w:rPr>
                <w:color w:val="000000" w:themeColor="text1"/>
                <w:highlight w:val="none"/>
                <w14:textFill>
                  <w14:solidFill>
                    <w14:schemeClr w14:val="tx1"/>
                  </w14:solidFill>
                </w14:textFill>
              </w:rPr>
              <w:t>。</w:t>
            </w:r>
          </w:p>
          <w:p w14:paraId="5B77BC92">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4.1.1施工扬尘环境影响及保护</w:t>
            </w:r>
            <w:r>
              <w:rPr>
                <w:color w:val="000000" w:themeColor="text1"/>
                <w:highlight w:val="none"/>
                <w14:textFill>
                  <w14:solidFill>
                    <w14:schemeClr w14:val="tx1"/>
                  </w14:solidFill>
                </w14:textFill>
              </w:rPr>
              <w:t>措施</w:t>
            </w:r>
          </w:p>
          <w:p w14:paraId="07A68E8F">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w:t>
            </w:r>
            <w:r>
              <w:rPr>
                <w:rFonts w:hint="eastAsia"/>
                <w:color w:val="000000" w:themeColor="text1"/>
                <w:highlight w:val="none"/>
                <w:lang w:val="en-US" w:eastAsia="zh-CN"/>
                <w14:textFill>
                  <w14:solidFill>
                    <w14:schemeClr w14:val="tx1"/>
                  </w14:solidFill>
                </w14:textFill>
              </w:rPr>
              <w:t>材料</w:t>
            </w:r>
            <w:r>
              <w:rPr>
                <w:rFonts w:hint="eastAsia"/>
                <w:color w:val="000000" w:themeColor="text1"/>
                <w:highlight w:val="none"/>
                <w14:textFill>
                  <w14:solidFill>
                    <w14:schemeClr w14:val="tx1"/>
                  </w14:solidFill>
                </w14:textFill>
              </w:rPr>
              <w:t>运输</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装卸</w:t>
            </w:r>
            <w:r>
              <w:rPr>
                <w:rFonts w:hint="eastAsia"/>
                <w:color w:val="000000" w:themeColor="text1"/>
                <w:highlight w:val="none"/>
                <w14:textFill>
                  <w14:solidFill>
                    <w14:schemeClr w14:val="tx1"/>
                  </w14:solidFill>
                </w14:textFill>
              </w:rPr>
              <w:t>车辆道路扬尘</w:t>
            </w:r>
          </w:p>
          <w:p w14:paraId="7EE1E6DD">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施工区内车辆运输引起的道路扬尘占扬尘总量50%以上，特别是灰土运输车辆引起的道路扬尘对道路两侧的影响更为明显。施工运输车辆行驶产生的扬尘源强大小与污染源的距离、道路路面、</w:t>
            </w:r>
            <w:r>
              <w:rPr>
                <w:rFonts w:hint="eastAsia"/>
                <w:color w:val="000000" w:themeColor="text1"/>
                <w:highlight w:val="none"/>
                <w:lang w:eastAsia="zh-CN"/>
                <w14:textFill>
                  <w14:solidFill>
                    <w14:schemeClr w14:val="tx1"/>
                  </w14:solidFill>
                </w14:textFill>
              </w:rPr>
              <w:t>行驶</w:t>
            </w:r>
            <w:r>
              <w:rPr>
                <w:rFonts w:hint="eastAsia"/>
                <w:color w:val="000000" w:themeColor="text1"/>
                <w:highlight w:val="none"/>
                <w14:textFill>
                  <w14:solidFill>
                    <w14:schemeClr w14:val="tx1"/>
                  </w14:solidFill>
                </w14:textFill>
              </w:rPr>
              <w:t>速度有关。一般情况，在自然风作用下车辆产生的扬尘所影响的范围在100m以内。</w:t>
            </w:r>
          </w:p>
          <w:p w14:paraId="7327C8B1">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如果在施工期间对车辆行驶的路面洒水抑尘，每天洒水4～5次，扬尘可减少70%左右，施工场地洒水试验结果见下表。由表可见，实施每天洒水4～5次，可有效控制车辆扬尘，将TSP污染范围缩小到20～50m。</w:t>
            </w:r>
          </w:p>
          <w:p w14:paraId="456E5030">
            <w:pPr>
              <w:pStyle w:val="3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 xml:space="preserve">1  </w:t>
            </w:r>
            <w:r>
              <w:rPr>
                <w:rFonts w:hint="eastAsia"/>
                <w:color w:val="000000" w:themeColor="text1"/>
                <w:highlight w:val="none"/>
                <w14:textFill>
                  <w14:solidFill>
                    <w14:schemeClr w14:val="tx1"/>
                  </w14:solidFill>
                </w14:textFill>
              </w:rPr>
              <w:t>施工车辆路面行驶洒水抑尘试验结果</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969"/>
              <w:gridCol w:w="1275"/>
              <w:gridCol w:w="1477"/>
              <w:gridCol w:w="1048"/>
              <w:gridCol w:w="1325"/>
            </w:tblGrid>
            <w:tr w14:paraId="2466E0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25" w:type="pct"/>
                  <w:gridSpan w:val="2"/>
                  <w:tcBorders>
                    <w:bottom w:val="single" w:color="auto" w:sz="12" w:space="0"/>
                  </w:tcBorders>
                  <w:vAlign w:val="center"/>
                </w:tcPr>
                <w:p w14:paraId="2DE03BE9">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距现场距离（m）</w:t>
                  </w:r>
                </w:p>
              </w:tc>
              <w:tc>
                <w:tcPr>
                  <w:tcW w:w="864" w:type="pct"/>
                  <w:tcBorders>
                    <w:bottom w:val="single" w:color="auto" w:sz="12" w:space="0"/>
                  </w:tcBorders>
                  <w:vAlign w:val="center"/>
                </w:tcPr>
                <w:p w14:paraId="31298388">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1001" w:type="pct"/>
                  <w:tcBorders>
                    <w:bottom w:val="single" w:color="auto" w:sz="12" w:space="0"/>
                  </w:tcBorders>
                  <w:vAlign w:val="center"/>
                </w:tcPr>
                <w:p w14:paraId="38E22B89">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710" w:type="pct"/>
                  <w:tcBorders>
                    <w:bottom w:val="single" w:color="auto" w:sz="12" w:space="0"/>
                  </w:tcBorders>
                  <w:vAlign w:val="center"/>
                </w:tcPr>
                <w:p w14:paraId="5CDEE492">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50</w:t>
                  </w:r>
                </w:p>
              </w:tc>
              <w:tc>
                <w:tcPr>
                  <w:tcW w:w="898" w:type="pct"/>
                  <w:tcBorders>
                    <w:bottom w:val="single" w:color="auto" w:sz="12" w:space="0"/>
                  </w:tcBorders>
                  <w:vAlign w:val="center"/>
                </w:tcPr>
                <w:p w14:paraId="62EA87C5">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100</w:t>
                  </w:r>
                </w:p>
              </w:tc>
            </w:tr>
            <w:tr w14:paraId="7B930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Merge w:val="restart"/>
                  <w:tcBorders>
                    <w:top w:val="single" w:color="auto" w:sz="12" w:space="0"/>
                    <w:tl2br w:val="nil"/>
                    <w:tr2bl w:val="nil"/>
                  </w:tcBorders>
                  <w:vAlign w:val="center"/>
                </w:tcPr>
                <w:p w14:paraId="14BD5433">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TSP浓度</w:t>
                  </w:r>
                </w:p>
                <w:p w14:paraId="0B11930F">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(mg/m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vertAlign w:val="superscript"/>
                      <w:lang w:eastAsia="zh-CN"/>
                      <w14:textFill>
                        <w14:solidFill>
                          <w14:schemeClr w14:val="tx1"/>
                        </w14:solidFill>
                      </w14:textFill>
                    </w:rPr>
                    <w:t>)</w:t>
                  </w:r>
                </w:p>
              </w:tc>
              <w:tc>
                <w:tcPr>
                  <w:tcW w:w="656" w:type="pct"/>
                  <w:tcBorders>
                    <w:top w:val="single" w:color="auto" w:sz="12" w:space="0"/>
                    <w:tl2br w:val="nil"/>
                    <w:tr2bl w:val="nil"/>
                  </w:tcBorders>
                  <w:vAlign w:val="center"/>
                </w:tcPr>
                <w:p w14:paraId="038F0930">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不洒水</w:t>
                  </w:r>
                </w:p>
              </w:tc>
              <w:tc>
                <w:tcPr>
                  <w:tcW w:w="864" w:type="pct"/>
                  <w:tcBorders>
                    <w:top w:val="single" w:color="auto" w:sz="12" w:space="0"/>
                    <w:tl2br w:val="nil"/>
                    <w:tr2bl w:val="nil"/>
                  </w:tcBorders>
                  <w:vAlign w:val="center"/>
                </w:tcPr>
                <w:p w14:paraId="55CBA528">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10.14</w:t>
                  </w:r>
                </w:p>
              </w:tc>
              <w:tc>
                <w:tcPr>
                  <w:tcW w:w="1001" w:type="pct"/>
                  <w:tcBorders>
                    <w:top w:val="single" w:color="auto" w:sz="12" w:space="0"/>
                    <w:tl2br w:val="nil"/>
                    <w:tr2bl w:val="nil"/>
                  </w:tcBorders>
                  <w:vAlign w:val="center"/>
                </w:tcPr>
                <w:p w14:paraId="4A71F466">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2.89</w:t>
                  </w:r>
                </w:p>
              </w:tc>
              <w:tc>
                <w:tcPr>
                  <w:tcW w:w="710" w:type="pct"/>
                  <w:tcBorders>
                    <w:top w:val="single" w:color="auto" w:sz="12" w:space="0"/>
                    <w:tl2br w:val="nil"/>
                    <w:tr2bl w:val="nil"/>
                  </w:tcBorders>
                  <w:vAlign w:val="center"/>
                </w:tcPr>
                <w:p w14:paraId="58D2C79A">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w:t>
                  </w:r>
                </w:p>
              </w:tc>
              <w:tc>
                <w:tcPr>
                  <w:tcW w:w="898" w:type="pct"/>
                  <w:tcBorders>
                    <w:top w:val="single" w:color="auto" w:sz="12" w:space="0"/>
                    <w:tl2br w:val="nil"/>
                    <w:tr2bl w:val="nil"/>
                  </w:tcBorders>
                  <w:vAlign w:val="center"/>
                </w:tcPr>
                <w:p w14:paraId="5DB7D3DB">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0.86</w:t>
                  </w:r>
                </w:p>
              </w:tc>
            </w:tr>
            <w:tr w14:paraId="42B67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Merge w:val="continue"/>
                  <w:tcBorders>
                    <w:tl2br w:val="nil"/>
                    <w:tr2bl w:val="nil"/>
                  </w:tcBorders>
                  <w:vAlign w:val="center"/>
                </w:tcPr>
                <w:p w14:paraId="30D3B97A">
                  <w:pPr>
                    <w:pStyle w:val="38"/>
                    <w:bidi w:val="0"/>
                    <w:rPr>
                      <w:rFonts w:hint="default"/>
                      <w:color w:val="000000" w:themeColor="text1"/>
                      <w:highlight w:val="none"/>
                      <w14:textFill>
                        <w14:solidFill>
                          <w14:schemeClr w14:val="tx1"/>
                        </w14:solidFill>
                      </w14:textFill>
                    </w:rPr>
                  </w:pPr>
                </w:p>
              </w:tc>
              <w:tc>
                <w:tcPr>
                  <w:tcW w:w="656" w:type="pct"/>
                  <w:tcBorders>
                    <w:tl2br w:val="nil"/>
                    <w:tr2bl w:val="nil"/>
                  </w:tcBorders>
                  <w:vAlign w:val="center"/>
                </w:tcPr>
                <w:p w14:paraId="35E06793">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洒水</w:t>
                  </w:r>
                </w:p>
              </w:tc>
              <w:tc>
                <w:tcPr>
                  <w:tcW w:w="864" w:type="pct"/>
                  <w:tcBorders>
                    <w:tl2br w:val="nil"/>
                    <w:tr2bl w:val="nil"/>
                  </w:tcBorders>
                  <w:vAlign w:val="center"/>
                </w:tcPr>
                <w:p w14:paraId="712BEE35">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w:t>
                  </w:r>
                </w:p>
              </w:tc>
              <w:tc>
                <w:tcPr>
                  <w:tcW w:w="1001" w:type="pct"/>
                  <w:tcBorders>
                    <w:tl2br w:val="nil"/>
                    <w:tr2bl w:val="nil"/>
                  </w:tcBorders>
                  <w:vAlign w:val="center"/>
                </w:tcPr>
                <w:p w14:paraId="43294DD5">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1.40</w:t>
                  </w:r>
                </w:p>
              </w:tc>
              <w:tc>
                <w:tcPr>
                  <w:tcW w:w="710" w:type="pct"/>
                  <w:tcBorders>
                    <w:tl2br w:val="nil"/>
                    <w:tr2bl w:val="nil"/>
                  </w:tcBorders>
                  <w:vAlign w:val="center"/>
                </w:tcPr>
                <w:p w14:paraId="4028EACF">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0.67</w:t>
                  </w:r>
                </w:p>
              </w:tc>
              <w:tc>
                <w:tcPr>
                  <w:tcW w:w="898" w:type="pct"/>
                  <w:tcBorders>
                    <w:tl2br w:val="nil"/>
                    <w:tr2bl w:val="nil"/>
                  </w:tcBorders>
                  <w:vAlign w:val="center"/>
                </w:tcPr>
                <w:p w14:paraId="1619D2BB">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0.60</w:t>
                  </w:r>
                </w:p>
              </w:tc>
            </w:tr>
          </w:tbl>
          <w:p w14:paraId="6ED82F16">
            <w:pPr>
              <w:pStyle w:val="53"/>
              <w:bidi w:val="0"/>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为减轻扬尘污染，评价要求建设单位应加强环境保护措施的监理工作，确保施工期各项环保措施的实施，建筑工地必须做到“6个100%”：施工工地100%围挡，物料堆放100%覆盖，出入车辆100%冲洗，施工场地100%硬化，拆迁工地100%湿法作业，渣土车辆100%密闭。结合项目区的实际情况，评价要求企业不得进行现场搅拌，采用商品混凝土，本次评价提出的具体防治措施见表4-</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w:t>
            </w:r>
          </w:p>
          <w:p w14:paraId="27A7FC09">
            <w:pPr>
              <w:pStyle w:val="35"/>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表4-</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 xml:space="preserve">   建筑工地扬尘控制措施</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02"/>
              <w:gridCol w:w="1077"/>
              <w:gridCol w:w="5697"/>
            </w:tblGrid>
            <w:tr w14:paraId="6CD2C0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noWrap w:val="0"/>
                  <w:vAlign w:val="center"/>
                </w:tcPr>
                <w:p w14:paraId="12A027CE">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序号</w:t>
                  </w:r>
                </w:p>
              </w:tc>
              <w:tc>
                <w:tcPr>
                  <w:tcW w:w="730" w:type="pct"/>
                  <w:noWrap w:val="0"/>
                  <w:vAlign w:val="center"/>
                </w:tcPr>
                <w:p w14:paraId="5906A371">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控制措施</w:t>
                  </w:r>
                </w:p>
              </w:tc>
              <w:tc>
                <w:tcPr>
                  <w:tcW w:w="3861" w:type="pct"/>
                  <w:noWrap w:val="0"/>
                  <w:vAlign w:val="center"/>
                </w:tcPr>
                <w:p w14:paraId="14E3ACFC">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环评要求</w:t>
                  </w:r>
                </w:p>
              </w:tc>
            </w:tr>
            <w:tr w14:paraId="219322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4E31538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730" w:type="pct"/>
                  <w:vMerge w:val="restart"/>
                  <w:noWrap w:val="0"/>
                  <w:vAlign w:val="center"/>
                </w:tcPr>
                <w:p w14:paraId="7EB0AA4E">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道路硬化与管理</w:t>
                  </w:r>
                </w:p>
              </w:tc>
              <w:tc>
                <w:tcPr>
                  <w:tcW w:w="3861" w:type="pct"/>
                  <w:noWrap w:val="0"/>
                  <w:vAlign w:val="top"/>
                </w:tcPr>
                <w:p w14:paraId="54F1DDF2">
                  <w:pPr>
                    <w:pStyle w:val="38"/>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施工场所硬化率达100%以上；</w:t>
                  </w:r>
                </w:p>
              </w:tc>
            </w:tr>
            <w:tr w14:paraId="748540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78B6884E">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45DC665">
                  <w:pPr>
                    <w:pStyle w:val="38"/>
                    <w:bidi w:val="0"/>
                    <w:rPr>
                      <w:color w:val="000000" w:themeColor="text1"/>
                      <w:highlight w:val="none"/>
                      <w14:textFill>
                        <w14:solidFill>
                          <w14:schemeClr w14:val="tx1"/>
                        </w14:solidFill>
                      </w14:textFill>
                    </w:rPr>
                  </w:pPr>
                </w:p>
              </w:tc>
              <w:tc>
                <w:tcPr>
                  <w:tcW w:w="3861" w:type="pct"/>
                  <w:noWrap w:val="0"/>
                  <w:vAlign w:val="top"/>
                </w:tcPr>
                <w:p w14:paraId="5BA35829">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任何时候车行道路上都不能有明显的尘；</w:t>
                  </w:r>
                </w:p>
              </w:tc>
            </w:tr>
            <w:tr w14:paraId="252F78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70A63F5E">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63AC3EFE">
                  <w:pPr>
                    <w:pStyle w:val="38"/>
                    <w:bidi w:val="0"/>
                    <w:rPr>
                      <w:color w:val="000000" w:themeColor="text1"/>
                      <w:highlight w:val="none"/>
                      <w14:textFill>
                        <w14:solidFill>
                          <w14:schemeClr w14:val="tx1"/>
                        </w14:solidFill>
                      </w14:textFill>
                    </w:rPr>
                  </w:pPr>
                </w:p>
              </w:tc>
              <w:tc>
                <w:tcPr>
                  <w:tcW w:w="3861" w:type="pct"/>
                  <w:noWrap w:val="0"/>
                  <w:vAlign w:val="top"/>
                </w:tcPr>
                <w:p w14:paraId="664ECBDB">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道路清扫时都必须采取洒水措施。</w:t>
                  </w:r>
                </w:p>
              </w:tc>
            </w:tr>
            <w:tr w14:paraId="005FA5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38472BE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730" w:type="pct"/>
                  <w:vMerge w:val="restart"/>
                  <w:noWrap w:val="0"/>
                  <w:vAlign w:val="center"/>
                </w:tcPr>
                <w:p w14:paraId="508A3F34">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边界围挡</w:t>
                  </w:r>
                </w:p>
              </w:tc>
              <w:tc>
                <w:tcPr>
                  <w:tcW w:w="3861" w:type="pct"/>
                  <w:noWrap w:val="0"/>
                  <w:vAlign w:val="top"/>
                </w:tcPr>
                <w:p w14:paraId="09D9FD1F">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围挡高度不低于1.8米，围挡下方设置不低于20厘米高的防溢座以防止粉尘流失；</w:t>
                  </w:r>
                </w:p>
              </w:tc>
            </w:tr>
            <w:tr w14:paraId="22C034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6634922E">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5922044">
                  <w:pPr>
                    <w:pStyle w:val="38"/>
                    <w:bidi w:val="0"/>
                    <w:rPr>
                      <w:color w:val="000000" w:themeColor="text1"/>
                      <w:highlight w:val="none"/>
                      <w14:textFill>
                        <w14:solidFill>
                          <w14:schemeClr w14:val="tx1"/>
                        </w14:solidFill>
                      </w14:textFill>
                    </w:rPr>
                  </w:pPr>
                </w:p>
              </w:tc>
              <w:tc>
                <w:tcPr>
                  <w:tcW w:w="3861" w:type="pct"/>
                  <w:noWrap w:val="0"/>
                  <w:vAlign w:val="top"/>
                </w:tcPr>
                <w:p w14:paraId="687F0EA5">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围挡必须是由金属、混凝土、塑料等硬质材料制作。</w:t>
                  </w:r>
                </w:p>
              </w:tc>
            </w:tr>
            <w:tr w14:paraId="62B526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574BD6FB">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4F7C27C9">
                  <w:pPr>
                    <w:pStyle w:val="38"/>
                    <w:bidi w:val="0"/>
                    <w:rPr>
                      <w:color w:val="000000" w:themeColor="text1"/>
                      <w:highlight w:val="none"/>
                      <w14:textFill>
                        <w14:solidFill>
                          <w14:schemeClr w14:val="tx1"/>
                        </w14:solidFill>
                      </w14:textFill>
                    </w:rPr>
                  </w:pPr>
                </w:p>
              </w:tc>
              <w:tc>
                <w:tcPr>
                  <w:tcW w:w="3861" w:type="pct"/>
                  <w:noWrap w:val="0"/>
                  <w:vAlign w:val="top"/>
                </w:tcPr>
                <w:p w14:paraId="49E41251">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任意两块围挡以及围挡与防溢座的拼接处都不能有大于0.5厘米的缝隙，围挡不得有明显破损的漏洞。</w:t>
                  </w:r>
                </w:p>
              </w:tc>
            </w:tr>
            <w:tr w14:paraId="378FAB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6F0F5CA0">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730" w:type="pct"/>
                  <w:vMerge w:val="restart"/>
                  <w:noWrap w:val="0"/>
                  <w:vAlign w:val="center"/>
                </w:tcPr>
                <w:p w14:paraId="64F3CBA2">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裸露地</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含土方</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覆盖</w:t>
                  </w:r>
                </w:p>
              </w:tc>
              <w:tc>
                <w:tcPr>
                  <w:tcW w:w="3861" w:type="pct"/>
                  <w:noWrap w:val="0"/>
                  <w:vAlign w:val="top"/>
                </w:tcPr>
                <w:p w14:paraId="4ACA6652">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每一块独立裸露地面100%以上的面积都应采取覆盖措施；</w:t>
                  </w:r>
                </w:p>
              </w:tc>
            </w:tr>
            <w:tr w14:paraId="74A466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672FAD7D">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533EE946">
                  <w:pPr>
                    <w:pStyle w:val="38"/>
                    <w:bidi w:val="0"/>
                    <w:rPr>
                      <w:color w:val="000000" w:themeColor="text1"/>
                      <w:highlight w:val="none"/>
                      <w14:textFill>
                        <w14:solidFill>
                          <w14:schemeClr w14:val="tx1"/>
                        </w14:solidFill>
                      </w14:textFill>
                    </w:rPr>
                  </w:pPr>
                </w:p>
              </w:tc>
              <w:tc>
                <w:tcPr>
                  <w:tcW w:w="3861" w:type="pct"/>
                  <w:noWrap w:val="0"/>
                  <w:vAlign w:val="top"/>
                </w:tcPr>
                <w:p w14:paraId="4C4AD714">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覆盖措施的完好率必须在90%以上；</w:t>
                  </w:r>
                </w:p>
              </w:tc>
            </w:tr>
            <w:tr w14:paraId="317388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3AA158BD">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36A303F1">
                  <w:pPr>
                    <w:pStyle w:val="38"/>
                    <w:bidi w:val="0"/>
                    <w:rPr>
                      <w:color w:val="000000" w:themeColor="text1"/>
                      <w:highlight w:val="none"/>
                      <w14:textFill>
                        <w14:solidFill>
                          <w14:schemeClr w14:val="tx1"/>
                        </w14:solidFill>
                      </w14:textFill>
                    </w:rPr>
                  </w:pPr>
                </w:p>
              </w:tc>
              <w:tc>
                <w:tcPr>
                  <w:tcW w:w="3861" w:type="pct"/>
                  <w:noWrap w:val="0"/>
                  <w:vAlign w:val="top"/>
                </w:tcPr>
                <w:p w14:paraId="58766C8E">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覆盖措施包括：钢板、防尘网（布）、绿化、化学抑尘剂，或达到同等效率的覆盖措施。</w:t>
                  </w:r>
                </w:p>
              </w:tc>
            </w:tr>
            <w:tr w14:paraId="1B99C9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2B676CEC">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730" w:type="pct"/>
                  <w:vMerge w:val="restart"/>
                  <w:noWrap w:val="0"/>
                  <w:vAlign w:val="center"/>
                </w:tcPr>
                <w:p w14:paraId="49592884">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易扬尘</w:t>
                  </w:r>
                </w:p>
                <w:p w14:paraId="77AEA99F">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物料覆盖</w:t>
                  </w:r>
                </w:p>
              </w:tc>
              <w:tc>
                <w:tcPr>
                  <w:tcW w:w="3861" w:type="pct"/>
                  <w:noWrap w:val="0"/>
                  <w:vAlign w:val="top"/>
                </w:tcPr>
                <w:p w14:paraId="1CDA06D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所有砂石、灰土、灰浆等易扬尘物料都必须以不透水的隔尘布完全覆盖或放置在顶部和四周均有遮蔽的范围内；</w:t>
                  </w:r>
                </w:p>
              </w:tc>
            </w:tr>
            <w:tr w14:paraId="55FD2E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233A9D0A">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05DCBF7C">
                  <w:pPr>
                    <w:pStyle w:val="38"/>
                    <w:bidi w:val="0"/>
                    <w:rPr>
                      <w:color w:val="000000" w:themeColor="text1"/>
                      <w:highlight w:val="none"/>
                      <w14:textFill>
                        <w14:solidFill>
                          <w14:schemeClr w14:val="tx1"/>
                        </w14:solidFill>
                      </w14:textFill>
                    </w:rPr>
                  </w:pPr>
                </w:p>
              </w:tc>
              <w:tc>
                <w:tcPr>
                  <w:tcW w:w="3861" w:type="pct"/>
                  <w:noWrap w:val="0"/>
                  <w:vAlign w:val="center"/>
                </w:tcPr>
                <w:p w14:paraId="4AF9E100">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防尘布或遮蔽装置的完好率必须大于95%；</w:t>
                  </w:r>
                </w:p>
              </w:tc>
            </w:tr>
            <w:tr w14:paraId="49BBCC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3C49CD12">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5B2C159">
                  <w:pPr>
                    <w:pStyle w:val="38"/>
                    <w:bidi w:val="0"/>
                    <w:rPr>
                      <w:color w:val="000000" w:themeColor="text1"/>
                      <w:highlight w:val="none"/>
                      <w14:textFill>
                        <w14:solidFill>
                          <w14:schemeClr w14:val="tx1"/>
                        </w14:solidFill>
                      </w14:textFill>
                    </w:rPr>
                  </w:pPr>
                </w:p>
              </w:tc>
              <w:tc>
                <w:tcPr>
                  <w:tcW w:w="3861" w:type="pct"/>
                  <w:noWrap w:val="0"/>
                  <w:vAlign w:val="center"/>
                </w:tcPr>
                <w:p w14:paraId="37013650">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小批量且在8小时之内投入使用的物料除外。</w:t>
                  </w:r>
                </w:p>
              </w:tc>
            </w:tr>
            <w:tr w14:paraId="16354B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noWrap w:val="0"/>
                  <w:vAlign w:val="center"/>
                </w:tcPr>
                <w:p w14:paraId="06DDC767">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730" w:type="pct"/>
                  <w:noWrap w:val="0"/>
                  <w:vAlign w:val="center"/>
                </w:tcPr>
                <w:p w14:paraId="6B957435">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持续洒水降尘措施</w:t>
                  </w:r>
                </w:p>
              </w:tc>
              <w:tc>
                <w:tcPr>
                  <w:tcW w:w="3861" w:type="pct"/>
                  <w:noWrap w:val="0"/>
                  <w:vAlign w:val="center"/>
                </w:tcPr>
                <w:p w14:paraId="160D52DB">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施工现场定期喷洒，保证地面湿润，不起尘。</w:t>
                  </w:r>
                </w:p>
              </w:tc>
            </w:tr>
            <w:tr w14:paraId="47AF76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5DCCB84D">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730" w:type="pct"/>
                  <w:vMerge w:val="restart"/>
                  <w:noWrap w:val="0"/>
                  <w:vAlign w:val="center"/>
                </w:tcPr>
                <w:p w14:paraId="30B9CDD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运输车辆</w:t>
                  </w:r>
                </w:p>
                <w:p w14:paraId="53339E88">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冲洗装置</w:t>
                  </w:r>
                </w:p>
              </w:tc>
              <w:tc>
                <w:tcPr>
                  <w:tcW w:w="3861" w:type="pct"/>
                  <w:noWrap w:val="0"/>
                  <w:vAlign w:val="top"/>
                </w:tcPr>
                <w:p w14:paraId="6DA7E4C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运输车辆驶出工地前，应对车轮、车身、车槽帮等部门进行清理或清洗以保证车辆清洁上路；</w:t>
                  </w:r>
                </w:p>
              </w:tc>
            </w:tr>
            <w:tr w14:paraId="3C0982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07CDF7FA">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0ED5FB3">
                  <w:pPr>
                    <w:pStyle w:val="38"/>
                    <w:bidi w:val="0"/>
                    <w:rPr>
                      <w:color w:val="000000" w:themeColor="text1"/>
                      <w:highlight w:val="none"/>
                      <w14:textFill>
                        <w14:solidFill>
                          <w14:schemeClr w14:val="tx1"/>
                        </w14:solidFill>
                      </w14:textFill>
                    </w:rPr>
                  </w:pPr>
                </w:p>
              </w:tc>
              <w:tc>
                <w:tcPr>
                  <w:tcW w:w="3861" w:type="pct"/>
                  <w:noWrap w:val="0"/>
                  <w:vAlign w:val="top"/>
                </w:tcPr>
                <w:p w14:paraId="10AE0312">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洗车喷嘴静水压不低于0.5Mpa；</w:t>
                  </w:r>
                </w:p>
              </w:tc>
            </w:tr>
            <w:tr w14:paraId="20DBA6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1205C88B">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67A772BD">
                  <w:pPr>
                    <w:pStyle w:val="38"/>
                    <w:bidi w:val="0"/>
                    <w:rPr>
                      <w:color w:val="000000" w:themeColor="text1"/>
                      <w:highlight w:val="none"/>
                      <w14:textFill>
                        <w14:solidFill>
                          <w14:schemeClr w14:val="tx1"/>
                        </w14:solidFill>
                      </w14:textFill>
                    </w:rPr>
                  </w:pPr>
                </w:p>
              </w:tc>
              <w:tc>
                <w:tcPr>
                  <w:tcW w:w="3861" w:type="pct"/>
                  <w:noWrap w:val="0"/>
                  <w:vAlign w:val="top"/>
                </w:tcPr>
                <w:p w14:paraId="0AEBA717">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洗车污水经处理后重复使用，回用率不得低于90%，回用水水质良好，悬浮物浓度不应大于150mg/L；</w:t>
                  </w:r>
                </w:p>
              </w:tc>
            </w:tr>
            <w:tr w14:paraId="47F788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201304AC">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45ADEDA8">
                  <w:pPr>
                    <w:pStyle w:val="38"/>
                    <w:bidi w:val="0"/>
                    <w:rPr>
                      <w:color w:val="000000" w:themeColor="text1"/>
                      <w:highlight w:val="none"/>
                      <w14:textFill>
                        <w14:solidFill>
                          <w14:schemeClr w14:val="tx1"/>
                        </w14:solidFill>
                      </w14:textFill>
                    </w:rPr>
                  </w:pPr>
                </w:p>
              </w:tc>
              <w:tc>
                <w:tcPr>
                  <w:tcW w:w="3861" w:type="pct"/>
                  <w:noWrap w:val="0"/>
                  <w:vAlign w:val="top"/>
                </w:tcPr>
                <w:p w14:paraId="1130FF13">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施工场所车辆入口和出口30米以内部分的路面上不应有明显的泥印，以及砂石、灰土等易扬尘物料；</w:t>
                  </w:r>
                </w:p>
              </w:tc>
            </w:tr>
          </w:tbl>
          <w:p w14:paraId="792944F5">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采取上述措施后，可有效控制本项目施工期废气对周围环境的影响，对厂区</w:t>
            </w:r>
            <w:r>
              <w:rPr>
                <w:rFonts w:hint="eastAsia"/>
                <w:color w:val="000000" w:themeColor="text1"/>
                <w:highlight w:val="none"/>
                <w14:textFill>
                  <w14:solidFill>
                    <w14:schemeClr w14:val="tx1"/>
                  </w14:solidFill>
                </w14:textFill>
              </w:rPr>
              <w:t>周边居民</w:t>
            </w:r>
            <w:r>
              <w:rPr>
                <w:color w:val="000000" w:themeColor="text1"/>
                <w:highlight w:val="none"/>
                <w14:textFill>
                  <w14:solidFill>
                    <w14:schemeClr w14:val="tx1"/>
                  </w14:solidFill>
                </w14:textFill>
              </w:rPr>
              <w:t>的影响会降至最小。</w:t>
            </w:r>
          </w:p>
          <w:p w14:paraId="052630D6">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4.1.2施工机械尾气环境影响及保护</w:t>
            </w:r>
            <w:r>
              <w:rPr>
                <w:color w:val="000000" w:themeColor="text1"/>
                <w:highlight w:val="none"/>
                <w14:textFill>
                  <w14:solidFill>
                    <w14:schemeClr w14:val="tx1"/>
                  </w14:solidFill>
                </w14:textFill>
              </w:rPr>
              <w:t>措施</w:t>
            </w:r>
          </w:p>
          <w:p w14:paraId="43164E3B">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机械、车辆产生的废气主要污染物为柴油燃烧产生的氮氧化物、二氧化硫、一氧化碳、碳氢化合物等，该类大气污染物属于分散的点源排放，排放量由使用的车辆、机械和设备的性能、数量以及作业率决定。根据经验施工机械、运输车辆燃油废气均能达到《车用压燃式、气体燃料点燃式发动机与汽车排气污染物排放限值及测量方法（中国Ⅲ、Ⅳ、Ⅴ阶段）》对应排放限值，且产生量较小，影响范围有限。通过加强操作管理和日常养护等施工管理，保证施工机械设备和运输车辆处于良好的工作状态，严禁使用不合格设备和报废车辆，不会对周围环境造成显著影响。</w:t>
            </w:r>
          </w:p>
          <w:p w14:paraId="1785F559">
            <w:pPr>
              <w:pStyle w:val="53"/>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综上所述，项目施工期产生的所有废气通过合理的防治措施和科学的管理后，均能得到有效</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控制，对周边</w:t>
            </w:r>
            <w:r>
              <w:rPr>
                <w:rFonts w:hint="eastAsia"/>
                <w:color w:val="000000" w:themeColor="text1"/>
                <w:highlight w:val="none"/>
                <w:lang w:eastAsia="zh-CN"/>
                <w14:textFill>
                  <w14:solidFill>
                    <w14:schemeClr w14:val="tx1"/>
                  </w14:solidFill>
                </w14:textFill>
              </w:rPr>
              <w:t>环境空气质量</w:t>
            </w:r>
            <w:r>
              <w:rPr>
                <w:rFonts w:hint="eastAsia"/>
                <w:color w:val="000000" w:themeColor="text1"/>
                <w:highlight w:val="none"/>
                <w14:textFill>
                  <w14:solidFill>
                    <w14:schemeClr w14:val="tx1"/>
                  </w14:solidFill>
                </w14:textFill>
              </w:rPr>
              <w:t>以及敏感点产生的影响较小。</w:t>
            </w:r>
          </w:p>
          <w:p w14:paraId="1B57B4DA">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施工期废水环境影响保护措施</w:t>
            </w:r>
          </w:p>
          <w:p w14:paraId="5B2630EA">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本项目施工期产生的废水主要包括车辆设备及场地清洗废水</w:t>
            </w:r>
            <w:r>
              <w:rPr>
                <w:rFonts w:hint="eastAsia"/>
                <w:color w:val="000000" w:themeColor="text1"/>
                <w:highlight w:val="none"/>
                <w:lang w:val="en-US" w:eastAsia="zh-CN"/>
                <w14:textFill>
                  <w14:solidFill>
                    <w14:schemeClr w14:val="tx1"/>
                  </w14:solidFill>
                </w14:textFill>
              </w:rPr>
              <w:t>与施工人员生活污水</w:t>
            </w:r>
            <w:r>
              <w:rPr>
                <w:rFonts w:hint="default"/>
                <w:color w:val="000000" w:themeColor="text1"/>
                <w:highlight w:val="none"/>
                <w:lang w:eastAsia="zh-CN"/>
                <w14:textFill>
                  <w14:solidFill>
                    <w14:schemeClr w14:val="tx1"/>
                  </w14:solidFill>
                </w14:textFill>
              </w:rPr>
              <w:t>。</w:t>
            </w:r>
          </w:p>
          <w:p w14:paraId="0A854B4F">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废水主要是车辆设备及场地清洗废水等。根据类比同类规模施工，项目施工期产生的废水量较小，废水中主要污染物为悬浮物，其次还有少量的油类，其中悬浮物浓度值在300～4000mg/L之间。环评要求施工单位设置沉淀池，将生产废水沉淀处理后回用于施工过程，部分施工废水通过自然蒸发消耗。同时施工过程中要做到严格管理，节约用水，杜绝</w:t>
            </w:r>
            <w:r>
              <w:rPr>
                <w:rFonts w:hint="eastAsia"/>
                <w:color w:val="000000" w:themeColor="text1"/>
                <w:highlight w:val="none"/>
                <w:lang w:eastAsia="zh-CN"/>
                <w14:textFill>
                  <w14:solidFill>
                    <w14:schemeClr w14:val="tx1"/>
                  </w14:solidFill>
                </w14:textFill>
              </w:rPr>
              <w:t>泄漏</w:t>
            </w:r>
            <w:r>
              <w:rPr>
                <w:rFonts w:hint="default"/>
                <w:color w:val="000000" w:themeColor="text1"/>
                <w:highlight w:val="none"/>
                <w:lang w:eastAsia="zh-CN"/>
                <w14:textFill>
                  <w14:solidFill>
                    <w14:schemeClr w14:val="tx1"/>
                  </w14:solidFill>
                </w14:textFill>
              </w:rPr>
              <w:t>，保证施工废水不外排，对周围水环境影响很小。</w:t>
            </w:r>
            <w:r>
              <w:rPr>
                <w:rFonts w:hint="eastAsia"/>
                <w:color w:val="000000" w:themeColor="text1"/>
                <w:highlight w:val="none"/>
                <w:lang w:val="en-US" w:eastAsia="zh-CN"/>
                <w14:textFill>
                  <w14:solidFill>
                    <w14:schemeClr w14:val="tx1"/>
                  </w14:solidFill>
                </w14:textFill>
              </w:rPr>
              <w:t>施工人员生活污水依托厂内经园区下水管网，最终进入昌吉高新海天污水处理厂处理。因此，施工期间废水不会对周围环境及地表水环境不会造成影响。</w:t>
            </w:r>
          </w:p>
          <w:p w14:paraId="1785353C">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施工期噪声污染保护措施</w:t>
            </w:r>
          </w:p>
          <w:p w14:paraId="650E96CD">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施工期噪声主要是施工现场各类机械设备噪声。由于项目场地噪声主要产生于清洗水池等结构施工、室内装饰和设备安装过</w:t>
            </w:r>
            <w:r>
              <w:rPr>
                <w:rFonts w:hint="eastAsia"/>
                <w:color w:val="000000" w:themeColor="text1"/>
                <w:highlight w:val="none"/>
                <w:lang w:eastAsia="zh-CN"/>
                <w14:textFill>
                  <w14:solidFill>
                    <w14:schemeClr w14:val="tx1"/>
                  </w14:solidFill>
                </w14:textFill>
              </w:rPr>
              <w:t>程中</w:t>
            </w:r>
            <w:r>
              <w:rPr>
                <w:rFonts w:hint="default"/>
                <w:color w:val="000000" w:themeColor="text1"/>
                <w:highlight w:val="none"/>
                <w:lang w:eastAsia="zh-CN"/>
                <w14:textFill>
                  <w14:solidFill>
                    <w14:schemeClr w14:val="tx1"/>
                  </w14:solidFill>
                </w14:textFill>
              </w:rPr>
              <w:t>产生的机械噪声。主要为装修期间使用的电钻、电锤、切割机等机械设备产生的噪声，其噪声级为80～100dB</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lang w:eastAsia="zh-CN"/>
                <w14:textFill>
                  <w14:solidFill>
                    <w14:schemeClr w14:val="tx1"/>
                  </w14:solidFill>
                </w14:textFill>
              </w:rPr>
              <w:t>；运输车辆</w:t>
            </w:r>
            <w:r>
              <w:rPr>
                <w:rFonts w:hint="eastAsia"/>
                <w:color w:val="000000" w:themeColor="text1"/>
                <w:highlight w:val="none"/>
                <w:lang w:eastAsia="zh-CN"/>
                <w14:textFill>
                  <w14:solidFill>
                    <w14:schemeClr w14:val="tx1"/>
                  </w14:solidFill>
                </w14:textFill>
              </w:rPr>
              <w:t>产生</w:t>
            </w:r>
            <w:r>
              <w:rPr>
                <w:rFonts w:hint="default"/>
                <w:color w:val="000000" w:themeColor="text1"/>
                <w:highlight w:val="none"/>
                <w:lang w:eastAsia="zh-CN"/>
                <w14:textFill>
                  <w14:solidFill>
                    <w14:schemeClr w14:val="tx1"/>
                  </w14:solidFill>
                </w14:textFill>
              </w:rPr>
              <w:t>噪声级一般小于95dB（A），且为非持续性噪声。</w:t>
            </w:r>
          </w:p>
          <w:p w14:paraId="48608728">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环保措施：</w:t>
            </w:r>
          </w:p>
          <w:p w14:paraId="4A49EC2D">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（1）降低施工设备噪声：要定期对机械设备进行维护和保养，使其一直保持良好的状态，减轻因设备运行状态不佳而造成的噪声污染；对动力机械、设备加强定期检修、养护；</w:t>
            </w:r>
          </w:p>
          <w:p w14:paraId="50CBD294">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2）施工现场合理布局，避免在同一地点安排大量动力机械设备，以避免局部声级过高，噪声大的某些施工设备尽量远离敏感区，将施工阶段的噪声减至最小；运输车辆在路过沿线村庄等敏感点及进入施工院内时限制车速，尽量减少鸣笛；</w:t>
            </w:r>
          </w:p>
          <w:p w14:paraId="49AA2479">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eastAsia="zh-CN"/>
                <w14:textFill>
                  <w14:solidFill>
                    <w14:schemeClr w14:val="tx1"/>
                  </w14:solidFill>
                </w14:textFill>
              </w:rPr>
              <w:t>）为避免设备噪声对施工人员造成影响，评价建议项目施工时要合理安排工作人员，轮流操作机械，减少工人接触高噪音时间；对声源附近工作时间较长的工人，应采取分发防护耳塞保护措施，使工人自身防护得到保障。</w:t>
            </w:r>
          </w:p>
          <w:p w14:paraId="50812061">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施工产生的噪声对周围敏感点有一定影响，但本项目周边无敏感点、居民区，因此项目施工期的噪声对环境影响很小，且伴随施工期结束，其影响会完全消失。</w:t>
            </w:r>
          </w:p>
          <w:p w14:paraId="0AA0D4E6">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施工期固体废物</w:t>
            </w:r>
            <w:r>
              <w:rPr>
                <w:rFonts w:hint="eastAsia"/>
                <w:color w:val="000000" w:themeColor="text1"/>
                <w:highlight w:val="none"/>
                <w:lang w:val="en-US" w:eastAsia="zh-CN"/>
                <w14:textFill>
                  <w14:solidFill>
                    <w14:schemeClr w14:val="tx1"/>
                  </w14:solidFill>
                </w14:textFill>
              </w:rPr>
              <w:t>环境影响及</w:t>
            </w:r>
            <w:r>
              <w:rPr>
                <w:rFonts w:hint="default"/>
                <w:color w:val="000000" w:themeColor="text1"/>
                <w:highlight w:val="none"/>
                <w14:textFill>
                  <w14:solidFill>
                    <w14:schemeClr w14:val="tx1"/>
                  </w14:solidFill>
                </w14:textFill>
              </w:rPr>
              <w:t>污染保护措施</w:t>
            </w:r>
          </w:p>
          <w:p w14:paraId="4F61EDFE">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施工期的固体废物主要是</w:t>
            </w:r>
            <w:r>
              <w:rPr>
                <w:rFonts w:hint="eastAsia"/>
                <w:color w:val="000000" w:themeColor="text1"/>
                <w:highlight w:val="none"/>
                <w:lang w:val="en-US" w:eastAsia="zh-CN"/>
                <w14:textFill>
                  <w14:solidFill>
                    <w14:schemeClr w14:val="tx1"/>
                  </w14:solidFill>
                </w14:textFill>
              </w:rPr>
              <w:t>施工</w:t>
            </w:r>
            <w:r>
              <w:rPr>
                <w:rFonts w:hint="default"/>
                <w:color w:val="000000" w:themeColor="text1"/>
                <w:highlight w:val="none"/>
                <w:lang w:eastAsia="zh-CN"/>
                <w14:textFill>
                  <w14:solidFill>
                    <w14:schemeClr w14:val="tx1"/>
                  </w14:solidFill>
                </w14:textFill>
              </w:rPr>
              <w:t>建筑垃圾、生活垃圾。</w:t>
            </w:r>
          </w:p>
          <w:p w14:paraId="63754130">
            <w:pPr>
              <w:pStyle w:val="4"/>
              <w:bidi w:val="0"/>
              <w:rPr>
                <w:rFonts w:hint="default"/>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4.4.1施工</w:t>
            </w:r>
            <w:r>
              <w:rPr>
                <w:rFonts w:hint="default"/>
                <w:color w:val="000000" w:themeColor="text1"/>
                <w:highlight w:val="none"/>
                <w:lang w:eastAsia="zh-CN"/>
                <w14:textFill>
                  <w14:solidFill>
                    <w14:schemeClr w14:val="tx1"/>
                  </w14:solidFill>
                </w14:textFill>
              </w:rPr>
              <w:t>建筑垃圾</w:t>
            </w:r>
          </w:p>
          <w:p w14:paraId="4D2D7C80">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施工过程中产生的废弃的建筑材料，评价要求对施工建筑垃圾进行分类收集，对于废钢筋等可回收部分回收利用，剩余的废砖等建筑垃圾及时清理外运至一般固废填埋场</w:t>
            </w:r>
            <w:r>
              <w:rPr>
                <w:rFonts w:hint="eastAsia"/>
                <w:color w:val="000000" w:themeColor="text1"/>
                <w:highlight w:val="none"/>
                <w:lang w:eastAsia="zh-CN"/>
                <w14:textFill>
                  <w14:solidFill>
                    <w14:schemeClr w14:val="tx1"/>
                  </w14:solidFill>
                </w14:textFill>
              </w:rPr>
              <w:t>。</w:t>
            </w:r>
          </w:p>
          <w:p w14:paraId="0BA2A80F">
            <w:pPr>
              <w:pStyle w:val="4"/>
              <w:bidi w:val="0"/>
              <w:rPr>
                <w:rFonts w:hint="default"/>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4.4.2</w:t>
            </w:r>
            <w:r>
              <w:rPr>
                <w:rFonts w:hint="default"/>
                <w:color w:val="000000" w:themeColor="text1"/>
                <w:highlight w:val="none"/>
                <w:lang w:eastAsia="zh-CN"/>
                <w14:textFill>
                  <w14:solidFill>
                    <w14:schemeClr w14:val="tx1"/>
                  </w14:solidFill>
                </w14:textFill>
              </w:rPr>
              <w:t>生活垃圾</w:t>
            </w:r>
          </w:p>
          <w:p w14:paraId="31DB04F7">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施工期间施工人员不在项目区食宿，本项目施工人员按30人计，施工期约为</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eastAsia="zh-CN"/>
                <w14:textFill>
                  <w14:solidFill>
                    <w14:schemeClr w14:val="tx1"/>
                  </w14:solidFill>
                </w14:textFill>
              </w:rPr>
              <w:t>个月。施工人员生活垃圾</w:t>
            </w:r>
            <w:r>
              <w:rPr>
                <w:rFonts w:hint="eastAsia"/>
                <w:color w:val="000000" w:themeColor="text1"/>
                <w:highlight w:val="none"/>
                <w:lang w:val="en-US" w:eastAsia="zh-CN"/>
                <w14:textFill>
                  <w14:solidFill>
                    <w14:schemeClr w14:val="tx1"/>
                  </w14:solidFill>
                </w14:textFill>
              </w:rPr>
              <w:t>为</w:t>
            </w:r>
            <w:r>
              <w:rPr>
                <w:rFonts w:hint="default"/>
                <w:color w:val="000000" w:themeColor="text1"/>
                <w:highlight w:val="none"/>
                <w:lang w:eastAsia="zh-CN"/>
                <w14:textFill>
                  <w14:solidFill>
                    <w14:schemeClr w14:val="tx1"/>
                  </w14:solidFill>
                </w14:textFill>
              </w:rPr>
              <w:t>：0.5kg/人·d，则项目施工期生活垃圾产生量为</w:t>
            </w:r>
            <w:r>
              <w:rPr>
                <w:rFonts w:hint="eastAsia"/>
                <w:color w:val="000000" w:themeColor="text1"/>
                <w:highlight w:val="none"/>
                <w:lang w:val="en-US" w:eastAsia="zh-CN"/>
                <w14:textFill>
                  <w14:solidFill>
                    <w14:schemeClr w14:val="tx1"/>
                  </w14:solidFill>
                </w14:textFill>
              </w:rPr>
              <w:t>0.45</w:t>
            </w:r>
            <w:r>
              <w:rPr>
                <w:rFonts w:hint="default"/>
                <w:color w:val="000000" w:themeColor="text1"/>
                <w:highlight w:val="none"/>
                <w:lang w:eastAsia="zh-CN"/>
                <w14:textFill>
                  <w14:solidFill>
                    <w14:schemeClr w14:val="tx1"/>
                  </w14:solidFill>
                </w14:textFill>
              </w:rPr>
              <w:t>t。产生的生活垃圾由环卫部门统一清运处理，对环境影响不大。</w:t>
            </w:r>
          </w:p>
          <w:p w14:paraId="7018C8C7">
            <w:pPr>
              <w:pStyle w:val="4"/>
              <w:bidi w:val="0"/>
              <w:rPr>
                <w:rFonts w:hint="default"/>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4.4.3</w:t>
            </w:r>
            <w:r>
              <w:rPr>
                <w:rFonts w:hint="default"/>
                <w:color w:val="000000" w:themeColor="text1"/>
                <w:highlight w:val="none"/>
                <w:lang w:eastAsia="zh-CN"/>
                <w14:textFill>
                  <w14:solidFill>
                    <w14:schemeClr w14:val="tx1"/>
                  </w14:solidFill>
                </w14:textFill>
              </w:rPr>
              <w:t>防治措施</w:t>
            </w:r>
          </w:p>
          <w:p w14:paraId="2F670628">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①厂区设置临时堆场，并进行围挡防流失以及遮盖防尘，定点堆放，定期清运。施工设置的临时堆场应按照环卫部门要求及时清运，严禁长期占地。</w:t>
            </w:r>
          </w:p>
          <w:p w14:paraId="3F1C7B4C">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②对施工建筑垃圾进行分类收集，对于废钢筋等可回收部分回收外售，剩余的废砖、土等建筑垃圾及时清理外运至当地建筑垃圾场进行处置。</w:t>
            </w:r>
          </w:p>
          <w:p w14:paraId="03E07ECF">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④生活垃圾</w:t>
            </w:r>
            <w:r>
              <w:rPr>
                <w:rFonts w:hint="eastAsia"/>
                <w:color w:val="000000" w:themeColor="text1"/>
                <w:highlight w:val="none"/>
                <w:lang w:val="en-US" w:eastAsia="zh-CN"/>
                <w14:textFill>
                  <w14:solidFill>
                    <w14:schemeClr w14:val="tx1"/>
                  </w14:solidFill>
                </w14:textFill>
              </w:rPr>
              <w:t>依托厂区内原有</w:t>
            </w:r>
            <w:r>
              <w:rPr>
                <w:rFonts w:hint="default"/>
                <w:color w:val="000000" w:themeColor="text1"/>
                <w:highlight w:val="none"/>
                <w:lang w:eastAsia="zh-CN"/>
                <w14:textFill>
                  <w14:solidFill>
                    <w14:schemeClr w14:val="tx1"/>
                  </w14:solidFill>
                </w14:textFill>
              </w:rPr>
              <w:t>垃圾桶，定期收集并定期清运。</w:t>
            </w:r>
          </w:p>
          <w:p w14:paraId="20582B77">
            <w:pPr>
              <w:pStyle w:val="53"/>
              <w:shd w:val="clear" w:color="auto" w:fill="auto"/>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综上，在采取上述措施，施工期产生的固体废物</w:t>
            </w:r>
            <w:r>
              <w:rPr>
                <w:rFonts w:hint="eastAsia"/>
                <w:color w:val="000000" w:themeColor="text1"/>
                <w:highlight w:val="none"/>
                <w:lang w:val="en-US" w:eastAsia="zh-CN"/>
                <w14:textFill>
                  <w14:solidFill>
                    <w14:schemeClr w14:val="tx1"/>
                  </w14:solidFill>
                </w14:textFill>
              </w:rPr>
              <w:t>均</w:t>
            </w:r>
            <w:r>
              <w:rPr>
                <w:rFonts w:hint="default"/>
                <w:color w:val="000000" w:themeColor="text1"/>
                <w:highlight w:val="none"/>
                <w:lang w:val="en-US" w:eastAsia="zh-CN"/>
                <w14:textFill>
                  <w14:solidFill>
                    <w14:schemeClr w14:val="tx1"/>
                  </w14:solidFill>
                </w14:textFill>
              </w:rPr>
              <w:t>能得到妥善处置，不会对环境造成二次污染。</w:t>
            </w:r>
          </w:p>
          <w:p w14:paraId="7727080E">
            <w:pPr>
              <w:pStyle w:val="53"/>
              <w:shd w:val="clear" w:color="auto" w:fill="auto"/>
              <w:bidi w:val="0"/>
              <w:rPr>
                <w:rFonts w:hint="default"/>
                <w:color w:val="000000" w:themeColor="text1"/>
                <w:highlight w:val="none"/>
                <w:lang w:val="en-US" w:eastAsia="zh-CN"/>
                <w14:textFill>
                  <w14:solidFill>
                    <w14:schemeClr w14:val="tx1"/>
                  </w14:solidFill>
                </w14:textFill>
              </w:rPr>
            </w:pPr>
          </w:p>
          <w:p w14:paraId="36880CE1">
            <w:pPr>
              <w:pStyle w:val="53"/>
              <w:shd w:val="clear" w:color="auto" w:fill="auto"/>
              <w:bidi w:val="0"/>
              <w:rPr>
                <w:rFonts w:hint="default"/>
                <w:color w:val="000000" w:themeColor="text1"/>
                <w:highlight w:val="none"/>
                <w:lang w:val="en-US" w:eastAsia="zh-CN"/>
                <w14:textFill>
                  <w14:solidFill>
                    <w14:schemeClr w14:val="tx1"/>
                  </w14:solidFill>
                </w14:textFill>
              </w:rPr>
            </w:pPr>
          </w:p>
          <w:p w14:paraId="2B406B11">
            <w:pPr>
              <w:pStyle w:val="53"/>
              <w:shd w:val="clear" w:color="auto" w:fill="auto"/>
              <w:bidi w:val="0"/>
              <w:rPr>
                <w:rFonts w:hint="default"/>
                <w:color w:val="000000" w:themeColor="text1"/>
                <w:highlight w:val="none"/>
                <w:lang w:val="en-US" w:eastAsia="zh-CN"/>
                <w14:textFill>
                  <w14:solidFill>
                    <w14:schemeClr w14:val="tx1"/>
                  </w14:solidFill>
                </w14:textFill>
              </w:rPr>
            </w:pPr>
          </w:p>
        </w:tc>
      </w:tr>
      <w:tr w14:paraId="1875A9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51" w:hRule="atLeast"/>
        </w:trPr>
        <w:tc>
          <w:tcPr>
            <w:tcW w:w="704" w:type="dxa"/>
            <w:tcBorders>
              <w:tl2br w:val="nil"/>
              <w:tr2bl w:val="nil"/>
            </w:tcBorders>
            <w:vAlign w:val="center"/>
          </w:tcPr>
          <w:p w14:paraId="155AF50A">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运营期环境影响和保护措施</w:t>
            </w:r>
          </w:p>
        </w:tc>
        <w:tc>
          <w:tcPr>
            <w:tcW w:w="7592" w:type="dxa"/>
            <w:tcBorders>
              <w:tl2br w:val="nil"/>
              <w:tr2bl w:val="nil"/>
            </w:tcBorders>
          </w:tcPr>
          <w:p w14:paraId="1E32C303">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4.5运营期</w:t>
            </w:r>
            <w:r>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t>废气</w:t>
            </w: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环境影响与保护措施</w:t>
            </w:r>
          </w:p>
          <w:p w14:paraId="7EA0D18B">
            <w:pPr>
              <w:pStyle w:val="29"/>
              <w:spacing w:line="360" w:lineRule="auto"/>
              <w:ind w:left="0" w:leftChars="0" w:firstLine="480" w:firstLineChars="200"/>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本项目运营期</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一期工程</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产生的废气主要为</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醇基</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锅炉产生的</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锅炉废气；酸洗搅拌工序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酸性气体，预搅拌工序产生的粉尘；二期工程</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产生的废气主要为</w:t>
            </w:r>
            <w:r>
              <w:rPr>
                <w:rFonts w:hint="default" w:ascii="Times New Roman" w:hAnsi="Times New Roman" w:eastAsia="宋体"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破碎、球磨工序产生的</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粉尘；一期与二期工程均产生的废气主要为烘干工序产生的烘干废气；堆场与装卸扬尘。</w:t>
            </w:r>
          </w:p>
          <w:p w14:paraId="00AEF657">
            <w:pPr>
              <w:pStyle w:val="29"/>
              <w:spacing w:line="360" w:lineRule="auto"/>
              <w:ind w:left="0" w:leftChars="0" w:firstLine="0" w:firstLineChars="0"/>
              <w:rPr>
                <w:rFonts w:hint="default"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一期工程产生的废气：</w:t>
            </w:r>
          </w:p>
          <w:p w14:paraId="7F6A404D">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4.5.1一期酸洗废气</w:t>
            </w:r>
          </w:p>
          <w:p w14:paraId="085E69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47" w:firstLineChars="228"/>
              <w:textAlignment w:val="auto"/>
              <w:rPr>
                <w:rFonts w:hint="default"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（1）有组织废气</w:t>
            </w:r>
          </w:p>
          <w:p w14:paraId="308B5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47" w:firstLineChars="228"/>
              <w:textAlignment w:val="auto"/>
              <w:rPr>
                <w:rFonts w:hint="default" w:ascii="Times New Roman" w:hAnsi="Times New Roman" w:eastAsia="宋体"/>
                <w:color w:val="000000" w:themeColor="text1"/>
                <w:sz w:val="24"/>
                <w:szCs w:val="24"/>
                <w:highlight w:val="none"/>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项目原料废硅粉采用盐酸进行提纯，在酸洗搅拌罐中将盐酸（31%）和水按比例调配成10%盐酸溶液，</w:t>
            </w:r>
            <w:r>
              <w:rPr>
                <w:rFonts w:hint="eastAsia" w:ascii="Times New Roman" w:hAnsi="Times New Roman" w:eastAsia="宋体"/>
                <w:color w:val="000000" w:themeColor="text1"/>
                <w:sz w:val="24"/>
                <w:szCs w:val="24"/>
                <w:highlight w:val="none"/>
                <w14:textFill>
                  <w14:solidFill>
                    <w14:schemeClr w14:val="tx1"/>
                  </w14:solidFill>
                </w14:textFill>
              </w:rPr>
              <w:t>通过</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醇基</w:t>
            </w:r>
            <w:r>
              <w:rPr>
                <w:rFonts w:hint="eastAsia" w:ascii="Times New Roman" w:hAnsi="Times New Roman" w:eastAsia="宋体"/>
                <w:color w:val="000000" w:themeColor="text1"/>
                <w:sz w:val="24"/>
                <w:szCs w:val="24"/>
                <w:highlight w:val="none"/>
                <w14:textFill>
                  <w14:solidFill>
                    <w14:schemeClr w14:val="tx1"/>
                  </w14:solidFill>
                </w14:textFill>
              </w:rPr>
              <w:t>锅炉</w:t>
            </w:r>
            <w:r>
              <w:rPr>
                <w:rFonts w:hint="eastAsia"/>
                <w:color w:val="000000" w:themeColor="text1"/>
                <w:sz w:val="24"/>
                <w:szCs w:val="24"/>
                <w:highlight w:val="none"/>
                <w:lang w:val="en-US" w:eastAsia="zh-CN"/>
                <w14:textFill>
                  <w14:solidFill>
                    <w14:schemeClr w14:val="tx1"/>
                  </w14:solidFill>
                </w14:textFill>
              </w:rPr>
              <w:t>蒸汽</w:t>
            </w:r>
            <w:r>
              <w:rPr>
                <w:rFonts w:hint="eastAsia" w:ascii="Times New Roman" w:hAnsi="Times New Roman" w:eastAsia="宋体"/>
                <w:color w:val="000000" w:themeColor="text1"/>
                <w:sz w:val="24"/>
                <w:szCs w:val="24"/>
                <w:highlight w:val="none"/>
                <w14:textFill>
                  <w14:solidFill>
                    <w14:schemeClr w14:val="tx1"/>
                  </w14:solidFill>
                </w14:textFill>
              </w:rPr>
              <w:t>供热使</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搅拌</w:t>
            </w:r>
            <w:r>
              <w:rPr>
                <w:rFonts w:hint="eastAsia" w:ascii="Times New Roman" w:hAnsi="Times New Roman" w:eastAsia="宋体"/>
                <w:color w:val="000000" w:themeColor="text1"/>
                <w:sz w:val="24"/>
                <w:szCs w:val="24"/>
                <w:highlight w:val="none"/>
                <w14:textFill>
                  <w14:solidFill>
                    <w14:schemeClr w14:val="tx1"/>
                  </w14:solidFill>
                </w14:textFill>
              </w:rPr>
              <w:t>罐保持温度约为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60</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酸洗</w:t>
            </w:r>
            <w:r>
              <w:rPr>
                <w:rFonts w:hint="eastAsia"/>
                <w:color w:val="000000" w:themeColor="text1"/>
                <w:sz w:val="24"/>
                <w:szCs w:val="24"/>
                <w:highlight w:val="none"/>
                <w:lang w:val="en-US" w:eastAsia="zh-CN"/>
                <w14:textFill>
                  <w14:solidFill>
                    <w14:schemeClr w14:val="tx1"/>
                  </w14:solidFill>
                </w14:textFill>
              </w:rPr>
              <w:t>沉淀</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池为加盖全封闭存储池（单个尺寸：10m×3m×3m），共两个酸洗</w:t>
            </w:r>
            <w:r>
              <w:rPr>
                <w:rFonts w:hint="eastAsia"/>
                <w:color w:val="000000" w:themeColor="text1"/>
                <w:sz w:val="24"/>
                <w:szCs w:val="24"/>
                <w:highlight w:val="none"/>
                <w:lang w:val="en-US" w:eastAsia="zh-CN"/>
                <w14:textFill>
                  <w14:solidFill>
                    <w14:schemeClr w14:val="tx1"/>
                  </w14:solidFill>
                </w14:textFill>
              </w:rPr>
              <w:t>沉淀</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池，盐酸经耐腐蚀管道通向搅拌罐，在搅拌过程中会有酸洗废气产生。</w:t>
            </w:r>
            <w:r>
              <w:rPr>
                <w:rFonts w:hint="eastAsia" w:ascii="Times New Roman" w:hAnsi="Times New Roman" w:eastAsia="宋体"/>
                <w:color w:val="000000" w:themeColor="text1"/>
                <w:sz w:val="24"/>
                <w:szCs w:val="24"/>
                <w:highlight w:val="none"/>
                <w14:textFill>
                  <w14:solidFill>
                    <w14:schemeClr w14:val="tx1"/>
                  </w14:solidFill>
                </w14:textFill>
              </w:rPr>
              <w:t>酸洗废气的产生量与生产规模、酸用量、浓度、作业条件（温度、湿度、通风状况等）、作业面积大小都有密切的关系，本项目参考环境统计手册进行理论计算。按照《环境统计手册》第四章第二节无组织排放废气量的计算中“二、液体</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除水以外</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蒸发量的计算，本计算方法适合用于硫酸、硝酸、盐酸等酸洗工艺中的酸液蒸发量的计算”，其计算公式如下：</w:t>
            </w:r>
          </w:p>
          <w:p w14:paraId="46F44770">
            <w:pPr>
              <w:keepNext w:val="0"/>
              <w:keepLines w:val="0"/>
              <w:suppressLineNumbers w:val="0"/>
              <w:spacing w:before="0" w:beforeAutospacing="0" w:after="0" w:afterAutospacing="0" w:line="440" w:lineRule="exact"/>
              <w:ind w:right="0"/>
              <w:jc w:val="center"/>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G</w:t>
            </w:r>
            <w:r>
              <w:rPr>
                <w:rFonts w:hint="default" w:ascii="Times New Roman" w:hAnsi="Times New Roman" w:eastAsia="宋体"/>
                <w:color w:val="000000" w:themeColor="text1"/>
                <w:sz w:val="24"/>
                <w:szCs w:val="24"/>
                <w:highlight w:val="none"/>
                <w:vertAlign w:val="subscript"/>
                <w14:textFill>
                  <w14:solidFill>
                    <w14:schemeClr w14:val="tx1"/>
                  </w14:solidFill>
                </w14:textFill>
              </w:rPr>
              <w:t>Z</w:t>
            </w:r>
            <w:r>
              <w:rPr>
                <w:rFonts w:hint="default" w:ascii="Times New Roman" w:hAnsi="Times New Roman" w:eastAsia="宋体"/>
                <w:color w:val="000000" w:themeColor="text1"/>
                <w:sz w:val="24"/>
                <w:szCs w:val="24"/>
                <w:highlight w:val="none"/>
                <w14:textFill>
                  <w14:solidFill>
                    <w14:schemeClr w14:val="tx1"/>
                  </w14:solidFill>
                </w14:textFill>
              </w:rPr>
              <w:t>=M×</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default" w:ascii="Times New Roman" w:hAnsi="Times New Roman" w:eastAsia="宋体"/>
                <w:color w:val="000000" w:themeColor="text1"/>
                <w:sz w:val="24"/>
                <w:szCs w:val="24"/>
                <w:highlight w:val="none"/>
                <w14:textFill>
                  <w14:solidFill>
                    <w14:schemeClr w14:val="tx1"/>
                  </w14:solidFill>
                </w14:textFill>
              </w:rPr>
              <w:t>0.000352+0.000786×V</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default" w:ascii="Times New Roman" w:hAnsi="Times New Roman" w:eastAsia="宋体"/>
                <w:color w:val="000000" w:themeColor="text1"/>
                <w:sz w:val="24"/>
                <w:szCs w:val="24"/>
                <w:highlight w:val="none"/>
                <w14:textFill>
                  <w14:solidFill>
                    <w14:schemeClr w14:val="tx1"/>
                  </w14:solidFill>
                </w14:textFill>
              </w:rPr>
              <w:t>×P×F</w:t>
            </w:r>
          </w:p>
          <w:p w14:paraId="1FAB9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imes New Roman" w:hAnsi="Times New Roman" w:eastAsia="宋体"/>
                <w:color w:val="000000" w:themeColor="text1"/>
                <w:sz w:val="24"/>
                <w:szCs w:val="24"/>
                <w:highlight w:val="none"/>
                <w14:textFill>
                  <w14:solidFill>
                    <w14:schemeClr w14:val="tx1"/>
                  </w14:solidFill>
                </w14:textFill>
              </w:rPr>
            </w:pPr>
            <w:r>
              <w:rPr>
                <w:rFonts w:hint="eastAsia" w:ascii="Times New Roman" w:hAnsi="Times New Roman" w:eastAsia="宋体"/>
                <w:color w:val="000000" w:themeColor="text1"/>
                <w:sz w:val="24"/>
                <w:szCs w:val="24"/>
                <w:highlight w:val="none"/>
                <w14:textFill>
                  <w14:solidFill>
                    <w14:schemeClr w14:val="tx1"/>
                  </w14:solidFill>
                </w14:textFill>
              </w:rPr>
              <w:t>式中：</w:t>
            </w:r>
            <w:r>
              <w:rPr>
                <w:rFonts w:hint="default" w:ascii="Times New Roman" w:hAnsi="Times New Roman" w:eastAsia="宋体"/>
                <w:color w:val="000000" w:themeColor="text1"/>
                <w:sz w:val="24"/>
                <w:szCs w:val="24"/>
                <w:highlight w:val="none"/>
                <w14:textFill>
                  <w14:solidFill>
                    <w14:schemeClr w14:val="tx1"/>
                  </w14:solidFill>
                </w14:textFill>
              </w:rPr>
              <w:t>G</w:t>
            </w:r>
            <w:r>
              <w:rPr>
                <w:rFonts w:hint="default" w:ascii="Times New Roman" w:hAnsi="Times New Roman" w:eastAsia="宋体"/>
                <w:color w:val="000000" w:themeColor="text1"/>
                <w:sz w:val="24"/>
                <w:szCs w:val="24"/>
                <w:highlight w:val="none"/>
                <w:vertAlign w:val="subscript"/>
                <w14:textFill>
                  <w14:solidFill>
                    <w14:schemeClr w14:val="tx1"/>
                  </w14:solidFill>
                </w14:textFill>
              </w:rPr>
              <w:t>Z</w:t>
            </w:r>
            <w:r>
              <w:rPr>
                <w:rFonts w:hint="default"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液体的蒸发量，（</w:t>
            </w:r>
            <w:r>
              <w:rPr>
                <w:rFonts w:hint="default" w:ascii="Times New Roman" w:hAnsi="Times New Roman" w:eastAsia="宋体"/>
                <w:color w:val="000000" w:themeColor="text1"/>
                <w:sz w:val="24"/>
                <w:szCs w:val="24"/>
                <w:highlight w:val="none"/>
                <w14:textFill>
                  <w14:solidFill>
                    <w14:schemeClr w14:val="tx1"/>
                  </w14:solidFill>
                </w14:textFill>
              </w:rPr>
              <w:t>kg/h</w:t>
            </w:r>
            <w:r>
              <w:rPr>
                <w:rFonts w:hint="eastAsia" w:ascii="Times New Roman" w:hAnsi="Times New Roman" w:eastAsia="宋体"/>
                <w:color w:val="000000" w:themeColor="text1"/>
                <w:sz w:val="24"/>
                <w:szCs w:val="24"/>
                <w:highlight w:val="none"/>
                <w14:textFill>
                  <w14:solidFill>
                    <w14:schemeClr w14:val="tx1"/>
                  </w14:solidFill>
                </w14:textFill>
              </w:rPr>
              <w:t>）。</w:t>
            </w:r>
          </w:p>
          <w:p w14:paraId="4E5B1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M——</w:t>
            </w:r>
            <w:r>
              <w:rPr>
                <w:rFonts w:hint="eastAsia" w:ascii="Times New Roman" w:hAnsi="Times New Roman" w:eastAsia="宋体"/>
                <w:color w:val="000000" w:themeColor="text1"/>
                <w:sz w:val="24"/>
                <w:szCs w:val="24"/>
                <w:highlight w:val="none"/>
                <w14:textFill>
                  <w14:solidFill>
                    <w14:schemeClr w14:val="tx1"/>
                  </w14:solidFill>
                </w14:textFill>
              </w:rPr>
              <w:t>液体分子量；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盐酸</w:t>
            </w:r>
            <w:r>
              <w:rPr>
                <w:rFonts w:hint="eastAsia" w:ascii="Times New Roman" w:hAnsi="Times New Roman" w:eastAsia="宋体"/>
                <w:color w:val="000000" w:themeColor="text1"/>
                <w:sz w:val="24"/>
                <w:szCs w:val="24"/>
                <w:highlight w:val="none"/>
                <w14:textFill>
                  <w14:solidFill>
                    <w14:schemeClr w14:val="tx1"/>
                  </w14:solidFill>
                </w14:textFill>
              </w:rPr>
              <w:t>分子量为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36.5</w:t>
            </w:r>
            <w:r>
              <w:rPr>
                <w:rFonts w:hint="eastAsia" w:ascii="Times New Roman" w:hAnsi="Times New Roman" w:eastAsia="宋体"/>
                <w:color w:val="000000" w:themeColor="text1"/>
                <w:sz w:val="24"/>
                <w:szCs w:val="24"/>
                <w:highlight w:val="none"/>
                <w14:textFill>
                  <w14:solidFill>
                    <w14:schemeClr w14:val="tx1"/>
                  </w14:solidFill>
                </w14:textFill>
              </w:rPr>
              <w:t>；</w:t>
            </w:r>
          </w:p>
          <w:p w14:paraId="479D98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V——</w:t>
            </w:r>
            <w:r>
              <w:rPr>
                <w:rFonts w:hint="eastAsia" w:ascii="Times New Roman" w:hAnsi="Times New Roman" w:eastAsia="宋体"/>
                <w:color w:val="000000" w:themeColor="text1"/>
                <w:sz w:val="24"/>
                <w:szCs w:val="24"/>
                <w:highlight w:val="none"/>
                <w14:textFill>
                  <w14:solidFill>
                    <w14:schemeClr w14:val="tx1"/>
                  </w14:solidFill>
                </w14:textFill>
              </w:rPr>
              <w:t>蒸发液体表面上的空气</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流速（</w:t>
            </w:r>
            <w:r>
              <w:rPr>
                <w:rFonts w:hint="default" w:ascii="Times New Roman" w:hAnsi="Times New Roman" w:eastAsia="宋体"/>
                <w:color w:val="000000" w:themeColor="text1"/>
                <w:sz w:val="24"/>
                <w:szCs w:val="24"/>
                <w:highlight w:val="none"/>
                <w14:textFill>
                  <w14:solidFill>
                    <w14:schemeClr w14:val="tx1"/>
                  </w14:solidFill>
                </w14:textFill>
              </w:rPr>
              <w:t>m/s</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应以实测数据为准。无条件实测时可取0.2</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0.5m/s或查表计算，取均值V=0.35m/s</w:t>
            </w:r>
            <w:r>
              <w:rPr>
                <w:rFonts w:hint="eastAsia" w:ascii="Times New Roman" w:hAnsi="Times New Roman" w:eastAsia="宋体"/>
                <w:color w:val="000000" w:themeColor="text1"/>
                <w:sz w:val="24"/>
                <w:szCs w:val="24"/>
                <w:highlight w:val="none"/>
                <w14:textFill>
                  <w14:solidFill>
                    <w14:schemeClr w14:val="tx1"/>
                  </w14:solidFill>
                </w14:textFill>
              </w:rPr>
              <w:t>；</w:t>
            </w:r>
          </w:p>
          <w:p w14:paraId="1775E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P——</w:t>
            </w:r>
            <w:r>
              <w:rPr>
                <w:rFonts w:hint="eastAsia" w:ascii="Times New Roman" w:hAnsi="Times New Roman" w:eastAsia="宋体"/>
                <w:color w:val="000000" w:themeColor="text1"/>
                <w:sz w:val="24"/>
                <w:szCs w:val="24"/>
                <w:highlight w:val="none"/>
                <w14:textFill>
                  <w14:solidFill>
                    <w14:schemeClr w14:val="tx1"/>
                  </w14:solidFill>
                </w14:textFill>
              </w:rPr>
              <w:t>相应于液体温度下空气中的饱和蒸汽分压力（</w:t>
            </w:r>
            <w:r>
              <w:rPr>
                <w:rFonts w:hint="default" w:ascii="Times New Roman" w:hAnsi="Times New Roman" w:eastAsia="宋体"/>
                <w:color w:val="000000" w:themeColor="text1"/>
                <w:sz w:val="24"/>
                <w:szCs w:val="24"/>
                <w:highlight w:val="none"/>
                <w14:textFill>
                  <w14:solidFill>
                    <w14:schemeClr w14:val="tx1"/>
                  </w14:solidFill>
                </w14:textFill>
              </w:rPr>
              <w:t>mmHg</w:t>
            </w:r>
            <w:r>
              <w:rPr>
                <w:rFonts w:hint="eastAsia" w:ascii="Times New Roman" w:hAnsi="Times New Roman" w:eastAsia="宋体"/>
                <w:color w:val="000000" w:themeColor="text1"/>
                <w:sz w:val="24"/>
                <w:szCs w:val="24"/>
                <w:highlight w:val="none"/>
                <w14:textFill>
                  <w14:solidFill>
                    <w14:schemeClr w14:val="tx1"/>
                  </w14:solidFill>
                </w14:textFill>
              </w:rPr>
              <w:t>），根据稀盐酸溶液蒸气分压查询表可知，10%浓度盐酸在60℃下的气体分压为0.16mmHg。</w:t>
            </w:r>
          </w:p>
          <w:p w14:paraId="1775FAC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F——蒸发面的面积（m</w:t>
            </w:r>
            <w:r>
              <w:rPr>
                <w:rFonts w:hint="default" w:ascii="Times New Roman" w:hAnsi="Times New Roman" w:eastAsia="宋体"/>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olor w:val="000000" w:themeColor="text1"/>
                <w:sz w:val="24"/>
                <w:szCs w:val="24"/>
                <w:highlight w:val="none"/>
                <w14:textFill>
                  <w14:solidFill>
                    <w14:schemeClr w14:val="tx1"/>
                  </w14:solidFill>
                </w14:textFill>
              </w:rPr>
              <w:t>）。项目生产线设</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olor w:val="000000" w:themeColor="text1"/>
                <w:sz w:val="24"/>
                <w:szCs w:val="24"/>
                <w:highlight w:val="none"/>
                <w14:textFill>
                  <w14:solidFill>
                    <w14:schemeClr w14:val="tx1"/>
                  </w14:solidFill>
                </w14:textFill>
              </w:rPr>
              <w:t>个</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搅拌</w:t>
            </w:r>
            <w:r>
              <w:rPr>
                <w:rFonts w:hint="default" w:ascii="Times New Roman" w:hAnsi="Times New Roman" w:eastAsia="宋体"/>
                <w:color w:val="000000" w:themeColor="text1"/>
                <w:sz w:val="24"/>
                <w:szCs w:val="24"/>
                <w:highlight w:val="none"/>
                <w14:textFill>
                  <w14:solidFill>
                    <w14:schemeClr w14:val="tx1"/>
                  </w14:solidFill>
                </w14:textFill>
              </w:rPr>
              <w:t>罐，</w:t>
            </w:r>
            <w:r>
              <w:rPr>
                <w:rFonts w:hint="eastAsia" w:ascii="Times New Roman" w:hAnsi="Times New Roman" w:eastAsia="宋体"/>
                <w:color w:val="000000" w:themeColor="text1"/>
                <w:sz w:val="24"/>
                <w:szCs w:val="24"/>
                <w:highlight w:val="none"/>
                <w14:textFill>
                  <w14:solidFill>
                    <w14:schemeClr w14:val="tx1"/>
                  </w14:solidFill>
                </w14:textFill>
              </w:rPr>
              <w:t>单个</w:t>
            </w:r>
            <w:r>
              <w:rPr>
                <w:rFonts w:hint="default" w:ascii="Times New Roman" w:hAnsi="Times New Roman" w:eastAsia="宋体"/>
                <w:color w:val="000000" w:themeColor="text1"/>
                <w:sz w:val="24"/>
                <w:szCs w:val="24"/>
                <w:highlight w:val="none"/>
                <w14:textFill>
                  <w14:solidFill>
                    <w14:schemeClr w14:val="tx1"/>
                  </w14:solidFill>
                </w14:textFill>
              </w:rPr>
              <w:t>酸洗罐</w:t>
            </w:r>
            <w:r>
              <w:rPr>
                <w:rFonts w:hint="eastAsia" w:ascii="Times New Roman" w:hAnsi="Times New Roman" w:eastAsia="宋体"/>
                <w:color w:val="000000" w:themeColor="text1"/>
                <w:sz w:val="24"/>
                <w:szCs w:val="24"/>
                <w:highlight w:val="none"/>
                <w14:textFill>
                  <w14:solidFill>
                    <w14:schemeClr w14:val="tx1"/>
                  </w14:solidFill>
                </w14:textFill>
              </w:rPr>
              <w:t>表</w:t>
            </w:r>
            <w:r>
              <w:rPr>
                <w:rFonts w:hint="default" w:ascii="Times New Roman" w:hAnsi="Times New Roman" w:eastAsia="宋体"/>
                <w:color w:val="000000" w:themeColor="text1"/>
                <w:sz w:val="24"/>
                <w:szCs w:val="24"/>
                <w:highlight w:val="none"/>
                <w14:textFill>
                  <w14:solidFill>
                    <w14:schemeClr w14:val="tx1"/>
                  </w14:solidFill>
                </w14:textFill>
              </w:rPr>
              <w:t>面积</w:t>
            </w:r>
            <w:r>
              <w:rPr>
                <w:rFonts w:hint="eastAsia" w:ascii="Times New Roman" w:hAnsi="Times New Roman" w:eastAsia="宋体"/>
                <w:color w:val="000000" w:themeColor="text1"/>
                <w:sz w:val="24"/>
                <w:szCs w:val="24"/>
                <w:highlight w:val="none"/>
                <w14:textFill>
                  <w14:solidFill>
                    <w14:schemeClr w14:val="tx1"/>
                  </w14:solidFill>
                </w14:textFill>
              </w:rPr>
              <w:t>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olor w:val="000000" w:themeColor="text1"/>
                <w:sz w:val="24"/>
                <w:szCs w:val="24"/>
                <w:highlight w:val="none"/>
                <w14:textFill>
                  <w14:solidFill>
                    <w14:schemeClr w14:val="tx1"/>
                  </w14:solidFill>
                </w14:textFill>
              </w:rPr>
              <w:t>m</w:t>
            </w:r>
            <w:r>
              <w:rPr>
                <w:rFonts w:hint="default" w:ascii="Times New Roman" w:hAnsi="Times New Roman" w:eastAsia="宋体"/>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酸洗罐</w:t>
            </w:r>
            <w:r>
              <w:rPr>
                <w:rFonts w:hint="default" w:ascii="Times New Roman" w:hAnsi="Times New Roman" w:eastAsia="宋体"/>
                <w:color w:val="000000" w:themeColor="text1"/>
                <w:sz w:val="24"/>
                <w:szCs w:val="24"/>
                <w:highlight w:val="none"/>
                <w14:textFill>
                  <w14:solidFill>
                    <w14:schemeClr w14:val="tx1"/>
                  </w14:solidFill>
                </w14:textFill>
              </w:rPr>
              <w:t>近</w:t>
            </w:r>
            <w:r>
              <w:rPr>
                <w:rFonts w:hint="eastAsia" w:ascii="Times New Roman" w:hAnsi="Times New Roman" w:eastAsia="宋体"/>
                <w:color w:val="000000" w:themeColor="text1"/>
                <w:sz w:val="24"/>
                <w:szCs w:val="24"/>
                <w:highlight w:val="none"/>
                <w:lang w:eastAsia="zh-CN"/>
                <w14:textFill>
                  <w14:solidFill>
                    <w14:schemeClr w14:val="tx1"/>
                  </w14:solidFill>
                </w14:textFill>
              </w:rPr>
              <w:t>似</w:t>
            </w:r>
            <w:r>
              <w:rPr>
                <w:rFonts w:hint="default" w:ascii="Times New Roman" w:hAnsi="Times New Roman" w:eastAsia="宋体"/>
                <w:color w:val="000000" w:themeColor="text1"/>
                <w:sz w:val="24"/>
                <w:szCs w:val="24"/>
                <w:highlight w:val="none"/>
                <w14:textFill>
                  <w14:solidFill>
                    <w14:schemeClr w14:val="tx1"/>
                  </w14:solidFill>
                </w14:textFill>
              </w:rPr>
              <w:t>圆柱体</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default" w:ascii="Times New Roman" w:hAnsi="Times New Roman" w:eastAsia="宋体"/>
                <w:color w:val="000000" w:themeColor="text1"/>
                <w:sz w:val="24"/>
                <w:szCs w:val="24"/>
                <w:highlight w:val="none"/>
                <w14:textFill>
                  <w14:solidFill>
                    <w14:schemeClr w14:val="tx1"/>
                  </w14:solidFill>
                </w14:textFill>
              </w:rPr>
              <w:t>顶端</w:t>
            </w:r>
            <w:r>
              <w:rPr>
                <w:rFonts w:hint="eastAsia" w:eastAsia="宋体"/>
                <w:color w:val="000000" w:themeColor="text1"/>
                <w:sz w:val="24"/>
                <w:szCs w:val="24"/>
                <w:highlight w:val="none"/>
                <w:lang w:eastAsia="zh-CN"/>
                <w14:textFill>
                  <w14:solidFill>
                    <w14:schemeClr w14:val="tx1"/>
                  </w14:solidFill>
                </w14:textFill>
              </w:rPr>
              <w:t>截面</w:t>
            </w:r>
            <w:r>
              <w:rPr>
                <w:rFonts w:hint="default" w:ascii="Times New Roman" w:hAnsi="Times New Roman" w:eastAsia="宋体"/>
                <w:color w:val="000000" w:themeColor="text1"/>
                <w:sz w:val="24"/>
                <w:szCs w:val="24"/>
                <w:highlight w:val="none"/>
                <w14:textFill>
                  <w14:solidFill>
                    <w14:schemeClr w14:val="tx1"/>
                  </w14:solidFill>
                </w14:textFill>
              </w:rPr>
              <w:t>直径约为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olor w:val="000000" w:themeColor="text1"/>
                <w:sz w:val="24"/>
                <w:szCs w:val="24"/>
                <w:highlight w:val="none"/>
                <w14:textFill>
                  <w14:solidFill>
                    <w14:schemeClr w14:val="tx1"/>
                  </w14:solidFill>
                </w14:textFill>
              </w:rPr>
              <w:t>m）</w:t>
            </w:r>
            <w:r>
              <w:rPr>
                <w:rFonts w:hint="eastAsia" w:ascii="Times New Roman" w:hAnsi="Times New Roman" w:eastAsia="宋体"/>
                <w:color w:val="000000" w:themeColor="text1"/>
                <w:sz w:val="24"/>
                <w:szCs w:val="24"/>
                <w:highlight w:val="none"/>
                <w:lang w:eastAsia="zh-CN"/>
                <w14:textFill>
                  <w14:solidFill>
                    <w14:schemeClr w14:val="tx1"/>
                  </w14:solidFill>
                </w14:textFill>
              </w:rPr>
              <w:t>。</w:t>
            </w:r>
          </w:p>
          <w:p w14:paraId="2469BFC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cs="Times New Roman"/>
                <w:b/>
                <w:color w:val="000000" w:themeColor="text1"/>
                <w:szCs w:val="21"/>
                <w:highlight w:val="none"/>
                <w:lang w:val="en-US" w:eastAsia="zh-CN"/>
                <w14:textFill>
                  <w14:solidFill>
                    <w14:schemeClr w14:val="tx1"/>
                  </w14:solidFill>
                </w14:textFill>
              </w:rPr>
              <w:t xml:space="preserve">4-1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酸洗废气计算参数和结果</w:t>
            </w:r>
          </w:p>
          <w:tbl>
            <w:tblPr>
              <w:tblStyle w:val="2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5"/>
              <w:gridCol w:w="5451"/>
            </w:tblGrid>
            <w:tr w14:paraId="6BDE7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0AB263B1">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参数</w:t>
                  </w:r>
                </w:p>
              </w:tc>
              <w:tc>
                <w:tcPr>
                  <w:tcW w:w="3700" w:type="pct"/>
                  <w:tcBorders>
                    <w:top w:val="single" w:color="000000" w:sz="4" w:space="0"/>
                    <w:left w:val="nil"/>
                    <w:bottom w:val="single" w:color="000000" w:sz="4" w:space="0"/>
                    <w:right w:val="single" w:color="000000" w:sz="4" w:space="0"/>
                  </w:tcBorders>
                  <w:noWrap w:val="0"/>
                  <w:vAlign w:val="center"/>
                </w:tcPr>
                <w:p w14:paraId="152C5952">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盐酸</w:t>
                  </w:r>
                  <w:r>
                    <w:rPr>
                      <w:rFonts w:hint="eastAsia" w:ascii="Times New Roman" w:hAnsi="Times New Roman"/>
                      <w:color w:val="000000" w:themeColor="text1"/>
                      <w:kern w:val="2"/>
                      <w:sz w:val="21"/>
                      <w:szCs w:val="21"/>
                      <w:highlight w:val="none"/>
                      <w14:textFill>
                        <w14:solidFill>
                          <w14:schemeClr w14:val="tx1"/>
                        </w14:solidFill>
                      </w14:textFill>
                    </w:rPr>
                    <w:t>（H</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CL</w:t>
                  </w:r>
                  <w:r>
                    <w:rPr>
                      <w:rFonts w:hint="eastAsia" w:ascii="Times New Roman" w:hAnsi="Times New Roman"/>
                      <w:color w:val="000000" w:themeColor="text1"/>
                      <w:kern w:val="2"/>
                      <w:sz w:val="21"/>
                      <w:szCs w:val="21"/>
                      <w:highlight w:val="none"/>
                      <w14:textFill>
                        <w14:solidFill>
                          <w14:schemeClr w14:val="tx1"/>
                        </w14:solidFill>
                      </w14:textFill>
                    </w:rPr>
                    <w:t>）</w:t>
                  </w:r>
                </w:p>
              </w:tc>
            </w:tr>
            <w:tr w14:paraId="0B2E6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41B6410F">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M</w:t>
                  </w:r>
                </w:p>
              </w:tc>
              <w:tc>
                <w:tcPr>
                  <w:tcW w:w="3700" w:type="pct"/>
                  <w:tcBorders>
                    <w:top w:val="single" w:color="000000" w:sz="4" w:space="0"/>
                    <w:left w:val="nil"/>
                    <w:bottom w:val="single" w:color="000000" w:sz="4" w:space="0"/>
                    <w:right w:val="single" w:color="000000" w:sz="4" w:space="0"/>
                  </w:tcBorders>
                  <w:noWrap w:val="0"/>
                  <w:vAlign w:val="center"/>
                </w:tcPr>
                <w:p w14:paraId="1E8A3F6C">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36.5</w:t>
                  </w:r>
                </w:p>
              </w:tc>
            </w:tr>
            <w:tr w14:paraId="4AEEA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0DC4CC2C">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V</w:t>
                  </w:r>
                  <w:r>
                    <w:rPr>
                      <w:rFonts w:hint="eastAsia" w:ascii="Times New Roman" w:hAnsi="Times New Roman"/>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m/</w:t>
                  </w:r>
                  <w:r>
                    <w:rPr>
                      <w:rFonts w:hint="eastAsia" w:ascii="Times New Roman" w:hAnsi="Times New Roman"/>
                      <w:color w:val="000000" w:themeColor="text1"/>
                      <w:kern w:val="2"/>
                      <w:sz w:val="21"/>
                      <w:szCs w:val="21"/>
                      <w:highlight w:val="none"/>
                      <w14:textFill>
                        <w14:solidFill>
                          <w14:schemeClr w14:val="tx1"/>
                        </w14:solidFill>
                      </w14:textFill>
                    </w:rPr>
                    <w:t>s）</w:t>
                  </w:r>
                </w:p>
              </w:tc>
              <w:tc>
                <w:tcPr>
                  <w:tcW w:w="3700" w:type="pct"/>
                  <w:tcBorders>
                    <w:top w:val="single" w:color="000000" w:sz="4" w:space="0"/>
                    <w:left w:val="nil"/>
                    <w:bottom w:val="single" w:color="000000" w:sz="4" w:space="0"/>
                    <w:right w:val="single" w:color="000000" w:sz="4" w:space="0"/>
                  </w:tcBorders>
                  <w:noWrap w:val="0"/>
                  <w:vAlign w:val="center"/>
                </w:tcPr>
                <w:p w14:paraId="495E7C25">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0.</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35</w:t>
                  </w:r>
                </w:p>
              </w:tc>
            </w:tr>
            <w:tr w14:paraId="678BD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3AB6C295">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*P</w:t>
                  </w:r>
                  <w:r>
                    <w:rPr>
                      <w:rFonts w:hint="eastAsia" w:cs="宋体"/>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mmHg</w:t>
                  </w:r>
                  <w:r>
                    <w:rPr>
                      <w:rFonts w:hint="eastAsia" w:cs="宋体"/>
                      <w:color w:val="000000" w:themeColor="text1"/>
                      <w:kern w:val="2"/>
                      <w:sz w:val="21"/>
                      <w:szCs w:val="21"/>
                      <w:highlight w:val="none"/>
                      <w14:textFill>
                        <w14:solidFill>
                          <w14:schemeClr w14:val="tx1"/>
                        </w14:solidFill>
                      </w14:textFill>
                    </w:rPr>
                    <w:t>）</w:t>
                  </w:r>
                </w:p>
              </w:tc>
              <w:tc>
                <w:tcPr>
                  <w:tcW w:w="3700" w:type="pct"/>
                  <w:tcBorders>
                    <w:top w:val="single" w:color="000000" w:sz="4" w:space="0"/>
                    <w:left w:val="nil"/>
                    <w:bottom w:val="single" w:color="000000" w:sz="4" w:space="0"/>
                    <w:right w:val="single" w:color="000000" w:sz="4" w:space="0"/>
                  </w:tcBorders>
                  <w:noWrap w:val="0"/>
                  <w:vAlign w:val="center"/>
                </w:tcPr>
                <w:p w14:paraId="2CA24D87">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0.</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16</w:t>
                  </w:r>
                </w:p>
              </w:tc>
            </w:tr>
            <w:tr w14:paraId="5E2AD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2BD404C7">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*F</w:t>
                  </w:r>
                  <w:r>
                    <w:rPr>
                      <w:rFonts w:hint="eastAsia" w:cs="宋体"/>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m</w:t>
                  </w:r>
                  <w:r>
                    <w:rPr>
                      <w:rFonts w:hint="default" w:ascii="Times New Roman" w:hAnsi="Times New Roman"/>
                      <w:color w:val="000000" w:themeColor="text1"/>
                      <w:kern w:val="2"/>
                      <w:sz w:val="21"/>
                      <w:szCs w:val="21"/>
                      <w:highlight w:val="none"/>
                      <w:vertAlign w:val="superscript"/>
                      <w14:textFill>
                        <w14:solidFill>
                          <w14:schemeClr w14:val="tx1"/>
                        </w14:solidFill>
                      </w14:textFill>
                    </w:rPr>
                    <w:t>2</w:t>
                  </w:r>
                  <w:r>
                    <w:rPr>
                      <w:rFonts w:hint="default" w:ascii="Times New Roman" w:hAnsi="Times New Roman"/>
                      <w:color w:val="000000" w:themeColor="text1"/>
                      <w:kern w:val="2"/>
                      <w:sz w:val="21"/>
                      <w:szCs w:val="21"/>
                      <w:highlight w:val="none"/>
                      <w14:textFill>
                        <w14:solidFill>
                          <w14:schemeClr w14:val="tx1"/>
                        </w14:solidFill>
                      </w14:textFill>
                    </w:rPr>
                    <w:t>）</w:t>
                  </w:r>
                </w:p>
              </w:tc>
              <w:tc>
                <w:tcPr>
                  <w:tcW w:w="3700" w:type="pct"/>
                  <w:tcBorders>
                    <w:top w:val="single" w:color="000000" w:sz="4" w:space="0"/>
                    <w:left w:val="nil"/>
                    <w:bottom w:val="single" w:color="000000" w:sz="4" w:space="0"/>
                    <w:right w:val="single" w:color="000000" w:sz="4" w:space="0"/>
                  </w:tcBorders>
                  <w:noWrap w:val="0"/>
                  <w:vAlign w:val="center"/>
                </w:tcPr>
                <w:p w14:paraId="78C2C98B">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5</w:t>
                  </w:r>
                  <w:r>
                    <w:rPr>
                      <w:rFonts w:hint="eastAsia" w:ascii="Times New Roman" w:hAnsi="Times New Roman"/>
                      <w:color w:val="000000" w:themeColor="text1"/>
                      <w:kern w:val="2"/>
                      <w:sz w:val="21"/>
                      <w:szCs w:val="21"/>
                      <w:highlight w:val="none"/>
                      <w14:textFill>
                        <w14:solidFill>
                          <w14:schemeClr w14:val="tx1"/>
                        </w14:solidFill>
                      </w14:textFill>
                    </w:rPr>
                    <w:t>*</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7</w:t>
                  </w:r>
                  <w:r>
                    <w:rPr>
                      <w:rFonts w:hint="eastAsia" w:ascii="Times New Roman" w:hAnsi="Times New Roman"/>
                      <w:color w:val="000000" w:themeColor="text1"/>
                      <w:kern w:val="2"/>
                      <w:sz w:val="21"/>
                      <w:szCs w:val="21"/>
                      <w:highlight w:val="none"/>
                      <w14:textFill>
                        <w14:solidFill>
                          <w14:schemeClr w14:val="tx1"/>
                        </w14:solidFill>
                      </w14:textFill>
                    </w:rPr>
                    <w:t>=</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35</w:t>
                  </w:r>
                </w:p>
              </w:tc>
            </w:tr>
            <w:tr w14:paraId="35183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66628C8F">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G</w:t>
                  </w:r>
                  <w:r>
                    <w:rPr>
                      <w:rFonts w:hint="default" w:ascii="Times New Roman" w:hAnsi="Times New Roman"/>
                      <w:color w:val="000000" w:themeColor="text1"/>
                      <w:kern w:val="2"/>
                      <w:sz w:val="21"/>
                      <w:szCs w:val="21"/>
                      <w:highlight w:val="none"/>
                      <w:vertAlign w:val="subscript"/>
                      <w14:textFill>
                        <w14:solidFill>
                          <w14:schemeClr w14:val="tx1"/>
                        </w14:solidFill>
                      </w14:textFill>
                    </w:rPr>
                    <w:t>Z</w:t>
                  </w:r>
                  <w:r>
                    <w:rPr>
                      <w:rFonts w:hint="eastAsia" w:cs="宋体"/>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kg/h</w:t>
                  </w:r>
                  <w:r>
                    <w:rPr>
                      <w:rFonts w:hint="eastAsia" w:cs="宋体"/>
                      <w:color w:val="000000" w:themeColor="text1"/>
                      <w:kern w:val="2"/>
                      <w:sz w:val="21"/>
                      <w:szCs w:val="21"/>
                      <w:highlight w:val="none"/>
                      <w14:textFill>
                        <w14:solidFill>
                          <w14:schemeClr w14:val="tx1"/>
                        </w14:solidFill>
                      </w14:textFill>
                    </w:rPr>
                    <w:t>）</w:t>
                  </w:r>
                </w:p>
              </w:tc>
              <w:tc>
                <w:tcPr>
                  <w:tcW w:w="3700" w:type="pct"/>
                  <w:tcBorders>
                    <w:top w:val="single" w:color="000000" w:sz="4" w:space="0"/>
                    <w:left w:val="nil"/>
                    <w:bottom w:val="single" w:color="000000" w:sz="4" w:space="0"/>
                    <w:right w:val="single" w:color="000000" w:sz="4" w:space="0"/>
                  </w:tcBorders>
                  <w:noWrap w:val="0"/>
                  <w:vAlign w:val="center"/>
                </w:tcPr>
                <w:p w14:paraId="49A71E8B">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0.128</w:t>
                  </w:r>
                </w:p>
              </w:tc>
            </w:tr>
            <w:tr w14:paraId="5BF2E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7247A929">
                  <w:pPr>
                    <w:keepNext w:val="0"/>
                    <w:keepLines w:val="0"/>
                    <w:suppressLineNumbers w:val="0"/>
                    <w:spacing w:before="0" w:beforeAutospacing="0" w:after="0" w:afterAutospacing="0"/>
                    <w:ind w:left="0" w:right="0"/>
                    <w:jc w:val="both"/>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注：废气是</w:t>
                  </w:r>
                  <w:r>
                    <w:rPr>
                      <w:rFonts w:hint="eastAsia"/>
                      <w:color w:val="000000" w:themeColor="text1"/>
                      <w:szCs w:val="21"/>
                      <w:highlight w:val="none"/>
                      <w:lang w:val="en-US" w:eastAsia="zh-CN"/>
                      <w14:textFill>
                        <w14:solidFill>
                          <w14:schemeClr w14:val="tx1"/>
                        </w14:solidFill>
                      </w14:textFill>
                    </w:rPr>
                    <w:t>盐酸</w:t>
                  </w:r>
                  <w:r>
                    <w:rPr>
                      <w:rFonts w:hint="eastAsia"/>
                      <w:color w:val="000000" w:themeColor="text1"/>
                      <w:szCs w:val="21"/>
                      <w:highlight w:val="none"/>
                      <w14:textFill>
                        <w14:solidFill>
                          <w14:schemeClr w14:val="tx1"/>
                        </w14:solidFill>
                      </w14:textFill>
                    </w:rPr>
                    <w:t>蒸汽和水蒸汽混合物，当酸液浓度较低时，水蒸汽是酸雾的主要成分</w:t>
                  </w:r>
                </w:p>
              </w:tc>
            </w:tr>
          </w:tbl>
          <w:p w14:paraId="47509571">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由</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上表可计算本项目酸性废气产生量为0.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614</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t/a，产生速率为0.128</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搅拌罐产生的酸性废气</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经集气罩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（采用圆形集气罩，直径为2.6m，收集效率为90%）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HCL</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0</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），处理后经15m高排气筒（DA001）有组织排放，有组织酸性废气排放量：0.0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55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t/a，有组织酸性废气排放速率：0.011</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kg/h；排放浓度：1.</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mg/m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氯化氢</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；0.26kg/h）</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5B9488DA">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（2）无组织废气</w:t>
            </w:r>
          </w:p>
          <w:p w14:paraId="7EAB0D05">
            <w:pPr>
              <w:keepNext w:val="0"/>
              <w:keepLines w:val="0"/>
              <w:pageBreakBefore w:val="0"/>
              <w:shd w:val="clear" w:color="auto" w:fill="auto"/>
              <w:kinsoku/>
              <w:wordWrap w:val="0"/>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酸洗搅拌工序</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集气罩</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未能收集的</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无组织酸性废气</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量：0.0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614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组织酸性废气</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速率：0.0128kg/h。</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该部分无组织废气排放量较小，</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氯化氢</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无组织排放浓度能满足《大气污染物综合排放标准》（GB16297-1996）表2中氯化氢无组织排放限值0.2mg/m</w:t>
            </w:r>
            <w:r>
              <w:rPr>
                <w:rFonts w:hint="eastAsia"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1CBDBD33">
            <w:pPr>
              <w:keepNext w:val="0"/>
              <w:keepLines w:val="0"/>
              <w:pageBreakBefore w:val="0"/>
              <w:shd w:val="clear" w:color="auto" w:fill="auto"/>
              <w:kinsoku/>
              <w:wordWrap w:val="0"/>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综上，本项目运营期产生的氯化氢废气经集气罩收集后通入碱法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氯化氢去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cs="Times New Roman"/>
                <w:color w:val="000000" w:themeColor="text1"/>
                <w:spacing w:val="0"/>
                <w:kern w:val="0"/>
                <w:position w:val="0"/>
                <w:sz w:val="24"/>
                <w:szCs w:val="24"/>
                <w:highlight w:val="none"/>
                <w:u w:val="none"/>
                <w:lang w:val="en-US" w:eastAsia="zh-CN"/>
                <w14:textFill>
                  <w14:solidFill>
                    <w14:schemeClr w14:val="tx1"/>
                  </w14:solidFill>
                </w14:textFill>
              </w:rPr>
              <w:t>0</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氯化氢</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；0.26kg/h）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氯化氢</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无组织废气排放浓度能满足《大气污染物综合排放标准》（GB16297-1996）表2中氯化氢无组织排放限值0.2mg/m</w:t>
            </w:r>
            <w:r>
              <w:rPr>
                <w:rFonts w:hint="eastAsia"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302D5948">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4.5.2一期盐酸储罐大、小呼吸废气</w:t>
            </w:r>
          </w:p>
          <w:p w14:paraId="151952A1">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本项目盐酸储罐大呼吸、小呼吸会产生氯化氢废气，储罐为固定顶罐，储罐顶部呼吸阀口用密闭管道收集后</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HCL</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0</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7E53FF4F">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（1）小呼吸排放量</w:t>
            </w:r>
          </w:p>
          <w:p w14:paraId="6CB88ADC">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color w:val="000000" w:themeColor="text1"/>
                <w:sz w:val="24"/>
                <w:szCs w:val="24"/>
                <w:highlight w:val="none"/>
                <w14:textFill>
                  <w14:solidFill>
                    <w14:schemeClr w14:val="tx1"/>
                  </w14:solidFill>
                </w14:textFill>
              </w:rPr>
            </w:pPr>
            <w:r>
              <w:rPr>
                <w:color w:val="000000" w:themeColor="text1"/>
                <w:spacing w:val="-1"/>
                <w:sz w:val="24"/>
                <w:szCs w:val="24"/>
                <w:highlight w:val="none"/>
                <w14:textFill>
                  <w14:solidFill>
                    <w14:schemeClr w14:val="tx1"/>
                  </w14:solidFill>
                </w14:textFill>
              </w:rPr>
              <w:t>小呼吸损失指储罐在没有收发作业的情况下，随着外界气温、压力在一天内的</w:t>
            </w:r>
            <w:r>
              <w:rPr>
                <w:color w:val="000000" w:themeColor="text1"/>
                <w:sz w:val="24"/>
                <w:szCs w:val="24"/>
                <w:highlight w:val="none"/>
                <w14:textFill>
                  <w14:solidFill>
                    <w14:schemeClr w14:val="tx1"/>
                  </w14:solidFill>
                </w14:textFill>
              </w:rPr>
              <w:t>升降周期变化，罐内气体空间温度、物料蒸发速度、</w:t>
            </w:r>
            <w:r>
              <w:rPr>
                <w:color w:val="000000" w:themeColor="text1"/>
                <w:spacing w:val="-1"/>
                <w:sz w:val="24"/>
                <w:szCs w:val="24"/>
                <w:highlight w:val="none"/>
                <w14:textFill>
                  <w14:solidFill>
                    <w14:schemeClr w14:val="tx1"/>
                  </w14:solidFill>
                </w14:textFill>
              </w:rPr>
              <w:t>物料蒸汽浓度和蒸汽压力也随</w:t>
            </w:r>
            <w:r>
              <w:rPr>
                <w:color w:val="000000" w:themeColor="text1"/>
                <w:sz w:val="24"/>
                <w:szCs w:val="24"/>
                <w:highlight w:val="none"/>
                <w14:textFill>
                  <w14:solidFill>
                    <w14:schemeClr w14:val="tx1"/>
                  </w14:solidFill>
                </w14:textFill>
              </w:rPr>
              <w:t>之变化，排出物料蒸气和吸入空气的过程造成物料损</w:t>
            </w:r>
            <w:r>
              <w:rPr>
                <w:color w:val="000000" w:themeColor="text1"/>
                <w:spacing w:val="-1"/>
                <w:sz w:val="24"/>
                <w:szCs w:val="24"/>
                <w:highlight w:val="none"/>
                <w14:textFill>
                  <w14:solidFill>
                    <w14:schemeClr w14:val="tx1"/>
                  </w14:solidFill>
                </w14:textFill>
              </w:rPr>
              <w:t>失。固定顶罐的呼吸排放可用</w:t>
            </w:r>
            <w:r>
              <w:rPr>
                <w:color w:val="000000" w:themeColor="text1"/>
                <w:spacing w:val="-5"/>
                <w:sz w:val="24"/>
                <w:szCs w:val="24"/>
                <w:highlight w:val="none"/>
                <w14:textFill>
                  <w14:solidFill>
                    <w14:schemeClr w14:val="tx1"/>
                  </w14:solidFill>
                </w14:textFill>
              </w:rPr>
              <w:t>下式估算其污染物的排放量：</w:t>
            </w:r>
          </w:p>
          <w:p w14:paraId="25D02D67">
            <w:pPr>
              <w:pStyle w:val="44"/>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ascii="Times New Roman" w:hAnsi="Times New Roman" w:eastAsia="Times New Roman" w:cs="Times New Roman"/>
                <w:color w:val="000000" w:themeColor="text1"/>
                <w:spacing w:val="-3"/>
                <w:position w:val="-4"/>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LB=0.191×M</w:t>
            </w:r>
            <w:r>
              <w:rPr>
                <w:color w:val="000000" w:themeColor="text1"/>
                <w:spacing w:val="-2"/>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P/</w:t>
            </w:r>
            <w:r>
              <w:rPr>
                <w:color w:val="000000" w:themeColor="text1"/>
                <w:spacing w:val="-2"/>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100910-P</w:t>
            </w:r>
            <w:r>
              <w:rPr>
                <w:color w:val="000000" w:themeColor="text1"/>
                <w:spacing w:val="2"/>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0.68</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×D</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1.73</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×H</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0.51</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×ΔT</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0.45</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×F</w:t>
            </w:r>
            <w:r>
              <w:rPr>
                <w:rFonts w:ascii="Times New Roman" w:hAnsi="Times New Roman" w:eastAsia="Times New Roman" w:cs="Times New Roman"/>
                <w:color w:val="000000" w:themeColor="text1"/>
                <w:spacing w:val="-2"/>
                <w:position w:val="-4"/>
                <w:sz w:val="24"/>
                <w:szCs w:val="24"/>
                <w:highlight w:val="none"/>
                <w14:textFill>
                  <w14:solidFill>
                    <w14:schemeClr w14:val="tx1"/>
                  </w14:solidFill>
                </w14:textFill>
              </w:rPr>
              <w:t>P</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×C</w:t>
            </w:r>
            <w:r>
              <w:rPr>
                <w:rFonts w:ascii="Times New Roman" w:hAnsi="Times New Roman" w:eastAsia="Times New Roman" w:cs="Times New Roman"/>
                <w:color w:val="000000" w:themeColor="text1"/>
                <w:spacing w:val="-3"/>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p>
          <w:p w14:paraId="4CF20BF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式中：</w:t>
            </w:r>
            <w:r>
              <w:rPr>
                <w:rFonts w:ascii="Times New Roman" w:hAnsi="Times New Roman" w:eastAsia="Times New Roman" w:cs="Times New Roman"/>
                <w:color w:val="000000" w:themeColor="text1"/>
                <w:sz w:val="24"/>
                <w:szCs w:val="24"/>
                <w:highlight w:val="none"/>
                <w14:textFill>
                  <w14:solidFill>
                    <w14:schemeClr w14:val="tx1"/>
                  </w14:solidFill>
                </w14:textFill>
              </w:rPr>
              <w:t>LB——</w:t>
            </w:r>
            <w:r>
              <w:rPr>
                <w:color w:val="000000" w:themeColor="text1"/>
                <w:sz w:val="24"/>
                <w:szCs w:val="24"/>
                <w:highlight w:val="none"/>
                <w14:textFill>
                  <w14:solidFill>
                    <w14:schemeClr w14:val="tx1"/>
                  </w14:solidFill>
                </w14:textFill>
              </w:rPr>
              <w:t>固定顶罐的呼吸排放量（</w:t>
            </w:r>
            <w:r>
              <w:rPr>
                <w:rFonts w:ascii="Times New Roman" w:hAnsi="Times New Roman" w:eastAsia="Times New Roman" w:cs="Times New Roman"/>
                <w:color w:val="000000" w:themeColor="text1"/>
                <w:sz w:val="24"/>
                <w:szCs w:val="24"/>
                <w:highlight w:val="none"/>
                <w14:textFill>
                  <w14:solidFill>
                    <w14:schemeClr w14:val="tx1"/>
                  </w14:solidFill>
                </w14:textFill>
              </w:rPr>
              <w:t>kg/a</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w:t>
            </w:r>
          </w:p>
          <w:p w14:paraId="69578176">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M——</w:t>
            </w:r>
            <w:r>
              <w:rPr>
                <w:color w:val="000000" w:themeColor="text1"/>
                <w:sz w:val="24"/>
                <w:szCs w:val="24"/>
                <w:highlight w:val="none"/>
                <w14:textFill>
                  <w14:solidFill>
                    <w14:schemeClr w14:val="tx1"/>
                  </w14:solidFill>
                </w14:textFill>
              </w:rPr>
              <w:t>储罐内蒸汽的分子量；</w:t>
            </w:r>
            <w:r>
              <w:rPr>
                <w:rFonts w:ascii="Times New Roman" w:hAnsi="Times New Roman" w:eastAsia="Times New Roman" w:cs="Times New Roman"/>
                <w:color w:val="000000" w:themeColor="text1"/>
                <w:sz w:val="24"/>
                <w:szCs w:val="24"/>
                <w:highlight w:val="none"/>
                <w14:textFill>
                  <w14:solidFill>
                    <w14:schemeClr w14:val="tx1"/>
                  </w14:solidFill>
                </w14:textFill>
              </w:rPr>
              <w:t>M=36.4</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6g/mol</w:t>
            </w:r>
          </w:p>
          <w:p w14:paraId="09C63A70">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pacing w:val="-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在大量液体状态下，真实的蒸气压力（</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Pa</w:t>
            </w:r>
            <w:r>
              <w:rPr>
                <w:color w:val="000000" w:themeColor="text1"/>
                <w:spacing w:val="2"/>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P=3130Pa</w:t>
            </w:r>
          </w:p>
          <w:p w14:paraId="726304A2">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D——</w:t>
            </w:r>
            <w:r>
              <w:rPr>
                <w:color w:val="000000" w:themeColor="text1"/>
                <w:spacing w:val="-1"/>
                <w:sz w:val="24"/>
                <w:szCs w:val="24"/>
                <w:highlight w:val="none"/>
                <w14:textFill>
                  <w14:solidFill>
                    <w14:schemeClr w14:val="tx1"/>
                  </w14:solidFill>
                </w14:textFill>
              </w:rPr>
              <w:t>罐的直径（</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r>
              <w:rPr>
                <w:color w:val="000000" w:themeColor="text1"/>
                <w:spacing w:val="6"/>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D=</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3.2</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p>
          <w:p w14:paraId="18CE1FA7">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H——</w:t>
            </w:r>
            <w:r>
              <w:rPr>
                <w:color w:val="000000" w:themeColor="text1"/>
                <w:spacing w:val="-1"/>
                <w:sz w:val="24"/>
                <w:szCs w:val="24"/>
                <w:highlight w:val="none"/>
                <w14:textFill>
                  <w14:solidFill>
                    <w14:schemeClr w14:val="tx1"/>
                  </w14:solidFill>
                </w14:textFill>
              </w:rPr>
              <w:t>平均蒸汽空间高度（</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r>
              <w:rPr>
                <w:color w:val="000000" w:themeColor="text1"/>
                <w:spacing w:val="6"/>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H=0.6m</w:t>
            </w:r>
          </w:p>
          <w:p w14:paraId="6E1B37A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ΔT——</w:t>
            </w:r>
            <w:r>
              <w:rPr>
                <w:color w:val="000000" w:themeColor="text1"/>
                <w:spacing w:val="7"/>
                <w:sz w:val="24"/>
                <w:szCs w:val="24"/>
                <w:highlight w:val="none"/>
                <w14:textFill>
                  <w14:solidFill>
                    <w14:schemeClr w14:val="tx1"/>
                  </w14:solidFill>
                </w14:textFill>
              </w:rPr>
              <w:t>一天之内的平均温度差(</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w:t>
            </w:r>
            <w:r>
              <w:rPr>
                <w:color w:val="000000" w:themeColor="text1"/>
                <w:spacing w:val="7"/>
                <w:sz w:val="24"/>
                <w:szCs w:val="24"/>
                <w:highlight w:val="none"/>
                <w14:textFill>
                  <w14:solidFill>
                    <w14:schemeClr w14:val="tx1"/>
                  </w14:solidFill>
                </w14:textFill>
              </w:rPr>
              <w:t>)</w:t>
            </w:r>
            <w:r>
              <w:rPr>
                <w:rFonts w:hint="eastAsia"/>
                <w:color w:val="000000" w:themeColor="text1"/>
                <w:spacing w:val="7"/>
                <w:sz w:val="24"/>
                <w:szCs w:val="24"/>
                <w:highlight w:val="none"/>
                <w:lang w:eastAsia="zh-CN"/>
                <w14:textFill>
                  <w14:solidFill>
                    <w14:schemeClr w14:val="tx1"/>
                  </w14:solidFill>
                </w14:textFill>
              </w:rPr>
              <w:t>；</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ΔT=6℃</w:t>
            </w:r>
          </w:p>
          <w:p w14:paraId="075DDF92">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F</w:t>
            </w:r>
            <w:r>
              <w:rPr>
                <w:rFonts w:ascii="Times New Roman" w:hAnsi="Times New Roman" w:eastAsia="Times New Roman" w:cs="Times New Roman"/>
                <w:color w:val="000000" w:themeColor="text1"/>
                <w:position w:val="-3"/>
                <w:sz w:val="24"/>
                <w:szCs w:val="24"/>
                <w:highlight w:val="none"/>
                <w14:textFill>
                  <w14:solidFill>
                    <w14:schemeClr w14:val="tx1"/>
                  </w14:solidFill>
                </w14:textFill>
              </w:rPr>
              <w:t>P</w:t>
            </w:r>
            <w:r>
              <w:rPr>
                <w:rFonts w:ascii="Times New Roman" w:hAnsi="Times New Roman" w:eastAsia="Times New Roman" w:cs="Times New Roman"/>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涂层因子（无量纲）；取值在</w:t>
            </w:r>
            <w:r>
              <w:rPr>
                <w:rFonts w:ascii="Times New Roman" w:hAnsi="Times New Roman" w:eastAsia="Times New Roman" w:cs="Times New Roman"/>
                <w:color w:val="000000" w:themeColor="text1"/>
                <w:sz w:val="24"/>
                <w:szCs w:val="24"/>
                <w:highlight w:val="none"/>
                <w14:textFill>
                  <w14:solidFill>
                    <w14:schemeClr w14:val="tx1"/>
                  </w14:solidFill>
                </w14:textFill>
              </w:rPr>
              <w:t>1</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1.5</w:t>
            </w:r>
            <w:r>
              <w:rPr>
                <w:color w:val="000000" w:themeColor="text1"/>
                <w:sz w:val="24"/>
                <w:szCs w:val="24"/>
                <w:highlight w:val="none"/>
                <w14:textFill>
                  <w14:solidFill>
                    <w14:schemeClr w14:val="tx1"/>
                  </w14:solidFill>
                </w14:textFill>
              </w:rPr>
              <w:t>之间</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F</w:t>
            </w:r>
            <w:r>
              <w:rPr>
                <w:rFonts w:ascii="Times New Roman" w:hAnsi="Times New Roman" w:eastAsia="Times New Roman" w:cs="Times New Roman"/>
                <w:color w:val="000000" w:themeColor="text1"/>
                <w:spacing w:val="-1"/>
                <w:position w:val="-3"/>
                <w:sz w:val="24"/>
                <w:szCs w:val="24"/>
                <w:highlight w:val="none"/>
                <w14:textFill>
                  <w14:solidFill>
                    <w14:schemeClr w14:val="tx1"/>
                  </w14:solidFill>
                </w14:textFill>
              </w:rPr>
              <w:t>P</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p>
          <w:p w14:paraId="509C31AB">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C——</w:t>
            </w:r>
            <w:r>
              <w:rPr>
                <w:color w:val="000000" w:themeColor="text1"/>
                <w:sz w:val="24"/>
                <w:szCs w:val="24"/>
                <w:highlight w:val="none"/>
                <w14:textFill>
                  <w14:solidFill>
                    <w14:schemeClr w14:val="tx1"/>
                  </w14:solidFill>
                </w14:textFill>
              </w:rPr>
              <w:t>用于小直径罐的调节因子（无量纲）；直径在</w:t>
            </w:r>
            <w:r>
              <w:rPr>
                <w:rFonts w:ascii="Times New Roman" w:hAnsi="Times New Roman" w:eastAsia="Times New Roman" w:cs="Times New Roman"/>
                <w:color w:val="000000" w:themeColor="text1"/>
                <w:sz w:val="24"/>
                <w:szCs w:val="24"/>
                <w:highlight w:val="none"/>
                <w14:textFill>
                  <w14:solidFill>
                    <w14:schemeClr w14:val="tx1"/>
                  </w14:solidFill>
                </w14:textFill>
              </w:rPr>
              <w:t>0</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9</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r>
              <w:rPr>
                <w:color w:val="000000" w:themeColor="text1"/>
                <w:spacing w:val="-1"/>
                <w:sz w:val="24"/>
                <w:szCs w:val="24"/>
                <w:highlight w:val="none"/>
                <w14:textFill>
                  <w14:solidFill>
                    <w14:schemeClr w14:val="tx1"/>
                  </w14:solidFill>
                </w14:textFill>
              </w:rPr>
              <w:t>之间的罐体，</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C=1-</w:t>
            </w:r>
            <w:r>
              <w:rPr>
                <w:rFonts w:ascii="Times New Roman" w:hAnsi="Times New Roman" w:eastAsia="Times New Roman" w:cs="Times New Roman"/>
                <w:color w:val="000000" w:themeColor="text1"/>
                <w:sz w:val="24"/>
                <w:szCs w:val="24"/>
                <w:highlight w:val="none"/>
                <w14:textFill>
                  <w14:solidFill>
                    <w14:schemeClr w14:val="tx1"/>
                  </w14:solidFill>
                </w14:textFill>
              </w:rPr>
              <w:t>0.0123</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D-9)</w:t>
            </w:r>
            <w:r>
              <w:rPr>
                <w:rFonts w:hint="eastAsia"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color w:val="000000" w:themeColor="text1"/>
                <w:sz w:val="24"/>
                <w:szCs w:val="24"/>
                <w:highlight w:val="none"/>
                <w14:textFill>
                  <w14:solidFill>
                    <w14:schemeClr w14:val="tx1"/>
                  </w14:solidFill>
                </w14:textFill>
              </w:rPr>
              <w:t>；罐径大于</w:t>
            </w:r>
            <w:r>
              <w:rPr>
                <w:rFonts w:ascii="Times New Roman" w:hAnsi="Times New Roman" w:eastAsia="Times New Roman" w:cs="Times New Roman"/>
                <w:color w:val="000000" w:themeColor="text1"/>
                <w:sz w:val="24"/>
                <w:szCs w:val="24"/>
                <w:highlight w:val="none"/>
                <w14:textFill>
                  <w14:solidFill>
                    <w14:schemeClr w14:val="tx1"/>
                  </w14:solidFill>
                </w14:textFill>
              </w:rPr>
              <w:t>9m</w:t>
            </w:r>
            <w:r>
              <w:rPr>
                <w:color w:val="000000" w:themeColor="text1"/>
                <w:sz w:val="24"/>
                <w:szCs w:val="24"/>
                <w:highlight w:val="none"/>
                <w14:textFill>
                  <w14:solidFill>
                    <w14:schemeClr w14:val="tx1"/>
                  </w14:solidFill>
                </w14:textFill>
              </w:rPr>
              <w:t>的</w:t>
            </w:r>
            <w:r>
              <w:rPr>
                <w:rFonts w:ascii="Times New Roman" w:hAnsi="Times New Roman" w:eastAsia="Times New Roman" w:cs="Times New Roman"/>
                <w:color w:val="000000" w:themeColor="text1"/>
                <w:sz w:val="24"/>
                <w:szCs w:val="24"/>
                <w:highlight w:val="none"/>
                <w14:textFill>
                  <w14:solidFill>
                    <w14:schemeClr w14:val="tx1"/>
                  </w14:solidFill>
                </w14:textFill>
              </w:rPr>
              <w:t>C</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C=0.92/1</w:t>
            </w:r>
          </w:p>
          <w:p w14:paraId="68586E27">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产品因子（石油原油</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color w:val="000000" w:themeColor="text1"/>
                <w:sz w:val="24"/>
                <w:szCs w:val="24"/>
                <w:highlight w:val="none"/>
                <w14:textFill>
                  <w14:solidFill>
                    <w14:schemeClr w14:val="tx1"/>
                  </w14:solidFill>
                </w14:textFill>
              </w:rPr>
              <w:t>取</w:t>
            </w:r>
            <w:r>
              <w:rPr>
                <w:rFonts w:ascii="Times New Roman" w:hAnsi="Times New Roman" w:eastAsia="Times New Roman" w:cs="Times New Roman"/>
                <w:color w:val="000000" w:themeColor="text1"/>
                <w:sz w:val="24"/>
                <w:szCs w:val="24"/>
                <w:highlight w:val="none"/>
                <w14:textFill>
                  <w14:solidFill>
                    <w14:schemeClr w14:val="tx1"/>
                  </w14:solidFill>
                </w14:textFill>
              </w:rPr>
              <w:t>0.65</w:t>
            </w:r>
            <w:r>
              <w:rPr>
                <w:color w:val="000000" w:themeColor="text1"/>
                <w:sz w:val="24"/>
                <w:szCs w:val="24"/>
                <w:highlight w:val="none"/>
                <w14:textFill>
                  <w14:solidFill>
                    <w14:schemeClr w14:val="tx1"/>
                  </w14:solidFill>
                </w14:textFill>
              </w:rPr>
              <w:t>；其他的有机液体取</w:t>
            </w:r>
            <w:r>
              <w:rPr>
                <w:rFonts w:ascii="Times New Roman" w:hAnsi="Times New Roman" w:eastAsia="Times New Roman" w:cs="Times New Roman"/>
                <w:color w:val="000000" w:themeColor="text1"/>
                <w:sz w:val="24"/>
                <w:szCs w:val="24"/>
                <w:highlight w:val="none"/>
                <w14:textFill>
                  <w14:solidFill>
                    <w14:schemeClr w14:val="tx1"/>
                  </w14:solidFill>
                </w14:textFill>
              </w:rPr>
              <w:t>1.0</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p>
          <w:p w14:paraId="7C6DBF6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color w:val="000000" w:themeColor="text1"/>
                <w:spacing w:val="-1"/>
                <w:sz w:val="24"/>
                <w:szCs w:val="24"/>
                <w:highlight w:val="none"/>
                <w14:textFill>
                  <w14:solidFill>
                    <w14:schemeClr w14:val="tx1"/>
                  </w14:solidFill>
                </w14:textFill>
              </w:rPr>
              <w:t>大呼吸排放量</w:t>
            </w:r>
          </w:p>
          <w:p w14:paraId="32C660A1">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大呼吸损失指储罐在进行收、发作业时，罐内</w:t>
            </w:r>
            <w:r>
              <w:rPr>
                <w:color w:val="000000" w:themeColor="text1"/>
                <w:spacing w:val="-1"/>
                <w:sz w:val="24"/>
                <w:szCs w:val="24"/>
                <w:highlight w:val="none"/>
                <w14:textFill>
                  <w14:solidFill>
                    <w14:schemeClr w14:val="tx1"/>
                  </w14:solidFill>
                </w14:textFill>
              </w:rPr>
              <w:t>气体空间体积改变而产生的损耗</w:t>
            </w:r>
            <w:r>
              <w:rPr>
                <w:color w:val="000000" w:themeColor="text1"/>
                <w:sz w:val="24"/>
                <w:szCs w:val="24"/>
                <w:highlight w:val="none"/>
                <w14:textFill>
                  <w14:solidFill>
                    <w14:schemeClr w14:val="tx1"/>
                  </w14:solidFill>
                </w14:textFill>
              </w:rPr>
              <w:t>。储罐进物料时，由于液面逐渐升高，气体空间逐渐减小，</w:t>
            </w:r>
            <w:r>
              <w:rPr>
                <w:color w:val="000000" w:themeColor="text1"/>
                <w:spacing w:val="-1"/>
                <w:sz w:val="24"/>
                <w:szCs w:val="24"/>
                <w:highlight w:val="none"/>
                <w14:textFill>
                  <w14:solidFill>
                    <w14:schemeClr w14:val="tx1"/>
                  </w14:solidFill>
                </w14:textFill>
              </w:rPr>
              <w:t>罐内压力增大，当压力</w:t>
            </w:r>
            <w:r>
              <w:rPr>
                <w:color w:val="000000" w:themeColor="text1"/>
                <w:sz w:val="24"/>
                <w:szCs w:val="24"/>
                <w:highlight w:val="none"/>
                <w14:textFill>
                  <w14:solidFill>
                    <w14:schemeClr w14:val="tx1"/>
                  </w14:solidFill>
                </w14:textFill>
              </w:rPr>
              <w:t>超过呼吸阀控制压力时，一定浓度的物料蒸气开始从呼吸阀</w:t>
            </w:r>
            <w:r>
              <w:rPr>
                <w:color w:val="000000" w:themeColor="text1"/>
                <w:spacing w:val="-1"/>
                <w:sz w:val="24"/>
                <w:szCs w:val="24"/>
                <w:highlight w:val="none"/>
                <w14:textFill>
                  <w14:solidFill>
                    <w14:schemeClr w14:val="tx1"/>
                  </w14:solidFill>
                </w14:textFill>
              </w:rPr>
              <w:t>呼出，直到储罐停止收</w:t>
            </w:r>
            <w:r>
              <w:rPr>
                <w:color w:val="000000" w:themeColor="text1"/>
                <w:sz w:val="24"/>
                <w:szCs w:val="24"/>
                <w:highlight w:val="none"/>
                <w14:textFill>
                  <w14:solidFill>
                    <w14:schemeClr w14:val="tx1"/>
                  </w14:solidFill>
                </w14:textFill>
              </w:rPr>
              <w:t>物料，所呼出的物料蒸气造成物料蒸发的损失。可由下式估</w:t>
            </w:r>
            <w:r>
              <w:rPr>
                <w:color w:val="000000" w:themeColor="text1"/>
                <w:spacing w:val="-1"/>
                <w:sz w:val="24"/>
                <w:szCs w:val="24"/>
                <w:highlight w:val="none"/>
                <w14:textFill>
                  <w14:solidFill>
                    <w14:schemeClr w14:val="tx1"/>
                  </w14:solidFill>
                </w14:textFill>
              </w:rPr>
              <w:t>算固定顶罐的工作排放</w:t>
            </w:r>
            <w:r>
              <w:rPr>
                <w:color w:val="000000" w:themeColor="text1"/>
                <w:sz w:val="24"/>
                <w:szCs w:val="24"/>
                <w:highlight w:val="none"/>
                <w14:textFill>
                  <w14:solidFill>
                    <w14:schemeClr w14:val="tx1"/>
                  </w14:solidFill>
                </w14:textFill>
              </w:rPr>
              <w:t>:</w:t>
            </w:r>
          </w:p>
          <w:p w14:paraId="5F54FE92">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L</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W</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=4.188×10</w:t>
            </w:r>
            <w:r>
              <w:rPr>
                <w:rFonts w:hint="eastAsia" w:ascii="Times New Roman" w:hAnsi="Times New Roman" w:eastAsia="宋体" w:cs="Times New Roman"/>
                <w:color w:val="000000" w:themeColor="text1"/>
                <w:spacing w:val="-2"/>
                <w:position w:val="7"/>
                <w:sz w:val="24"/>
                <w:szCs w:val="24"/>
                <w:highlight w:val="none"/>
                <w:vertAlign w:val="superscript"/>
                <w:lang w:val="en-US" w:eastAsia="zh-CN"/>
                <w14:textFill>
                  <w14:solidFill>
                    <w14:schemeClr w14:val="tx1"/>
                  </w14:solidFill>
                </w14:textFill>
              </w:rPr>
              <w:t>-7</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×M×P×K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p>
          <w:p w14:paraId="7C868423">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color w:val="000000" w:themeColor="text1"/>
                <w:sz w:val="24"/>
                <w:szCs w:val="24"/>
                <w:highlight w:val="none"/>
                <w14:textFill>
                  <w14:solidFill>
                    <w14:schemeClr w14:val="tx1"/>
                  </w14:solidFill>
                </w14:textFill>
              </w:rPr>
            </w:pPr>
            <w:r>
              <w:rPr>
                <w:color w:val="000000" w:themeColor="text1"/>
                <w:spacing w:val="-2"/>
                <w:sz w:val="24"/>
                <w:szCs w:val="24"/>
                <w:highlight w:val="none"/>
                <w14:textFill>
                  <w14:solidFill>
                    <w14:schemeClr w14:val="tx1"/>
                  </w14:solidFill>
                </w14:textFill>
              </w:rPr>
              <w:t>式中</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L</w:t>
            </w:r>
            <w:r>
              <w:rPr>
                <w:rFonts w:ascii="Times New Roman" w:hAnsi="Times New Roman" w:eastAsia="Times New Roman" w:cs="Times New Roman"/>
                <w:color w:val="000000" w:themeColor="text1"/>
                <w:spacing w:val="-2"/>
                <w:position w:val="-3"/>
                <w:sz w:val="24"/>
                <w:szCs w:val="24"/>
                <w:highlight w:val="none"/>
                <w14:textFill>
                  <w14:solidFill>
                    <w14:schemeClr w14:val="tx1"/>
                  </w14:solidFill>
                </w14:textFill>
              </w:rPr>
              <w:t>W</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color w:val="000000" w:themeColor="text1"/>
                <w:spacing w:val="-2"/>
                <w:sz w:val="24"/>
                <w:szCs w:val="24"/>
                <w:highlight w:val="none"/>
                <w14:textFill>
                  <w14:solidFill>
                    <w14:schemeClr w14:val="tx1"/>
                  </w14:solidFill>
                </w14:textFill>
              </w:rPr>
              <w:t>固定顶罐的工作损失（</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kg/m</w:t>
            </w:r>
            <w:r>
              <w:rPr>
                <w:rFonts w:hint="eastAsia" w:ascii="Times New Roman" w:hAnsi="Times New Roman" w:eastAsia="宋体" w:cs="Times New Roman"/>
                <w:color w:val="000000" w:themeColor="text1"/>
                <w:spacing w:val="-2"/>
                <w:sz w:val="24"/>
                <w:szCs w:val="24"/>
                <w:highlight w:val="none"/>
                <w:vertAlign w:val="superscript"/>
                <w:lang w:val="en-US" w:eastAsia="zh-CN"/>
                <w14:textFill>
                  <w14:solidFill>
                    <w14:schemeClr w14:val="tx1"/>
                  </w14:solidFill>
                </w14:textFill>
              </w:rPr>
              <w:t>3</w:t>
            </w:r>
            <w:r>
              <w:rPr>
                <w:color w:val="000000" w:themeColor="text1"/>
                <w:spacing w:val="-2"/>
                <w:sz w:val="24"/>
                <w:szCs w:val="24"/>
                <w:highlight w:val="none"/>
                <w14:textFill>
                  <w14:solidFill>
                    <w14:schemeClr w14:val="tx1"/>
                  </w14:solidFill>
                </w14:textFill>
              </w:rPr>
              <w:t>投入料</w:t>
            </w:r>
            <w:r>
              <w:rPr>
                <w:color w:val="000000" w:themeColor="text1"/>
                <w:spacing w:val="-6"/>
                <w:sz w:val="24"/>
                <w:szCs w:val="24"/>
                <w:highlight w:val="none"/>
                <w14:textFill>
                  <w14:solidFill>
                    <w14:schemeClr w14:val="tx1"/>
                  </w14:solidFill>
                </w14:textFill>
              </w:rPr>
              <w:t>）；</w:t>
            </w:r>
          </w:p>
          <w:p w14:paraId="69329A81">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M——</w:t>
            </w:r>
            <w:r>
              <w:rPr>
                <w:color w:val="000000" w:themeColor="text1"/>
                <w:sz w:val="24"/>
                <w:szCs w:val="24"/>
                <w:highlight w:val="none"/>
                <w14:textFill>
                  <w14:solidFill>
                    <w14:schemeClr w14:val="tx1"/>
                  </w14:solidFill>
                </w14:textFill>
              </w:rPr>
              <w:t>储罐内蒸汽的分子量；</w:t>
            </w:r>
            <w:r>
              <w:rPr>
                <w:rFonts w:ascii="Times New Roman" w:hAnsi="Times New Roman" w:eastAsia="Times New Roman" w:cs="Times New Roman"/>
                <w:color w:val="000000" w:themeColor="text1"/>
                <w:sz w:val="24"/>
                <w:szCs w:val="24"/>
                <w:highlight w:val="none"/>
                <w14:textFill>
                  <w14:solidFill>
                    <w14:schemeClr w14:val="tx1"/>
                  </w14:solidFill>
                </w14:textFill>
              </w:rPr>
              <w:t>M=36.4</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6g/mol</w:t>
            </w:r>
          </w:p>
          <w:p w14:paraId="29B634B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color w:val="000000" w:themeColor="text1"/>
                <w:spacing w:val="-2"/>
                <w:sz w:val="24"/>
                <w:szCs w:val="24"/>
                <w:highlight w:val="none"/>
                <w14:textFill>
                  <w14:solidFill>
                    <w14:schemeClr w14:val="tx1"/>
                  </w14:solidFill>
                </w14:textFill>
              </w:rPr>
              <w:t>周转因子（无量纲），取值按年周转次数（</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color w:val="000000" w:themeColor="text1"/>
                <w:spacing w:val="-3"/>
                <w:sz w:val="24"/>
                <w:szCs w:val="24"/>
                <w:highlight w:val="none"/>
                <w14:textFill>
                  <w14:solidFill>
                    <w14:schemeClr w14:val="tx1"/>
                  </w14:solidFill>
                </w14:textFill>
              </w:rPr>
              <w:t>）确定。</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K≤36</w:t>
            </w:r>
            <w:r>
              <w:rPr>
                <w:color w:val="000000" w:themeColor="text1"/>
                <w:spacing w:val="-3"/>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=1</w:t>
            </w:r>
            <w:r>
              <w:rPr>
                <w:color w:val="000000" w:themeColor="text1"/>
                <w:spacing w:val="-3"/>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36&lt;K≤220</w:t>
            </w:r>
            <w:r>
              <w:rPr>
                <w:color w:val="000000" w:themeColor="text1"/>
                <w:spacing w:val="-2"/>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=11.467×K</w:t>
            </w:r>
            <w:r>
              <w:rPr>
                <w:rFonts w:ascii="Times New Roman" w:hAnsi="Times New Roman" w:eastAsia="Times New Roman" w:cs="Times New Roman"/>
                <w:color w:val="000000" w:themeColor="text1"/>
                <w:spacing w:val="-2"/>
                <w:sz w:val="24"/>
                <w:szCs w:val="24"/>
                <w:highlight w:val="none"/>
                <w:vertAlign w:val="superscript"/>
                <w14:textFill>
                  <w14:solidFill>
                    <w14:schemeClr w14:val="tx1"/>
                  </w14:solidFill>
                </w14:textFill>
              </w:rPr>
              <w:t>-0.7026</w:t>
            </w:r>
            <w:r>
              <w:rPr>
                <w:color w:val="000000" w:themeColor="text1"/>
                <w:spacing w:val="-2"/>
                <w:sz w:val="24"/>
                <w:szCs w:val="24"/>
                <w:highlight w:val="none"/>
                <w14:textFill>
                  <w14:solidFill>
                    <w14:schemeClr w14:val="tx1"/>
                  </w14:solidFill>
                </w14:textFill>
              </w:rPr>
              <w:t>；</w:t>
            </w:r>
            <w:r>
              <w:rPr>
                <w:rFonts w:hint="eastAsia" w:ascii="Times New Roman" w:hAnsi="Times New Roman" w:eastAsia="Times New Roman" w:cs="Times New Roman"/>
                <w:color w:val="000000" w:themeColor="text1"/>
                <w:spacing w:val="-2"/>
                <w:sz w:val="24"/>
                <w:szCs w:val="24"/>
                <w:highlight w:val="none"/>
                <w14:textFill>
                  <w14:solidFill>
                    <w14:schemeClr w14:val="tx1"/>
                  </w14:solidFill>
                </w14:textFill>
              </w:rPr>
              <w:t>当</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hint="eastAsia" w:ascii="Times New Roman" w:hAnsi="Times New Roman" w:eastAsia="Times New Roman" w:cs="Times New Roman"/>
                <w:color w:val="000000" w:themeColor="text1"/>
                <w:spacing w:val="-2"/>
                <w:sz w:val="24"/>
                <w:szCs w:val="24"/>
                <w:highlight w:val="none"/>
                <w14:textFill>
                  <w14:solidFill>
                    <w14:schemeClr w14:val="tx1"/>
                  </w14:solidFill>
                </w14:textFill>
              </w:rPr>
              <w:t>&gt;220时，按</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rFonts w:hint="eastAsia"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0.26</w:t>
            </w:r>
            <w:r>
              <w:rPr>
                <w:rFonts w:hint="eastAsia" w:ascii="Times New Roman" w:hAnsi="Times New Roman" w:eastAsia="Times New Roman" w:cs="Times New Roman"/>
                <w:color w:val="000000" w:themeColor="text1"/>
                <w:spacing w:val="-2"/>
                <w:sz w:val="24"/>
                <w:szCs w:val="24"/>
                <w:highlight w:val="none"/>
                <w14:textFill>
                  <w14:solidFill>
                    <w14:schemeClr w14:val="tx1"/>
                  </w14:solidFill>
                </w14:textFill>
              </w:rPr>
              <w:t>；</w:t>
            </w:r>
            <w:r>
              <w:rPr>
                <w:rFonts w:hint="eastAsia" w:ascii="Times New Roman" w:hAnsi="Times New Roman" w:eastAsia="Times New Roman" w:cs="Times New Roman"/>
                <w:color w:val="000000" w:themeColor="text1"/>
                <w:spacing w:val="-2"/>
                <w:sz w:val="24"/>
                <w:szCs w:val="24"/>
                <w:highlight w:val="none"/>
                <w:lang w:val="en-US" w:eastAsia="zh-CN"/>
                <w14:textFill>
                  <w14:solidFill>
                    <w14:schemeClr w14:val="tx1"/>
                  </w14:solidFill>
                </w14:textFill>
              </w:rPr>
              <w:t>K=87，</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rFonts w:hint="eastAsia"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0.497。</w:t>
            </w:r>
          </w:p>
          <w:p w14:paraId="3E5C5B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ascii="Times New Roman" w:hAnsi="Times New Roman" w:eastAsia="Times New Roman" w:cs="Times New Roman"/>
                <w:color w:val="000000" w:themeColor="text1"/>
                <w:spacing w:val="-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产品因子（石油原油</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color w:val="000000" w:themeColor="text1"/>
                <w:sz w:val="24"/>
                <w:szCs w:val="24"/>
                <w:highlight w:val="none"/>
                <w14:textFill>
                  <w14:solidFill>
                    <w14:schemeClr w14:val="tx1"/>
                  </w14:solidFill>
                </w14:textFill>
              </w:rPr>
              <w:t>取</w:t>
            </w:r>
            <w:r>
              <w:rPr>
                <w:rFonts w:ascii="Times New Roman" w:hAnsi="Times New Roman" w:eastAsia="Times New Roman" w:cs="Times New Roman"/>
                <w:color w:val="000000" w:themeColor="text1"/>
                <w:sz w:val="24"/>
                <w:szCs w:val="24"/>
                <w:highlight w:val="none"/>
                <w14:textFill>
                  <w14:solidFill>
                    <w14:schemeClr w14:val="tx1"/>
                  </w14:solidFill>
                </w14:textFill>
              </w:rPr>
              <w:t>0.65</w:t>
            </w:r>
            <w:r>
              <w:rPr>
                <w:color w:val="000000" w:themeColor="text1"/>
                <w:sz w:val="24"/>
                <w:szCs w:val="24"/>
                <w:highlight w:val="none"/>
                <w14:textFill>
                  <w14:solidFill>
                    <w14:schemeClr w14:val="tx1"/>
                  </w14:solidFill>
                </w14:textFill>
              </w:rPr>
              <w:t>；其他的有机液体取</w:t>
            </w:r>
            <w:r>
              <w:rPr>
                <w:rFonts w:ascii="Times New Roman" w:hAnsi="Times New Roman" w:eastAsia="Times New Roman" w:cs="Times New Roman"/>
                <w:color w:val="000000" w:themeColor="text1"/>
                <w:sz w:val="24"/>
                <w:szCs w:val="24"/>
                <w:highlight w:val="none"/>
                <w14:textFill>
                  <w14:solidFill>
                    <w14:schemeClr w14:val="tx1"/>
                  </w14:solidFill>
                </w14:textFill>
              </w:rPr>
              <w:t>1.0</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p>
          <w:p w14:paraId="6DFE7D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在大量液体状态下，真实的蒸气压力（</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Pa</w:t>
            </w:r>
            <w:r>
              <w:rPr>
                <w:color w:val="000000" w:themeColor="text1"/>
                <w:spacing w:val="2"/>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P=3130Pa</w:t>
            </w:r>
          </w:p>
          <w:p w14:paraId="1A89834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cs="Times New Roman"/>
                <w:b/>
                <w:color w:val="000000" w:themeColor="text1"/>
                <w:szCs w:val="21"/>
                <w:highlight w:val="none"/>
                <w:lang w:val="en-US" w:eastAsia="zh-CN"/>
                <w14:textFill>
                  <w14:solidFill>
                    <w14:schemeClr w14:val="tx1"/>
                  </w14:solidFill>
                </w14:textFill>
              </w:rPr>
              <w:t xml:space="preserve">4-2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项目罐区大小呼吸废气产生情况</w:t>
            </w:r>
          </w:p>
          <w:tbl>
            <w:tblPr>
              <w:tblStyle w:val="22"/>
              <w:tblW w:w="753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0"/>
              <w:gridCol w:w="1083"/>
              <w:gridCol w:w="950"/>
              <w:gridCol w:w="790"/>
              <w:gridCol w:w="1140"/>
              <w:gridCol w:w="900"/>
              <w:gridCol w:w="1030"/>
              <w:gridCol w:w="702"/>
            </w:tblGrid>
            <w:tr w14:paraId="773DDA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685" w:hRule="atLeast"/>
                <w:jc w:val="center"/>
              </w:trPr>
              <w:tc>
                <w:tcPr>
                  <w:tcW w:w="940" w:type="dxa"/>
                  <w:vMerge w:val="restart"/>
                  <w:tcBorders>
                    <w:tl2br w:val="nil"/>
                    <w:tr2bl w:val="nil"/>
                  </w:tcBorders>
                  <w:vAlign w:val="center"/>
                </w:tcPr>
                <w:p w14:paraId="46830C9E">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罐区</w:t>
                  </w:r>
                </w:p>
              </w:tc>
              <w:tc>
                <w:tcPr>
                  <w:tcW w:w="1083" w:type="dxa"/>
                  <w:vMerge w:val="restart"/>
                  <w:tcBorders>
                    <w:tl2br w:val="nil"/>
                    <w:tr2bl w:val="nil"/>
                  </w:tcBorders>
                  <w:vAlign w:val="center"/>
                </w:tcPr>
                <w:p w14:paraId="5F05A14A">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名称</w:t>
                  </w:r>
                </w:p>
              </w:tc>
              <w:tc>
                <w:tcPr>
                  <w:tcW w:w="950" w:type="dxa"/>
                  <w:vMerge w:val="restart"/>
                  <w:tcBorders>
                    <w:tl2br w:val="nil"/>
                    <w:tr2bl w:val="nil"/>
                  </w:tcBorders>
                  <w:vAlign w:val="center"/>
                </w:tcPr>
                <w:p w14:paraId="157E8827">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年投入量t/a</w:t>
                  </w:r>
                </w:p>
              </w:tc>
              <w:tc>
                <w:tcPr>
                  <w:tcW w:w="790" w:type="dxa"/>
                  <w:vMerge w:val="restart"/>
                  <w:tcBorders>
                    <w:tl2br w:val="nil"/>
                    <w:tr2bl w:val="nil"/>
                  </w:tcBorders>
                  <w:vAlign w:val="center"/>
                </w:tcPr>
                <w:p w14:paraId="1253636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储罐容积m</w:t>
                  </w:r>
                  <w:r>
                    <w:rPr>
                      <w:rFonts w:hint="eastAsia"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p>
              </w:tc>
              <w:tc>
                <w:tcPr>
                  <w:tcW w:w="1140" w:type="dxa"/>
                  <w:vMerge w:val="restart"/>
                  <w:tcBorders>
                    <w:tl2br w:val="nil"/>
                    <w:tr2bl w:val="nil"/>
                  </w:tcBorders>
                  <w:vAlign w:val="center"/>
                </w:tcPr>
                <w:p w14:paraId="441A657D">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结构形式</w:t>
                  </w:r>
                </w:p>
              </w:tc>
              <w:tc>
                <w:tcPr>
                  <w:tcW w:w="2632" w:type="dxa"/>
                  <w:gridSpan w:val="3"/>
                  <w:tcBorders>
                    <w:tl2br w:val="nil"/>
                    <w:tr2bl w:val="nil"/>
                  </w:tcBorders>
                  <w:vAlign w:val="center"/>
                </w:tcPr>
                <w:p w14:paraId="3FD471B8">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产生情况</w:t>
                  </w:r>
                </w:p>
              </w:tc>
            </w:tr>
            <w:tr w14:paraId="3735C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40" w:type="dxa"/>
                  <w:vMerge w:val="continue"/>
                  <w:tcBorders>
                    <w:tl2br w:val="nil"/>
                    <w:tr2bl w:val="nil"/>
                  </w:tcBorders>
                  <w:vAlign w:val="center"/>
                </w:tcPr>
                <w:p w14:paraId="1F63BF9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083" w:type="dxa"/>
                  <w:vMerge w:val="continue"/>
                  <w:tcBorders>
                    <w:tl2br w:val="nil"/>
                    <w:tr2bl w:val="nil"/>
                  </w:tcBorders>
                  <w:vAlign w:val="center"/>
                </w:tcPr>
                <w:p w14:paraId="07FDAFA2">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950" w:type="dxa"/>
                  <w:vMerge w:val="continue"/>
                  <w:tcBorders>
                    <w:tl2br w:val="nil"/>
                    <w:tr2bl w:val="nil"/>
                  </w:tcBorders>
                  <w:vAlign w:val="center"/>
                </w:tcPr>
                <w:p w14:paraId="25BA3398">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790" w:type="dxa"/>
                  <w:vMerge w:val="continue"/>
                  <w:tcBorders>
                    <w:tl2br w:val="nil"/>
                    <w:tr2bl w:val="nil"/>
                  </w:tcBorders>
                  <w:vAlign w:val="center"/>
                </w:tcPr>
                <w:p w14:paraId="4762F487">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140" w:type="dxa"/>
                  <w:vMerge w:val="continue"/>
                  <w:tcBorders>
                    <w:tl2br w:val="nil"/>
                    <w:tr2bl w:val="nil"/>
                  </w:tcBorders>
                  <w:vAlign w:val="center"/>
                </w:tcPr>
                <w:p w14:paraId="0AC511B7">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900" w:type="dxa"/>
                  <w:tcBorders>
                    <w:tl2br w:val="nil"/>
                    <w:tr2bl w:val="nil"/>
                  </w:tcBorders>
                  <w:vAlign w:val="center"/>
                </w:tcPr>
                <w:p w14:paraId="46D09EC4">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小呼吸t/a</w:t>
                  </w:r>
                </w:p>
              </w:tc>
              <w:tc>
                <w:tcPr>
                  <w:tcW w:w="1030" w:type="dxa"/>
                  <w:tcBorders>
                    <w:tl2br w:val="nil"/>
                    <w:tr2bl w:val="nil"/>
                  </w:tcBorders>
                  <w:vAlign w:val="center"/>
                </w:tcPr>
                <w:p w14:paraId="1FDE689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大呼吸t/a</w:t>
                  </w:r>
                </w:p>
              </w:tc>
              <w:tc>
                <w:tcPr>
                  <w:tcW w:w="702" w:type="dxa"/>
                  <w:tcBorders>
                    <w:tl2br w:val="nil"/>
                    <w:tr2bl w:val="nil"/>
                  </w:tcBorders>
                  <w:vAlign w:val="center"/>
                </w:tcPr>
                <w:p w14:paraId="66802DE2">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合计t/a</w:t>
                  </w:r>
                </w:p>
              </w:tc>
            </w:tr>
            <w:tr w14:paraId="38A43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40" w:type="dxa"/>
                  <w:tcBorders>
                    <w:tl2br w:val="nil"/>
                    <w:tr2bl w:val="nil"/>
                  </w:tcBorders>
                  <w:vAlign w:val="center"/>
                </w:tcPr>
                <w:p w14:paraId="5B4275E5">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盐酸罐</w:t>
                  </w:r>
                </w:p>
              </w:tc>
              <w:tc>
                <w:tcPr>
                  <w:tcW w:w="1083" w:type="dxa"/>
                  <w:tcBorders>
                    <w:tl2br w:val="nil"/>
                    <w:tr2bl w:val="nil"/>
                  </w:tcBorders>
                  <w:vAlign w:val="center"/>
                </w:tcPr>
                <w:p w14:paraId="271CB2D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31%盐酸</w:t>
                  </w:r>
                </w:p>
              </w:tc>
              <w:tc>
                <w:tcPr>
                  <w:tcW w:w="950" w:type="dxa"/>
                  <w:tcBorders>
                    <w:tl2br w:val="nil"/>
                    <w:tr2bl w:val="nil"/>
                  </w:tcBorders>
                  <w:vAlign w:val="center"/>
                </w:tcPr>
                <w:p w14:paraId="1D8DD06F">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3000</w:t>
                  </w:r>
                </w:p>
              </w:tc>
              <w:tc>
                <w:tcPr>
                  <w:tcW w:w="790" w:type="dxa"/>
                  <w:tcBorders>
                    <w:tl2br w:val="nil"/>
                    <w:tr2bl w:val="nil"/>
                  </w:tcBorders>
                  <w:vAlign w:val="center"/>
                </w:tcPr>
                <w:p w14:paraId="1D6D270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30</w:t>
                  </w:r>
                </w:p>
              </w:tc>
              <w:tc>
                <w:tcPr>
                  <w:tcW w:w="1140" w:type="dxa"/>
                  <w:tcBorders>
                    <w:tl2br w:val="nil"/>
                    <w:tr2bl w:val="nil"/>
                  </w:tcBorders>
                  <w:vAlign w:val="center"/>
                </w:tcPr>
                <w:p w14:paraId="5CBA442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固定顶罐</w:t>
                  </w:r>
                </w:p>
              </w:tc>
              <w:tc>
                <w:tcPr>
                  <w:tcW w:w="900" w:type="dxa"/>
                  <w:tcBorders>
                    <w:tl2br w:val="nil"/>
                    <w:tr2bl w:val="nil"/>
                  </w:tcBorders>
                  <w:vAlign w:val="center"/>
                </w:tcPr>
                <w:p w14:paraId="6A0FB6A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0.005</w:t>
                  </w:r>
                </w:p>
              </w:tc>
              <w:tc>
                <w:tcPr>
                  <w:tcW w:w="1030" w:type="dxa"/>
                  <w:tcBorders>
                    <w:tl2br w:val="nil"/>
                    <w:tr2bl w:val="nil"/>
                  </w:tcBorders>
                  <w:vAlign w:val="center"/>
                </w:tcPr>
                <w:p w14:paraId="630A74C3">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0.063</w:t>
                  </w:r>
                </w:p>
              </w:tc>
              <w:tc>
                <w:tcPr>
                  <w:tcW w:w="702" w:type="dxa"/>
                  <w:tcBorders>
                    <w:tl2br w:val="nil"/>
                    <w:tr2bl w:val="nil"/>
                  </w:tcBorders>
                  <w:vAlign w:val="center"/>
                </w:tcPr>
                <w:p w14:paraId="3C8376C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0.068</w:t>
                  </w:r>
                </w:p>
              </w:tc>
            </w:tr>
          </w:tbl>
          <w:p w14:paraId="3F8650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储罐物料储存时间按照全年无休，日工作24小时的方式进行核算。</w:t>
            </w:r>
          </w:p>
          <w:p w14:paraId="4130346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cs="Times New Roman"/>
                <w:b/>
                <w:color w:val="000000" w:themeColor="text1"/>
                <w:szCs w:val="21"/>
                <w:highlight w:val="none"/>
                <w:lang w:val="en-US" w:eastAsia="zh-CN"/>
                <w14:textFill>
                  <w14:solidFill>
                    <w14:schemeClr w14:val="tx1"/>
                  </w14:solidFill>
                </w14:textFill>
              </w:rPr>
              <w:t xml:space="preserve">4-3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罐区大小呼吸废气产</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排</w:t>
            </w:r>
            <w:r>
              <w:rPr>
                <w:rFonts w:hint="default" w:ascii="Times New Roman" w:hAnsi="Times New Roman" w:eastAsia="宋体" w:cs="Times New Roman"/>
                <w:b/>
                <w:color w:val="000000" w:themeColor="text1"/>
                <w:szCs w:val="21"/>
                <w:highlight w:val="none"/>
                <w14:textFill>
                  <w14:solidFill>
                    <w14:schemeClr w14:val="tx1"/>
                  </w14:solidFill>
                </w14:textFill>
              </w:rPr>
              <w:t>情况</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一览表</w:t>
            </w:r>
          </w:p>
          <w:tbl>
            <w:tblPr>
              <w:tblStyle w:val="22"/>
              <w:tblW w:w="75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1"/>
              <w:gridCol w:w="885"/>
              <w:gridCol w:w="1025"/>
              <w:gridCol w:w="925"/>
              <w:gridCol w:w="787"/>
              <w:gridCol w:w="706"/>
              <w:gridCol w:w="1055"/>
              <w:gridCol w:w="846"/>
              <w:gridCol w:w="898"/>
            </w:tblGrid>
            <w:tr w14:paraId="219244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411" w:type="dxa"/>
                  <w:vMerge w:val="restart"/>
                  <w:tcBorders>
                    <w:tl2br w:val="nil"/>
                    <w:tr2bl w:val="nil"/>
                  </w:tcBorders>
                  <w:vAlign w:val="center"/>
                </w:tcPr>
                <w:p w14:paraId="199BC44D">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污染物</w:t>
                  </w:r>
                </w:p>
              </w:tc>
              <w:tc>
                <w:tcPr>
                  <w:tcW w:w="885" w:type="dxa"/>
                  <w:vMerge w:val="restart"/>
                  <w:tcBorders>
                    <w:tl2br w:val="nil"/>
                    <w:tr2bl w:val="nil"/>
                  </w:tcBorders>
                  <w:vAlign w:val="center"/>
                </w:tcPr>
                <w:p w14:paraId="7279159B">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排放方式</w:t>
                  </w:r>
                </w:p>
              </w:tc>
              <w:tc>
                <w:tcPr>
                  <w:tcW w:w="2737" w:type="dxa"/>
                  <w:gridSpan w:val="3"/>
                  <w:tcBorders>
                    <w:tl2br w:val="nil"/>
                    <w:tr2bl w:val="nil"/>
                  </w:tcBorders>
                  <w:vAlign w:val="center"/>
                </w:tcPr>
                <w:p w14:paraId="16F00CB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产生情况</w:t>
                  </w:r>
                </w:p>
              </w:tc>
              <w:tc>
                <w:tcPr>
                  <w:tcW w:w="706" w:type="dxa"/>
                  <w:vMerge w:val="restart"/>
                  <w:tcBorders>
                    <w:tl2br w:val="nil"/>
                    <w:tr2bl w:val="nil"/>
                  </w:tcBorders>
                  <w:vAlign w:val="center"/>
                </w:tcPr>
                <w:p w14:paraId="362149EF">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去除效率%</w:t>
                  </w:r>
                </w:p>
              </w:tc>
              <w:tc>
                <w:tcPr>
                  <w:tcW w:w="2799" w:type="dxa"/>
                  <w:gridSpan w:val="3"/>
                  <w:tcBorders>
                    <w:tl2br w:val="nil"/>
                    <w:tr2bl w:val="nil"/>
                  </w:tcBorders>
                  <w:vAlign w:val="center"/>
                </w:tcPr>
                <w:p w14:paraId="749113B8">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排放情况</w:t>
                  </w:r>
                </w:p>
              </w:tc>
            </w:tr>
            <w:tr w14:paraId="45FCE4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11" w:type="dxa"/>
                  <w:vMerge w:val="continue"/>
                  <w:tcBorders>
                    <w:tl2br w:val="nil"/>
                    <w:tr2bl w:val="nil"/>
                  </w:tcBorders>
                  <w:vAlign w:val="center"/>
                </w:tcPr>
                <w:p w14:paraId="131836E3">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885" w:type="dxa"/>
                  <w:vMerge w:val="continue"/>
                  <w:tcBorders>
                    <w:tl2br w:val="nil"/>
                    <w:tr2bl w:val="nil"/>
                  </w:tcBorders>
                  <w:vAlign w:val="center"/>
                </w:tcPr>
                <w:p w14:paraId="78F2E17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025" w:type="dxa"/>
                  <w:tcBorders>
                    <w:tl2br w:val="nil"/>
                    <w:tr2bl w:val="nil"/>
                  </w:tcBorders>
                  <w:vAlign w:val="center"/>
                </w:tcPr>
                <w:p w14:paraId="175A705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产生浓度</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p>
              </w:tc>
              <w:tc>
                <w:tcPr>
                  <w:tcW w:w="925" w:type="dxa"/>
                  <w:tcBorders>
                    <w:tl2br w:val="nil"/>
                    <w:tr2bl w:val="nil"/>
                  </w:tcBorders>
                  <w:vAlign w:val="center"/>
                </w:tcPr>
                <w:p w14:paraId="55BD03E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产生速率</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g/</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h</w:t>
                  </w:r>
                </w:p>
              </w:tc>
              <w:tc>
                <w:tcPr>
                  <w:tcW w:w="787" w:type="dxa"/>
                  <w:tcBorders>
                    <w:tl2br w:val="nil"/>
                    <w:tr2bl w:val="nil"/>
                  </w:tcBorders>
                  <w:vAlign w:val="center"/>
                </w:tcPr>
                <w:p w14:paraId="255CF38B">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产生量</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t/a</w:t>
                  </w:r>
                </w:p>
              </w:tc>
              <w:tc>
                <w:tcPr>
                  <w:tcW w:w="706" w:type="dxa"/>
                  <w:vMerge w:val="continue"/>
                  <w:tcBorders>
                    <w:tl2br w:val="nil"/>
                    <w:tr2bl w:val="nil"/>
                  </w:tcBorders>
                  <w:vAlign w:val="center"/>
                </w:tcPr>
                <w:p w14:paraId="2ED5706A">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055" w:type="dxa"/>
                  <w:tcBorders>
                    <w:tl2br w:val="nil"/>
                    <w:tr2bl w:val="nil"/>
                  </w:tcBorders>
                  <w:vAlign w:val="center"/>
                </w:tcPr>
                <w:p w14:paraId="3580C9B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排放浓度</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p>
              </w:tc>
              <w:tc>
                <w:tcPr>
                  <w:tcW w:w="846" w:type="dxa"/>
                  <w:tcBorders>
                    <w:tl2br w:val="nil"/>
                    <w:tr2bl w:val="nil"/>
                  </w:tcBorders>
                  <w:vAlign w:val="center"/>
                </w:tcPr>
                <w:p w14:paraId="15EA144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排放速率</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g/</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h</w:t>
                  </w:r>
                </w:p>
              </w:tc>
              <w:tc>
                <w:tcPr>
                  <w:tcW w:w="898" w:type="dxa"/>
                  <w:tcBorders>
                    <w:tl2br w:val="nil"/>
                    <w:tr2bl w:val="nil"/>
                  </w:tcBorders>
                  <w:vAlign w:val="center"/>
                </w:tcPr>
                <w:p w14:paraId="40703830">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排放量</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t/a</w:t>
                  </w:r>
                </w:p>
              </w:tc>
            </w:tr>
            <w:tr w14:paraId="2F394C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11" w:type="dxa"/>
                  <w:tcBorders>
                    <w:tl2br w:val="nil"/>
                    <w:tr2bl w:val="nil"/>
                  </w:tcBorders>
                  <w:vAlign w:val="center"/>
                </w:tcPr>
                <w:p w14:paraId="11AE0E84">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氯化氢</w:t>
                  </w:r>
                </w:p>
              </w:tc>
              <w:tc>
                <w:tcPr>
                  <w:tcW w:w="885" w:type="dxa"/>
                  <w:tcBorders>
                    <w:tl2br w:val="nil"/>
                    <w:tr2bl w:val="nil"/>
                  </w:tcBorders>
                  <w:vAlign w:val="center"/>
                </w:tcPr>
                <w:p w14:paraId="0DB40BFF">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DA001</w:t>
                  </w:r>
                </w:p>
              </w:tc>
              <w:tc>
                <w:tcPr>
                  <w:tcW w:w="1025" w:type="dxa"/>
                  <w:tcBorders>
                    <w:tl2br w:val="nil"/>
                    <w:tr2bl w:val="nil"/>
                  </w:tcBorders>
                  <w:vAlign w:val="center"/>
                </w:tcPr>
                <w:p w14:paraId="23519BF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17.67</w:t>
                  </w:r>
                </w:p>
              </w:tc>
              <w:tc>
                <w:tcPr>
                  <w:tcW w:w="925" w:type="dxa"/>
                  <w:tcBorders>
                    <w:tl2br w:val="nil"/>
                    <w:tr2bl w:val="nil"/>
                  </w:tcBorders>
                  <w:vAlign w:val="center"/>
                </w:tcPr>
                <w:p w14:paraId="5AAFA88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0.0078</w:t>
                  </w:r>
                </w:p>
              </w:tc>
              <w:tc>
                <w:tcPr>
                  <w:tcW w:w="787" w:type="dxa"/>
                  <w:tcBorders>
                    <w:tl2br w:val="nil"/>
                    <w:tr2bl w:val="nil"/>
                  </w:tcBorders>
                  <w:vAlign w:val="center"/>
                </w:tcPr>
                <w:p w14:paraId="7BC02FD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0.068</w:t>
                  </w:r>
                </w:p>
              </w:tc>
              <w:tc>
                <w:tcPr>
                  <w:tcW w:w="706" w:type="dxa"/>
                  <w:tcBorders>
                    <w:tl2br w:val="nil"/>
                    <w:tr2bl w:val="nil"/>
                  </w:tcBorders>
                  <w:vAlign w:val="center"/>
                </w:tcPr>
                <w:p w14:paraId="335165D3">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90%</w:t>
                  </w:r>
                </w:p>
              </w:tc>
              <w:tc>
                <w:tcPr>
                  <w:tcW w:w="1055" w:type="dxa"/>
                  <w:tcBorders>
                    <w:tl2br w:val="nil"/>
                    <w:tr2bl w:val="nil"/>
                  </w:tcBorders>
                  <w:vAlign w:val="center"/>
                </w:tcPr>
                <w:p w14:paraId="6107F6FA">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1.77</w:t>
                  </w:r>
                </w:p>
              </w:tc>
              <w:tc>
                <w:tcPr>
                  <w:tcW w:w="846" w:type="dxa"/>
                  <w:tcBorders>
                    <w:tl2br w:val="nil"/>
                    <w:tr2bl w:val="nil"/>
                  </w:tcBorders>
                  <w:vAlign w:val="center"/>
                </w:tcPr>
                <w:p w14:paraId="62DCD810">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0.0008</w:t>
                  </w:r>
                </w:p>
              </w:tc>
              <w:tc>
                <w:tcPr>
                  <w:tcW w:w="898" w:type="dxa"/>
                  <w:tcBorders>
                    <w:tl2br w:val="nil"/>
                    <w:tr2bl w:val="nil"/>
                  </w:tcBorders>
                  <w:vAlign w:val="center"/>
                </w:tcPr>
                <w:p w14:paraId="5DDACCAB">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0.007</w:t>
                  </w:r>
                </w:p>
              </w:tc>
            </w:tr>
          </w:tbl>
          <w:p w14:paraId="0C2CD17F">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4.5.3一期预搅拌工序搅拌粉尘</w:t>
            </w:r>
          </w:p>
          <w:p w14:paraId="1FAD6E90">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（1）有组织废气</w:t>
            </w:r>
          </w:p>
          <w:p w14:paraId="0CC8BE66">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硅粉预处理搅拌过程会产生搅拌粉尘，参考《逸散性工业粉尘控制技术》（美国俄亥俄州环境保护局和污染工程分公司（PEDCo）编著），搅拌过程中粉尘的排放系数按0.02kg/t粉料计；本项目搅拌工序年工作时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300天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/年（4800小时/年），废硅粉合计使用量为12000t/a，则搅拌粉尘的产生量为0.24t/a，产生速率为0.05kg/h。搅拌粉尘经集气罩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（采用圆形集气罩，直径为2.6m，收集效率为90%）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湿式沉降</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去除效率为75%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w:t>
            </w:r>
            <w:r>
              <w:rPr>
                <w:rFonts w:hint="eastAsia" w:cs="Times New Roman"/>
                <w:color w:val="000000" w:themeColor="text1"/>
                <w:sz w:val="24"/>
                <w:szCs w:val="21"/>
                <w:highlight w:val="none"/>
                <w:lang w:val="en-US" w:eastAsia="zh-CN" w:bidi="ar-SA"/>
                <w14:textFill>
                  <w14:solidFill>
                    <w14:schemeClr w14:val="tx1"/>
                  </w14:solidFill>
                </w14:textFill>
              </w:rPr>
              <w:t>故搅拌粉尘最终有组织排放量为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0.054t/a，排放速率为0.011kg/h，排放浓度为1.13mg/m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。有组织废气排放浓度及排放速率满足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150F0A24">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（2）无组织废气</w:t>
            </w:r>
          </w:p>
          <w:p w14:paraId="242955D3">
            <w:pPr>
              <w:pStyle w:val="53"/>
              <w:bidi w:val="0"/>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预搅拌工序</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集气罩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未能收集的</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量：0.0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速率：0.0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024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该部分无组织废气排放量较小，</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64FC842">
            <w:pPr>
              <w:pStyle w:val="53"/>
              <w:bidi w:val="0"/>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综上，本项目运营期产生的搅拌粉尘经集气罩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（采用圆形集气罩，直径为2.6m，收集效率为90%）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湿式沉降</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去除效率为75%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排放浓度及排放速率满足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2693435F">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4.5.4一期醇基</w:t>
            </w:r>
            <w:r>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t>锅炉</w:t>
            </w: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产生的锅炉废气</w:t>
            </w:r>
          </w:p>
          <w:p w14:paraId="54866CC4">
            <w:pPr>
              <w:pageBreakBefore w:val="0"/>
              <w:kinsoku/>
              <w:wordWrap/>
              <w:bidi w:val="0"/>
              <w:spacing w:beforeAutospacing="0" w:afterAutospacing="0" w:line="360" w:lineRule="auto"/>
              <w:ind w:left="0" w:leftChars="0" w:right="0" w:rightChars="0" w:firstLine="480" w:firstLineChars="200"/>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本项目采用</w:t>
            </w:r>
            <w:r>
              <w:rPr>
                <w:rFonts w:hint="eastAsia"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醇基</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锅炉</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为酸洗搅拌工序提供蒸汽</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醇基燃料年使用600t，锅炉每天运行16小时，年运行300天。醇基燃料属于清洁能源，燃烧产生的污染因子主要为颗粒物、SO</w:t>
            </w:r>
            <w:r>
              <w:rPr>
                <w:rFonts w:hint="eastAsia" w:cs="Times New Roman"/>
                <w:color w:val="000000" w:themeColor="text1"/>
                <w:spacing w:val="0"/>
                <w:w w:val="100"/>
                <w:position w:val="0"/>
                <w:sz w:val="24"/>
                <w:szCs w:val="24"/>
                <w:highlight w:val="none"/>
                <w:vertAlign w:val="subscript"/>
                <w:lang w:val="en-US" w:eastAsia="zh-CN" w:bidi="ar-SA"/>
                <w14:textFill>
                  <w14:solidFill>
                    <w14:schemeClr w14:val="tx1"/>
                  </w14:solidFill>
                </w14:textFill>
              </w:rPr>
              <w:t>2</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、NO</w:t>
            </w:r>
            <w:r>
              <w:rPr>
                <w:rFonts w:hint="eastAsia" w:cs="Times New Roman"/>
                <w:color w:val="000000" w:themeColor="text1"/>
                <w:spacing w:val="0"/>
                <w:w w:val="100"/>
                <w:position w:val="0"/>
                <w:sz w:val="24"/>
                <w:szCs w:val="24"/>
                <w:highlight w:val="none"/>
                <w:vertAlign w:val="subscript"/>
                <w:lang w:val="en-US" w:eastAsia="zh-CN" w:bidi="ar-SA"/>
                <w14:textFill>
                  <w14:solidFill>
                    <w14:schemeClr w14:val="tx1"/>
                  </w14:solidFill>
                </w14:textFill>
              </w:rPr>
              <w:t>X</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和林格曼黑度。</w:t>
            </w:r>
          </w:p>
          <w:p w14:paraId="680C1AA6">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根据《排放源统计调查产排污核算方法和系数手册》（公告2021年第24号）—</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锅炉产排污量核算系数手册</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4430工业锅炉（热力生产和供应行业）产污系数表</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燃油工业锅炉</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中的统计，本项目</w:t>
            </w:r>
            <w:r>
              <w:rPr>
                <w:rFonts w:hint="eastAsia" w:cs="Times New Roman"/>
                <w:color w:val="000000" w:themeColor="text1"/>
                <w:spacing w:val="0"/>
                <w:kern w:val="0"/>
                <w:sz w:val="24"/>
                <w:highlight w:val="none"/>
                <w:lang w:val="en-US" w:eastAsia="zh-CN"/>
                <w14:textFill>
                  <w14:solidFill>
                    <w14:schemeClr w14:val="tx1"/>
                  </w14:solidFill>
                </w14:textFill>
              </w:rPr>
              <w:t>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t/h醇基燃料锅炉燃烧废气中各污染物产生量见下表：</w:t>
            </w:r>
          </w:p>
          <w:p w14:paraId="3867424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4-</w:t>
            </w:r>
            <w:r>
              <w:rPr>
                <w:rFonts w:hint="eastAsia" w:cs="Times New Roman"/>
                <w:b/>
                <w:color w:val="000000" w:themeColor="text1"/>
                <w:szCs w:val="21"/>
                <w:highlight w:val="none"/>
                <w:lang w:val="en-US" w:eastAsia="zh-CN"/>
                <w14:textFill>
                  <w14:solidFill>
                    <w14:schemeClr w14:val="tx1"/>
                  </w14:solidFill>
                </w14:textFill>
              </w:rPr>
              <w:t>4</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t>t/h醇基燃料锅炉燃烧废气</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产生情况</w:t>
            </w:r>
          </w:p>
          <w:tbl>
            <w:tblPr>
              <w:tblStyle w:val="22"/>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094"/>
              <w:gridCol w:w="1238"/>
              <w:gridCol w:w="700"/>
              <w:gridCol w:w="650"/>
              <w:gridCol w:w="1012"/>
              <w:gridCol w:w="1088"/>
              <w:gridCol w:w="908"/>
            </w:tblGrid>
            <w:tr w14:paraId="2F46E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tcBorders>
                    <w:bottom w:val="single" w:color="auto" w:sz="12" w:space="0"/>
                  </w:tcBorders>
                  <w:vAlign w:val="center"/>
                </w:tcPr>
                <w:p w14:paraId="33871B05">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原料名称</w:t>
                  </w:r>
                </w:p>
              </w:tc>
              <w:tc>
                <w:tcPr>
                  <w:tcW w:w="3032" w:type="dxa"/>
                  <w:gridSpan w:val="3"/>
                  <w:tcBorders>
                    <w:bottom w:val="single" w:color="auto" w:sz="12" w:space="0"/>
                  </w:tcBorders>
                  <w:vAlign w:val="center"/>
                </w:tcPr>
                <w:p w14:paraId="66C8C85A">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系数手册</w:t>
                  </w:r>
                </w:p>
              </w:tc>
              <w:tc>
                <w:tcPr>
                  <w:tcW w:w="3658" w:type="dxa"/>
                  <w:gridSpan w:val="4"/>
                  <w:tcBorders>
                    <w:bottom w:val="single" w:color="auto" w:sz="12" w:space="0"/>
                  </w:tcBorders>
                  <w:vAlign w:val="center"/>
                </w:tcPr>
                <w:p w14:paraId="11BB4413">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default" w:ascii="Times New Roman" w:hAnsi="Times New Roman" w:eastAsia="宋体"/>
                      <w:b/>
                      <w:bCs/>
                      <w:color w:val="000000" w:themeColor="text1"/>
                      <w:highlight w:val="none"/>
                      <w:lang w:val="en-US" w:eastAsia="zh-CN"/>
                      <w14:textFill>
                        <w14:solidFill>
                          <w14:schemeClr w14:val="tx1"/>
                        </w14:solidFill>
                      </w14:textFill>
                    </w:rPr>
                    <w:t>本项目</w:t>
                  </w: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default" w:ascii="Times New Roman" w:hAnsi="Times New Roman" w:eastAsia="宋体"/>
                      <w:b/>
                      <w:bCs/>
                      <w:color w:val="000000" w:themeColor="text1"/>
                      <w:highlight w:val="none"/>
                      <w:lang w:val="en-US" w:eastAsia="zh-CN"/>
                      <w14:textFill>
                        <w14:solidFill>
                          <w14:schemeClr w14:val="tx1"/>
                        </w14:solidFill>
                      </w14:textFill>
                    </w:rPr>
                    <w:t>t/h醇基燃料锅炉</w:t>
                  </w:r>
                </w:p>
              </w:tc>
            </w:tr>
            <w:tr w14:paraId="1EF187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81" w:type="dxa"/>
                  <w:vMerge w:val="restart"/>
                  <w:tcBorders>
                    <w:top w:val="single" w:color="auto" w:sz="12" w:space="0"/>
                    <w:tl2br w:val="nil"/>
                    <w:tr2bl w:val="nil"/>
                  </w:tcBorders>
                  <w:vAlign w:val="center"/>
                </w:tcPr>
                <w:p w14:paraId="0E1CFB93">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醇基燃料</w:t>
                  </w:r>
                </w:p>
              </w:tc>
              <w:tc>
                <w:tcPr>
                  <w:tcW w:w="1094" w:type="dxa"/>
                  <w:tcBorders>
                    <w:top w:val="single" w:color="auto" w:sz="12" w:space="0"/>
                    <w:tl2br w:val="nil"/>
                    <w:tr2bl w:val="nil"/>
                  </w:tcBorders>
                  <w:vAlign w:val="center"/>
                </w:tcPr>
                <w:p w14:paraId="04B5BA1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污染物指标</w:t>
                  </w:r>
                </w:p>
              </w:tc>
              <w:tc>
                <w:tcPr>
                  <w:tcW w:w="1238" w:type="dxa"/>
                  <w:tcBorders>
                    <w:top w:val="single" w:color="auto" w:sz="12" w:space="0"/>
                    <w:tl2br w:val="nil"/>
                    <w:tr2bl w:val="nil"/>
                  </w:tcBorders>
                  <w:vAlign w:val="center"/>
                </w:tcPr>
                <w:p w14:paraId="204F2129">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单位</w:t>
                  </w:r>
                </w:p>
              </w:tc>
              <w:tc>
                <w:tcPr>
                  <w:tcW w:w="700" w:type="dxa"/>
                  <w:tcBorders>
                    <w:top w:val="single" w:color="auto" w:sz="12" w:space="0"/>
                    <w:tl2br w:val="nil"/>
                    <w:tr2bl w:val="nil"/>
                  </w:tcBorders>
                  <w:vAlign w:val="center"/>
                </w:tcPr>
                <w:p w14:paraId="003EB68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产污系数</w:t>
                  </w:r>
                </w:p>
              </w:tc>
              <w:tc>
                <w:tcPr>
                  <w:tcW w:w="650" w:type="dxa"/>
                  <w:tcBorders>
                    <w:top w:val="single" w:color="auto" w:sz="12" w:space="0"/>
                    <w:tl2br w:val="nil"/>
                    <w:tr2bl w:val="nil"/>
                  </w:tcBorders>
                  <w:vAlign w:val="center"/>
                </w:tcPr>
                <w:p w14:paraId="7C92828B">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原料数量t/a</w:t>
                  </w:r>
                </w:p>
              </w:tc>
              <w:tc>
                <w:tcPr>
                  <w:tcW w:w="1012" w:type="dxa"/>
                  <w:tcBorders>
                    <w:top w:val="single" w:color="auto" w:sz="12" w:space="0"/>
                    <w:tl2br w:val="nil"/>
                    <w:tr2bl w:val="nil"/>
                  </w:tcBorders>
                  <w:vAlign w:val="center"/>
                </w:tcPr>
                <w:p w14:paraId="0C486AE8">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产生量t/a</w:t>
                  </w:r>
                </w:p>
              </w:tc>
              <w:tc>
                <w:tcPr>
                  <w:tcW w:w="1088" w:type="dxa"/>
                  <w:tcBorders>
                    <w:top w:val="single" w:color="auto" w:sz="12" w:space="0"/>
                    <w:tl2br w:val="nil"/>
                    <w:tr2bl w:val="nil"/>
                  </w:tcBorders>
                  <w:vAlign w:val="center"/>
                </w:tcPr>
                <w:p w14:paraId="61B73328">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产生速率kg/h</w:t>
                  </w:r>
                </w:p>
              </w:tc>
              <w:tc>
                <w:tcPr>
                  <w:tcW w:w="908" w:type="dxa"/>
                  <w:tcBorders>
                    <w:top w:val="single" w:color="auto" w:sz="12" w:space="0"/>
                    <w:tl2br w:val="nil"/>
                    <w:tr2bl w:val="nil"/>
                  </w:tcBorders>
                  <w:vAlign w:val="center"/>
                </w:tcPr>
                <w:p w14:paraId="6A4B02FD">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产生浓度</w:t>
                  </w:r>
                  <w:r>
                    <w:rPr>
                      <w:rFonts w:hint="default"/>
                      <w:color w:val="000000" w:themeColor="text1"/>
                      <w:highlight w:val="none"/>
                      <w:lang w:val="en-US" w:eastAsia="zh-CN"/>
                      <w14:textFill>
                        <w14:solidFill>
                          <w14:schemeClr w14:val="tx1"/>
                        </w14:solidFill>
                      </w14:textFill>
                    </w:rPr>
                    <w:t>mg/m</w:t>
                  </w:r>
                  <w:r>
                    <w:rPr>
                      <w:rFonts w:hint="default"/>
                      <w:color w:val="000000" w:themeColor="text1"/>
                      <w:highlight w:val="none"/>
                      <w:vertAlign w:val="superscript"/>
                      <w:lang w:val="en-US" w:eastAsia="zh-CN"/>
                      <w14:textFill>
                        <w14:solidFill>
                          <w14:schemeClr w14:val="tx1"/>
                        </w14:solidFill>
                      </w14:textFill>
                    </w:rPr>
                    <w:t>3</w:t>
                  </w:r>
                </w:p>
              </w:tc>
            </w:tr>
            <w:tr w14:paraId="5B7DE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1" w:type="dxa"/>
                  <w:vMerge w:val="continue"/>
                  <w:tcBorders>
                    <w:tl2br w:val="nil"/>
                    <w:tr2bl w:val="nil"/>
                  </w:tcBorders>
                  <w:vAlign w:val="center"/>
                </w:tcPr>
                <w:p w14:paraId="28DF386D">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5B979B63">
                  <w:pPr>
                    <w:pStyle w:val="38"/>
                    <w:bidi w:val="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工业废气量</w:t>
                  </w:r>
                </w:p>
              </w:tc>
              <w:tc>
                <w:tcPr>
                  <w:tcW w:w="1238" w:type="dxa"/>
                  <w:tcBorders>
                    <w:tl2br w:val="nil"/>
                    <w:tr2bl w:val="nil"/>
                  </w:tcBorders>
                  <w:vAlign w:val="center"/>
                </w:tcPr>
                <w:p w14:paraId="5B91AE8D">
                  <w:pPr>
                    <w:pStyle w:val="38"/>
                    <w:bidi w:val="0"/>
                    <w:jc w:val="center"/>
                    <w:rPr>
                      <w:rFonts w:hint="default"/>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Nm³/</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t-原料</w:t>
                  </w:r>
                </w:p>
              </w:tc>
              <w:tc>
                <w:tcPr>
                  <w:tcW w:w="700" w:type="dxa"/>
                  <w:tcBorders>
                    <w:tl2br w:val="nil"/>
                    <w:tr2bl w:val="nil"/>
                  </w:tcBorders>
                  <w:vAlign w:val="center"/>
                </w:tcPr>
                <w:p w14:paraId="38BA736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5453</w:t>
                  </w:r>
                </w:p>
              </w:tc>
              <w:tc>
                <w:tcPr>
                  <w:tcW w:w="650" w:type="dxa"/>
                  <w:vMerge w:val="restart"/>
                  <w:tcBorders>
                    <w:tl2br w:val="nil"/>
                    <w:tr2bl w:val="nil"/>
                  </w:tcBorders>
                  <w:vAlign w:val="center"/>
                </w:tcPr>
                <w:p w14:paraId="5314B426">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r>
                    <w:rPr>
                      <w:rFonts w:hint="eastAsia" w:ascii="Times New Roman" w:hAnsi="Times New Roman" w:eastAsia="宋体"/>
                      <w:color w:val="000000" w:themeColor="text1"/>
                      <w:highlight w:val="none"/>
                      <w:lang w:val="en-US" w:eastAsia="zh-CN"/>
                      <w14:textFill>
                        <w14:solidFill>
                          <w14:schemeClr w14:val="tx1"/>
                        </w14:solidFill>
                      </w14:textFill>
                    </w:rPr>
                    <w:t>t</w:t>
                  </w:r>
                </w:p>
              </w:tc>
              <w:tc>
                <w:tcPr>
                  <w:tcW w:w="1012" w:type="dxa"/>
                  <w:tcBorders>
                    <w:tl2br w:val="nil"/>
                    <w:tr2bl w:val="nil"/>
                  </w:tcBorders>
                  <w:vAlign w:val="center"/>
                </w:tcPr>
                <w:p w14:paraId="154386E4">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3271800</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m³/</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a</w:t>
                  </w:r>
                </w:p>
              </w:tc>
              <w:tc>
                <w:tcPr>
                  <w:tcW w:w="1088" w:type="dxa"/>
                  <w:tcBorders>
                    <w:tl2br w:val="nil"/>
                    <w:tr2bl w:val="nil"/>
                  </w:tcBorders>
                  <w:vAlign w:val="center"/>
                </w:tcPr>
                <w:p w14:paraId="17D2A56A">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908" w:type="dxa"/>
                  <w:tcBorders>
                    <w:tl2br w:val="nil"/>
                    <w:tr2bl w:val="nil"/>
                  </w:tcBorders>
                  <w:vAlign w:val="center"/>
                </w:tcPr>
                <w:p w14:paraId="3CBFFBAD">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w:t>
                  </w:r>
                </w:p>
              </w:tc>
            </w:tr>
            <w:tr w14:paraId="25425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vMerge w:val="continue"/>
                  <w:tcBorders>
                    <w:tl2br w:val="nil"/>
                    <w:tr2bl w:val="nil"/>
                  </w:tcBorders>
                  <w:vAlign w:val="center"/>
                </w:tcPr>
                <w:p w14:paraId="2136E55B">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0968A30B">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1238" w:type="dxa"/>
                  <w:tcBorders>
                    <w:tl2br w:val="nil"/>
                    <w:tr2bl w:val="nil"/>
                  </w:tcBorders>
                  <w:vAlign w:val="center"/>
                </w:tcPr>
                <w:p w14:paraId="168D3DF1">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kg</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-原料</w:t>
                  </w:r>
                </w:p>
              </w:tc>
              <w:tc>
                <w:tcPr>
                  <w:tcW w:w="700" w:type="dxa"/>
                  <w:tcBorders>
                    <w:tl2br w:val="nil"/>
                    <w:tr2bl w:val="nil"/>
                  </w:tcBorders>
                  <w:vAlign w:val="center"/>
                </w:tcPr>
                <w:p w14:paraId="6C074542">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w:t>
                  </w:r>
                </w:p>
              </w:tc>
              <w:tc>
                <w:tcPr>
                  <w:tcW w:w="650" w:type="dxa"/>
                  <w:vMerge w:val="continue"/>
                  <w:tcBorders>
                    <w:tl2br w:val="nil"/>
                    <w:tr2bl w:val="nil"/>
                  </w:tcBorders>
                  <w:vAlign w:val="center"/>
                </w:tcPr>
                <w:p w14:paraId="4806CC1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1012" w:type="dxa"/>
                  <w:tcBorders>
                    <w:tl2br w:val="nil"/>
                    <w:tr2bl w:val="nil"/>
                  </w:tcBorders>
                  <w:vAlign w:val="center"/>
                </w:tcPr>
                <w:p w14:paraId="73B5868A">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0.156</w:t>
                  </w:r>
                </w:p>
              </w:tc>
              <w:tc>
                <w:tcPr>
                  <w:tcW w:w="1088" w:type="dxa"/>
                  <w:tcBorders>
                    <w:tl2br w:val="nil"/>
                    <w:tr2bl w:val="nil"/>
                  </w:tcBorders>
                  <w:vAlign w:val="center"/>
                </w:tcPr>
                <w:p w14:paraId="7EAEEDE8">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0.033</w:t>
                  </w:r>
                </w:p>
              </w:tc>
              <w:tc>
                <w:tcPr>
                  <w:tcW w:w="908" w:type="dxa"/>
                  <w:tcBorders>
                    <w:tl2br w:val="nil"/>
                    <w:tr2bl w:val="nil"/>
                  </w:tcBorders>
                  <w:vAlign w:val="center"/>
                </w:tcPr>
                <w:p w14:paraId="628F1583">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47.68</w:t>
                  </w:r>
                </w:p>
              </w:tc>
            </w:tr>
            <w:tr w14:paraId="1A79A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vMerge w:val="continue"/>
                  <w:tcBorders>
                    <w:tl2br w:val="nil"/>
                    <w:tr2bl w:val="nil"/>
                  </w:tcBorders>
                  <w:vAlign w:val="center"/>
                </w:tcPr>
                <w:p w14:paraId="61864AEF">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7AD6B7D3">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二氧化硫</w:t>
                  </w:r>
                </w:p>
              </w:tc>
              <w:tc>
                <w:tcPr>
                  <w:tcW w:w="1238" w:type="dxa"/>
                  <w:tcBorders>
                    <w:tl2br w:val="nil"/>
                    <w:tr2bl w:val="nil"/>
                  </w:tcBorders>
                  <w:vAlign w:val="center"/>
                </w:tcPr>
                <w:p w14:paraId="7BC869D0">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kg</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-原料</w:t>
                  </w:r>
                </w:p>
              </w:tc>
              <w:tc>
                <w:tcPr>
                  <w:tcW w:w="700" w:type="dxa"/>
                  <w:tcBorders>
                    <w:tl2br w:val="nil"/>
                    <w:tr2bl w:val="nil"/>
                  </w:tcBorders>
                  <w:vAlign w:val="center"/>
                </w:tcPr>
                <w:p w14:paraId="0FEB9D83">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20S</w:t>
                  </w:r>
                </w:p>
              </w:tc>
              <w:tc>
                <w:tcPr>
                  <w:tcW w:w="650" w:type="dxa"/>
                  <w:vMerge w:val="continue"/>
                  <w:tcBorders>
                    <w:tl2br w:val="nil"/>
                    <w:tr2bl w:val="nil"/>
                  </w:tcBorders>
                  <w:vAlign w:val="center"/>
                </w:tcPr>
                <w:p w14:paraId="52F2A74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1012" w:type="dxa"/>
                  <w:tcBorders>
                    <w:tl2br w:val="nil"/>
                    <w:tr2bl w:val="nil"/>
                  </w:tcBorders>
                  <w:vAlign w:val="center"/>
                </w:tcPr>
                <w:p w14:paraId="745148A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1088" w:type="dxa"/>
                  <w:tcBorders>
                    <w:tl2br w:val="nil"/>
                    <w:tr2bl w:val="nil"/>
                  </w:tcBorders>
                  <w:vAlign w:val="center"/>
                </w:tcPr>
                <w:p w14:paraId="399431CE">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0.025</w:t>
                  </w:r>
                </w:p>
              </w:tc>
              <w:tc>
                <w:tcPr>
                  <w:tcW w:w="908" w:type="dxa"/>
                  <w:tcBorders>
                    <w:tl2br w:val="nil"/>
                    <w:tr2bl w:val="nil"/>
                  </w:tcBorders>
                  <w:vAlign w:val="center"/>
                </w:tcPr>
                <w:p w14:paraId="450F095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36.68</w:t>
                  </w:r>
                </w:p>
              </w:tc>
            </w:tr>
            <w:tr w14:paraId="76E93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vMerge w:val="continue"/>
                  <w:tcBorders>
                    <w:tl2br w:val="nil"/>
                    <w:tr2bl w:val="nil"/>
                  </w:tcBorders>
                  <w:vAlign w:val="center"/>
                </w:tcPr>
                <w:p w14:paraId="2EB9D373">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5CB0C82C">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氮氧化物</w:t>
                  </w:r>
                </w:p>
              </w:tc>
              <w:tc>
                <w:tcPr>
                  <w:tcW w:w="1238" w:type="dxa"/>
                  <w:tcBorders>
                    <w:tl2br w:val="nil"/>
                    <w:tr2bl w:val="nil"/>
                  </w:tcBorders>
                  <w:vAlign w:val="center"/>
                </w:tcPr>
                <w:p w14:paraId="385DB083">
                  <w:pPr>
                    <w:pStyle w:val="38"/>
                    <w:bidi w:val="0"/>
                    <w:jc w:val="center"/>
                    <w:rPr>
                      <w:rFonts w:hint="default"/>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kg</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-原料</w:t>
                  </w:r>
                </w:p>
              </w:tc>
              <w:tc>
                <w:tcPr>
                  <w:tcW w:w="700" w:type="dxa"/>
                  <w:tcBorders>
                    <w:tl2br w:val="nil"/>
                    <w:tr2bl w:val="nil"/>
                  </w:tcBorders>
                  <w:vAlign w:val="center"/>
                </w:tcPr>
                <w:p w14:paraId="7E17D34C">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0.59</w:t>
                  </w:r>
                </w:p>
              </w:tc>
              <w:tc>
                <w:tcPr>
                  <w:tcW w:w="650" w:type="dxa"/>
                  <w:vMerge w:val="continue"/>
                  <w:tcBorders>
                    <w:tl2br w:val="nil"/>
                    <w:tr2bl w:val="nil"/>
                  </w:tcBorders>
                  <w:vAlign w:val="center"/>
                </w:tcPr>
                <w:p w14:paraId="6197066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1012" w:type="dxa"/>
                  <w:tcBorders>
                    <w:tl2br w:val="nil"/>
                    <w:tr2bl w:val="nil"/>
                  </w:tcBorders>
                  <w:vAlign w:val="center"/>
                </w:tcPr>
                <w:p w14:paraId="73A255C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0.354</w:t>
                  </w:r>
                </w:p>
              </w:tc>
              <w:tc>
                <w:tcPr>
                  <w:tcW w:w="1088" w:type="dxa"/>
                  <w:tcBorders>
                    <w:tl2br w:val="nil"/>
                    <w:tr2bl w:val="nil"/>
                  </w:tcBorders>
                  <w:vAlign w:val="center"/>
                </w:tcPr>
                <w:p w14:paraId="6A3505A7">
                  <w:pPr>
                    <w:pStyle w:val="38"/>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0.052</w:t>
                  </w:r>
                </w:p>
              </w:tc>
              <w:tc>
                <w:tcPr>
                  <w:tcW w:w="908" w:type="dxa"/>
                  <w:tcBorders>
                    <w:tl2br w:val="nil"/>
                    <w:tr2bl w:val="nil"/>
                  </w:tcBorders>
                  <w:vAlign w:val="center"/>
                </w:tcPr>
                <w:p w14:paraId="09CE8E7C">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108.2</w:t>
                  </w:r>
                  <w:r>
                    <w:rPr>
                      <w:rFonts w:hint="eastAsia"/>
                      <w:color w:val="000000" w:themeColor="text1"/>
                      <w:highlight w:val="none"/>
                      <w:lang w:val="en-US" w:eastAsia="zh-CN"/>
                      <w14:textFill>
                        <w14:solidFill>
                          <w14:schemeClr w14:val="tx1"/>
                        </w14:solidFill>
                      </w14:textFill>
                    </w:rPr>
                    <w:t>0</w:t>
                  </w:r>
                </w:p>
              </w:tc>
            </w:tr>
          </w:tbl>
          <w:p w14:paraId="4917608D">
            <w:pPr>
              <w:pageBreakBefore w:val="0"/>
              <w:kinsoku/>
              <w:wordWrap/>
              <w:bidi w:val="0"/>
              <w:spacing w:beforeAutospacing="0" w:afterAutospacing="0" w:line="360" w:lineRule="auto"/>
              <w:ind w:left="0" w:leftChars="0" w:right="0" w:rightChars="0" w:firstLine="420" w:firstLineChars="200"/>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注：①*SO</w:t>
            </w:r>
            <w:r>
              <w:rPr>
                <w:rFonts w:hint="default" w:ascii="Times New Roman" w:hAnsi="Times New Roman" w:cs="Times New Roman"/>
                <w:color w:val="000000" w:themeColor="text1"/>
                <w:spacing w:val="0"/>
                <w:kern w:val="0"/>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的产污系数是以含硫量S%的形式表示的，单位为mg/m</w:t>
            </w:r>
            <w:r>
              <w:rPr>
                <w:rFonts w:hint="default" w:ascii="Times New Roman" w:hAnsi="Times New Roman" w:cs="Times New Roman"/>
                <w:color w:val="000000" w:themeColor="text1"/>
                <w:spacing w:val="0"/>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，其中含硫量S%是指燃料收到基硫分含量，以质量百分数的形式表示。例如燃料中含硫量S%为0.1%，则S=0.1。本次环评醇基燃料锅炉参照</w:t>
            </w:r>
            <w:r>
              <w:rPr>
                <w:rFonts w:hint="eastAsia" w:cs="Times New Roman"/>
                <w:color w:val="000000" w:themeColor="text1"/>
                <w:spacing w:val="0"/>
                <w:kern w:val="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醇基液体燃料标准（GB16663-</w:t>
            </w:r>
            <w:r>
              <w:rPr>
                <w:rFonts w:hint="eastAsia" w:cs="Times New Roman"/>
                <w:color w:val="000000" w:themeColor="text1"/>
                <w:spacing w:val="0"/>
                <w:kern w:val="0"/>
                <w:sz w:val="21"/>
                <w:szCs w:val="21"/>
                <w:highlight w:val="none"/>
                <w:lang w:val="en-US" w:eastAsia="zh-CN"/>
                <w14:textFill>
                  <w14:solidFill>
                    <w14:schemeClr w14:val="tx1"/>
                  </w14:solidFill>
                </w14:textFill>
              </w:rPr>
              <w:t>2025</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w:t>
            </w:r>
            <w:r>
              <w:rPr>
                <w:rFonts w:hint="eastAsia" w:cs="Times New Roman"/>
                <w:color w:val="000000" w:themeColor="text1"/>
                <w:spacing w:val="0"/>
                <w:kern w:val="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中硫含量标准限值S=0.010进行评价。</w:t>
            </w:r>
          </w:p>
          <w:p w14:paraId="6CD0B6A8">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pPr>
            <w:r>
              <w:rPr>
                <w:rFonts w:hint="eastAsia" w:cs="Times New Roman"/>
                <w:color w:val="000000" w:themeColor="text1"/>
                <w:spacing w:val="0"/>
                <w:kern w:val="0"/>
                <w:sz w:val="24"/>
                <w:highlight w:val="none"/>
                <w:lang w:val="en-US" w:eastAsia="zh-CN"/>
                <w14:textFill>
                  <w14:solidFill>
                    <w14:schemeClr w14:val="tx1"/>
                  </w14:solidFill>
                </w14:textFill>
              </w:rPr>
              <w:t>本项目2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t/h醇基燃料锅炉配备低氮燃烧器，NOx去除效率以30%计，</w:t>
            </w:r>
            <w:r>
              <w:rPr>
                <w:rFonts w:hint="eastAsia" w:cs="Times New Roman"/>
                <w:color w:val="000000" w:themeColor="text1"/>
                <w:spacing w:val="0"/>
                <w:kern w:val="0"/>
                <w:sz w:val="24"/>
                <w:highlight w:val="none"/>
                <w:lang w:val="en-US" w:eastAsia="zh-CN"/>
                <w14:textFill>
                  <w14:solidFill>
                    <w14:schemeClr w14:val="tx1"/>
                  </w14:solidFill>
                </w14:textFill>
              </w:rPr>
              <w:t>燃烧废气经布袋除尘器处理后通过1根15</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m高的排气筒</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DA00</w:t>
            </w:r>
            <w:r>
              <w:rPr>
                <w:rFonts w:hint="eastAsia" w:cs="Times New Roman"/>
                <w:color w:val="000000" w:themeColor="text1"/>
                <w:spacing w:val="0"/>
                <w:kern w:val="0"/>
                <w:sz w:val="24"/>
                <w:highlight w:val="none"/>
                <w:lang w:val="en-US" w:eastAsia="zh-CN"/>
                <w14:textFill>
                  <w14:solidFill>
                    <w14:schemeClr w14:val="tx1"/>
                  </w14:solidFill>
                </w14:textFill>
              </w:rPr>
              <w:t>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排放，</w:t>
            </w:r>
            <w:r>
              <w:rPr>
                <w:rFonts w:hint="eastAsia" w:cs="Times New Roman"/>
                <w:color w:val="000000" w:themeColor="text1"/>
                <w:spacing w:val="0"/>
                <w:kern w:val="0"/>
                <w:sz w:val="24"/>
                <w:highlight w:val="none"/>
                <w:lang w:val="en-US" w:eastAsia="zh-CN"/>
                <w14:textFill>
                  <w14:solidFill>
                    <w14:schemeClr w14:val="tx1"/>
                  </w14:solidFill>
                </w14:textFill>
              </w:rPr>
              <w:t>布袋除尘器对颗粒物去除效率以99%计，则2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t/h醇基燃料锅炉废气排放情况详见下表。</w:t>
            </w:r>
          </w:p>
          <w:p w14:paraId="35BC511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4-</w:t>
            </w:r>
            <w:r>
              <w:rPr>
                <w:rFonts w:hint="eastAsia" w:cs="Times New Roman"/>
                <w:b/>
                <w:color w:val="000000" w:themeColor="text1"/>
                <w:szCs w:val="21"/>
                <w:highlight w:val="none"/>
                <w:lang w:val="en-US" w:eastAsia="zh-CN"/>
                <w14:textFill>
                  <w14:solidFill>
                    <w14:schemeClr w14:val="tx1"/>
                  </w14:solidFill>
                </w14:textFill>
              </w:rPr>
              <w:t>5</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t>t/h醇基燃料锅炉燃烧废气</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污染物排放情况</w:t>
            </w:r>
          </w:p>
          <w:tbl>
            <w:tblPr>
              <w:tblStyle w:val="22"/>
              <w:tblW w:w="745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1095"/>
              <w:gridCol w:w="847"/>
              <w:gridCol w:w="1380"/>
              <w:gridCol w:w="1007"/>
              <w:gridCol w:w="1007"/>
              <w:gridCol w:w="1007"/>
            </w:tblGrid>
            <w:tr w14:paraId="6F931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46" w:type="pct"/>
                  <w:tcBorders>
                    <w:bottom w:val="single" w:color="auto" w:sz="12" w:space="0"/>
                  </w:tcBorders>
                  <w:vAlign w:val="center"/>
                </w:tcPr>
                <w:p w14:paraId="7FEA4FB1">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废气类型</w:t>
                  </w:r>
                </w:p>
              </w:tc>
              <w:tc>
                <w:tcPr>
                  <w:tcW w:w="734" w:type="pct"/>
                  <w:tcBorders>
                    <w:bottom w:val="single" w:color="auto" w:sz="12" w:space="0"/>
                  </w:tcBorders>
                  <w:vAlign w:val="center"/>
                </w:tcPr>
                <w:p w14:paraId="143CFAD8">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污染物名称</w:t>
                  </w:r>
                </w:p>
              </w:tc>
              <w:tc>
                <w:tcPr>
                  <w:tcW w:w="567" w:type="pct"/>
                  <w:tcBorders>
                    <w:bottom w:val="single" w:color="auto" w:sz="12" w:space="0"/>
                  </w:tcBorders>
                  <w:vAlign w:val="center"/>
                </w:tcPr>
                <w:p w14:paraId="4A0AEA3A">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产生量t/a</w:t>
                  </w:r>
                </w:p>
              </w:tc>
              <w:tc>
                <w:tcPr>
                  <w:tcW w:w="925" w:type="pct"/>
                  <w:tcBorders>
                    <w:bottom w:val="single" w:color="auto" w:sz="12" w:space="0"/>
                  </w:tcBorders>
                  <w:vAlign w:val="center"/>
                </w:tcPr>
                <w:p w14:paraId="5468C1C9">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处理措施</w:t>
                  </w:r>
                </w:p>
              </w:tc>
              <w:tc>
                <w:tcPr>
                  <w:tcW w:w="675" w:type="pct"/>
                  <w:tcBorders>
                    <w:bottom w:val="single" w:color="auto" w:sz="12" w:space="0"/>
                  </w:tcBorders>
                  <w:vAlign w:val="center"/>
                </w:tcPr>
                <w:p w14:paraId="11C3C7E5">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排放量t/a</w:t>
                  </w:r>
                </w:p>
              </w:tc>
              <w:tc>
                <w:tcPr>
                  <w:tcW w:w="675" w:type="pct"/>
                  <w:tcBorders>
                    <w:bottom w:val="single" w:color="auto" w:sz="12" w:space="0"/>
                  </w:tcBorders>
                  <w:vAlign w:val="center"/>
                </w:tcPr>
                <w:p w14:paraId="1B365880">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排放浓度</w:t>
                  </w:r>
                  <w:r>
                    <w:rPr>
                      <w:rFonts w:hint="default"/>
                      <w:color w:val="000000" w:themeColor="text1"/>
                      <w:highlight w:val="none"/>
                      <w:lang w:val="en-US" w:eastAsia="zh-CN"/>
                      <w14:textFill>
                        <w14:solidFill>
                          <w14:schemeClr w14:val="tx1"/>
                        </w14:solidFill>
                      </w14:textFill>
                    </w:rPr>
                    <w:t>mg/m</w:t>
                  </w:r>
                  <w:r>
                    <w:rPr>
                      <w:rFonts w:hint="default"/>
                      <w:color w:val="000000" w:themeColor="text1"/>
                      <w:highlight w:val="none"/>
                      <w:vertAlign w:val="superscript"/>
                      <w:lang w:val="en-US" w:eastAsia="zh-CN"/>
                      <w14:textFill>
                        <w14:solidFill>
                          <w14:schemeClr w14:val="tx1"/>
                        </w14:solidFill>
                      </w14:textFill>
                    </w:rPr>
                    <w:t>3</w:t>
                  </w:r>
                </w:p>
              </w:tc>
              <w:tc>
                <w:tcPr>
                  <w:tcW w:w="675" w:type="pct"/>
                  <w:tcBorders>
                    <w:bottom w:val="single" w:color="auto" w:sz="12" w:space="0"/>
                  </w:tcBorders>
                  <w:vAlign w:val="center"/>
                </w:tcPr>
                <w:p w14:paraId="29F0F660">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执行标准浓度</w:t>
                  </w:r>
                  <w:r>
                    <w:rPr>
                      <w:rFonts w:hint="default"/>
                      <w:color w:val="000000" w:themeColor="text1"/>
                      <w:highlight w:val="none"/>
                      <w:lang w:val="en-US" w:eastAsia="zh-CN"/>
                      <w14:textFill>
                        <w14:solidFill>
                          <w14:schemeClr w14:val="tx1"/>
                        </w14:solidFill>
                      </w14:textFill>
                    </w:rPr>
                    <w:t>mg/m</w:t>
                  </w:r>
                  <w:r>
                    <w:rPr>
                      <w:rFonts w:hint="default"/>
                      <w:color w:val="000000" w:themeColor="text1"/>
                      <w:highlight w:val="none"/>
                      <w:vertAlign w:val="superscript"/>
                      <w:lang w:val="en-US" w:eastAsia="zh-CN"/>
                      <w14:textFill>
                        <w14:solidFill>
                          <w14:schemeClr w14:val="tx1"/>
                        </w14:solidFill>
                      </w14:textFill>
                    </w:rPr>
                    <w:t>3</w:t>
                  </w:r>
                </w:p>
              </w:tc>
            </w:tr>
            <w:tr w14:paraId="56FDD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46" w:type="pct"/>
                  <w:vMerge w:val="restart"/>
                  <w:tcBorders>
                    <w:tl2br w:val="nil"/>
                    <w:tr2bl w:val="nil"/>
                  </w:tcBorders>
                  <w:vAlign w:val="center"/>
                </w:tcPr>
                <w:p w14:paraId="7F4773A3">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2</w:t>
                  </w:r>
                  <w:r>
                    <w:rPr>
                      <w:rFonts w:hint="default" w:ascii="Times New Roman" w:hAnsi="Times New Roman" w:eastAsia="宋体"/>
                      <w:color w:val="000000" w:themeColor="text1"/>
                      <w:highlight w:val="none"/>
                      <w:lang w:val="en-US" w:eastAsia="zh-CN"/>
                      <w14:textFill>
                        <w14:solidFill>
                          <w14:schemeClr w14:val="tx1"/>
                        </w14:solidFill>
                      </w14:textFill>
                    </w:rPr>
                    <w:t>t/h醇基燃料锅炉燃烧废气</w:t>
                  </w:r>
                </w:p>
              </w:tc>
              <w:tc>
                <w:tcPr>
                  <w:tcW w:w="734" w:type="pct"/>
                  <w:tcBorders>
                    <w:tl2br w:val="nil"/>
                    <w:tr2bl w:val="nil"/>
                  </w:tcBorders>
                  <w:vAlign w:val="center"/>
                </w:tcPr>
                <w:p w14:paraId="3395EFD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567" w:type="pct"/>
                  <w:tcBorders>
                    <w:tl2br w:val="nil"/>
                    <w:tr2bl w:val="nil"/>
                  </w:tcBorders>
                  <w:vAlign w:val="center"/>
                </w:tcPr>
                <w:p w14:paraId="224E6493">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0.156</w:t>
                  </w:r>
                </w:p>
              </w:tc>
              <w:tc>
                <w:tcPr>
                  <w:tcW w:w="925" w:type="pct"/>
                  <w:vMerge w:val="restart"/>
                  <w:tcBorders>
                    <w:tl2br w:val="nil"/>
                    <w:tr2bl w:val="nil"/>
                  </w:tcBorders>
                  <w:vAlign w:val="center"/>
                </w:tcPr>
                <w:p w14:paraId="68402CCE">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低氮燃</w:t>
                  </w:r>
                  <w:r>
                    <w:rPr>
                      <w:rFonts w:hint="eastAsia" w:ascii="Times New Roman" w:hAnsi="Times New Roman" w:eastAsia="宋体"/>
                      <w:color w:val="000000" w:themeColor="text1"/>
                      <w:highlight w:val="none"/>
                      <w:lang w:val="en-US" w:eastAsia="zh-CN"/>
                      <w14:textFill>
                        <w14:solidFill>
                          <w14:schemeClr w14:val="tx1"/>
                        </w14:solidFill>
                      </w14:textFill>
                    </w:rPr>
                    <w:t>烧</w:t>
                  </w:r>
                  <w:r>
                    <w:rPr>
                      <w:rFonts w:hint="eastAsia"/>
                      <w:color w:val="000000" w:themeColor="text1"/>
                      <w:highlight w:val="none"/>
                      <w:lang w:val="en-US" w:eastAsia="zh-CN"/>
                      <w14:textFill>
                        <w14:solidFill>
                          <w14:schemeClr w14:val="tx1"/>
                        </w14:solidFill>
                      </w14:textFill>
                    </w:rPr>
                    <w:t>+布袋除尘后</w:t>
                  </w:r>
                  <w:r>
                    <w:rPr>
                      <w:rFonts w:hint="default" w:ascii="Times New Roman" w:hAnsi="Times New Roman" w:eastAsia="宋体"/>
                      <w:color w:val="000000" w:themeColor="text1"/>
                      <w:highlight w:val="none"/>
                      <w:lang w:val="en-US" w:eastAsia="zh-CN"/>
                      <w14:textFill>
                        <w14:solidFill>
                          <w14:schemeClr w14:val="tx1"/>
                        </w14:solidFill>
                      </w14:textFill>
                    </w:rPr>
                    <w:t>经</w:t>
                  </w:r>
                  <w:r>
                    <w:rPr>
                      <w:rFonts w:hint="eastAsia" w:ascii="Times New Roman" w:hAnsi="Times New Roman" w:eastAsia="宋体"/>
                      <w:color w:val="000000" w:themeColor="text1"/>
                      <w:highlight w:val="none"/>
                      <w:lang w:val="en-US" w:eastAsia="zh-CN"/>
                      <w14:textFill>
                        <w14:solidFill>
                          <w14:schemeClr w14:val="tx1"/>
                        </w14:solidFill>
                      </w14:textFill>
                    </w:rPr>
                    <w:t>1根15</w:t>
                  </w:r>
                  <w:r>
                    <w:rPr>
                      <w:rFonts w:hint="default" w:ascii="Times New Roman" w:hAnsi="Times New Roman" w:eastAsia="宋体"/>
                      <w:color w:val="000000" w:themeColor="text1"/>
                      <w:highlight w:val="none"/>
                      <w:lang w:val="en-US" w:eastAsia="zh-CN"/>
                      <w14:textFill>
                        <w14:solidFill>
                          <w14:schemeClr w14:val="tx1"/>
                        </w14:solidFill>
                      </w14:textFill>
                    </w:rPr>
                    <w:t>m高的排气筒</w:t>
                  </w:r>
                  <w:r>
                    <w:rPr>
                      <w:rFonts w:hint="eastAsia" w:ascii="Times New Roman" w:hAnsi="Times New Roman" w:eastAsia="宋体"/>
                      <w:color w:val="000000" w:themeColor="text1"/>
                      <w:highlight w:val="none"/>
                      <w:lang w:val="en-US" w:eastAsia="zh-CN"/>
                      <w14:textFill>
                        <w14:solidFill>
                          <w14:schemeClr w14:val="tx1"/>
                        </w14:solidFill>
                      </w14:textFill>
                    </w:rPr>
                    <w:t>（</w:t>
                  </w:r>
                  <w:r>
                    <w:rPr>
                      <w:rFonts w:hint="default" w:ascii="Times New Roman" w:hAnsi="Times New Roman" w:eastAsia="宋体"/>
                      <w:color w:val="000000" w:themeColor="text1"/>
                      <w:highlight w:val="none"/>
                      <w:lang w:val="en-US" w:eastAsia="zh-CN"/>
                      <w14:textFill>
                        <w14:solidFill>
                          <w14:schemeClr w14:val="tx1"/>
                        </w14:solidFill>
                      </w14:textFill>
                    </w:rPr>
                    <w:t>DA00</w:t>
                  </w:r>
                  <w:r>
                    <w:rPr>
                      <w:rFonts w:hint="eastAsia" w:ascii="Times New Roman" w:hAnsi="Times New Roman" w:eastAsia="宋体"/>
                      <w:color w:val="000000" w:themeColor="text1"/>
                      <w:highlight w:val="none"/>
                      <w:lang w:val="en-US" w:eastAsia="zh-CN"/>
                      <w14:textFill>
                        <w14:solidFill>
                          <w14:schemeClr w14:val="tx1"/>
                        </w14:solidFill>
                      </w14:textFill>
                    </w:rPr>
                    <w:t>2）</w:t>
                  </w:r>
                  <w:r>
                    <w:rPr>
                      <w:rFonts w:hint="default" w:ascii="Times New Roman" w:hAnsi="Times New Roman" w:eastAsia="宋体"/>
                      <w:color w:val="000000" w:themeColor="text1"/>
                      <w:highlight w:val="none"/>
                      <w:lang w:val="en-US" w:eastAsia="zh-CN"/>
                      <w14:textFill>
                        <w14:solidFill>
                          <w14:schemeClr w14:val="tx1"/>
                        </w14:solidFill>
                      </w14:textFill>
                    </w:rPr>
                    <w:t>排放</w:t>
                  </w:r>
                </w:p>
              </w:tc>
              <w:tc>
                <w:tcPr>
                  <w:tcW w:w="675" w:type="pct"/>
                  <w:tcBorders>
                    <w:tl2br w:val="nil"/>
                    <w:tr2bl w:val="nil"/>
                  </w:tcBorders>
                  <w:vAlign w:val="center"/>
                </w:tcPr>
                <w:p w14:paraId="486C809C">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0.00156</w:t>
                  </w:r>
                </w:p>
              </w:tc>
              <w:tc>
                <w:tcPr>
                  <w:tcW w:w="675" w:type="pct"/>
                  <w:tcBorders>
                    <w:tl2br w:val="nil"/>
                    <w:tr2bl w:val="nil"/>
                  </w:tcBorders>
                  <w:vAlign w:val="center"/>
                </w:tcPr>
                <w:p w14:paraId="63CCFC3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0.48</w:t>
                  </w:r>
                </w:p>
              </w:tc>
              <w:tc>
                <w:tcPr>
                  <w:tcW w:w="675" w:type="pct"/>
                  <w:tcBorders>
                    <w:tl2br w:val="nil"/>
                    <w:tr2bl w:val="nil"/>
                  </w:tcBorders>
                  <w:vAlign w:val="center"/>
                </w:tcPr>
                <w:p w14:paraId="7CD10E0F">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w:t>
                  </w:r>
                </w:p>
              </w:tc>
            </w:tr>
            <w:tr w14:paraId="0B7FD6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46" w:type="pct"/>
                  <w:vMerge w:val="continue"/>
                  <w:tcBorders>
                    <w:tl2br w:val="nil"/>
                    <w:tr2bl w:val="nil"/>
                  </w:tcBorders>
                  <w:vAlign w:val="center"/>
                </w:tcPr>
                <w:p w14:paraId="40DE5829">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734" w:type="pct"/>
                  <w:tcBorders>
                    <w:tl2br w:val="nil"/>
                    <w:tr2bl w:val="nil"/>
                  </w:tcBorders>
                  <w:vAlign w:val="center"/>
                </w:tcPr>
                <w:p w14:paraId="1D12C3E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二氧化硫</w:t>
                  </w:r>
                </w:p>
              </w:tc>
              <w:tc>
                <w:tcPr>
                  <w:tcW w:w="567" w:type="pct"/>
                  <w:tcBorders>
                    <w:tl2br w:val="nil"/>
                    <w:tr2bl w:val="nil"/>
                  </w:tcBorders>
                  <w:vAlign w:val="center"/>
                </w:tcPr>
                <w:p w14:paraId="184E9661">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925" w:type="pct"/>
                  <w:vMerge w:val="continue"/>
                  <w:tcBorders>
                    <w:tl2br w:val="nil"/>
                    <w:tr2bl w:val="nil"/>
                  </w:tcBorders>
                  <w:vAlign w:val="center"/>
                </w:tcPr>
                <w:p w14:paraId="4A5BC83B">
                  <w:pPr>
                    <w:pStyle w:val="38"/>
                    <w:bidi w:val="0"/>
                    <w:jc w:val="center"/>
                    <w:rPr>
                      <w:rFonts w:hint="default"/>
                      <w:color w:val="000000" w:themeColor="text1"/>
                      <w:highlight w:val="none"/>
                      <w:lang w:val="en-US" w:eastAsia="zh-CN"/>
                      <w14:textFill>
                        <w14:solidFill>
                          <w14:schemeClr w14:val="tx1"/>
                        </w14:solidFill>
                      </w14:textFill>
                    </w:rPr>
                  </w:pPr>
                </w:p>
              </w:tc>
              <w:tc>
                <w:tcPr>
                  <w:tcW w:w="675" w:type="pct"/>
                  <w:tcBorders>
                    <w:tl2br w:val="nil"/>
                    <w:tr2bl w:val="nil"/>
                  </w:tcBorders>
                  <w:vAlign w:val="center"/>
                </w:tcPr>
                <w:p w14:paraId="2ED4DF26">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675" w:type="pct"/>
                  <w:tcBorders>
                    <w:tl2br w:val="nil"/>
                    <w:tr2bl w:val="nil"/>
                  </w:tcBorders>
                  <w:vAlign w:val="center"/>
                </w:tcPr>
                <w:p w14:paraId="7C6520E9">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36.68</w:t>
                  </w:r>
                </w:p>
              </w:tc>
              <w:tc>
                <w:tcPr>
                  <w:tcW w:w="675" w:type="pct"/>
                  <w:tcBorders>
                    <w:tl2br w:val="nil"/>
                    <w:tr2bl w:val="nil"/>
                  </w:tcBorders>
                  <w:vAlign w:val="center"/>
                </w:tcPr>
                <w:p w14:paraId="68794E4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r>
            <w:tr w14:paraId="71682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746" w:type="pct"/>
                  <w:vMerge w:val="continue"/>
                  <w:tcBorders>
                    <w:tl2br w:val="nil"/>
                    <w:tr2bl w:val="nil"/>
                  </w:tcBorders>
                  <w:vAlign w:val="center"/>
                </w:tcPr>
                <w:p w14:paraId="1FC282E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734" w:type="pct"/>
                  <w:tcBorders>
                    <w:tl2br w:val="nil"/>
                    <w:tr2bl w:val="nil"/>
                  </w:tcBorders>
                  <w:vAlign w:val="center"/>
                </w:tcPr>
                <w:p w14:paraId="03E8745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氮氧化物</w:t>
                  </w:r>
                </w:p>
              </w:tc>
              <w:tc>
                <w:tcPr>
                  <w:tcW w:w="567" w:type="pct"/>
                  <w:tcBorders>
                    <w:tl2br w:val="nil"/>
                    <w:tr2bl w:val="nil"/>
                  </w:tcBorders>
                  <w:vAlign w:val="center"/>
                </w:tcPr>
                <w:p w14:paraId="119D3B4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0.354</w:t>
                  </w:r>
                </w:p>
              </w:tc>
              <w:tc>
                <w:tcPr>
                  <w:tcW w:w="925" w:type="pct"/>
                  <w:vMerge w:val="continue"/>
                  <w:tcBorders>
                    <w:tl2br w:val="nil"/>
                    <w:tr2bl w:val="nil"/>
                  </w:tcBorders>
                  <w:vAlign w:val="center"/>
                </w:tcPr>
                <w:p w14:paraId="18619034">
                  <w:pPr>
                    <w:pStyle w:val="38"/>
                    <w:bidi w:val="0"/>
                    <w:jc w:val="center"/>
                    <w:rPr>
                      <w:rFonts w:hint="default"/>
                      <w:color w:val="000000" w:themeColor="text1"/>
                      <w:highlight w:val="none"/>
                      <w:lang w:val="en-US" w:eastAsia="zh-CN"/>
                      <w14:textFill>
                        <w14:solidFill>
                          <w14:schemeClr w14:val="tx1"/>
                        </w14:solidFill>
                      </w14:textFill>
                    </w:rPr>
                  </w:pPr>
                </w:p>
              </w:tc>
              <w:tc>
                <w:tcPr>
                  <w:tcW w:w="675" w:type="pct"/>
                  <w:tcBorders>
                    <w:tl2br w:val="nil"/>
                    <w:tr2bl w:val="nil"/>
                  </w:tcBorders>
                  <w:vAlign w:val="center"/>
                </w:tcPr>
                <w:p w14:paraId="70D2238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0.248</w:t>
                  </w:r>
                </w:p>
              </w:tc>
              <w:tc>
                <w:tcPr>
                  <w:tcW w:w="675" w:type="pct"/>
                  <w:tcBorders>
                    <w:tl2br w:val="nil"/>
                    <w:tr2bl w:val="nil"/>
                  </w:tcBorders>
                  <w:vAlign w:val="center"/>
                </w:tcPr>
                <w:p w14:paraId="43B6FA41">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75.74</w:t>
                  </w:r>
                </w:p>
              </w:tc>
              <w:tc>
                <w:tcPr>
                  <w:tcW w:w="675" w:type="pct"/>
                  <w:tcBorders>
                    <w:tl2br w:val="nil"/>
                    <w:tr2bl w:val="nil"/>
                  </w:tcBorders>
                  <w:vAlign w:val="center"/>
                </w:tcPr>
                <w:p w14:paraId="049DC8F5">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r>
          </w:tbl>
          <w:p w14:paraId="4366E8BF">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综上</w:t>
            </w:r>
            <w:r>
              <w:rPr>
                <w:rFonts w:hint="eastAsia"/>
                <w:color w:val="000000" w:themeColor="text1"/>
                <w:highlight w:val="none"/>
                <w:lang w:val="en-US" w:eastAsia="zh-CN"/>
                <w14:textFill>
                  <w14:solidFill>
                    <w14:schemeClr w14:val="tx1"/>
                  </w14:solidFill>
                </w14:textFill>
              </w:rPr>
              <w:t>所述</w:t>
            </w:r>
            <w:r>
              <w:rPr>
                <w:rFonts w:hint="default"/>
                <w:color w:val="000000" w:themeColor="text1"/>
                <w:highlight w:val="none"/>
                <w:lang w:val="en-US" w:eastAsia="zh-CN"/>
                <w14:textFill>
                  <w14:solidFill>
                    <w14:schemeClr w14:val="tx1"/>
                  </w14:solidFill>
                </w14:textFill>
              </w:rPr>
              <w:t>，项目运营期</w:t>
            </w:r>
            <w:r>
              <w:rPr>
                <w:rFonts w:hint="eastAsia"/>
                <w:color w:val="000000" w:themeColor="text1"/>
                <w:highlight w:val="none"/>
                <w:lang w:val="en-US" w:eastAsia="zh-CN"/>
                <w14:textFill>
                  <w14:solidFill>
                    <w14:schemeClr w14:val="tx1"/>
                  </w14:solidFill>
                </w14:textFill>
              </w:rPr>
              <w:t>醇基锅炉</w:t>
            </w:r>
            <w:r>
              <w:rPr>
                <w:rFonts w:hint="default"/>
                <w:color w:val="000000" w:themeColor="text1"/>
                <w:highlight w:val="none"/>
                <w:lang w:val="en-US" w:eastAsia="zh-CN"/>
                <w14:textFill>
                  <w14:solidFill>
                    <w14:schemeClr w14:val="tx1"/>
                  </w14:solidFill>
                </w14:textFill>
              </w:rPr>
              <w:t>燃烧产生的废气中颗粒物、SO</w:t>
            </w:r>
            <w:r>
              <w:rPr>
                <w:rFonts w:hint="default"/>
                <w:color w:val="000000" w:themeColor="text1"/>
                <w:highlight w:val="none"/>
                <w:vertAlign w:val="sub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《锅炉大气污染物排放标准》（GB-13271-2014）中表3燃油锅炉大气污染物特别排放浓度限值</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default"/>
                <w:color w:val="000000" w:themeColor="text1"/>
                <w:highlight w:val="none"/>
                <w:lang w:val="en-US" w:eastAsia="zh-CN"/>
                <w14:textFill>
                  <w14:solidFill>
                    <w14:schemeClr w14:val="tx1"/>
                  </w14:solidFill>
                </w14:textFill>
              </w:rPr>
              <w:t>。</w:t>
            </w:r>
          </w:p>
          <w:p w14:paraId="74F921F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4.5.5一期烘干</w:t>
            </w:r>
            <w:r>
              <w:rPr>
                <w:rFonts w:hint="default"/>
                <w:color w:val="000000" w:themeColor="text1"/>
                <w:highlight w:val="none"/>
                <w:lang w:val="en-US" w:eastAsia="zh-CN"/>
                <w14:textFill>
                  <w14:solidFill>
                    <w14:schemeClr w14:val="tx1"/>
                  </w14:solidFill>
                </w14:textFill>
              </w:rPr>
              <w:t>工序产生的</w:t>
            </w:r>
            <w:r>
              <w:rPr>
                <w:rFonts w:hint="eastAsia"/>
                <w:color w:val="000000" w:themeColor="text1"/>
                <w:highlight w:val="none"/>
                <w:lang w:val="en-US" w:eastAsia="zh-CN"/>
                <w14:textFill>
                  <w14:solidFill>
                    <w14:schemeClr w14:val="tx1"/>
                  </w14:solidFill>
                </w14:textFill>
              </w:rPr>
              <w:t>废气</w:t>
            </w:r>
          </w:p>
          <w:p w14:paraId="520A3E02">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（1）有组织废气</w:t>
            </w:r>
          </w:p>
          <w:p w14:paraId="562004CD">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经静压机工序压滤后的硅粉送入电烘干机内进行烘干，根据《逸散性工业粉尘控制技术》，烘干机出料逸散尘排放因子为0.2kg/t-原料，则产生烘干粉尘2.4t/a；烘干机出料口设置集尘罩（全包出料口），烘干废气主要成分为颗粒物经集尘罩（集尘效率90%）+袋式除尘器（除尘效率99%，</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风机风量：</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5</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000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15m排气筒（DA003）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，采取措施后有组织烘干废气排放量为0.0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22</w:t>
            </w:r>
            <w:r>
              <w:rPr>
                <w:rFonts w:hint="eastAsia"/>
                <w:color w:val="000000" w:themeColor="text1"/>
                <w:highlight w:val="none"/>
                <w:lang w:val="en-US" w:eastAsia="zh-CN"/>
                <w14:textFill>
                  <w14:solidFill>
                    <w14:schemeClr w14:val="tx1"/>
                  </w14:solidFill>
                </w14:textFill>
              </w:rPr>
              <w:t>t/a</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0.92</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0.0</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046</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7B0C9D12">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（2）无组织废气</w:t>
            </w:r>
          </w:p>
          <w:p w14:paraId="5BF97778">
            <w:pPr>
              <w:pStyle w:val="53"/>
              <w:bidi w:val="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无组织烘干废气排放量为0.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t/a，出口烟气温度为50℃，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烘干废气</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0CD55B9D">
            <w:pPr>
              <w:pStyle w:val="53"/>
              <w:bidi w:val="0"/>
              <w:rPr>
                <w:rFonts w:hint="eastAsia"/>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烘干工序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+袋式除尘器+15m排气筒（DA004）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3E37165A">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4.5.6一期原料堆场</w:t>
            </w:r>
            <w:r>
              <w:rPr>
                <w:rFonts w:hint="default"/>
                <w:color w:val="000000" w:themeColor="text1"/>
                <w:highlight w:val="none"/>
                <w:lang w:val="en-US" w:eastAsia="zh-CN"/>
                <w14:textFill>
                  <w14:solidFill>
                    <w14:schemeClr w14:val="tx1"/>
                  </w14:solidFill>
                </w14:textFill>
              </w:rPr>
              <w:t>装卸扬尘和风蚀扬尘</w:t>
            </w:r>
          </w:p>
          <w:p w14:paraId="41F55783">
            <w:pPr>
              <w:pStyle w:val="54"/>
              <w:keepNext w:val="0"/>
              <w:keepLines w:val="0"/>
              <w:pageBreakBefore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一期工程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依托振宏机械原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间原用于进行废硅粉原料堆存，项目为废硅粉预处理项目，即对原料进行提纯，故不新设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间，仅对原料堆存间进行扩建以及密闭措施），原料堆存间</w:t>
            </w:r>
            <w:r>
              <w:rPr>
                <w:rFonts w:hint="eastAsia" w:cs="Times New Roman"/>
                <w:color w:val="000000" w:themeColor="text1"/>
                <w:sz w:val="24"/>
                <w:szCs w:val="24"/>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储存。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根据《工业料堆场扬尘整治规范》采用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类料堆场中</w:t>
            </w:r>
            <w:r>
              <w:rPr>
                <w:rFonts w:hint="eastAsia" w:cs="Times New Roman"/>
                <w:color w:val="000000" w:themeColor="text1"/>
                <w:sz w:val="24"/>
                <w:szCs w:val="24"/>
                <w:highlight w:val="none"/>
                <w:lang w:val="en-US" w:eastAsia="zh-CN"/>
                <w14:textFill>
                  <w14:solidFill>
                    <w14:schemeClr w14:val="tx1"/>
                  </w14:solidFill>
                </w14:textFill>
              </w:rPr>
              <w:t>全封闭性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w:t>
            </w:r>
            <w:r>
              <w:rPr>
                <w:rFonts w:hint="eastAsia" w:cs="Times New Roman"/>
                <w:color w:val="000000" w:themeColor="text1"/>
                <w:sz w:val="24"/>
                <w:szCs w:val="24"/>
                <w:highlight w:val="none"/>
                <w:lang w:val="en-US" w:eastAsia="zh-CN"/>
                <w14:textFill>
                  <w14:solidFill>
                    <w14:schemeClr w14:val="tx1"/>
                  </w14:solidFill>
                </w14:textFill>
              </w:rPr>
              <w:t>，装卸处进行洒水降尘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1AF4D409">
            <w:pPr>
              <w:pStyle w:val="54"/>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根据《工业源产排污核算方法和系数手册》中附表2《固体物料堆存颗粒物产排污核算系数手册》</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颗粒物产生量核算公式如下：</w:t>
            </w:r>
          </w:p>
          <w:p w14:paraId="5C27CD31">
            <w:pPr>
              <w:pStyle w:val="54"/>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val="0"/>
                <w:bCs/>
                <w:color w:val="000000" w:themeColor="text1"/>
                <w:kern w:val="2"/>
                <w:position w:val="-14"/>
                <w:sz w:val="24"/>
                <w:szCs w:val="24"/>
                <w:highlight w:val="none"/>
                <w:lang w:val="en-US" w:eastAsia="zh-CN" w:bidi="ar-SA"/>
                <w14:textFill>
                  <w14:solidFill>
                    <w14:schemeClr w14:val="tx1"/>
                  </w14:solidFill>
                </w14:textFill>
              </w:rPr>
              <w:object>
                <v:shape id="_x0000_i1025" o:spt="75" type="#_x0000_t75" style="height:20pt;width:243pt;" o:ole="t" filled="f" o:preferrelative="t" stroked="f" coordsize="21600,21600">
                  <v:path/>
                  <v:fill on="f" focussize="0,0"/>
                  <v:stroke on="f"/>
                  <v:imagedata r:id="rId17" o:title=""/>
                  <o:lock v:ext="edit" aspectratio="t"/>
                  <w10:wrap type="none"/>
                  <w10:anchorlock/>
                </v:shape>
                <o:OLEObject Type="Embed" ProgID="Equation.KSEE3" ShapeID="_x0000_i1025" DrawAspect="Content" ObjectID="_1468075725" r:id="rId16">
                  <o:LockedField>false</o:LockedField>
                </o:OLEObject>
              </w:object>
            </w:r>
          </w:p>
          <w:p w14:paraId="0CB2A7A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颗粒物产生量，t；ZCy—装卸扬尘产生量，t；FCy—装卸扬尘产生量；Nc—年物料运载车次，车；D—单车平均运载量，吨/车；（a/b）指装卸扬尘概化系数；E</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指堆场风蚀扬尘概化系数；S堆场占地面积。</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项目车辆运输</w:t>
            </w:r>
            <w:r>
              <w:rPr>
                <w:rFonts w:hint="eastAsia" w:cs="Times New Roman"/>
                <w:b w:val="0"/>
                <w:bCs/>
                <w:color w:val="000000" w:themeColor="text1"/>
                <w:kern w:val="2"/>
                <w:sz w:val="24"/>
                <w:szCs w:val="24"/>
                <w:highlight w:val="none"/>
                <w:lang w:val="en-US" w:eastAsia="zh-CN" w:bidi="ar-SA"/>
                <w14:textFill>
                  <w14:solidFill>
                    <w14:schemeClr w14:val="tx1"/>
                  </w14:solidFill>
                </w14:textFill>
              </w:rPr>
              <w:t>600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车次/年，运输车辆的容量约为</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/次，计算得到：本项目</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装卸扬尘和风蚀扬尘颗粒物产生量为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p>
          <w:p w14:paraId="2ED331A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在不采取任何措施的情况下堆场产尘量为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，在采取措施后，可以有效抑制扬尘，颗粒物排放量核算如下：</w:t>
            </w:r>
          </w:p>
          <w:p w14:paraId="18C57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position w:val="-12"/>
                <w:sz w:val="24"/>
                <w:szCs w:val="24"/>
                <w:highlight w:val="none"/>
                <w:lang w:val="en-US" w:eastAsia="zh-CN" w:bidi="ar-SA"/>
                <w14:textFill>
                  <w14:solidFill>
                    <w14:schemeClr w14:val="tx1"/>
                  </w14:solidFill>
                </w14:textFill>
              </w:rPr>
              <w:object>
                <v:shape id="_x0000_i1026" o:spt="75" type="#_x0000_t75" style="height:18pt;width:124pt;" o:ole="t" filled="f" o:preferrelative="t" stroked="f" coordsize="21600,21600">
                  <v:path/>
                  <v:fill on="f" focussize="0,0"/>
                  <v:stroke on="f"/>
                  <v:imagedata r:id="rId19" o:title=""/>
                  <o:lock v:ext="edit" aspectratio="t"/>
                  <w10:wrap type="none"/>
                  <w10:anchorlock/>
                </v:shape>
                <o:OLEObject Type="Embed" ProgID="Equation.KSEE3" ShapeID="_x0000_i1026" DrawAspect="Content" ObjectID="_1468075726" r:id="rId18">
                  <o:LockedField>false</o:LockedField>
                </o:OLEObject>
              </w:object>
            </w:r>
          </w:p>
          <w:p w14:paraId="79A16F82">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颗粒物产生量，t；Uc—装卸扬尘产生量，t；Cm—颗粒物控制措施控制效率</w:t>
            </w:r>
            <w:r>
              <w:rPr>
                <w:rFonts w:hint="eastAsia" w:cs="Times New Roman"/>
                <w:color w:val="000000" w:themeColor="text1"/>
                <w:sz w:val="24"/>
                <w:szCs w:val="24"/>
                <w:highlight w:val="none"/>
                <w:lang w:val="en-US" w:eastAsia="zh-CN"/>
                <w14:textFill>
                  <w14:solidFill>
                    <w14:schemeClr w14:val="tx1"/>
                  </w14:solidFill>
                </w14:textFill>
              </w:rPr>
              <w:t>（洒水降尘效率74%）；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Tm—堆场类型控制效率（</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密闭</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控制效率为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99</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计算得到：本项目</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装卸扬尘和风蚀扬尘排放量为0.0</w:t>
            </w:r>
            <w:r>
              <w:rPr>
                <w:rFonts w:hint="eastAsia" w:cs="Times New Roman"/>
                <w:b w:val="0"/>
                <w:bCs/>
                <w:color w:val="000000" w:themeColor="text1"/>
                <w:kern w:val="2"/>
                <w:sz w:val="24"/>
                <w:szCs w:val="24"/>
                <w:highlight w:val="none"/>
                <w:lang w:val="en-US" w:eastAsia="zh-CN" w:bidi="ar-SA"/>
                <w14:textFill>
                  <w14:solidFill>
                    <w14:schemeClr w14:val="tx1"/>
                  </w14:solidFill>
                </w14:textFill>
              </w:rPr>
              <w:t>19</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p>
          <w:p w14:paraId="7E1FD430">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本项目装卸扬尘和</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风蚀扬尘产尘量为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，在采取措施后，颗粒物浓度</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65555BF4">
            <w:pPr>
              <w:pStyle w:val="29"/>
              <w:spacing w:line="360" w:lineRule="auto"/>
              <w:ind w:left="0" w:leftChars="0" w:firstLine="0" w:firstLineChars="0"/>
              <w:rPr>
                <w:rFonts w:hint="default"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二期工程产生的废气：</w:t>
            </w:r>
          </w:p>
          <w:p w14:paraId="526F3BA7">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4.5.7二期</w:t>
            </w:r>
            <w:r>
              <w:rPr>
                <w:rFonts w:hint="default"/>
                <w:color w:val="000000" w:themeColor="text1"/>
                <w:highlight w:val="none"/>
                <w:lang w:val="en-US" w:eastAsia="zh-CN"/>
                <w14:textFill>
                  <w14:solidFill>
                    <w14:schemeClr w14:val="tx1"/>
                  </w14:solidFill>
                </w14:textFill>
              </w:rPr>
              <w:t>破碎、球磨工序产生的</w:t>
            </w:r>
            <w:r>
              <w:rPr>
                <w:rFonts w:hint="eastAsia"/>
                <w:color w:val="000000" w:themeColor="text1"/>
                <w:highlight w:val="none"/>
                <w:lang w:val="en-US" w:eastAsia="zh-CN"/>
                <w14:textFill>
                  <w14:solidFill>
                    <w14:schemeClr w14:val="tx1"/>
                  </w14:solidFill>
                </w14:textFill>
              </w:rPr>
              <w:t>粉尘</w:t>
            </w:r>
          </w:p>
          <w:p w14:paraId="1AD44B55">
            <w:pPr>
              <w:pStyle w:val="6"/>
              <w:spacing w:line="360" w:lineRule="auto"/>
              <w:ind w:firstLine="480" w:firstLineChars="200"/>
              <w:rPr>
                <w:rFonts w:hint="default"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pP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（1）有组织废气</w:t>
            </w:r>
          </w:p>
          <w:p w14:paraId="1E474E52">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根据《工业源产排污核算方法和系数手册》，参考“岩石、矿石、建筑固体废弃物、尾矿等”破碎、分级工艺废气产污系数，本项目破碎、分级废气产污系数取1.89kg/吨-产品，袋式除尘平均去除率取99%。项目年处理量15000吨废硅渣，破碎、球磨工序粉尘产生量为2×1.89×15000=56700kg/a（56.7t/a），全年生产300天，每天16h，产生速率为11.81kg/h。破碎、球磨工序产生的粉尘经集气罩（收集效率为90%）+袋式除尘器</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（风机风量：</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5000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粉尘</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9</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+15m排气筒（DA003）处理后排放，</w:t>
            </w:r>
            <w:r>
              <w:rPr>
                <w:rFonts w:hint="eastAsia" w:cs="Times New Roman"/>
                <w:color w:val="000000" w:themeColor="text1"/>
                <w:sz w:val="24"/>
                <w:szCs w:val="21"/>
                <w:highlight w:val="none"/>
                <w:lang w:val="en-US" w:eastAsia="zh-CN" w:bidi="ar-SA"/>
                <w14:textFill>
                  <w14:solidFill>
                    <w14:schemeClr w14:val="tx1"/>
                  </w14:solidFill>
                </w14:textFill>
              </w:rPr>
              <w:t>最终有组织排放量为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0.51t/a，排放速率为0.11kg/h，排放浓度为21.25mg/m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。有组织废气排放浓度及排放速率满足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27A916EA">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（2）无组织废气</w:t>
            </w:r>
          </w:p>
          <w:p w14:paraId="5DAD8051">
            <w:pPr>
              <w:pStyle w:val="6"/>
              <w:spacing w:line="360" w:lineRule="auto"/>
              <w:ind w:firstLine="480" w:firstLineChars="200"/>
              <w:rPr>
                <w:rFonts w:hint="default"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pP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破碎、球磨工序集气罩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未能收集的</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无组织粉尘废气排放量为：5.67t/a</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速率：0.0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024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该部分无组织废气排放量较小，</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5B8840DB">
            <w:pPr>
              <w:pStyle w:val="6"/>
              <w:spacing w:line="360" w:lineRule="auto"/>
              <w:ind w:firstLine="480" w:firstLineChars="200"/>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破碎、球磨工序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+袋式除尘器+15m排气筒（DA004）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4A94056E">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4.5.8二期烘干</w:t>
            </w:r>
            <w:r>
              <w:rPr>
                <w:rFonts w:hint="default"/>
                <w:color w:val="000000" w:themeColor="text1"/>
                <w:highlight w:val="none"/>
                <w:lang w:val="en-US" w:eastAsia="zh-CN"/>
                <w14:textFill>
                  <w14:solidFill>
                    <w14:schemeClr w14:val="tx1"/>
                  </w14:solidFill>
                </w14:textFill>
              </w:rPr>
              <w:t>工序产生的</w:t>
            </w:r>
            <w:r>
              <w:rPr>
                <w:rFonts w:hint="eastAsia"/>
                <w:color w:val="000000" w:themeColor="text1"/>
                <w:highlight w:val="none"/>
                <w:lang w:val="en-US" w:eastAsia="zh-CN"/>
                <w14:textFill>
                  <w14:solidFill>
                    <w14:schemeClr w14:val="tx1"/>
                  </w14:solidFill>
                </w14:textFill>
              </w:rPr>
              <w:t>废气</w:t>
            </w:r>
          </w:p>
          <w:p w14:paraId="55DB40E1">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（1）有组织废气</w:t>
            </w:r>
          </w:p>
          <w:p w14:paraId="4CDB7A3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二期工程经静压机工序压滤后的硅渣送入电烘干机内进行烘干，根据《逸散性工业粉尘控制技术》，烘干机出料逸散尘排放因子为0.2kg/t-原料，则产生烘干粉尘3t/a；烘干机出料口设置集尘罩（全包出料口），烘干废气主要成分为颗粒物经集尘罩（集尘效率90%）+袋式除尘器（除尘效率99%，</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风机风量：</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5</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000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15m排气筒（DA003）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，采取措施后有组织烘干废气排放量为0.0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27</w:t>
            </w:r>
            <w:r>
              <w:rPr>
                <w:rFonts w:hint="eastAsia"/>
                <w:color w:val="000000" w:themeColor="text1"/>
                <w:highlight w:val="none"/>
                <w:lang w:val="en-US" w:eastAsia="zh-CN"/>
                <w14:textFill>
                  <w14:solidFill>
                    <w14:schemeClr w14:val="tx1"/>
                  </w14:solidFill>
                </w14:textFill>
              </w:rPr>
              <w:t>t/a</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0.96</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0.0</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056</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665F8A6E">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（2）无组织废气</w:t>
            </w:r>
          </w:p>
          <w:p w14:paraId="0196A223">
            <w:pPr>
              <w:pStyle w:val="53"/>
              <w:bidi w:val="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无组织烘干废气排放量为0.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t/a，出口烟气温度为50℃，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烘干废气</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52EA094E">
            <w:pPr>
              <w:pStyle w:val="53"/>
              <w:bidi w:val="0"/>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烘干工序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+袋式除尘器+15m排气筒（DA004）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4075DAAD">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4.5.9二期原料堆场与装卸扬尘</w:t>
            </w:r>
          </w:p>
          <w:p w14:paraId="22F24423">
            <w:pPr>
              <w:pStyle w:val="54"/>
              <w:keepNext w:val="0"/>
              <w:keepLines w:val="0"/>
              <w:pageBreakBefore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二期工程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依托振宏机械原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间原用于进行硅渣原料堆存，项目为废硅粉预处理项目，即对</w:t>
            </w:r>
            <w:r>
              <w:rPr>
                <w:rFonts w:hint="eastAsia" w:cs="Times New Roman"/>
                <w:color w:val="000000" w:themeColor="text1"/>
                <w:sz w:val="24"/>
                <w:szCs w:val="24"/>
                <w:highlight w:val="none"/>
                <w:lang w:val="en-US" w:eastAsia="zh-CN"/>
                <w14:textFill>
                  <w14:solidFill>
                    <w14:schemeClr w14:val="tx1"/>
                  </w14:solidFill>
                </w14:textFill>
              </w:rPr>
              <w:t>现有项目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原料进行提纯，故不新设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间，仅对原料堆存间进行扩建以及密闭措施），原料堆存间</w:t>
            </w:r>
            <w:r>
              <w:rPr>
                <w:rFonts w:hint="eastAsia" w:cs="Times New Roman"/>
                <w:color w:val="000000" w:themeColor="text1"/>
                <w:sz w:val="24"/>
                <w:szCs w:val="24"/>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储存。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根据《工业料堆场扬尘整治规范》采用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类料堆场中</w:t>
            </w:r>
            <w:r>
              <w:rPr>
                <w:rFonts w:hint="eastAsia" w:cs="Times New Roman"/>
                <w:color w:val="000000" w:themeColor="text1"/>
                <w:sz w:val="24"/>
                <w:szCs w:val="24"/>
                <w:highlight w:val="none"/>
                <w:lang w:val="en-US" w:eastAsia="zh-CN"/>
                <w14:textFill>
                  <w14:solidFill>
                    <w14:schemeClr w14:val="tx1"/>
                  </w14:solidFill>
                </w14:textFill>
              </w:rPr>
              <w:t>全封闭性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w:t>
            </w:r>
            <w:r>
              <w:rPr>
                <w:rFonts w:hint="eastAsia" w:cs="Times New Roman"/>
                <w:color w:val="000000" w:themeColor="text1"/>
                <w:sz w:val="24"/>
                <w:szCs w:val="24"/>
                <w:highlight w:val="none"/>
                <w:lang w:val="en-US" w:eastAsia="zh-CN"/>
                <w14:textFill>
                  <w14:solidFill>
                    <w14:schemeClr w14:val="tx1"/>
                  </w14:solidFill>
                </w14:textFill>
              </w:rPr>
              <w:t>，装卸处进行洒水降尘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6F42F466">
            <w:pPr>
              <w:pStyle w:val="54"/>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w:t>
            </w:r>
            <w:bookmarkStart w:id="5" w:name="OLE_LINK190"/>
            <w:r>
              <w:rPr>
                <w:rFonts w:hint="default" w:ascii="Times New Roman" w:hAnsi="Times New Roman" w:eastAsia="宋体" w:cs="Times New Roman"/>
                <w:color w:val="000000" w:themeColor="text1"/>
                <w:sz w:val="24"/>
                <w:szCs w:val="24"/>
                <w:highlight w:val="none"/>
                <w14:textFill>
                  <w14:solidFill>
                    <w14:schemeClr w14:val="tx1"/>
                  </w14:solidFill>
                </w14:textFill>
              </w:rPr>
              <w:t>工业源产排污核算方法和系数手册</w:t>
            </w:r>
            <w:bookmarkEnd w:id="5"/>
            <w:r>
              <w:rPr>
                <w:rFonts w:hint="default" w:ascii="Times New Roman" w:hAnsi="Times New Roman" w:eastAsia="宋体" w:cs="Times New Roman"/>
                <w:color w:val="000000" w:themeColor="text1"/>
                <w:sz w:val="24"/>
                <w:szCs w:val="24"/>
                <w:highlight w:val="none"/>
                <w14:textFill>
                  <w14:solidFill>
                    <w14:schemeClr w14:val="tx1"/>
                  </w14:solidFill>
                </w14:textFill>
              </w:rPr>
              <w:t>》中附表2《固体物料堆存颗粒物产排污核算系数手册》</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颗粒物产生量核算公式如下：</w:t>
            </w:r>
          </w:p>
          <w:p w14:paraId="79619B15">
            <w:pPr>
              <w:pStyle w:val="54"/>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val="0"/>
                <w:bCs/>
                <w:color w:val="000000" w:themeColor="text1"/>
                <w:kern w:val="2"/>
                <w:position w:val="-14"/>
                <w:sz w:val="24"/>
                <w:szCs w:val="24"/>
                <w:highlight w:val="none"/>
                <w:lang w:val="en-US" w:eastAsia="zh-CN" w:bidi="ar-SA"/>
                <w14:textFill>
                  <w14:solidFill>
                    <w14:schemeClr w14:val="tx1"/>
                  </w14:solidFill>
                </w14:textFill>
              </w:rPr>
              <w:object>
                <v:shape id="_x0000_i1027" o:spt="75" type="#_x0000_t75" style="height:20pt;width:243pt;" o:ole="t" filled="f" o:preferrelative="t" stroked="f" coordsize="21600,21600">
                  <v:path/>
                  <v:fill on="f" focussize="0,0"/>
                  <v:stroke on="f"/>
                  <v:imagedata r:id="rId17" o:title=""/>
                  <o:lock v:ext="edit" aspectratio="t"/>
                  <w10:wrap type="none"/>
                  <w10:anchorlock/>
                </v:shape>
                <o:OLEObject Type="Embed" ProgID="Equation.KSEE3" ShapeID="_x0000_i1027" DrawAspect="Content" ObjectID="_1468075727" r:id="rId20">
                  <o:LockedField>false</o:LockedField>
                </o:OLEObject>
              </w:object>
            </w:r>
          </w:p>
          <w:p w14:paraId="25B73F6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颗粒物产生量，t；ZCy—装卸扬尘产生量，t；FCy—装卸扬尘产生量；Nc—年物料运载车次，车；D—单车平均运载量，吨/车；（a/b）指装卸扬尘概化系数；E</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指堆场风蚀扬尘概化系数；S堆场占地面积。</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项目车辆运输</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750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车次/年，运输车辆的容量约为</w:t>
            </w:r>
            <w:bookmarkStart w:id="6" w:name="OLE_LINK192"/>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0</w:t>
            </w:r>
            <w:bookmarkEnd w:id="6"/>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/次，计算得到：本项目装卸扬尘和风蚀扬尘颗粒物产生量为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3.02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p>
          <w:p w14:paraId="7C67A09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在不采取任何措施的情况下堆场产尘量为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3.02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，在采取措施后，可以有效抑制扬尘，颗粒物排放量核算如下：</w:t>
            </w:r>
          </w:p>
          <w:p w14:paraId="5F931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position w:val="-12"/>
                <w:sz w:val="24"/>
                <w:szCs w:val="24"/>
                <w:highlight w:val="none"/>
                <w:lang w:val="en-US" w:eastAsia="zh-CN" w:bidi="ar-SA"/>
                <w14:textFill>
                  <w14:solidFill>
                    <w14:schemeClr w14:val="tx1"/>
                  </w14:solidFill>
                </w14:textFill>
              </w:rPr>
              <w:object>
                <v:shape id="_x0000_i1028" o:spt="75" type="#_x0000_t75" style="height:18pt;width:124pt;" o:ole="t" filled="f" o:preferrelative="t" stroked="f" coordsize="21600,21600">
                  <v:path/>
                  <v:fill on="f" focussize="0,0"/>
                  <v:stroke on="f"/>
                  <v:imagedata r:id="rId19" o:title=""/>
                  <o:lock v:ext="edit" aspectratio="t"/>
                  <w10:wrap type="none"/>
                  <w10:anchorlock/>
                </v:shape>
                <o:OLEObject Type="Embed" ProgID="Equation.KSEE3" ShapeID="_x0000_i1028" DrawAspect="Content" ObjectID="_1468075728" r:id="rId21">
                  <o:LockedField>false</o:LockedField>
                </o:OLEObject>
              </w:object>
            </w:r>
          </w:p>
          <w:p w14:paraId="33AF00ED">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颗粒物产生量，t；Uc—装卸扬尘产生量，t；Cm—颗粒物控制措施控制效率</w:t>
            </w:r>
            <w:r>
              <w:rPr>
                <w:rFonts w:hint="eastAsia" w:cs="Times New Roman"/>
                <w:color w:val="000000" w:themeColor="text1"/>
                <w:sz w:val="24"/>
                <w:szCs w:val="24"/>
                <w:highlight w:val="none"/>
                <w:lang w:val="en-US" w:eastAsia="zh-CN"/>
                <w14:textFill>
                  <w14:solidFill>
                    <w14:schemeClr w14:val="tx1"/>
                  </w14:solidFill>
                </w14:textFill>
              </w:rPr>
              <w:t>（洒水降尘效率74%）；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Tm—堆场类型控制效率（</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密闭</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控制效率为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99</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计算得到：本项目</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装卸扬尘和风蚀扬尘排放量为0.0</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0</w:t>
            </w:r>
            <w:r>
              <w:rPr>
                <w:rFonts w:hint="eastAsia" w:cs="Times New Roman"/>
                <w:b w:val="0"/>
                <w:bCs/>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p>
          <w:p w14:paraId="0A88B857">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本项目装卸扬尘和</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风蚀扬尘产尘量为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3.02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，在采取措施后，颗粒物浓度</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604E5C4E">
            <w:pPr>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表4-6   本项目一期废气排放情况一览表</w:t>
            </w:r>
          </w:p>
          <w:tbl>
            <w:tblPr>
              <w:tblStyle w:val="21"/>
              <w:tblW w:w="76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94"/>
              <w:gridCol w:w="589"/>
              <w:gridCol w:w="557"/>
              <w:gridCol w:w="663"/>
              <w:gridCol w:w="1175"/>
              <w:gridCol w:w="437"/>
              <w:gridCol w:w="713"/>
              <w:gridCol w:w="500"/>
              <w:gridCol w:w="487"/>
              <w:gridCol w:w="563"/>
              <w:gridCol w:w="388"/>
            </w:tblGrid>
            <w:tr w14:paraId="1649A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427" w:type="pct"/>
                  <w:vMerge w:val="restart"/>
                  <w:noWrap w:val="0"/>
                  <w:vAlign w:val="center"/>
                </w:tcPr>
                <w:p w14:paraId="345F3B0F">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586" w:type="pct"/>
                  <w:vMerge w:val="restart"/>
                  <w:noWrap w:val="0"/>
                  <w:vAlign w:val="center"/>
                </w:tcPr>
                <w:p w14:paraId="3CD2AC89">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排放口名称及编号</w:t>
                  </w:r>
                </w:p>
              </w:tc>
              <w:tc>
                <w:tcPr>
                  <w:tcW w:w="752" w:type="pct"/>
                  <w:gridSpan w:val="2"/>
                  <w:tcBorders>
                    <w:bottom w:val="single" w:color="auto" w:sz="12" w:space="0"/>
                  </w:tcBorders>
                  <w:noWrap w:val="0"/>
                  <w:vAlign w:val="center"/>
                </w:tcPr>
                <w:p w14:paraId="2AD4F3A7">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排放口中心坐标</w:t>
                  </w:r>
                </w:p>
              </w:tc>
              <w:tc>
                <w:tcPr>
                  <w:tcW w:w="435" w:type="pct"/>
                  <w:vMerge w:val="restart"/>
                  <w:noWrap w:val="0"/>
                  <w:vAlign w:val="center"/>
                </w:tcPr>
                <w:p w14:paraId="3F3D26F4">
                  <w:pPr>
                    <w:spacing w:line="240" w:lineRule="auto"/>
                    <w:jc w:val="center"/>
                    <w:rPr>
                      <w:rFonts w:hint="eastAsia"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771" w:type="pct"/>
                  <w:vMerge w:val="restart"/>
                  <w:noWrap w:val="0"/>
                  <w:vAlign w:val="center"/>
                </w:tcPr>
                <w:p w14:paraId="00D6583D">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286" w:type="pct"/>
                  <w:vMerge w:val="restart"/>
                  <w:noWrap w:val="0"/>
                  <w:vAlign w:val="center"/>
                </w:tcPr>
                <w:p w14:paraId="4ADD5287">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468" w:type="pct"/>
                  <w:vMerge w:val="restart"/>
                  <w:noWrap w:val="0"/>
                  <w:vAlign w:val="center"/>
                </w:tcPr>
                <w:p w14:paraId="50D4013E">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c>
                <w:tcPr>
                  <w:tcW w:w="1017" w:type="pct"/>
                  <w:gridSpan w:val="3"/>
                  <w:tcBorders>
                    <w:bottom w:val="single" w:color="auto" w:sz="12" w:space="0"/>
                  </w:tcBorders>
                  <w:noWrap w:val="0"/>
                  <w:vAlign w:val="center"/>
                </w:tcPr>
                <w:p w14:paraId="6F656A86">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排气筒参数</w:t>
                  </w:r>
                </w:p>
              </w:tc>
              <w:tc>
                <w:tcPr>
                  <w:tcW w:w="254" w:type="pct"/>
                  <w:vMerge w:val="restart"/>
                  <w:noWrap w:val="0"/>
                  <w:vAlign w:val="center"/>
                </w:tcPr>
                <w:p w14:paraId="62F8D79F">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排放口类型</w:t>
                  </w:r>
                </w:p>
              </w:tc>
            </w:tr>
            <w:tr w14:paraId="4607DB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427" w:type="pct"/>
                  <w:vMerge w:val="continue"/>
                  <w:tcBorders>
                    <w:bottom w:val="single" w:color="auto" w:sz="12" w:space="0"/>
                  </w:tcBorders>
                  <w:noWrap w:val="0"/>
                  <w:vAlign w:val="center"/>
                </w:tcPr>
                <w:p w14:paraId="2F5BD7D5">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586" w:type="pct"/>
                  <w:vMerge w:val="continue"/>
                  <w:tcBorders>
                    <w:bottom w:val="single" w:color="auto" w:sz="12" w:space="0"/>
                  </w:tcBorders>
                  <w:noWrap w:val="0"/>
                  <w:vAlign w:val="center"/>
                </w:tcPr>
                <w:p w14:paraId="524D50F2">
                  <w:pPr>
                    <w:pStyle w:val="10"/>
                    <w:jc w:val="center"/>
                    <w:rPr>
                      <w:rFonts w:hint="eastAsia"/>
                      <w:b/>
                      <w:bCs/>
                      <w:color w:val="000000" w:themeColor="text1"/>
                      <w:sz w:val="21"/>
                      <w:szCs w:val="21"/>
                      <w:highlight w:val="none"/>
                      <w:lang w:val="en-US" w:eastAsia="zh-CN"/>
                      <w14:textFill>
                        <w14:solidFill>
                          <w14:schemeClr w14:val="tx1"/>
                        </w14:solidFill>
                      </w14:textFill>
                    </w:rPr>
                  </w:pPr>
                </w:p>
              </w:tc>
              <w:tc>
                <w:tcPr>
                  <w:tcW w:w="386" w:type="pct"/>
                  <w:tcBorders>
                    <w:bottom w:val="single" w:color="auto" w:sz="12" w:space="0"/>
                  </w:tcBorders>
                  <w:noWrap w:val="0"/>
                  <w:vAlign w:val="center"/>
                </w:tcPr>
                <w:p w14:paraId="7A1950F0">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经度</w:t>
                  </w:r>
                </w:p>
              </w:tc>
              <w:tc>
                <w:tcPr>
                  <w:tcW w:w="365" w:type="pct"/>
                  <w:tcBorders>
                    <w:bottom w:val="single" w:color="auto" w:sz="12" w:space="0"/>
                  </w:tcBorders>
                  <w:noWrap w:val="0"/>
                  <w:vAlign w:val="center"/>
                </w:tcPr>
                <w:p w14:paraId="34FF597D">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纬度</w:t>
                  </w:r>
                </w:p>
              </w:tc>
              <w:tc>
                <w:tcPr>
                  <w:tcW w:w="435" w:type="pct"/>
                  <w:vMerge w:val="continue"/>
                  <w:tcBorders>
                    <w:bottom w:val="single" w:color="auto" w:sz="12" w:space="0"/>
                  </w:tcBorders>
                  <w:noWrap w:val="0"/>
                  <w:vAlign w:val="center"/>
                </w:tcPr>
                <w:p w14:paraId="26BB87C6">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771" w:type="pct"/>
                  <w:vMerge w:val="continue"/>
                  <w:tcBorders>
                    <w:bottom w:val="single" w:color="auto" w:sz="12" w:space="0"/>
                  </w:tcBorders>
                  <w:noWrap w:val="0"/>
                  <w:vAlign w:val="center"/>
                </w:tcPr>
                <w:p w14:paraId="39002CD1">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286" w:type="pct"/>
                  <w:vMerge w:val="continue"/>
                  <w:tcBorders>
                    <w:bottom w:val="single" w:color="auto" w:sz="12" w:space="0"/>
                  </w:tcBorders>
                  <w:noWrap w:val="0"/>
                  <w:vAlign w:val="center"/>
                </w:tcPr>
                <w:p w14:paraId="2A16FE81">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468" w:type="pct"/>
                  <w:vMerge w:val="continue"/>
                  <w:tcBorders>
                    <w:bottom w:val="single" w:color="auto" w:sz="12" w:space="0"/>
                  </w:tcBorders>
                  <w:noWrap w:val="0"/>
                  <w:vAlign w:val="center"/>
                </w:tcPr>
                <w:p w14:paraId="655A781C">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328" w:type="pct"/>
                  <w:tcBorders>
                    <w:bottom w:val="single" w:color="auto" w:sz="12" w:space="0"/>
                  </w:tcBorders>
                  <w:noWrap w:val="0"/>
                  <w:vAlign w:val="center"/>
                </w:tcPr>
                <w:p w14:paraId="4BE18766">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高度m</w:t>
                  </w:r>
                </w:p>
              </w:tc>
              <w:tc>
                <w:tcPr>
                  <w:tcW w:w="319" w:type="pct"/>
                  <w:tcBorders>
                    <w:bottom w:val="single" w:color="auto" w:sz="12" w:space="0"/>
                  </w:tcBorders>
                  <w:noWrap w:val="0"/>
                  <w:vAlign w:val="center"/>
                </w:tcPr>
                <w:p w14:paraId="106B67EA">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内径m</w:t>
                  </w:r>
                </w:p>
              </w:tc>
              <w:tc>
                <w:tcPr>
                  <w:tcW w:w="369" w:type="pct"/>
                  <w:tcBorders>
                    <w:bottom w:val="single" w:color="auto" w:sz="12" w:space="0"/>
                  </w:tcBorders>
                  <w:noWrap w:val="0"/>
                  <w:vAlign w:val="center"/>
                </w:tcPr>
                <w:p w14:paraId="15A74F75">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温度℃</w:t>
                  </w:r>
                </w:p>
              </w:tc>
              <w:tc>
                <w:tcPr>
                  <w:tcW w:w="254" w:type="pct"/>
                  <w:vMerge w:val="continue"/>
                  <w:tcBorders>
                    <w:bottom w:val="single" w:color="auto" w:sz="12" w:space="0"/>
                  </w:tcBorders>
                  <w:noWrap w:val="0"/>
                  <w:vAlign w:val="center"/>
                </w:tcPr>
                <w:p w14:paraId="58BEBCA9">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r>
            <w:tr w14:paraId="20741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27" w:type="pct"/>
                  <w:vMerge w:val="restart"/>
                  <w:tcBorders>
                    <w:top w:val="single" w:color="auto" w:sz="12" w:space="0"/>
                    <w:tl2br w:val="nil"/>
                    <w:tr2bl w:val="nil"/>
                  </w:tcBorders>
                  <w:noWrap w:val="0"/>
                  <w:vAlign w:val="center"/>
                </w:tcPr>
                <w:p w14:paraId="24ECDF58">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有组织排放</w:t>
                  </w:r>
                </w:p>
              </w:tc>
              <w:tc>
                <w:tcPr>
                  <w:tcW w:w="586" w:type="pct"/>
                  <w:vMerge w:val="restart"/>
                  <w:tcBorders>
                    <w:top w:val="single" w:color="auto" w:sz="12" w:space="0"/>
                    <w:tl2br w:val="nil"/>
                    <w:tr2bl w:val="nil"/>
                  </w:tcBorders>
                  <w:noWrap w:val="0"/>
                  <w:vAlign w:val="center"/>
                </w:tcPr>
                <w:p w14:paraId="7AC154C0">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碱法喷淋塔</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DA001</w:t>
                  </w:r>
                </w:p>
              </w:tc>
              <w:tc>
                <w:tcPr>
                  <w:tcW w:w="386" w:type="pct"/>
                  <w:vMerge w:val="restart"/>
                  <w:tcBorders>
                    <w:top w:val="single" w:color="auto" w:sz="12" w:space="0"/>
                    <w:tl2br w:val="nil"/>
                    <w:tr2bl w:val="nil"/>
                  </w:tcBorders>
                  <w:noWrap w:val="0"/>
                  <w:vAlign w:val="center"/>
                </w:tcPr>
                <w:p w14:paraId="5E4B1D6E">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87°08′13.946"</w:t>
                  </w:r>
                </w:p>
              </w:tc>
              <w:tc>
                <w:tcPr>
                  <w:tcW w:w="365" w:type="pct"/>
                  <w:vMerge w:val="restart"/>
                  <w:tcBorders>
                    <w:top w:val="single" w:color="auto" w:sz="12" w:space="0"/>
                    <w:tl2br w:val="nil"/>
                    <w:tr2bl w:val="nil"/>
                  </w:tcBorders>
                  <w:noWrap w:val="0"/>
                  <w:vAlign w:val="center"/>
                </w:tcPr>
                <w:p w14:paraId="6A3F274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44°05′28.851"</w:t>
                  </w:r>
                </w:p>
              </w:tc>
              <w:tc>
                <w:tcPr>
                  <w:tcW w:w="435" w:type="pct"/>
                  <w:tcBorders>
                    <w:top w:val="single" w:color="auto" w:sz="12" w:space="0"/>
                    <w:bottom w:val="single" w:color="auto" w:sz="4" w:space="0"/>
                    <w:tl2br w:val="nil"/>
                    <w:tr2bl w:val="nil"/>
                  </w:tcBorders>
                  <w:noWrap w:val="0"/>
                  <w:vAlign w:val="center"/>
                </w:tcPr>
                <w:p w14:paraId="7A0403AC">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eastAsia="宋体"/>
                      <w:snapToGrid w:val="0"/>
                      <w:color w:val="000000" w:themeColor="text1"/>
                      <w:kern w:val="0"/>
                      <w:sz w:val="21"/>
                      <w:szCs w:val="21"/>
                      <w:highlight w:val="none"/>
                      <w:lang w:val="en-US" w:eastAsia="zh-CN"/>
                      <w14:textFill>
                        <w14:solidFill>
                          <w14:schemeClr w14:val="tx1"/>
                        </w14:solidFill>
                      </w14:textFill>
                    </w:rPr>
                    <w:t>HCL</w:t>
                  </w:r>
                </w:p>
              </w:tc>
              <w:tc>
                <w:tcPr>
                  <w:tcW w:w="771" w:type="pct"/>
                  <w:vMerge w:val="restart"/>
                  <w:tcBorders>
                    <w:top w:val="single" w:color="auto" w:sz="12" w:space="0"/>
                    <w:bottom w:val="single" w:color="auto" w:sz="4" w:space="0"/>
                    <w:tl2br w:val="nil"/>
                    <w:tr2bl w:val="nil"/>
                  </w:tcBorders>
                  <w:noWrap w:val="0"/>
                  <w:vAlign w:val="center"/>
                </w:tcPr>
                <w:p w14:paraId="4DB63CFF">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碱法喷淋塔</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15m高排气筒（DA001）有组织排放</w:t>
                  </w:r>
                </w:p>
              </w:tc>
              <w:tc>
                <w:tcPr>
                  <w:tcW w:w="286" w:type="pct"/>
                  <w:tcBorders>
                    <w:top w:val="single" w:color="auto" w:sz="12" w:space="0"/>
                    <w:bottom w:val="single" w:color="auto" w:sz="4" w:space="0"/>
                    <w:tl2br w:val="nil"/>
                    <w:tr2bl w:val="nil"/>
                  </w:tcBorders>
                  <w:noWrap w:val="0"/>
                  <w:vAlign w:val="center"/>
                </w:tcPr>
                <w:p w14:paraId="3BE3C867">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op w:val="single" w:color="auto" w:sz="12" w:space="0"/>
                    <w:bottom w:val="single" w:color="auto" w:sz="4" w:space="0"/>
                    <w:tl2br w:val="nil"/>
                    <w:tr2bl w:val="nil"/>
                  </w:tcBorders>
                  <w:noWrap w:val="0"/>
                  <w:vAlign w:val="center"/>
                </w:tcPr>
                <w:p w14:paraId="3D9B177D">
                  <w:pPr>
                    <w:spacing w:line="240" w:lineRule="auto"/>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0.062</w:t>
                  </w:r>
                </w:p>
              </w:tc>
              <w:tc>
                <w:tcPr>
                  <w:tcW w:w="328" w:type="pct"/>
                  <w:vMerge w:val="restart"/>
                  <w:tcBorders>
                    <w:top w:val="single" w:color="auto" w:sz="12" w:space="0"/>
                    <w:tl2br w:val="nil"/>
                    <w:tr2bl w:val="nil"/>
                  </w:tcBorders>
                  <w:noWrap w:val="0"/>
                  <w:vAlign w:val="center"/>
                </w:tcPr>
                <w:p w14:paraId="5D5CBA54">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vMerge w:val="restart"/>
                  <w:tcBorders>
                    <w:top w:val="single" w:color="auto" w:sz="12" w:space="0"/>
                    <w:tl2br w:val="nil"/>
                    <w:tr2bl w:val="nil"/>
                  </w:tcBorders>
                  <w:noWrap w:val="0"/>
                  <w:vAlign w:val="center"/>
                </w:tcPr>
                <w:p w14:paraId="125DAC80">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vMerge w:val="restart"/>
                  <w:tcBorders>
                    <w:top w:val="single" w:color="auto" w:sz="12" w:space="0"/>
                    <w:tl2br w:val="nil"/>
                    <w:tr2bl w:val="nil"/>
                  </w:tcBorders>
                  <w:noWrap w:val="0"/>
                  <w:vAlign w:val="center"/>
                </w:tcPr>
                <w:p w14:paraId="3E77D0C1">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vMerge w:val="restart"/>
                  <w:tcBorders>
                    <w:top w:val="single" w:color="auto" w:sz="12" w:space="0"/>
                    <w:tl2br w:val="nil"/>
                    <w:tr2bl w:val="nil"/>
                  </w:tcBorders>
                  <w:noWrap w:val="0"/>
                  <w:vAlign w:val="center"/>
                </w:tcPr>
                <w:p w14:paraId="3A868686">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3C0CE9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427" w:type="pct"/>
                  <w:vMerge w:val="continue"/>
                  <w:tcBorders>
                    <w:tl2br w:val="nil"/>
                    <w:tr2bl w:val="nil"/>
                  </w:tcBorders>
                  <w:noWrap w:val="0"/>
                  <w:vAlign w:val="center"/>
                </w:tcPr>
                <w:p w14:paraId="7D50471F">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586" w:type="pct"/>
                  <w:vMerge w:val="continue"/>
                  <w:tcBorders>
                    <w:tl2br w:val="nil"/>
                    <w:tr2bl w:val="nil"/>
                  </w:tcBorders>
                  <w:noWrap w:val="0"/>
                  <w:vAlign w:val="center"/>
                </w:tcPr>
                <w:p w14:paraId="1EAF502C">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386" w:type="pct"/>
                  <w:vMerge w:val="continue"/>
                  <w:tcBorders>
                    <w:tl2br w:val="nil"/>
                    <w:tr2bl w:val="nil"/>
                  </w:tcBorders>
                  <w:noWrap w:val="0"/>
                  <w:vAlign w:val="center"/>
                </w:tcPr>
                <w:p w14:paraId="27277375">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5" w:type="pct"/>
                  <w:vMerge w:val="continue"/>
                  <w:tcBorders>
                    <w:tl2br w:val="nil"/>
                    <w:tr2bl w:val="nil"/>
                  </w:tcBorders>
                  <w:noWrap w:val="0"/>
                  <w:vAlign w:val="center"/>
                </w:tcPr>
                <w:p w14:paraId="40BD4E3A">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35" w:type="pct"/>
                  <w:tcBorders>
                    <w:top w:val="single" w:color="auto" w:sz="4" w:space="0"/>
                    <w:tl2br w:val="nil"/>
                    <w:tr2bl w:val="nil"/>
                  </w:tcBorders>
                  <w:noWrap w:val="0"/>
                  <w:vAlign w:val="center"/>
                </w:tcPr>
                <w:p w14:paraId="308E9EE4">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vMerge w:val="continue"/>
                  <w:tcBorders>
                    <w:top w:val="single" w:color="auto" w:sz="4" w:space="0"/>
                    <w:tl2br w:val="nil"/>
                    <w:tr2bl w:val="nil"/>
                  </w:tcBorders>
                  <w:noWrap w:val="0"/>
                  <w:vAlign w:val="center"/>
                </w:tcPr>
                <w:p w14:paraId="35FB663D">
                  <w:pPr>
                    <w:spacing w:line="240" w:lineRule="auto"/>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p>
              </w:tc>
              <w:tc>
                <w:tcPr>
                  <w:tcW w:w="286" w:type="pct"/>
                  <w:tcBorders>
                    <w:top w:val="single" w:color="auto" w:sz="4" w:space="0"/>
                    <w:tl2br w:val="nil"/>
                    <w:tr2bl w:val="nil"/>
                  </w:tcBorders>
                  <w:noWrap w:val="0"/>
                  <w:vAlign w:val="center"/>
                </w:tcPr>
                <w:p w14:paraId="07779911">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op w:val="single" w:color="auto" w:sz="4" w:space="0"/>
                    <w:tl2br w:val="nil"/>
                    <w:tr2bl w:val="nil"/>
                  </w:tcBorders>
                  <w:noWrap w:val="0"/>
                  <w:vAlign w:val="center"/>
                </w:tcPr>
                <w:p w14:paraId="024EE896">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0.054</w:t>
                  </w:r>
                </w:p>
              </w:tc>
              <w:tc>
                <w:tcPr>
                  <w:tcW w:w="328" w:type="pct"/>
                  <w:vMerge w:val="continue"/>
                  <w:tcBorders>
                    <w:tl2br w:val="nil"/>
                    <w:tr2bl w:val="nil"/>
                  </w:tcBorders>
                  <w:noWrap w:val="0"/>
                  <w:vAlign w:val="center"/>
                </w:tcPr>
                <w:p w14:paraId="06CD9219">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319" w:type="pct"/>
                  <w:vMerge w:val="continue"/>
                  <w:tcBorders>
                    <w:tl2br w:val="nil"/>
                    <w:tr2bl w:val="nil"/>
                  </w:tcBorders>
                  <w:noWrap w:val="0"/>
                  <w:vAlign w:val="center"/>
                </w:tcPr>
                <w:p w14:paraId="605CD5D3">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369" w:type="pct"/>
                  <w:vMerge w:val="continue"/>
                  <w:tcBorders>
                    <w:tl2br w:val="nil"/>
                    <w:tr2bl w:val="nil"/>
                  </w:tcBorders>
                  <w:noWrap w:val="0"/>
                  <w:vAlign w:val="center"/>
                </w:tcPr>
                <w:p w14:paraId="6AD23A19">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254" w:type="pct"/>
                  <w:vMerge w:val="continue"/>
                  <w:tcBorders>
                    <w:tl2br w:val="nil"/>
                    <w:tr2bl w:val="nil"/>
                  </w:tcBorders>
                  <w:noWrap w:val="0"/>
                  <w:vAlign w:val="center"/>
                </w:tcPr>
                <w:p w14:paraId="12B719BF">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r>
            <w:tr w14:paraId="4EA8E7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427" w:type="pct"/>
                  <w:vMerge w:val="continue"/>
                  <w:tcBorders>
                    <w:tl2br w:val="nil"/>
                    <w:tr2bl w:val="nil"/>
                  </w:tcBorders>
                  <w:noWrap w:val="0"/>
                  <w:vAlign w:val="center"/>
                </w:tcPr>
                <w:p w14:paraId="6CF588D5">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586" w:type="pct"/>
                  <w:vMerge w:val="restart"/>
                  <w:tcBorders>
                    <w:tl2br w:val="nil"/>
                    <w:tr2bl w:val="nil"/>
                  </w:tcBorders>
                  <w:noWrap w:val="0"/>
                  <w:vAlign w:val="center"/>
                </w:tcPr>
                <w:p w14:paraId="64E1163C">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醇基锅炉排放口DA002</w:t>
                  </w:r>
                </w:p>
              </w:tc>
              <w:tc>
                <w:tcPr>
                  <w:tcW w:w="386" w:type="pct"/>
                  <w:vMerge w:val="restart"/>
                  <w:tcBorders>
                    <w:tl2br w:val="nil"/>
                    <w:tr2bl w:val="nil"/>
                  </w:tcBorders>
                  <w:noWrap w:val="0"/>
                  <w:vAlign w:val="center"/>
                </w:tcPr>
                <w:p w14:paraId="041D74F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87°08′13.502"</w:t>
                  </w:r>
                </w:p>
              </w:tc>
              <w:tc>
                <w:tcPr>
                  <w:tcW w:w="365" w:type="pct"/>
                  <w:vMerge w:val="restart"/>
                  <w:tcBorders>
                    <w:tl2br w:val="nil"/>
                    <w:tr2bl w:val="nil"/>
                  </w:tcBorders>
                  <w:noWrap w:val="0"/>
                  <w:vAlign w:val="center"/>
                </w:tcPr>
                <w:p w14:paraId="6D91B11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44°05′28.848"</w:t>
                  </w:r>
                </w:p>
              </w:tc>
              <w:tc>
                <w:tcPr>
                  <w:tcW w:w="435" w:type="pct"/>
                  <w:tcBorders>
                    <w:tl2br w:val="nil"/>
                    <w:tr2bl w:val="nil"/>
                  </w:tcBorders>
                  <w:noWrap w:val="0"/>
                  <w:vAlign w:val="center"/>
                </w:tcPr>
                <w:p w14:paraId="628D85A6">
                  <w:pPr>
                    <w:pStyle w:val="38"/>
                    <w:bidi w:val="0"/>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颗粒物</w:t>
                  </w:r>
                </w:p>
              </w:tc>
              <w:tc>
                <w:tcPr>
                  <w:tcW w:w="771" w:type="pct"/>
                  <w:vMerge w:val="restart"/>
                  <w:tcBorders>
                    <w:tl2br w:val="nil"/>
                    <w:tr2bl w:val="nil"/>
                  </w:tcBorders>
                  <w:noWrap w:val="0"/>
                  <w:vAlign w:val="center"/>
                </w:tcPr>
                <w:p w14:paraId="58769EE6">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低氮燃烧器</w:t>
                  </w:r>
                  <w:r>
                    <w:rPr>
                      <w:rFonts w:hint="eastAsia" w:cs="Times New Roman"/>
                      <w:color w:val="000000" w:themeColor="text1"/>
                      <w:w w:val="100"/>
                      <w:position w:val="0"/>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l2br w:val="nil"/>
                    <w:tr2bl w:val="nil"/>
                  </w:tcBorders>
                  <w:noWrap w:val="0"/>
                  <w:vAlign w:val="center"/>
                </w:tcPr>
                <w:p w14:paraId="33554701">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noWrap w:val="0"/>
                  <w:vAlign w:val="center"/>
                </w:tcPr>
                <w:p w14:paraId="743290DE">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0.00156</w:t>
                  </w:r>
                </w:p>
              </w:tc>
              <w:tc>
                <w:tcPr>
                  <w:tcW w:w="328" w:type="pct"/>
                  <w:vMerge w:val="restart"/>
                  <w:tcBorders>
                    <w:tl2br w:val="nil"/>
                    <w:tr2bl w:val="nil"/>
                  </w:tcBorders>
                  <w:noWrap w:val="0"/>
                  <w:vAlign w:val="center"/>
                </w:tcPr>
                <w:p w14:paraId="5E5CA522">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15</w:t>
                  </w:r>
                </w:p>
              </w:tc>
              <w:tc>
                <w:tcPr>
                  <w:tcW w:w="319" w:type="pct"/>
                  <w:vMerge w:val="restart"/>
                  <w:tcBorders>
                    <w:tl2br w:val="nil"/>
                    <w:tr2bl w:val="nil"/>
                  </w:tcBorders>
                  <w:noWrap w:val="0"/>
                  <w:vAlign w:val="center"/>
                </w:tcPr>
                <w:p w14:paraId="710C0822">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0.5</w:t>
                  </w:r>
                </w:p>
              </w:tc>
              <w:tc>
                <w:tcPr>
                  <w:tcW w:w="369" w:type="pct"/>
                  <w:vMerge w:val="restart"/>
                  <w:tcBorders>
                    <w:tl2br w:val="nil"/>
                    <w:tr2bl w:val="nil"/>
                  </w:tcBorders>
                  <w:noWrap w:val="0"/>
                  <w:vAlign w:val="center"/>
                </w:tcPr>
                <w:p w14:paraId="14542C10">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50</w:t>
                  </w:r>
                </w:p>
              </w:tc>
              <w:tc>
                <w:tcPr>
                  <w:tcW w:w="254" w:type="pct"/>
                  <w:vMerge w:val="restart"/>
                  <w:tcBorders>
                    <w:tl2br w:val="nil"/>
                    <w:tr2bl w:val="nil"/>
                  </w:tcBorders>
                  <w:noWrap w:val="0"/>
                  <w:vAlign w:val="center"/>
                </w:tcPr>
                <w:p w14:paraId="7FDC592B">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111BF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427" w:type="pct"/>
                  <w:vMerge w:val="continue"/>
                  <w:tcBorders>
                    <w:tl2br w:val="nil"/>
                    <w:tr2bl w:val="nil"/>
                  </w:tcBorders>
                  <w:noWrap w:val="0"/>
                  <w:vAlign w:val="center"/>
                </w:tcPr>
                <w:p w14:paraId="3CEE6D53">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586" w:type="pct"/>
                  <w:vMerge w:val="continue"/>
                  <w:tcBorders>
                    <w:tl2br w:val="nil"/>
                    <w:tr2bl w:val="nil"/>
                  </w:tcBorders>
                  <w:noWrap w:val="0"/>
                  <w:vAlign w:val="center"/>
                </w:tcPr>
                <w:p w14:paraId="355487CF">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386" w:type="pct"/>
                  <w:vMerge w:val="continue"/>
                  <w:tcBorders>
                    <w:tl2br w:val="nil"/>
                    <w:tr2bl w:val="nil"/>
                  </w:tcBorders>
                  <w:noWrap w:val="0"/>
                  <w:vAlign w:val="center"/>
                </w:tcPr>
                <w:p w14:paraId="2C6E43CB">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365" w:type="pct"/>
                  <w:vMerge w:val="continue"/>
                  <w:tcBorders>
                    <w:tl2br w:val="nil"/>
                    <w:tr2bl w:val="nil"/>
                  </w:tcBorders>
                  <w:noWrap w:val="0"/>
                  <w:vAlign w:val="center"/>
                </w:tcPr>
                <w:p w14:paraId="3498EC37">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435" w:type="pct"/>
                  <w:tcBorders>
                    <w:tl2br w:val="nil"/>
                    <w:tr2bl w:val="nil"/>
                  </w:tcBorders>
                  <w:noWrap w:val="0"/>
                  <w:vAlign w:val="center"/>
                </w:tcPr>
                <w:p w14:paraId="033AD74B">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二氧化硫</w:t>
                  </w:r>
                </w:p>
              </w:tc>
              <w:tc>
                <w:tcPr>
                  <w:tcW w:w="771" w:type="pct"/>
                  <w:vMerge w:val="continue"/>
                  <w:tcBorders>
                    <w:tl2br w:val="nil"/>
                    <w:tr2bl w:val="nil"/>
                  </w:tcBorders>
                  <w:noWrap w:val="0"/>
                  <w:vAlign w:val="center"/>
                </w:tcPr>
                <w:p w14:paraId="40F1AFF0">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286" w:type="pct"/>
                  <w:tcBorders>
                    <w:tl2br w:val="nil"/>
                    <w:tr2bl w:val="nil"/>
                  </w:tcBorders>
                  <w:noWrap w:val="0"/>
                  <w:vAlign w:val="center"/>
                </w:tcPr>
                <w:p w14:paraId="19DF943D">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noWrap w:val="0"/>
                  <w:vAlign w:val="center"/>
                </w:tcPr>
                <w:p w14:paraId="4F6957D1">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0.12</w:t>
                  </w:r>
                </w:p>
              </w:tc>
              <w:tc>
                <w:tcPr>
                  <w:tcW w:w="328" w:type="pct"/>
                  <w:vMerge w:val="continue"/>
                  <w:tcBorders>
                    <w:tl2br w:val="nil"/>
                    <w:tr2bl w:val="nil"/>
                  </w:tcBorders>
                  <w:noWrap w:val="0"/>
                  <w:vAlign w:val="center"/>
                </w:tcPr>
                <w:p w14:paraId="0F438669">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319" w:type="pct"/>
                  <w:vMerge w:val="continue"/>
                  <w:tcBorders>
                    <w:tl2br w:val="nil"/>
                    <w:tr2bl w:val="nil"/>
                  </w:tcBorders>
                  <w:noWrap w:val="0"/>
                  <w:vAlign w:val="center"/>
                </w:tcPr>
                <w:p w14:paraId="34561BBF">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369" w:type="pct"/>
                  <w:vMerge w:val="continue"/>
                  <w:tcBorders>
                    <w:tl2br w:val="nil"/>
                    <w:tr2bl w:val="nil"/>
                  </w:tcBorders>
                  <w:noWrap w:val="0"/>
                  <w:vAlign w:val="center"/>
                </w:tcPr>
                <w:p w14:paraId="19F4DBD2">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254" w:type="pct"/>
                  <w:vMerge w:val="continue"/>
                  <w:tcBorders>
                    <w:tl2br w:val="nil"/>
                    <w:tr2bl w:val="nil"/>
                  </w:tcBorders>
                  <w:noWrap w:val="0"/>
                  <w:vAlign w:val="center"/>
                </w:tcPr>
                <w:p w14:paraId="05272738">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r>
            <w:tr w14:paraId="2AC4D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427" w:type="pct"/>
                  <w:vMerge w:val="continue"/>
                  <w:tcBorders>
                    <w:tl2br w:val="nil"/>
                    <w:tr2bl w:val="nil"/>
                  </w:tcBorders>
                  <w:noWrap w:val="0"/>
                  <w:vAlign w:val="center"/>
                </w:tcPr>
                <w:p w14:paraId="07B6604C">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586" w:type="pct"/>
                  <w:vMerge w:val="continue"/>
                  <w:tcBorders>
                    <w:tl2br w:val="nil"/>
                    <w:tr2bl w:val="nil"/>
                  </w:tcBorders>
                  <w:noWrap w:val="0"/>
                  <w:vAlign w:val="center"/>
                </w:tcPr>
                <w:p w14:paraId="181817A0">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386" w:type="pct"/>
                  <w:vMerge w:val="continue"/>
                  <w:tcBorders>
                    <w:tl2br w:val="nil"/>
                    <w:tr2bl w:val="nil"/>
                  </w:tcBorders>
                  <w:noWrap w:val="0"/>
                  <w:vAlign w:val="center"/>
                </w:tcPr>
                <w:p w14:paraId="51E9E4AB">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365" w:type="pct"/>
                  <w:vMerge w:val="continue"/>
                  <w:tcBorders>
                    <w:tl2br w:val="nil"/>
                    <w:tr2bl w:val="nil"/>
                  </w:tcBorders>
                  <w:noWrap w:val="0"/>
                  <w:vAlign w:val="center"/>
                </w:tcPr>
                <w:p w14:paraId="0F6BD63E">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435" w:type="pct"/>
                  <w:tcBorders>
                    <w:tl2br w:val="nil"/>
                    <w:tr2bl w:val="nil"/>
                  </w:tcBorders>
                  <w:noWrap w:val="0"/>
                  <w:vAlign w:val="center"/>
                </w:tcPr>
                <w:p w14:paraId="74094007">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氮氧化物</w:t>
                  </w:r>
                </w:p>
              </w:tc>
              <w:tc>
                <w:tcPr>
                  <w:tcW w:w="771" w:type="pct"/>
                  <w:vMerge w:val="continue"/>
                  <w:tcBorders>
                    <w:tl2br w:val="nil"/>
                    <w:tr2bl w:val="nil"/>
                  </w:tcBorders>
                  <w:noWrap w:val="0"/>
                  <w:vAlign w:val="center"/>
                </w:tcPr>
                <w:p w14:paraId="6A1C6F00">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286" w:type="pct"/>
                  <w:tcBorders>
                    <w:tl2br w:val="nil"/>
                    <w:tr2bl w:val="nil"/>
                  </w:tcBorders>
                  <w:noWrap w:val="0"/>
                  <w:vAlign w:val="center"/>
                </w:tcPr>
                <w:p w14:paraId="09EC7912">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noWrap w:val="0"/>
                  <w:vAlign w:val="center"/>
                </w:tcPr>
                <w:p w14:paraId="6A5F7791">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0.248</w:t>
                  </w:r>
                </w:p>
              </w:tc>
              <w:tc>
                <w:tcPr>
                  <w:tcW w:w="328" w:type="pct"/>
                  <w:vMerge w:val="continue"/>
                  <w:tcBorders>
                    <w:tl2br w:val="nil"/>
                    <w:tr2bl w:val="nil"/>
                  </w:tcBorders>
                  <w:noWrap w:val="0"/>
                  <w:vAlign w:val="center"/>
                </w:tcPr>
                <w:p w14:paraId="484CFFE8">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319" w:type="pct"/>
                  <w:vMerge w:val="continue"/>
                  <w:tcBorders>
                    <w:tl2br w:val="nil"/>
                    <w:tr2bl w:val="nil"/>
                  </w:tcBorders>
                  <w:noWrap w:val="0"/>
                  <w:vAlign w:val="center"/>
                </w:tcPr>
                <w:p w14:paraId="55F14120">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369" w:type="pct"/>
                  <w:vMerge w:val="continue"/>
                  <w:tcBorders>
                    <w:tl2br w:val="nil"/>
                    <w:tr2bl w:val="nil"/>
                  </w:tcBorders>
                  <w:noWrap w:val="0"/>
                  <w:vAlign w:val="center"/>
                </w:tcPr>
                <w:p w14:paraId="4DB73FF9">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254" w:type="pct"/>
                  <w:vMerge w:val="continue"/>
                  <w:tcBorders>
                    <w:tl2br w:val="nil"/>
                    <w:tr2bl w:val="nil"/>
                  </w:tcBorders>
                  <w:noWrap w:val="0"/>
                  <w:vAlign w:val="center"/>
                </w:tcPr>
                <w:p w14:paraId="50086FEA">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r>
            <w:tr w14:paraId="20C01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427" w:type="pct"/>
                  <w:vMerge w:val="continue"/>
                  <w:tcBorders>
                    <w:tl2br w:val="nil"/>
                    <w:tr2bl w:val="nil"/>
                  </w:tcBorders>
                  <w:noWrap w:val="0"/>
                  <w:vAlign w:val="center"/>
                </w:tcPr>
                <w:p w14:paraId="2686250A">
                  <w:pPr>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p>
              </w:tc>
              <w:tc>
                <w:tcPr>
                  <w:tcW w:w="586" w:type="pct"/>
                  <w:tcBorders>
                    <w:tl2br w:val="nil"/>
                    <w:tr2bl w:val="nil"/>
                  </w:tcBorders>
                  <w:shd w:val="clear" w:color="auto" w:fill="auto"/>
                  <w:noWrap w:val="0"/>
                  <w:vAlign w:val="center"/>
                </w:tcPr>
                <w:p w14:paraId="2055C048">
                  <w:pPr>
                    <w:spacing w:line="240" w:lineRule="auto"/>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烘干工序废气排放口DA00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p>
              </w:tc>
              <w:tc>
                <w:tcPr>
                  <w:tcW w:w="386" w:type="pct"/>
                  <w:tcBorders>
                    <w:tl2br w:val="nil"/>
                    <w:tr2bl w:val="nil"/>
                  </w:tcBorders>
                  <w:shd w:val="clear" w:color="auto" w:fill="auto"/>
                  <w:noWrap w:val="0"/>
                  <w:vAlign w:val="center"/>
                </w:tcPr>
                <w:p w14:paraId="7AB442DA">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87°08'13.212"</w:t>
                  </w:r>
                </w:p>
              </w:tc>
              <w:tc>
                <w:tcPr>
                  <w:tcW w:w="365" w:type="pct"/>
                  <w:tcBorders>
                    <w:tl2br w:val="nil"/>
                    <w:tr2bl w:val="nil"/>
                  </w:tcBorders>
                  <w:shd w:val="clear" w:color="auto" w:fill="auto"/>
                  <w:noWrap w:val="0"/>
                  <w:vAlign w:val="center"/>
                </w:tcPr>
                <w:p w14:paraId="1F1ABBEB">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44°05'28.522"</w:t>
                  </w:r>
                </w:p>
              </w:tc>
              <w:tc>
                <w:tcPr>
                  <w:tcW w:w="435" w:type="pct"/>
                  <w:tcBorders>
                    <w:tl2br w:val="nil"/>
                    <w:tr2bl w:val="nil"/>
                  </w:tcBorders>
                  <w:shd w:val="clear" w:color="auto" w:fill="auto"/>
                  <w:noWrap w:val="0"/>
                  <w:vAlign w:val="center"/>
                </w:tcPr>
                <w:p w14:paraId="41E6169D">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tcBorders>
                    <w:tl2br w:val="nil"/>
                    <w:tr2bl w:val="nil"/>
                  </w:tcBorders>
                  <w:shd w:val="clear" w:color="auto" w:fill="auto"/>
                  <w:noWrap w:val="0"/>
                  <w:vAlign w:val="center"/>
                </w:tcPr>
                <w:p w14:paraId="623E8338">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l2br w:val="nil"/>
                    <w:tr2bl w:val="nil"/>
                  </w:tcBorders>
                  <w:shd w:val="clear" w:color="auto" w:fill="auto"/>
                  <w:noWrap w:val="0"/>
                  <w:vAlign w:val="center"/>
                </w:tcPr>
                <w:p w14:paraId="481943BB">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shd w:val="clear" w:color="auto" w:fill="auto"/>
                  <w:noWrap w:val="0"/>
                  <w:vAlign w:val="center"/>
                </w:tcPr>
                <w:p w14:paraId="599A18E6">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0.049</w:t>
                  </w:r>
                </w:p>
              </w:tc>
              <w:tc>
                <w:tcPr>
                  <w:tcW w:w="328" w:type="pct"/>
                  <w:tcBorders>
                    <w:tl2br w:val="nil"/>
                    <w:tr2bl w:val="nil"/>
                  </w:tcBorders>
                  <w:shd w:val="clear" w:color="auto" w:fill="auto"/>
                  <w:noWrap w:val="0"/>
                  <w:vAlign w:val="center"/>
                </w:tcPr>
                <w:p w14:paraId="7E413927">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tcBorders>
                    <w:tl2br w:val="nil"/>
                    <w:tr2bl w:val="nil"/>
                  </w:tcBorders>
                  <w:shd w:val="clear" w:color="auto" w:fill="auto"/>
                  <w:noWrap w:val="0"/>
                  <w:vAlign w:val="center"/>
                </w:tcPr>
                <w:p w14:paraId="58F3F9E6">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tcBorders>
                    <w:tl2br w:val="nil"/>
                    <w:tr2bl w:val="nil"/>
                  </w:tcBorders>
                  <w:shd w:val="clear" w:color="auto" w:fill="auto"/>
                  <w:noWrap w:val="0"/>
                  <w:vAlign w:val="center"/>
                </w:tcPr>
                <w:p w14:paraId="7C474C49">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tcBorders>
                    <w:tl2br w:val="nil"/>
                    <w:tr2bl w:val="nil"/>
                  </w:tcBorders>
                  <w:shd w:val="clear" w:color="auto" w:fill="auto"/>
                  <w:noWrap w:val="0"/>
                  <w:vAlign w:val="center"/>
                </w:tcPr>
                <w:p w14:paraId="772E2734">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2F5F32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14" w:type="pct"/>
                  <w:gridSpan w:val="2"/>
                  <w:tcBorders>
                    <w:tl2br w:val="nil"/>
                    <w:tr2bl w:val="nil"/>
                  </w:tcBorders>
                  <w:shd w:val="clear" w:color="auto" w:fill="auto"/>
                  <w:noWrap w:val="0"/>
                  <w:vAlign w:val="center"/>
                </w:tcPr>
                <w:p w14:paraId="0E6FF278">
                  <w:pPr>
                    <w:spacing w:line="240" w:lineRule="auto"/>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752" w:type="pct"/>
                  <w:gridSpan w:val="2"/>
                  <w:tcBorders>
                    <w:tl2br w:val="nil"/>
                    <w:tr2bl w:val="nil"/>
                  </w:tcBorders>
                  <w:shd w:val="clear" w:color="auto" w:fill="auto"/>
                  <w:noWrap w:val="0"/>
                  <w:vAlign w:val="center"/>
                </w:tcPr>
                <w:p w14:paraId="29B30D61">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1961" w:type="pct"/>
                  <w:gridSpan w:val="4"/>
                  <w:tcBorders>
                    <w:tl2br w:val="nil"/>
                    <w:tr2bl w:val="nil"/>
                  </w:tcBorders>
                  <w:shd w:val="clear" w:color="auto" w:fill="auto"/>
                  <w:noWrap w:val="0"/>
                  <w:vAlign w:val="center"/>
                </w:tcPr>
                <w:p w14:paraId="0660E803">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647" w:type="pct"/>
                  <w:gridSpan w:val="2"/>
                  <w:tcBorders>
                    <w:tl2br w:val="nil"/>
                    <w:tr2bl w:val="nil"/>
                  </w:tcBorders>
                  <w:shd w:val="clear" w:color="auto" w:fill="auto"/>
                  <w:noWrap w:val="0"/>
                  <w:vAlign w:val="center"/>
                </w:tcPr>
                <w:p w14:paraId="30A9D5E6">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624" w:type="pct"/>
                  <w:gridSpan w:val="2"/>
                  <w:tcBorders>
                    <w:tl2br w:val="nil"/>
                    <w:tr2bl w:val="nil"/>
                  </w:tcBorders>
                  <w:shd w:val="clear" w:color="auto" w:fill="auto"/>
                  <w:noWrap w:val="0"/>
                  <w:vAlign w:val="center"/>
                </w:tcPr>
                <w:p w14:paraId="1141E6AA">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r>
            <w:tr w14:paraId="13293C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014" w:type="pct"/>
                  <w:gridSpan w:val="2"/>
                  <w:vMerge w:val="restart"/>
                  <w:tcBorders>
                    <w:tl2br w:val="nil"/>
                    <w:tr2bl w:val="nil"/>
                  </w:tcBorders>
                  <w:noWrap w:val="0"/>
                  <w:vAlign w:val="center"/>
                </w:tcPr>
                <w:p w14:paraId="554F8BF2">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无组织排放</w:t>
                  </w:r>
                </w:p>
              </w:tc>
              <w:tc>
                <w:tcPr>
                  <w:tcW w:w="752" w:type="pct"/>
                  <w:gridSpan w:val="2"/>
                  <w:tcBorders>
                    <w:tl2br w:val="nil"/>
                    <w:tr2bl w:val="nil"/>
                  </w:tcBorders>
                  <w:noWrap w:val="0"/>
                  <w:vAlign w:val="center"/>
                </w:tcPr>
                <w:p w14:paraId="10EE75D8">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eastAsia" w:eastAsia="宋体"/>
                      <w:snapToGrid w:val="0"/>
                      <w:color w:val="000000" w:themeColor="text1"/>
                      <w:kern w:val="0"/>
                      <w:sz w:val="21"/>
                      <w:szCs w:val="21"/>
                      <w:highlight w:val="none"/>
                      <w:lang w:val="en-US" w:eastAsia="zh-CN"/>
                      <w14:textFill>
                        <w14:solidFill>
                          <w14:schemeClr w14:val="tx1"/>
                        </w14:solidFill>
                      </w14:textFill>
                    </w:rPr>
                    <w:t>HCL</w:t>
                  </w:r>
                </w:p>
              </w:tc>
              <w:tc>
                <w:tcPr>
                  <w:tcW w:w="1961" w:type="pct"/>
                  <w:gridSpan w:val="4"/>
                  <w:tcBorders>
                    <w:tl2br w:val="nil"/>
                    <w:tr2bl w:val="nil"/>
                  </w:tcBorders>
                  <w:noWrap w:val="0"/>
                  <w:vAlign w:val="center"/>
                </w:tcPr>
                <w:p w14:paraId="2D91EE5A">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车间通风</w:t>
                  </w:r>
                </w:p>
              </w:tc>
              <w:tc>
                <w:tcPr>
                  <w:tcW w:w="647" w:type="pct"/>
                  <w:gridSpan w:val="2"/>
                  <w:tcBorders>
                    <w:tl2br w:val="nil"/>
                    <w:tr2bl w:val="nil"/>
                  </w:tcBorders>
                  <w:noWrap w:val="0"/>
                  <w:vAlign w:val="center"/>
                </w:tcPr>
                <w:p w14:paraId="0260DAF7">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624" w:type="pct"/>
                  <w:gridSpan w:val="2"/>
                  <w:tcBorders>
                    <w:tl2br w:val="nil"/>
                    <w:tr2bl w:val="nil"/>
                  </w:tcBorders>
                  <w:noWrap w:val="0"/>
                  <w:vAlign w:val="center"/>
                </w:tcPr>
                <w:p w14:paraId="445FF07B">
                  <w:pPr>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0.0614</w:t>
                  </w:r>
                </w:p>
              </w:tc>
            </w:tr>
            <w:tr w14:paraId="10144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014" w:type="pct"/>
                  <w:gridSpan w:val="2"/>
                  <w:vMerge w:val="continue"/>
                  <w:tcBorders>
                    <w:tl2br w:val="nil"/>
                    <w:tr2bl w:val="nil"/>
                  </w:tcBorders>
                  <w:noWrap w:val="0"/>
                  <w:vAlign w:val="center"/>
                </w:tcPr>
                <w:p w14:paraId="24561DFE">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p>
              </w:tc>
              <w:tc>
                <w:tcPr>
                  <w:tcW w:w="752" w:type="pct"/>
                  <w:gridSpan w:val="2"/>
                  <w:tcBorders>
                    <w:tl2br w:val="nil"/>
                    <w:tr2bl w:val="nil"/>
                  </w:tcBorders>
                  <w:noWrap w:val="0"/>
                  <w:vAlign w:val="center"/>
                </w:tcPr>
                <w:p w14:paraId="31D189D1">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961" w:type="pct"/>
                  <w:gridSpan w:val="4"/>
                  <w:tcBorders>
                    <w:tl2br w:val="nil"/>
                    <w:tr2bl w:val="nil"/>
                  </w:tcBorders>
                  <w:noWrap w:val="0"/>
                  <w:vAlign w:val="center"/>
                </w:tcPr>
                <w:p w14:paraId="08DA415E">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车间通风，原料</w:t>
                  </w:r>
                  <w:r>
                    <w:rPr>
                      <w:rFonts w:hint="default"/>
                      <w:snapToGrid w:val="0"/>
                      <w:color w:val="000000" w:themeColor="text1"/>
                      <w:kern w:val="0"/>
                      <w:sz w:val="21"/>
                      <w:szCs w:val="21"/>
                      <w:highlight w:val="none"/>
                      <w:lang w:val="en-US" w:eastAsia="zh-CN"/>
                      <w14:textFill>
                        <w14:solidFill>
                          <w14:schemeClr w14:val="tx1"/>
                        </w14:solidFill>
                      </w14:textFill>
                    </w:rPr>
                    <w:t>堆场采取</w:t>
                  </w:r>
                  <w:r>
                    <w:rPr>
                      <w:rFonts w:hint="eastAsia"/>
                      <w:snapToGrid w:val="0"/>
                      <w:color w:val="000000" w:themeColor="text1"/>
                      <w:kern w:val="0"/>
                      <w:sz w:val="21"/>
                      <w:szCs w:val="21"/>
                      <w:highlight w:val="none"/>
                      <w:lang w:val="en-US" w:eastAsia="zh-CN"/>
                      <w14:textFill>
                        <w14:solidFill>
                          <w14:schemeClr w14:val="tx1"/>
                        </w14:solidFill>
                      </w14:textFill>
                    </w:rPr>
                    <w:t>全封闭式</w:t>
                  </w:r>
                  <w:r>
                    <w:rPr>
                      <w:rFonts w:hint="default"/>
                      <w:snapToGrid w:val="0"/>
                      <w:color w:val="000000" w:themeColor="text1"/>
                      <w:kern w:val="0"/>
                      <w:sz w:val="21"/>
                      <w:szCs w:val="21"/>
                      <w:highlight w:val="none"/>
                      <w:lang w:val="en-US" w:eastAsia="zh-CN"/>
                      <w14:textFill>
                        <w14:solidFill>
                          <w14:schemeClr w14:val="tx1"/>
                        </w14:solidFill>
                      </w14:textFill>
                    </w:rPr>
                    <w:t>的降尘措施</w:t>
                  </w:r>
                  <w:r>
                    <w:rPr>
                      <w:rFonts w:hint="eastAsia"/>
                      <w:snapToGrid w:val="0"/>
                      <w:color w:val="000000" w:themeColor="text1"/>
                      <w:kern w:val="0"/>
                      <w:sz w:val="21"/>
                      <w:szCs w:val="21"/>
                      <w:highlight w:val="none"/>
                      <w:lang w:val="en-US" w:eastAsia="zh-CN"/>
                      <w14:textFill>
                        <w14:solidFill>
                          <w14:schemeClr w14:val="tx1"/>
                        </w14:solidFill>
                      </w14:textFill>
                    </w:rPr>
                    <w:t>并在装卸处进行洒水降尘</w:t>
                  </w:r>
                </w:p>
              </w:tc>
              <w:tc>
                <w:tcPr>
                  <w:tcW w:w="647" w:type="pct"/>
                  <w:gridSpan w:val="2"/>
                  <w:tcBorders>
                    <w:tl2br w:val="nil"/>
                    <w:tr2bl w:val="nil"/>
                  </w:tcBorders>
                  <w:noWrap w:val="0"/>
                  <w:vAlign w:val="center"/>
                </w:tcPr>
                <w:p w14:paraId="3AF89791">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624" w:type="pct"/>
                  <w:gridSpan w:val="2"/>
                  <w:tcBorders>
                    <w:tl2br w:val="nil"/>
                    <w:tr2bl w:val="nil"/>
                  </w:tcBorders>
                  <w:noWrap w:val="0"/>
                  <w:vAlign w:val="center"/>
                </w:tcPr>
                <w:p w14:paraId="12E980E0">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0.283</w:t>
                  </w:r>
                </w:p>
              </w:tc>
            </w:tr>
          </w:tbl>
          <w:p w14:paraId="14FB067B">
            <w:pPr>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表4-7   本项目二期废气排放情况一览表</w:t>
            </w:r>
          </w:p>
          <w:tbl>
            <w:tblPr>
              <w:tblStyle w:val="21"/>
              <w:tblW w:w="76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94"/>
              <w:gridCol w:w="589"/>
              <w:gridCol w:w="557"/>
              <w:gridCol w:w="663"/>
              <w:gridCol w:w="1175"/>
              <w:gridCol w:w="437"/>
              <w:gridCol w:w="713"/>
              <w:gridCol w:w="500"/>
              <w:gridCol w:w="487"/>
              <w:gridCol w:w="563"/>
              <w:gridCol w:w="388"/>
            </w:tblGrid>
            <w:tr w14:paraId="053F2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427" w:type="pct"/>
                  <w:vMerge w:val="restart"/>
                  <w:noWrap w:val="0"/>
                  <w:vAlign w:val="center"/>
                </w:tcPr>
                <w:p w14:paraId="50B769AB">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586" w:type="pct"/>
                  <w:vMerge w:val="restart"/>
                  <w:noWrap w:val="0"/>
                  <w:vAlign w:val="center"/>
                </w:tcPr>
                <w:p w14:paraId="6A2D6A2B">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排放口名称及编号</w:t>
                  </w:r>
                </w:p>
              </w:tc>
              <w:tc>
                <w:tcPr>
                  <w:tcW w:w="752" w:type="pct"/>
                  <w:gridSpan w:val="2"/>
                  <w:tcBorders>
                    <w:bottom w:val="single" w:color="auto" w:sz="12" w:space="0"/>
                  </w:tcBorders>
                  <w:noWrap w:val="0"/>
                  <w:vAlign w:val="center"/>
                </w:tcPr>
                <w:p w14:paraId="432D179E">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排放口中心坐标</w:t>
                  </w:r>
                </w:p>
              </w:tc>
              <w:tc>
                <w:tcPr>
                  <w:tcW w:w="435" w:type="pct"/>
                  <w:vMerge w:val="restart"/>
                  <w:noWrap w:val="0"/>
                  <w:vAlign w:val="center"/>
                </w:tcPr>
                <w:p w14:paraId="79BD5549">
                  <w:pPr>
                    <w:spacing w:line="240" w:lineRule="auto"/>
                    <w:jc w:val="center"/>
                    <w:rPr>
                      <w:rFonts w:hint="eastAsia"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771" w:type="pct"/>
                  <w:vMerge w:val="restart"/>
                  <w:noWrap w:val="0"/>
                  <w:vAlign w:val="center"/>
                </w:tcPr>
                <w:p w14:paraId="5BF09952">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286" w:type="pct"/>
                  <w:vMerge w:val="restart"/>
                  <w:noWrap w:val="0"/>
                  <w:vAlign w:val="center"/>
                </w:tcPr>
                <w:p w14:paraId="7614A70F">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468" w:type="pct"/>
                  <w:vMerge w:val="restart"/>
                  <w:noWrap w:val="0"/>
                  <w:vAlign w:val="center"/>
                </w:tcPr>
                <w:p w14:paraId="7A12B09F">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c>
                <w:tcPr>
                  <w:tcW w:w="1017" w:type="pct"/>
                  <w:gridSpan w:val="3"/>
                  <w:tcBorders>
                    <w:bottom w:val="single" w:color="auto" w:sz="12" w:space="0"/>
                  </w:tcBorders>
                  <w:noWrap w:val="0"/>
                  <w:vAlign w:val="center"/>
                </w:tcPr>
                <w:p w14:paraId="6DD54E43">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排气筒参数</w:t>
                  </w:r>
                </w:p>
              </w:tc>
              <w:tc>
                <w:tcPr>
                  <w:tcW w:w="254" w:type="pct"/>
                  <w:vMerge w:val="restart"/>
                  <w:noWrap w:val="0"/>
                  <w:vAlign w:val="center"/>
                </w:tcPr>
                <w:p w14:paraId="7407A46F">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排放口类型</w:t>
                  </w:r>
                </w:p>
              </w:tc>
            </w:tr>
            <w:tr w14:paraId="22421F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427" w:type="pct"/>
                  <w:vMerge w:val="continue"/>
                  <w:tcBorders>
                    <w:bottom w:val="single" w:color="auto" w:sz="12" w:space="0"/>
                  </w:tcBorders>
                  <w:noWrap w:val="0"/>
                  <w:vAlign w:val="center"/>
                </w:tcPr>
                <w:p w14:paraId="4F30ECD8">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586" w:type="pct"/>
                  <w:vMerge w:val="continue"/>
                  <w:tcBorders>
                    <w:bottom w:val="single" w:color="auto" w:sz="12" w:space="0"/>
                  </w:tcBorders>
                  <w:noWrap w:val="0"/>
                  <w:vAlign w:val="center"/>
                </w:tcPr>
                <w:p w14:paraId="34634B02">
                  <w:pPr>
                    <w:pStyle w:val="10"/>
                    <w:jc w:val="center"/>
                    <w:rPr>
                      <w:rFonts w:hint="eastAsia"/>
                      <w:b/>
                      <w:bCs/>
                      <w:color w:val="000000" w:themeColor="text1"/>
                      <w:sz w:val="21"/>
                      <w:szCs w:val="21"/>
                      <w:highlight w:val="none"/>
                      <w:lang w:val="en-US" w:eastAsia="zh-CN"/>
                      <w14:textFill>
                        <w14:solidFill>
                          <w14:schemeClr w14:val="tx1"/>
                        </w14:solidFill>
                      </w14:textFill>
                    </w:rPr>
                  </w:pPr>
                </w:p>
              </w:tc>
              <w:tc>
                <w:tcPr>
                  <w:tcW w:w="386" w:type="pct"/>
                  <w:tcBorders>
                    <w:bottom w:val="single" w:color="auto" w:sz="12" w:space="0"/>
                  </w:tcBorders>
                  <w:noWrap w:val="0"/>
                  <w:vAlign w:val="center"/>
                </w:tcPr>
                <w:p w14:paraId="22CDF32F">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经度</w:t>
                  </w:r>
                </w:p>
              </w:tc>
              <w:tc>
                <w:tcPr>
                  <w:tcW w:w="365" w:type="pct"/>
                  <w:tcBorders>
                    <w:bottom w:val="single" w:color="auto" w:sz="12" w:space="0"/>
                  </w:tcBorders>
                  <w:noWrap w:val="0"/>
                  <w:vAlign w:val="center"/>
                </w:tcPr>
                <w:p w14:paraId="294981B1">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纬度</w:t>
                  </w:r>
                </w:p>
              </w:tc>
              <w:tc>
                <w:tcPr>
                  <w:tcW w:w="435" w:type="pct"/>
                  <w:vMerge w:val="continue"/>
                  <w:tcBorders>
                    <w:bottom w:val="single" w:color="auto" w:sz="12" w:space="0"/>
                  </w:tcBorders>
                  <w:noWrap w:val="0"/>
                  <w:vAlign w:val="center"/>
                </w:tcPr>
                <w:p w14:paraId="4F775873">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771" w:type="pct"/>
                  <w:vMerge w:val="continue"/>
                  <w:tcBorders>
                    <w:bottom w:val="single" w:color="auto" w:sz="12" w:space="0"/>
                  </w:tcBorders>
                  <w:noWrap w:val="0"/>
                  <w:vAlign w:val="center"/>
                </w:tcPr>
                <w:p w14:paraId="43D46A47">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286" w:type="pct"/>
                  <w:vMerge w:val="continue"/>
                  <w:tcBorders>
                    <w:bottom w:val="single" w:color="auto" w:sz="12" w:space="0"/>
                  </w:tcBorders>
                  <w:noWrap w:val="0"/>
                  <w:vAlign w:val="center"/>
                </w:tcPr>
                <w:p w14:paraId="5424D470">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468" w:type="pct"/>
                  <w:vMerge w:val="continue"/>
                  <w:tcBorders>
                    <w:bottom w:val="single" w:color="auto" w:sz="12" w:space="0"/>
                  </w:tcBorders>
                  <w:noWrap w:val="0"/>
                  <w:vAlign w:val="center"/>
                </w:tcPr>
                <w:p w14:paraId="125C83A9">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328" w:type="pct"/>
                  <w:tcBorders>
                    <w:bottom w:val="single" w:color="auto" w:sz="12" w:space="0"/>
                  </w:tcBorders>
                  <w:noWrap w:val="0"/>
                  <w:vAlign w:val="center"/>
                </w:tcPr>
                <w:p w14:paraId="59000DDA">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高度m</w:t>
                  </w:r>
                </w:p>
              </w:tc>
              <w:tc>
                <w:tcPr>
                  <w:tcW w:w="319" w:type="pct"/>
                  <w:tcBorders>
                    <w:bottom w:val="single" w:color="auto" w:sz="12" w:space="0"/>
                  </w:tcBorders>
                  <w:noWrap w:val="0"/>
                  <w:vAlign w:val="center"/>
                </w:tcPr>
                <w:p w14:paraId="733C86E6">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内径m</w:t>
                  </w:r>
                </w:p>
              </w:tc>
              <w:tc>
                <w:tcPr>
                  <w:tcW w:w="369" w:type="pct"/>
                  <w:tcBorders>
                    <w:bottom w:val="single" w:color="auto" w:sz="12" w:space="0"/>
                  </w:tcBorders>
                  <w:noWrap w:val="0"/>
                  <w:vAlign w:val="center"/>
                </w:tcPr>
                <w:p w14:paraId="0E34287C">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温度℃</w:t>
                  </w:r>
                </w:p>
              </w:tc>
              <w:tc>
                <w:tcPr>
                  <w:tcW w:w="254" w:type="pct"/>
                  <w:vMerge w:val="continue"/>
                  <w:tcBorders>
                    <w:bottom w:val="single" w:color="auto" w:sz="12" w:space="0"/>
                  </w:tcBorders>
                  <w:noWrap w:val="0"/>
                  <w:vAlign w:val="center"/>
                </w:tcPr>
                <w:p w14:paraId="70798BCD">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r>
            <w:tr w14:paraId="6B216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7" w:hRule="atLeast"/>
                <w:jc w:val="center"/>
              </w:trPr>
              <w:tc>
                <w:tcPr>
                  <w:tcW w:w="427" w:type="pct"/>
                  <w:vMerge w:val="restart"/>
                  <w:tcBorders>
                    <w:top w:val="single" w:color="auto" w:sz="12" w:space="0"/>
                    <w:tl2br w:val="nil"/>
                    <w:tr2bl w:val="nil"/>
                  </w:tcBorders>
                  <w:noWrap w:val="0"/>
                  <w:vAlign w:val="center"/>
                </w:tcPr>
                <w:p w14:paraId="2BD5523E">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有组织排放</w:t>
                  </w:r>
                </w:p>
              </w:tc>
              <w:tc>
                <w:tcPr>
                  <w:tcW w:w="586" w:type="pct"/>
                  <w:tcBorders>
                    <w:top w:val="single" w:color="auto" w:sz="12" w:space="0"/>
                    <w:tl2br w:val="nil"/>
                    <w:tr2bl w:val="nil"/>
                  </w:tcBorders>
                  <w:noWrap w:val="0"/>
                  <w:vAlign w:val="center"/>
                </w:tcPr>
                <w:p w14:paraId="5B940CD8">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破碎、球磨工序除尘器排放口DA00</w:t>
                  </w:r>
                  <w:r>
                    <w:rPr>
                      <w:rFonts w:hint="eastAsia" w:cstheme="minorBidi"/>
                      <w:snapToGrid w:val="0"/>
                      <w:color w:val="000000" w:themeColor="text1"/>
                      <w:sz w:val="21"/>
                      <w:szCs w:val="21"/>
                      <w:highlight w:val="none"/>
                      <w:lang w:val="en-US" w:eastAsia="zh-CN" w:bidi="ar-SA"/>
                      <w14:textFill>
                        <w14:solidFill>
                          <w14:schemeClr w14:val="tx1"/>
                        </w14:solidFill>
                      </w14:textFill>
                    </w:rPr>
                    <w:t>4</w:t>
                  </w:r>
                </w:p>
              </w:tc>
              <w:tc>
                <w:tcPr>
                  <w:tcW w:w="386" w:type="pct"/>
                  <w:tcBorders>
                    <w:top w:val="single" w:color="auto" w:sz="12" w:space="0"/>
                    <w:tl2br w:val="nil"/>
                    <w:tr2bl w:val="nil"/>
                  </w:tcBorders>
                  <w:noWrap w:val="0"/>
                  <w:vAlign w:val="center"/>
                </w:tcPr>
                <w:p w14:paraId="780FD1AC">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87°08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15.670"</w:t>
                  </w:r>
                </w:p>
              </w:tc>
              <w:tc>
                <w:tcPr>
                  <w:tcW w:w="365" w:type="pct"/>
                  <w:tcBorders>
                    <w:top w:val="single" w:color="auto" w:sz="12" w:space="0"/>
                    <w:tl2br w:val="nil"/>
                    <w:tr2bl w:val="nil"/>
                  </w:tcBorders>
                  <w:noWrap w:val="0"/>
                  <w:vAlign w:val="center"/>
                </w:tcPr>
                <w:p w14:paraId="3A55C489">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44°05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28.684"</w:t>
                  </w:r>
                </w:p>
              </w:tc>
              <w:tc>
                <w:tcPr>
                  <w:tcW w:w="435" w:type="pct"/>
                  <w:tcBorders>
                    <w:top w:val="single" w:color="auto" w:sz="12" w:space="0"/>
                    <w:tl2br w:val="nil"/>
                    <w:tr2bl w:val="nil"/>
                  </w:tcBorders>
                  <w:noWrap w:val="0"/>
                  <w:vAlign w:val="center"/>
                </w:tcPr>
                <w:p w14:paraId="70F62192">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tcBorders>
                    <w:top w:val="single" w:color="auto" w:sz="12" w:space="0"/>
                    <w:bottom w:val="single" w:color="auto" w:sz="4" w:space="0"/>
                    <w:tl2br w:val="nil"/>
                    <w:tr2bl w:val="nil"/>
                  </w:tcBorders>
                  <w:noWrap w:val="0"/>
                  <w:vAlign w:val="center"/>
                </w:tcPr>
                <w:p w14:paraId="6CEF7979">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op w:val="single" w:color="auto" w:sz="12" w:space="0"/>
                    <w:tl2br w:val="nil"/>
                    <w:tr2bl w:val="nil"/>
                  </w:tcBorders>
                  <w:noWrap w:val="0"/>
                  <w:vAlign w:val="center"/>
                </w:tcPr>
                <w:p w14:paraId="03A9EC85">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op w:val="single" w:color="auto" w:sz="12" w:space="0"/>
                    <w:tl2br w:val="nil"/>
                    <w:tr2bl w:val="nil"/>
                  </w:tcBorders>
                  <w:noWrap w:val="0"/>
                  <w:vAlign w:val="center"/>
                </w:tcPr>
                <w:p w14:paraId="57117A2B">
                  <w:pPr>
                    <w:spacing w:line="240" w:lineRule="auto"/>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0.51</w:t>
                  </w:r>
                </w:p>
              </w:tc>
              <w:tc>
                <w:tcPr>
                  <w:tcW w:w="328" w:type="pct"/>
                  <w:tcBorders>
                    <w:top w:val="single" w:color="auto" w:sz="12" w:space="0"/>
                    <w:tl2br w:val="nil"/>
                    <w:tr2bl w:val="nil"/>
                  </w:tcBorders>
                  <w:noWrap w:val="0"/>
                  <w:vAlign w:val="center"/>
                </w:tcPr>
                <w:p w14:paraId="6653468B">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tcBorders>
                    <w:top w:val="single" w:color="auto" w:sz="12" w:space="0"/>
                    <w:tl2br w:val="nil"/>
                    <w:tr2bl w:val="nil"/>
                  </w:tcBorders>
                  <w:noWrap w:val="0"/>
                  <w:vAlign w:val="center"/>
                </w:tcPr>
                <w:p w14:paraId="4331CEA4">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tcBorders>
                    <w:top w:val="single" w:color="auto" w:sz="12" w:space="0"/>
                    <w:tl2br w:val="nil"/>
                    <w:tr2bl w:val="nil"/>
                  </w:tcBorders>
                  <w:noWrap w:val="0"/>
                  <w:vAlign w:val="center"/>
                </w:tcPr>
                <w:p w14:paraId="6CC22529">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tcBorders>
                    <w:top w:val="single" w:color="auto" w:sz="12" w:space="0"/>
                    <w:tl2br w:val="nil"/>
                    <w:tr2bl w:val="nil"/>
                  </w:tcBorders>
                  <w:noWrap w:val="0"/>
                  <w:vAlign w:val="center"/>
                </w:tcPr>
                <w:p w14:paraId="6FF436EB">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3BC9EF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427" w:type="pct"/>
                  <w:vMerge w:val="continue"/>
                  <w:tcBorders>
                    <w:tl2br w:val="nil"/>
                    <w:tr2bl w:val="nil"/>
                  </w:tcBorders>
                  <w:noWrap w:val="0"/>
                  <w:vAlign w:val="center"/>
                </w:tcPr>
                <w:p w14:paraId="33F3BD23">
                  <w:pPr>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p>
              </w:tc>
              <w:tc>
                <w:tcPr>
                  <w:tcW w:w="586" w:type="pct"/>
                  <w:tcBorders>
                    <w:tl2br w:val="nil"/>
                    <w:tr2bl w:val="nil"/>
                  </w:tcBorders>
                  <w:shd w:val="clear" w:color="auto" w:fill="auto"/>
                  <w:noWrap w:val="0"/>
                  <w:vAlign w:val="center"/>
                </w:tcPr>
                <w:p w14:paraId="0A3250B4">
                  <w:pPr>
                    <w:spacing w:line="240" w:lineRule="auto"/>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烘干工序废气排放口DA00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p>
              </w:tc>
              <w:tc>
                <w:tcPr>
                  <w:tcW w:w="386" w:type="pct"/>
                  <w:tcBorders>
                    <w:tl2br w:val="nil"/>
                    <w:tr2bl w:val="nil"/>
                  </w:tcBorders>
                  <w:shd w:val="clear" w:color="auto" w:fill="auto"/>
                  <w:noWrap w:val="0"/>
                  <w:vAlign w:val="center"/>
                </w:tcPr>
                <w:p w14:paraId="52890BE9">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87°08'13.212"</w:t>
                  </w:r>
                </w:p>
              </w:tc>
              <w:tc>
                <w:tcPr>
                  <w:tcW w:w="365" w:type="pct"/>
                  <w:tcBorders>
                    <w:tl2br w:val="nil"/>
                    <w:tr2bl w:val="nil"/>
                  </w:tcBorders>
                  <w:shd w:val="clear" w:color="auto" w:fill="auto"/>
                  <w:noWrap w:val="0"/>
                  <w:vAlign w:val="center"/>
                </w:tcPr>
                <w:p w14:paraId="77EA5141">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44°05'28.522"</w:t>
                  </w:r>
                </w:p>
              </w:tc>
              <w:tc>
                <w:tcPr>
                  <w:tcW w:w="435" w:type="pct"/>
                  <w:tcBorders>
                    <w:tl2br w:val="nil"/>
                    <w:tr2bl w:val="nil"/>
                  </w:tcBorders>
                  <w:shd w:val="clear" w:color="auto" w:fill="auto"/>
                  <w:noWrap w:val="0"/>
                  <w:vAlign w:val="center"/>
                </w:tcPr>
                <w:p w14:paraId="59F0942C">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tcBorders>
                    <w:tl2br w:val="nil"/>
                    <w:tr2bl w:val="nil"/>
                  </w:tcBorders>
                  <w:shd w:val="clear" w:color="auto" w:fill="auto"/>
                  <w:noWrap w:val="0"/>
                  <w:vAlign w:val="center"/>
                </w:tcPr>
                <w:p w14:paraId="4BDAC49E">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l2br w:val="nil"/>
                    <w:tr2bl w:val="nil"/>
                  </w:tcBorders>
                  <w:shd w:val="clear" w:color="auto" w:fill="auto"/>
                  <w:noWrap w:val="0"/>
                  <w:vAlign w:val="center"/>
                </w:tcPr>
                <w:p w14:paraId="6964D051">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shd w:val="clear" w:color="auto" w:fill="auto"/>
                  <w:noWrap w:val="0"/>
                  <w:vAlign w:val="center"/>
                </w:tcPr>
                <w:p w14:paraId="73210AB9">
                  <w:pPr>
                    <w:spacing w:line="240" w:lineRule="auto"/>
                    <w:jc w:val="center"/>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0.027</w:t>
                  </w:r>
                </w:p>
              </w:tc>
              <w:tc>
                <w:tcPr>
                  <w:tcW w:w="328" w:type="pct"/>
                  <w:tcBorders>
                    <w:tl2br w:val="nil"/>
                    <w:tr2bl w:val="nil"/>
                  </w:tcBorders>
                  <w:shd w:val="clear" w:color="auto" w:fill="auto"/>
                  <w:noWrap w:val="0"/>
                  <w:vAlign w:val="center"/>
                </w:tcPr>
                <w:p w14:paraId="3E4A0382">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tcBorders>
                    <w:tl2br w:val="nil"/>
                    <w:tr2bl w:val="nil"/>
                  </w:tcBorders>
                  <w:shd w:val="clear" w:color="auto" w:fill="auto"/>
                  <w:noWrap w:val="0"/>
                  <w:vAlign w:val="center"/>
                </w:tcPr>
                <w:p w14:paraId="45A2487A">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tcBorders>
                    <w:tl2br w:val="nil"/>
                    <w:tr2bl w:val="nil"/>
                  </w:tcBorders>
                  <w:shd w:val="clear" w:color="auto" w:fill="auto"/>
                  <w:noWrap w:val="0"/>
                  <w:vAlign w:val="center"/>
                </w:tcPr>
                <w:p w14:paraId="5073B7A7">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tcBorders>
                    <w:tl2br w:val="nil"/>
                    <w:tr2bl w:val="nil"/>
                  </w:tcBorders>
                  <w:shd w:val="clear" w:color="auto" w:fill="auto"/>
                  <w:noWrap w:val="0"/>
                  <w:vAlign w:val="center"/>
                </w:tcPr>
                <w:p w14:paraId="0A38C537">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0CA219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14" w:type="pct"/>
                  <w:gridSpan w:val="2"/>
                  <w:tcBorders>
                    <w:tl2br w:val="nil"/>
                    <w:tr2bl w:val="nil"/>
                  </w:tcBorders>
                  <w:shd w:val="clear" w:color="auto" w:fill="auto"/>
                  <w:noWrap w:val="0"/>
                  <w:vAlign w:val="center"/>
                </w:tcPr>
                <w:p w14:paraId="3E58D4F7">
                  <w:pPr>
                    <w:spacing w:line="240" w:lineRule="auto"/>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752" w:type="pct"/>
                  <w:gridSpan w:val="2"/>
                  <w:tcBorders>
                    <w:tl2br w:val="nil"/>
                    <w:tr2bl w:val="nil"/>
                  </w:tcBorders>
                  <w:shd w:val="clear" w:color="auto" w:fill="auto"/>
                  <w:noWrap w:val="0"/>
                  <w:vAlign w:val="center"/>
                </w:tcPr>
                <w:p w14:paraId="2AC02EE9">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1961" w:type="pct"/>
                  <w:gridSpan w:val="4"/>
                  <w:tcBorders>
                    <w:tl2br w:val="nil"/>
                    <w:tr2bl w:val="nil"/>
                  </w:tcBorders>
                  <w:shd w:val="clear" w:color="auto" w:fill="auto"/>
                  <w:noWrap w:val="0"/>
                  <w:vAlign w:val="center"/>
                </w:tcPr>
                <w:p w14:paraId="7A3A2E8D">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647" w:type="pct"/>
                  <w:gridSpan w:val="2"/>
                  <w:tcBorders>
                    <w:tl2br w:val="nil"/>
                    <w:tr2bl w:val="nil"/>
                  </w:tcBorders>
                  <w:shd w:val="clear" w:color="auto" w:fill="auto"/>
                  <w:noWrap w:val="0"/>
                  <w:vAlign w:val="center"/>
                </w:tcPr>
                <w:p w14:paraId="3DC82816">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624" w:type="pct"/>
                  <w:gridSpan w:val="2"/>
                  <w:tcBorders>
                    <w:tl2br w:val="nil"/>
                    <w:tr2bl w:val="nil"/>
                  </w:tcBorders>
                  <w:shd w:val="clear" w:color="auto" w:fill="auto"/>
                  <w:noWrap w:val="0"/>
                  <w:vAlign w:val="center"/>
                </w:tcPr>
                <w:p w14:paraId="1176E0D7">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r>
            <w:tr w14:paraId="1E8D23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014" w:type="pct"/>
                  <w:gridSpan w:val="2"/>
                  <w:tcBorders>
                    <w:tl2br w:val="nil"/>
                    <w:tr2bl w:val="nil"/>
                  </w:tcBorders>
                  <w:noWrap w:val="0"/>
                  <w:vAlign w:val="center"/>
                </w:tcPr>
                <w:p w14:paraId="34782D32">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无组织排放</w:t>
                  </w:r>
                </w:p>
              </w:tc>
              <w:tc>
                <w:tcPr>
                  <w:tcW w:w="752" w:type="pct"/>
                  <w:gridSpan w:val="2"/>
                  <w:tcBorders>
                    <w:tl2br w:val="nil"/>
                    <w:tr2bl w:val="nil"/>
                  </w:tcBorders>
                  <w:noWrap w:val="0"/>
                  <w:vAlign w:val="center"/>
                </w:tcPr>
                <w:p w14:paraId="1B87207F">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961" w:type="pct"/>
                  <w:gridSpan w:val="4"/>
                  <w:tcBorders>
                    <w:tl2br w:val="nil"/>
                    <w:tr2bl w:val="nil"/>
                  </w:tcBorders>
                  <w:noWrap w:val="0"/>
                  <w:vAlign w:val="center"/>
                </w:tcPr>
                <w:p w14:paraId="70F52CF4">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车间通风，原料</w:t>
                  </w:r>
                  <w:r>
                    <w:rPr>
                      <w:rFonts w:hint="default"/>
                      <w:snapToGrid w:val="0"/>
                      <w:color w:val="000000" w:themeColor="text1"/>
                      <w:kern w:val="0"/>
                      <w:sz w:val="21"/>
                      <w:szCs w:val="21"/>
                      <w:highlight w:val="none"/>
                      <w:lang w:val="en-US" w:eastAsia="zh-CN"/>
                      <w14:textFill>
                        <w14:solidFill>
                          <w14:schemeClr w14:val="tx1"/>
                        </w14:solidFill>
                      </w14:textFill>
                    </w:rPr>
                    <w:t>堆场采取</w:t>
                  </w:r>
                  <w:r>
                    <w:rPr>
                      <w:rFonts w:hint="eastAsia"/>
                      <w:snapToGrid w:val="0"/>
                      <w:color w:val="000000" w:themeColor="text1"/>
                      <w:kern w:val="0"/>
                      <w:sz w:val="21"/>
                      <w:szCs w:val="21"/>
                      <w:highlight w:val="none"/>
                      <w:lang w:val="en-US" w:eastAsia="zh-CN"/>
                      <w14:textFill>
                        <w14:solidFill>
                          <w14:schemeClr w14:val="tx1"/>
                        </w14:solidFill>
                      </w14:textFill>
                    </w:rPr>
                    <w:t>全封闭式</w:t>
                  </w:r>
                  <w:r>
                    <w:rPr>
                      <w:rFonts w:hint="default"/>
                      <w:snapToGrid w:val="0"/>
                      <w:color w:val="000000" w:themeColor="text1"/>
                      <w:kern w:val="0"/>
                      <w:sz w:val="21"/>
                      <w:szCs w:val="21"/>
                      <w:highlight w:val="none"/>
                      <w:lang w:val="en-US" w:eastAsia="zh-CN"/>
                      <w14:textFill>
                        <w14:solidFill>
                          <w14:schemeClr w14:val="tx1"/>
                        </w14:solidFill>
                      </w14:textFill>
                    </w:rPr>
                    <w:t>的降尘措施</w:t>
                  </w:r>
                  <w:r>
                    <w:rPr>
                      <w:rFonts w:hint="eastAsia"/>
                      <w:snapToGrid w:val="0"/>
                      <w:color w:val="000000" w:themeColor="text1"/>
                      <w:kern w:val="0"/>
                      <w:sz w:val="21"/>
                      <w:szCs w:val="21"/>
                      <w:highlight w:val="none"/>
                      <w:lang w:val="en-US" w:eastAsia="zh-CN"/>
                      <w14:textFill>
                        <w14:solidFill>
                          <w14:schemeClr w14:val="tx1"/>
                        </w14:solidFill>
                      </w14:textFill>
                    </w:rPr>
                    <w:t>并在装卸处进行洒水降尘</w:t>
                  </w:r>
                </w:p>
              </w:tc>
              <w:tc>
                <w:tcPr>
                  <w:tcW w:w="647" w:type="pct"/>
                  <w:gridSpan w:val="2"/>
                  <w:tcBorders>
                    <w:tl2br w:val="nil"/>
                    <w:tr2bl w:val="nil"/>
                  </w:tcBorders>
                  <w:noWrap w:val="0"/>
                  <w:vAlign w:val="center"/>
                </w:tcPr>
                <w:p w14:paraId="68E4DABF">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624" w:type="pct"/>
                  <w:gridSpan w:val="2"/>
                  <w:tcBorders>
                    <w:tl2br w:val="nil"/>
                    <w:tr2bl w:val="nil"/>
                  </w:tcBorders>
                  <w:noWrap w:val="0"/>
                  <w:vAlign w:val="center"/>
                </w:tcPr>
                <w:p w14:paraId="0E2A0B0C">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5.978</w:t>
                  </w:r>
                </w:p>
              </w:tc>
            </w:tr>
          </w:tbl>
          <w:p w14:paraId="09E90224">
            <w:pPr>
              <w:pStyle w:val="4"/>
              <w:bidi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4.5.10废气处理措施可行性分析</w:t>
            </w:r>
          </w:p>
          <w:p w14:paraId="76B94821">
            <w:pPr>
              <w:pageBreakBefore w:val="0"/>
              <w:widowControl w:val="0"/>
              <w:kinsoku/>
              <w:wordWrap w:val="0"/>
              <w:overflowPunct/>
              <w:topLinePunct w:val="0"/>
              <w:bidi w:val="0"/>
              <w:spacing w:line="360" w:lineRule="auto"/>
              <w:ind w:firstLine="482" w:firstLineChars="200"/>
              <w:jc w:val="left"/>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w:t>
            </w: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酸洗废气、盐酸储罐大、小呼吸废气与预搅拌工序搅拌粉尘处理可行性分析</w:t>
            </w:r>
          </w:p>
          <w:p w14:paraId="68E1D341">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eastAsia" w:cs="Times New Roman"/>
                <w:b w:val="0"/>
                <w:bCs/>
                <w:color w:val="000000" w:themeColor="text1"/>
                <w:spacing w:val="0"/>
                <w:w w:val="100"/>
                <w:kern w:val="2"/>
                <w:position w:val="0"/>
                <w:sz w:val="24"/>
                <w:szCs w:val="24"/>
                <w:highlight w:val="none"/>
                <w:lang w:val="en-US" w:eastAsia="zh-CN" w:bidi="ar-SA"/>
                <w14:textFill>
                  <w14:solidFill>
                    <w14:schemeClr w14:val="tx1"/>
                  </w14:solidFill>
                </w14:textFill>
              </w:rPr>
              <w:t>本项目酸洗废气、盐酸储罐大、小呼吸废气与预搅拌工序搅拌粉尘采取</w:t>
            </w:r>
            <w:r>
              <w:rPr>
                <w:rFonts w:hint="default" w:cs="Times New Roman"/>
                <w:b w:val="0"/>
                <w:bCs/>
                <w:color w:val="000000" w:themeColor="text1"/>
                <w:sz w:val="24"/>
                <w:szCs w:val="24"/>
                <w:highlight w:val="none"/>
                <w:lang w:val="en-US" w:eastAsia="zh-CN"/>
                <w14:textFill>
                  <w14:solidFill>
                    <w14:schemeClr w14:val="tx1"/>
                  </w14:solidFill>
                </w14:textFill>
              </w:rPr>
              <w:t>碱法喷淋塔</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default" w:cs="Times New Roman"/>
                <w:b w:val="0"/>
                <w:bCs/>
                <w:color w:val="000000" w:themeColor="text1"/>
                <w:sz w:val="24"/>
                <w:szCs w:val="24"/>
                <w:highlight w:val="none"/>
                <w:lang w:val="en-US" w:eastAsia="zh-CN"/>
                <w14:textFill>
                  <w14:solidFill>
                    <w14:schemeClr w14:val="tx1"/>
                  </w14:solidFill>
                </w14:textFill>
              </w:rPr>
              <w:t>15m高排气筒（DA001）</w:t>
            </w:r>
            <w:r>
              <w:rPr>
                <w:rFonts w:hint="eastAsia" w:cs="Times New Roman"/>
                <w:b w:val="0"/>
                <w:bCs/>
                <w:color w:val="000000" w:themeColor="text1"/>
                <w:sz w:val="24"/>
                <w:szCs w:val="24"/>
                <w:highlight w:val="none"/>
                <w:lang w:val="en-US" w:eastAsia="zh-CN"/>
                <w14:textFill>
                  <w14:solidFill>
                    <w14:schemeClr w14:val="tx1"/>
                  </w14:solidFill>
                </w14:textFill>
              </w:rPr>
              <w:t>措施，</w:t>
            </w: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碱液喷淋塔，又称酸性气体洗涤塔、湿式洗涤塔。其核心原理是利用碱性吸收液通过喷淋系统与酸性废</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气充分接触，发生酸碱中和反应，从而将废气中的有害酸性成分去除，达到净化气体的目的。</w:t>
            </w:r>
          </w:p>
          <w:p w14:paraId="7268B730">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碱液喷淋塔通过喷嘴将吸收剂（通常是NaOH</w:t>
            </w:r>
            <w:r>
              <w:rPr>
                <w:rFonts w:hint="eastAsia" w:cs="Times New Roman"/>
                <w:color w:val="000000" w:themeColor="text1"/>
                <w:sz w:val="24"/>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雾化成无数细小的液滴，这些液滴提供了巨大的总表面积，使</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酸性</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气体能充分与吸收剂接触。烟气从塔底进入，与自上而下喷淋的浆液液滴发生逆流接触。这种逆流方式极大地强化了气液两相的混合和传质效率。</w:t>
            </w:r>
          </w:p>
          <w:p w14:paraId="72099FDC">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在塔内，</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酸性</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气体被浆液吸收，并与碱液发生一系列化学反应，最终生成稳定的石膏。喷淋塔提供了足够的停留时间让反应充分进行。</w:t>
            </w:r>
          </w:p>
          <w:p w14:paraId="185791E5">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废气中的酸性污染物（HCl）与碱液（如NaOH）发生化学反应，被吸收并中和。</w:t>
            </w:r>
          </w:p>
          <w:p w14:paraId="38208C1C">
            <w:pPr>
              <w:pStyle w:val="20"/>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right="0"/>
              <w:jc w:val="center"/>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HCl+NaOH=NaCl+H</w:t>
            </w:r>
            <w:r>
              <w:rPr>
                <w:rFonts w:hint="default" w:ascii="Times New Roman" w:hAnsi="Times New Roman" w:eastAsia="宋体" w:cs="Times New Roman"/>
                <w:color w:val="000000" w:themeColor="text1"/>
                <w:sz w:val="24"/>
                <w:szCs w:val="24"/>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O</w:t>
            </w:r>
          </w:p>
          <w:p w14:paraId="496CE103">
            <w:pPr>
              <w:pStyle w:val="20"/>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经过净化后的气体继续上升，经过除雾器，去除携带的水分后，从顶部排气口达标排放。落到塔底的液体（已含有中和生成的盐类）流入循环水箱。通过pH计实时监测水质酸碱度，并由加药系统自动补充新鲜碱液，维持其中和能力。富含盐分的废水定期</w:t>
            </w:r>
            <w:r>
              <w:rPr>
                <w:rFonts w:hint="eastAsia" w:cs="Times New Roman"/>
                <w:color w:val="000000" w:themeColor="text1"/>
                <w:sz w:val="24"/>
                <w:szCs w:val="21"/>
                <w:highlight w:val="none"/>
                <w:lang w:val="en-US" w:eastAsia="zh-CN" w:bidi="ar-SA"/>
                <w14:textFill>
                  <w14:solidFill>
                    <w14:schemeClr w14:val="tx1"/>
                  </w14:solidFill>
                </w14:textFill>
              </w:rPr>
              <w:t>清理</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w:t>
            </w:r>
          </w:p>
          <w:p w14:paraId="0C232B17">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eastAsia"/>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根据生态环境部2021年6月发布的《排放源统计调查产排污核算方法和系数手册》中的《4220非金属废料和碎屑加工处理行业系数手册》，湿式除尘装置平均去除效率为75%；项目采用碱液喷淋塔装置</w:t>
            </w:r>
            <w:r>
              <w:rPr>
                <w:rFonts w:hint="eastAsia" w:cs="Times New Roman"/>
                <w:color w:val="000000" w:themeColor="text1"/>
                <w:sz w:val="24"/>
                <w:szCs w:val="21"/>
                <w:highlight w:val="none"/>
                <w:lang w:val="en-US" w:eastAsia="zh-CN" w:bidi="ar-SA"/>
                <w14:textFill>
                  <w14:solidFill>
                    <w14:schemeClr w14:val="tx1"/>
                  </w14:solidFill>
                </w14:textFill>
              </w:rPr>
              <w:t>（主要处理酸性废气，同时具备</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湿式除尘效果，</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粉尘颗粒被液滴拦截、浸润、增重后，随液滴一起沉降</w:t>
            </w:r>
            <w:r>
              <w:rPr>
                <w:rFonts w:hint="eastAsia" w:cs="Times New Roman"/>
                <w:color w:val="000000" w:themeColor="text1"/>
                <w:sz w:val="24"/>
                <w:szCs w:val="21"/>
                <w:highlight w:val="none"/>
                <w:lang w:val="en-US" w:eastAsia="zh-CN" w:bidi="ar-SA"/>
                <w14:textFill>
                  <w14:solidFill>
                    <w14:schemeClr w14:val="tx1"/>
                  </w14:solidFill>
                </w14:textFill>
              </w:rPr>
              <w:t>入碱液池，静置沉降后底泥经压滤机压滤后回用于生产线。每月清理喷头，防止堵塞导致喷淋不均，定期进行碱液池的清理，避免碱洗</w:t>
            </w:r>
            <w:r>
              <w:rPr>
                <w:rFonts w:hint="eastAsia" w:cs="Times New Roman"/>
                <w:b w:val="0"/>
                <w:bCs w:val="0"/>
                <w:color w:val="000000" w:themeColor="text1"/>
                <w:sz w:val="24"/>
                <w:szCs w:val="21"/>
                <w:highlight w:val="none"/>
                <w:lang w:val="en-US" w:eastAsia="zh-CN" w:bidi="ar-SA"/>
                <w14:textFill>
                  <w14:solidFill>
                    <w14:schemeClr w14:val="tx1"/>
                  </w14:solidFill>
                </w14:textFill>
              </w:rPr>
              <w:t>废水</w:t>
            </w:r>
            <w:r>
              <w:rPr>
                <w:rFonts w:hint="eastAsia" w:ascii="宋体" w:hAnsi="宋体" w:cs="宋体"/>
                <w:b w:val="0"/>
                <w:bCs w:val="0"/>
                <w:color w:val="000000" w:themeColor="text1"/>
                <w:kern w:val="0"/>
                <w:sz w:val="24"/>
                <w:highlight w:val="none"/>
                <w14:textFill>
                  <w14:solidFill>
                    <w14:schemeClr w14:val="tx1"/>
                  </w14:solidFill>
                </w14:textFill>
              </w:rPr>
              <w:t>盐类饱和后就无法循环</w:t>
            </w:r>
            <w:r>
              <w:rPr>
                <w:rFonts w:hint="eastAsia" w:ascii="宋体" w:hAnsi="宋体" w:cs="宋体"/>
                <w:b w:val="0"/>
                <w:bCs w:val="0"/>
                <w:color w:val="000000" w:themeColor="text1"/>
                <w:kern w:val="0"/>
                <w:sz w:val="24"/>
                <w:highlight w:val="none"/>
                <w:lang w:val="en-US" w:eastAsia="zh-CN"/>
                <w14:textFill>
                  <w14:solidFill>
                    <w14:schemeClr w14:val="tx1"/>
                  </w14:solidFill>
                </w14:textFill>
              </w:rPr>
              <w:t>使用</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w:t>
            </w:r>
          </w:p>
          <w:p w14:paraId="37B4AB6F">
            <w:pPr>
              <w:pStyle w:val="53"/>
              <w:bidi w:val="0"/>
              <w:rPr>
                <w:rFonts w:hint="eastAsia"/>
                <w:b/>
                <w:bCs w:val="0"/>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（2）</w:t>
            </w:r>
            <w:r>
              <w:rPr>
                <w:rFonts w:hint="eastAsia" w:cs="Times New Roman"/>
                <w:b/>
                <w:bCs w:val="0"/>
                <w:color w:val="000000" w:themeColor="text1"/>
                <w:spacing w:val="0"/>
                <w:w w:val="100"/>
                <w:kern w:val="2"/>
                <w:position w:val="0"/>
                <w:sz w:val="24"/>
                <w:szCs w:val="24"/>
                <w:highlight w:val="none"/>
                <w:lang w:val="en-US" w:eastAsia="zh-CN" w:bidi="ar-SA"/>
                <w14:textFill>
                  <w14:solidFill>
                    <w14:schemeClr w14:val="tx1"/>
                  </w14:solidFill>
                </w14:textFill>
              </w:rPr>
              <w:t>醇基</w:t>
            </w:r>
            <w:r>
              <w:rPr>
                <w:rFonts w:hint="default" w:ascii="Times New Roman" w:hAnsi="Times New Roman" w:eastAsia="宋体" w:cs="Times New Roman"/>
                <w:b/>
                <w:bCs w:val="0"/>
                <w:color w:val="000000" w:themeColor="text1"/>
                <w:spacing w:val="0"/>
                <w:w w:val="100"/>
                <w:kern w:val="2"/>
                <w:position w:val="0"/>
                <w:sz w:val="24"/>
                <w:szCs w:val="24"/>
                <w:highlight w:val="none"/>
                <w:lang w:val="en-US" w:eastAsia="zh-CN" w:bidi="ar-SA"/>
                <w14:textFill>
                  <w14:solidFill>
                    <w14:schemeClr w14:val="tx1"/>
                  </w14:solidFill>
                </w14:textFill>
              </w:rPr>
              <w:t>锅炉</w:t>
            </w:r>
            <w:r>
              <w:rPr>
                <w:rFonts w:hint="default"/>
                <w:b/>
                <w:bCs w:val="0"/>
                <w:color w:val="000000" w:themeColor="text1"/>
                <w:highlight w:val="none"/>
                <w:lang w:val="en-US" w:eastAsia="zh-CN"/>
                <w14:textFill>
                  <w14:solidFill>
                    <w14:schemeClr w14:val="tx1"/>
                  </w14:solidFill>
                </w14:textFill>
              </w:rPr>
              <w:t>废气处理的可行性分析</w:t>
            </w:r>
          </w:p>
          <w:p w14:paraId="674679A3">
            <w:pPr>
              <w:pageBreakBefore w:val="0"/>
              <w:widowControl w:val="0"/>
              <w:kinsoku/>
              <w:wordWrap w:val="0"/>
              <w:overflowPunct/>
              <w:topLinePunct w:val="0"/>
              <w:bidi w:val="0"/>
              <w:spacing w:line="360" w:lineRule="auto"/>
              <w:ind w:firstLine="480"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本项目</w:t>
            </w:r>
            <w:r>
              <w:rPr>
                <w:rFonts w:hint="eastAsia" w:cs="Times New Roman"/>
                <w:b w:val="0"/>
                <w:bCs w:val="0"/>
                <w:color w:val="000000" w:themeColor="text1"/>
                <w:spacing w:val="0"/>
                <w:w w:val="100"/>
                <w:kern w:val="2"/>
                <w:position w:val="0"/>
                <w:sz w:val="24"/>
                <w:szCs w:val="24"/>
                <w:highlight w:val="none"/>
                <w:lang w:val="en-US" w:eastAsia="zh-CN" w:bidi="ar-SA"/>
                <w14:textFill>
                  <w14:solidFill>
                    <w14:schemeClr w14:val="tx1"/>
                  </w14:solidFill>
                </w14:textFill>
              </w:rPr>
              <w:t>锅炉废气采取</w:t>
            </w:r>
            <w:r>
              <w:rPr>
                <w:rFonts w:hint="eastAsia"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低氮燃烧器</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+袋式除尘器+</w:t>
            </w:r>
            <w:r>
              <w:rPr>
                <w:rFonts w:hint="default"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15m高排气筒（DA00</w:t>
            </w:r>
            <w:r>
              <w:rPr>
                <w:rFonts w:hint="eastAsia"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措施</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，是将部分低温烟气直接送入炉内，因烟气吸热和稀释了氧浓度，使燃烧速度和炉内温度降低，因而热力NO</w:t>
            </w:r>
            <w:r>
              <w:rPr>
                <w:rFonts w:hint="default" w:ascii="Times New Roman" w:hAnsi="Times New Roman" w:eastAsia="宋体" w:cs="Times New Roman"/>
                <w:b w:val="0"/>
                <w:bCs w:val="0"/>
                <w:color w:val="000000" w:themeColor="text1"/>
                <w:kern w:val="0"/>
                <w:sz w:val="24"/>
                <w:szCs w:val="24"/>
                <w:highlight w:val="none"/>
                <w:vertAlign w:val="baseline"/>
                <w:lang w:val="en-US" w:eastAsia="zh-CN" w:bidi="ar"/>
                <w14:textFill>
                  <w14:solidFill>
                    <w14:schemeClr w14:val="tx1"/>
                  </w14:solidFill>
                </w14:textFill>
              </w:rPr>
              <w:t>x</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减少。</w:t>
            </w:r>
            <w:r>
              <w:rPr>
                <w:rFonts w:hint="default" w:ascii="Times New Roman" w:hAnsi="Times New Roman" w:cs="Times New Roman"/>
                <w:color w:val="000000" w:themeColor="text1"/>
                <w:sz w:val="24"/>
                <w:highlight w:val="none"/>
                <w14:textFill>
                  <w14:solidFill>
                    <w14:schemeClr w14:val="tx1"/>
                  </w14:solidFill>
                </w14:textFill>
              </w:rPr>
              <w:t>由于本项目所在区域属于</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乌-昌-石</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大气联防联控区，为进一步减轻锅炉废气对周边环境的影响，本项目</w:t>
            </w:r>
            <w:r>
              <w:rPr>
                <w:rFonts w:hint="default" w:ascii="Times New Roman" w:hAnsi="Times New Roman" w:cs="Times New Roman"/>
                <w:color w:val="000000" w:themeColor="text1"/>
                <w:sz w:val="24"/>
                <w:highlight w:val="none"/>
                <w:lang w:val="en-US" w:eastAsia="zh-CN"/>
                <w14:textFill>
                  <w14:solidFill>
                    <w14:schemeClr w14:val="tx1"/>
                  </w14:solidFill>
                </w14:textFill>
              </w:rPr>
              <w:t>SO</w:t>
            </w:r>
            <w:r>
              <w:rPr>
                <w:rFonts w:hint="default" w:ascii="Times New Roman" w:hAnsi="Times New Roman" w:cs="Times New Roman"/>
                <w:color w:val="000000" w:themeColor="text1"/>
                <w:sz w:val="24"/>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颗粒物</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default" w:ascii="Times New Roman" w:hAnsi="Times New Roman" w:cs="Times New Roman"/>
                <w:color w:val="000000" w:themeColor="text1"/>
                <w:sz w:val="24"/>
                <w:highlight w:val="none"/>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《锅炉大气污染物排放标准》（GB-13271-2014）中表3燃油锅炉大气污染物特别排放浓度限值</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default" w:ascii="Times New Roman" w:hAnsi="Times New Roman" w:cs="Times New Roman"/>
                <w:color w:val="000000" w:themeColor="text1"/>
                <w:sz w:val="24"/>
                <w:szCs w:val="24"/>
                <w:highlight w:val="none"/>
                <w14:textFill>
                  <w14:solidFill>
                    <w14:schemeClr w14:val="tx1"/>
                  </w14:solidFill>
                </w14:textFill>
              </w:rPr>
              <w:t>。</w:t>
            </w:r>
          </w:p>
          <w:p w14:paraId="4BFEBF72">
            <w:pPr>
              <w:pStyle w:val="26"/>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根据《排污许可证申请与核发技术规范 锅炉》（HJ 953-2018）表7锅炉烟气污染防治可行技术，本项目</w:t>
            </w:r>
            <w:r>
              <w:rPr>
                <w:rFonts w:hint="eastAsia"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醇基</w:t>
            </w: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锅炉产生的废气采用低氮燃烧</w:t>
            </w:r>
            <w:r>
              <w:rPr>
                <w:rFonts w:hint="eastAsia"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+袋式除尘</w:t>
            </w: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技术为可行技术。</w:t>
            </w:r>
          </w:p>
          <w:p w14:paraId="66DF0360">
            <w:pPr>
              <w:pStyle w:val="53"/>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w:t>
            </w:r>
            <w:r>
              <w:rPr>
                <w:rFonts w:hint="default"/>
                <w:b/>
                <w:bCs/>
                <w:color w:val="000000" w:themeColor="text1"/>
                <w:highlight w:val="none"/>
                <w:lang w:val="en-US" w:eastAsia="zh-CN"/>
                <w14:textFill>
                  <w14:solidFill>
                    <w14:schemeClr w14:val="tx1"/>
                  </w14:solidFill>
                </w14:textFill>
              </w:rPr>
              <w:t>破碎、球磨工序</w:t>
            </w:r>
            <w:r>
              <w:rPr>
                <w:rFonts w:hint="eastAsia"/>
                <w:b/>
                <w:bCs/>
                <w:color w:val="000000" w:themeColor="text1"/>
                <w:highlight w:val="none"/>
                <w:lang w:val="en-US" w:eastAsia="zh-CN"/>
                <w14:textFill>
                  <w14:solidFill>
                    <w14:schemeClr w14:val="tx1"/>
                  </w14:solidFill>
                </w14:textFill>
              </w:rPr>
              <w:t>与烘干</w:t>
            </w:r>
            <w:r>
              <w:rPr>
                <w:rFonts w:hint="default"/>
                <w:b/>
                <w:bCs/>
                <w:color w:val="000000" w:themeColor="text1"/>
                <w:highlight w:val="none"/>
                <w:lang w:val="en-US" w:eastAsia="zh-CN"/>
                <w14:textFill>
                  <w14:solidFill>
                    <w14:schemeClr w14:val="tx1"/>
                  </w14:solidFill>
                </w14:textFill>
              </w:rPr>
              <w:t>工序废气处理的可行性分析</w:t>
            </w:r>
          </w:p>
          <w:p w14:paraId="5389079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kern w:val="0"/>
                <w:position w:val="0"/>
                <w:sz w:val="24"/>
                <w:szCs w:val="24"/>
                <w:highlight w:val="none"/>
                <w:u w:val="none"/>
                <w:lang w:val="en-US" w:eastAsia="zh-CN" w:bidi="ar"/>
                <w14:textFill>
                  <w14:solidFill>
                    <w14:schemeClr w14:val="tx1"/>
                  </w14:solidFill>
                </w14:textFill>
              </w:rPr>
              <w:t>布袋除尘器布袋采用纺织的滤布或非纺织的毡制成，利用纤维织物的过滤作用对含尘气体进行过滤，当含尘气体进入袋式除尘器后，颗粒大、比重大的粉尘，由于重力的作用沉降下来、落入灰斗，含有较细小粉尘的气体在通过滤料时，</w:t>
            </w:r>
            <w:r>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粉尘被阻留，使气体得到净化。布袋除尘是比较成熟、通用的处置设施，处置效率</w:t>
            </w:r>
            <w:r>
              <w:rPr>
                <w:rFonts w:hint="eastAsia"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为99%</w:t>
            </w:r>
            <w:r>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w:t>
            </w:r>
            <w:r>
              <w:rPr>
                <w:rFonts w:hint="eastAsia"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处理后的有组织废气</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排放限制（1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p>
          <w:p w14:paraId="5195446B">
            <w:pPr>
              <w:pStyle w:val="53"/>
              <w:bidi w:val="0"/>
              <w:rPr>
                <w:rFonts w:hint="default"/>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（4）本项目排气筒高度合理性</w:t>
            </w:r>
          </w:p>
          <w:p w14:paraId="138AC293">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根据《锅炉大气污染物排放标准》新建锅炉房的烟囱周围半径200米内有建筑物时，其烟囱应高出最高建筑物3米以上，本项目烟囱设置为15m，设置合理。</w:t>
            </w:r>
          </w:p>
          <w:p w14:paraId="6EDBB340">
            <w:pPr>
              <w:pStyle w:val="4"/>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4.5.11</w:t>
            </w:r>
            <w:r>
              <w:rPr>
                <w:rFonts w:hint="default"/>
                <w:color w:val="000000" w:themeColor="text1"/>
                <w:highlight w:val="none"/>
                <w14:textFill>
                  <w14:solidFill>
                    <w14:schemeClr w14:val="tx1"/>
                  </w14:solidFill>
                </w14:textFill>
              </w:rPr>
              <w:t>非正常工况</w:t>
            </w:r>
          </w:p>
          <w:p w14:paraId="1453B4EA">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项目非正常工况为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袋式收</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尘器</w:t>
            </w:r>
            <w:r>
              <w:rPr>
                <w:rFonts w:hint="default" w:ascii="Times New Roman" w:hAnsi="Times New Roman" w:eastAsia="宋体" w:cs="Times New Roman"/>
                <w:color w:val="000000" w:themeColor="text1"/>
                <w:sz w:val="24"/>
                <w:szCs w:val="24"/>
                <w:highlight w:val="none"/>
                <w14:textFill>
                  <w14:solidFill>
                    <w14:schemeClr w14:val="tx1"/>
                  </w14:solidFill>
                </w14:textFill>
              </w:rPr>
              <w:t>失效</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碱液喷淋塔失效、低氮燃烧器不正常工作</w:t>
            </w:r>
            <w:r>
              <w:rPr>
                <w:rFonts w:hint="default" w:ascii="Times New Roman" w:hAnsi="Times New Roman" w:eastAsia="宋体" w:cs="Times New Roman"/>
                <w:color w:val="000000" w:themeColor="text1"/>
                <w:sz w:val="24"/>
                <w:szCs w:val="24"/>
                <w:highlight w:val="none"/>
                <w14:textFill>
                  <w14:solidFill>
                    <w14:schemeClr w14:val="tx1"/>
                  </w14:solidFill>
                </w14:textFill>
              </w:rPr>
              <w:t>，导致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z w:val="24"/>
                <w:szCs w:val="24"/>
                <w:highlight w:val="none"/>
                <w14:textFill>
                  <w14:solidFill>
                    <w14:schemeClr w14:val="tx1"/>
                  </w14:solidFill>
                </w14:textFill>
              </w:rPr>
              <w:t>排放浓度出现超标</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氯化氢、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二氧化硫浓度及氮氧化物浓度超标</w:t>
            </w:r>
            <w:r>
              <w:rPr>
                <w:rFonts w:hint="default" w:ascii="Times New Roman" w:hAnsi="Times New Roman" w:eastAsia="宋体" w:cs="Times New Roman"/>
                <w:color w:val="000000" w:themeColor="text1"/>
                <w:sz w:val="24"/>
                <w:szCs w:val="24"/>
                <w:highlight w:val="none"/>
                <w14:textFill>
                  <w14:solidFill>
                    <w14:schemeClr w14:val="tx1"/>
                  </w14:solidFill>
                </w14:textFill>
              </w:rPr>
              <w:t>，当发现设备故障后，对废气处理设施及时停机进行检修，不会对周围环境造成较大影响。</w:t>
            </w:r>
          </w:p>
          <w:p w14:paraId="67AF3EE5">
            <w:pPr>
              <w:pStyle w:val="48"/>
              <w:spacing w:line="240" w:lineRule="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表4-</w:t>
            </w:r>
            <w:r>
              <w:rPr>
                <w:rFonts w:hint="eastAsia" w:cs="Times New Roman"/>
                <w:bCs/>
                <w:color w:val="000000" w:themeColor="text1"/>
                <w:sz w:val="21"/>
                <w:szCs w:val="21"/>
                <w:highlight w:val="none"/>
                <w:lang w:val="en-US" w:eastAsia="zh-CN"/>
                <w14:textFill>
                  <w14:solidFill>
                    <w14:schemeClr w14:val="tx1"/>
                  </w14:solidFill>
                </w14:textFill>
              </w:rPr>
              <w:t>8</w:t>
            </w:r>
            <w:r>
              <w:rPr>
                <w:rFonts w:hint="default" w:ascii="Times New Roman" w:hAnsi="Times New Roman" w:cs="Times New Roman"/>
                <w:bCs/>
                <w:color w:val="000000" w:themeColor="text1"/>
                <w:sz w:val="21"/>
                <w:szCs w:val="21"/>
                <w:highlight w:val="none"/>
                <w14:textFill>
                  <w14:solidFill>
                    <w14:schemeClr w14:val="tx1"/>
                  </w14:solidFill>
                </w14:textFill>
              </w:rPr>
              <w:t xml:space="preserve">   </w:t>
            </w:r>
            <w:r>
              <w:rPr>
                <w:rFonts w:hint="eastAsia" w:cs="Times New Roman"/>
                <w:bCs/>
                <w:color w:val="000000" w:themeColor="text1"/>
                <w:sz w:val="21"/>
                <w:szCs w:val="21"/>
                <w:highlight w:val="none"/>
                <w:lang w:val="en-US" w:eastAsia="zh-CN"/>
                <w14:textFill>
                  <w14:solidFill>
                    <w14:schemeClr w14:val="tx1"/>
                  </w14:solidFill>
                </w14:textFill>
              </w:rPr>
              <w:t>一期工程</w:t>
            </w:r>
            <w:r>
              <w:rPr>
                <w:rFonts w:hint="default" w:ascii="Times New Roman" w:hAnsi="Times New Roman" w:cs="Times New Roman"/>
                <w:bCs/>
                <w:color w:val="000000" w:themeColor="text1"/>
                <w:sz w:val="21"/>
                <w:szCs w:val="21"/>
                <w:highlight w:val="none"/>
                <w14:textFill>
                  <w14:solidFill>
                    <w14:schemeClr w14:val="tx1"/>
                  </w14:solidFill>
                </w14:textFill>
              </w:rPr>
              <w:t>非正常工况废气污染物产生及排放情况</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5"/>
              <w:gridCol w:w="746"/>
              <w:gridCol w:w="595"/>
              <w:gridCol w:w="1192"/>
              <w:gridCol w:w="1100"/>
              <w:gridCol w:w="1143"/>
              <w:gridCol w:w="940"/>
            </w:tblGrid>
            <w:tr w14:paraId="23D173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tcBorders>
                    <w:bottom w:val="single" w:color="auto" w:sz="12" w:space="0"/>
                  </w:tcBorders>
                  <w:noWrap w:val="0"/>
                  <w:vAlign w:val="center"/>
                </w:tcPr>
                <w:p w14:paraId="49C821A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排放源</w:t>
                  </w:r>
                </w:p>
              </w:tc>
              <w:tc>
                <w:tcPr>
                  <w:tcW w:w="559" w:type="pct"/>
                  <w:tcBorders>
                    <w:bottom w:val="single" w:color="auto" w:sz="12" w:space="0"/>
                  </w:tcBorders>
                  <w:noWrap w:val="0"/>
                  <w:vAlign w:val="center"/>
                </w:tcPr>
                <w:p w14:paraId="07E78F7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505" w:type="pct"/>
                  <w:tcBorders>
                    <w:bottom w:val="single" w:color="auto" w:sz="12" w:space="0"/>
                  </w:tcBorders>
                  <w:noWrap w:val="0"/>
                  <w:vAlign w:val="center"/>
                </w:tcPr>
                <w:p w14:paraId="32A73C6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排放速率</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kg/h</w:t>
                  </w:r>
                </w:p>
              </w:tc>
              <w:tc>
                <w:tcPr>
                  <w:tcW w:w="403" w:type="pct"/>
                  <w:tcBorders>
                    <w:bottom w:val="single" w:color="auto" w:sz="12" w:space="0"/>
                  </w:tcBorders>
                  <w:noWrap w:val="0"/>
                  <w:vAlign w:val="center"/>
                </w:tcPr>
                <w:p w14:paraId="0B811E0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持续时间</w:t>
                  </w:r>
                </w:p>
              </w:tc>
              <w:tc>
                <w:tcPr>
                  <w:tcW w:w="808" w:type="pct"/>
                  <w:tcBorders>
                    <w:bottom w:val="single" w:color="auto" w:sz="12" w:space="0"/>
                  </w:tcBorders>
                  <w:shd w:val="clear" w:color="auto" w:fill="auto"/>
                  <w:noWrap w:val="0"/>
                  <w:vAlign w:val="center"/>
                </w:tcPr>
                <w:p w14:paraId="74F916C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排放量</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w:t>
                  </w:r>
                </w:p>
              </w:tc>
              <w:tc>
                <w:tcPr>
                  <w:tcW w:w="745" w:type="pct"/>
                  <w:tcBorders>
                    <w:bottom w:val="single" w:color="auto" w:sz="12" w:space="0"/>
                  </w:tcBorders>
                  <w:noWrap w:val="0"/>
                  <w:vAlign w:val="center"/>
                </w:tcPr>
                <w:p w14:paraId="51BCDAD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排放浓度mg/m</w:t>
                  </w:r>
                  <w:r>
                    <w:rPr>
                      <w:rFonts w:hint="eastAsia"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p>
              </w:tc>
              <w:tc>
                <w:tcPr>
                  <w:tcW w:w="774" w:type="pct"/>
                  <w:tcBorders>
                    <w:bottom w:val="single" w:color="auto" w:sz="12" w:space="0"/>
                  </w:tcBorders>
                  <w:noWrap w:val="0"/>
                  <w:vAlign w:val="center"/>
                </w:tcPr>
                <w:p w14:paraId="18F98CD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非正常工况</w:t>
                  </w:r>
                </w:p>
              </w:tc>
              <w:tc>
                <w:tcPr>
                  <w:tcW w:w="637" w:type="pct"/>
                  <w:tcBorders>
                    <w:bottom w:val="single" w:color="auto" w:sz="12" w:space="0"/>
                  </w:tcBorders>
                  <w:noWrap w:val="0"/>
                  <w:vAlign w:val="center"/>
                </w:tcPr>
                <w:p w14:paraId="64DD8AC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应对措施</w:t>
                  </w:r>
                </w:p>
              </w:tc>
            </w:tr>
            <w:tr w14:paraId="25EAEE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restart"/>
                  <w:tcBorders>
                    <w:top w:val="single" w:color="auto" w:sz="12" w:space="0"/>
                  </w:tcBorders>
                  <w:noWrap w:val="0"/>
                  <w:vAlign w:val="center"/>
                </w:tcPr>
                <w:p w14:paraId="3779AEB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DA001</w:t>
                  </w:r>
                </w:p>
              </w:tc>
              <w:tc>
                <w:tcPr>
                  <w:tcW w:w="559" w:type="pct"/>
                  <w:tcBorders>
                    <w:top w:val="single" w:color="auto" w:sz="12" w:space="0"/>
                    <w:bottom w:val="single" w:color="auto" w:sz="4" w:space="0"/>
                  </w:tcBorders>
                  <w:noWrap w:val="0"/>
                  <w:vAlign w:val="center"/>
                </w:tcPr>
                <w:p w14:paraId="7BDFCD1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氯化氢</w:t>
                  </w:r>
                </w:p>
              </w:tc>
              <w:tc>
                <w:tcPr>
                  <w:tcW w:w="505" w:type="pct"/>
                  <w:tcBorders>
                    <w:top w:val="single" w:color="auto" w:sz="12" w:space="0"/>
                    <w:bottom w:val="single" w:color="auto" w:sz="4" w:space="0"/>
                  </w:tcBorders>
                  <w:noWrap w:val="0"/>
                  <w:vAlign w:val="center"/>
                </w:tcPr>
                <w:p w14:paraId="70B9A3D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0.129</w:t>
                  </w:r>
                </w:p>
              </w:tc>
              <w:tc>
                <w:tcPr>
                  <w:tcW w:w="403" w:type="pct"/>
                  <w:tcBorders>
                    <w:top w:val="single" w:color="auto" w:sz="12" w:space="0"/>
                    <w:bottom w:val="single" w:color="auto" w:sz="4" w:space="0"/>
                  </w:tcBorders>
                  <w:noWrap w:val="0"/>
                  <w:vAlign w:val="center"/>
                </w:tcPr>
                <w:p w14:paraId="2990C4B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tcBorders>
                    <w:top w:val="single" w:color="auto" w:sz="12" w:space="0"/>
                    <w:bottom w:val="single" w:color="auto" w:sz="4" w:space="0"/>
                  </w:tcBorders>
                  <w:shd w:val="clear" w:color="auto" w:fill="auto"/>
                  <w:noWrap w:val="0"/>
                  <w:vAlign w:val="center"/>
                </w:tcPr>
                <w:p w14:paraId="752CCF8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0.129</w:t>
                  </w:r>
                </w:p>
              </w:tc>
              <w:tc>
                <w:tcPr>
                  <w:tcW w:w="1100" w:type="dxa"/>
                  <w:tcBorders>
                    <w:top w:val="single" w:color="auto" w:sz="12" w:space="0"/>
                    <w:bottom w:val="single" w:color="auto" w:sz="4" w:space="0"/>
                  </w:tcBorders>
                  <w:noWrap w:val="0"/>
                  <w:vAlign w:val="center"/>
                </w:tcPr>
                <w:p w14:paraId="26D418F1">
                  <w:pPr>
                    <w:keepNext w:val="0"/>
                    <w:keepLines w:val="0"/>
                    <w:widowControl/>
                    <w:suppressLineNumbers w:val="0"/>
                    <w:jc w:val="center"/>
                    <w:textAlignment w:val="cente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12.9</w:t>
                  </w:r>
                </w:p>
              </w:tc>
              <w:tc>
                <w:tcPr>
                  <w:tcW w:w="774" w:type="pct"/>
                  <w:vMerge w:val="restart"/>
                  <w:tcBorders>
                    <w:top w:val="single" w:color="auto" w:sz="12" w:space="0"/>
                  </w:tcBorders>
                  <w:noWrap w:val="0"/>
                  <w:vAlign w:val="center"/>
                </w:tcPr>
                <w:p w14:paraId="593BCAC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碱液喷淋塔</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p>
              </w:tc>
              <w:tc>
                <w:tcPr>
                  <w:tcW w:w="637" w:type="pct"/>
                  <w:vMerge w:val="restart"/>
                  <w:tcBorders>
                    <w:top w:val="single" w:color="auto" w:sz="12" w:space="0"/>
                  </w:tcBorders>
                  <w:noWrap w:val="0"/>
                  <w:vAlign w:val="center"/>
                </w:tcPr>
                <w:p w14:paraId="4DB949B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7C2EE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continue"/>
                  <w:noWrap w:val="0"/>
                  <w:vAlign w:val="center"/>
                </w:tcPr>
                <w:p w14:paraId="2E93DB6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559" w:type="pct"/>
                  <w:tcBorders>
                    <w:top w:val="single" w:color="auto" w:sz="4" w:space="0"/>
                  </w:tcBorders>
                  <w:noWrap w:val="0"/>
                  <w:vAlign w:val="center"/>
                </w:tcPr>
                <w:p w14:paraId="58FB9C1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tcBorders>
                    <w:top w:val="single" w:color="auto" w:sz="4" w:space="0"/>
                  </w:tcBorders>
                  <w:noWrap w:val="0"/>
                  <w:vAlign w:val="center"/>
                </w:tcPr>
                <w:p w14:paraId="02F617E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0.011</w:t>
                  </w:r>
                </w:p>
              </w:tc>
              <w:tc>
                <w:tcPr>
                  <w:tcW w:w="403" w:type="pct"/>
                  <w:tcBorders>
                    <w:top w:val="single" w:color="auto" w:sz="4" w:space="0"/>
                  </w:tcBorders>
                  <w:noWrap w:val="0"/>
                  <w:vAlign w:val="center"/>
                </w:tcPr>
                <w:p w14:paraId="517E527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tcBorders>
                    <w:top w:val="single" w:color="auto" w:sz="4" w:space="0"/>
                  </w:tcBorders>
                  <w:shd w:val="clear" w:color="auto" w:fill="auto"/>
                  <w:noWrap w:val="0"/>
                  <w:vAlign w:val="center"/>
                </w:tcPr>
                <w:p w14:paraId="5B6AB1A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0.011</w:t>
                  </w:r>
                </w:p>
              </w:tc>
              <w:tc>
                <w:tcPr>
                  <w:tcW w:w="1100" w:type="dxa"/>
                  <w:tcBorders>
                    <w:top w:val="single" w:color="auto" w:sz="4" w:space="0"/>
                  </w:tcBorders>
                  <w:noWrap w:val="0"/>
                  <w:vAlign w:val="center"/>
                </w:tcPr>
                <w:p w14:paraId="2BD57D5E">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774" w:type="pct"/>
                  <w:vMerge w:val="continue"/>
                  <w:noWrap w:val="0"/>
                  <w:vAlign w:val="center"/>
                </w:tcPr>
                <w:p w14:paraId="643322A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637" w:type="pct"/>
                  <w:vMerge w:val="continue"/>
                  <w:noWrap w:val="0"/>
                  <w:vAlign w:val="center"/>
                </w:tcPr>
                <w:p w14:paraId="31BE4D7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434B6A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restart"/>
                  <w:noWrap w:val="0"/>
                  <w:vAlign w:val="center"/>
                </w:tcPr>
                <w:p w14:paraId="279B4CF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DA002</w:t>
                  </w:r>
                </w:p>
              </w:tc>
              <w:tc>
                <w:tcPr>
                  <w:tcW w:w="559" w:type="pct"/>
                  <w:noWrap w:val="0"/>
                  <w:vAlign w:val="center"/>
                </w:tcPr>
                <w:p w14:paraId="1E298A7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noWrap w:val="0"/>
                  <w:vAlign w:val="center"/>
                </w:tcPr>
                <w:p w14:paraId="2502050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0.033</w:t>
                  </w:r>
                </w:p>
              </w:tc>
              <w:tc>
                <w:tcPr>
                  <w:tcW w:w="403" w:type="pct"/>
                  <w:noWrap w:val="0"/>
                  <w:vAlign w:val="center"/>
                </w:tcPr>
                <w:p w14:paraId="23DEE48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3935564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0.033</w:t>
                  </w:r>
                </w:p>
              </w:tc>
              <w:tc>
                <w:tcPr>
                  <w:tcW w:w="1100" w:type="dxa"/>
                  <w:noWrap w:val="0"/>
                  <w:vAlign w:val="center"/>
                </w:tcPr>
                <w:p w14:paraId="22BE29D5">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0.01</w:t>
                  </w:r>
                </w:p>
              </w:tc>
              <w:tc>
                <w:tcPr>
                  <w:tcW w:w="774" w:type="pct"/>
                  <w:noWrap w:val="0"/>
                  <w:vAlign w:val="center"/>
                </w:tcPr>
                <w:p w14:paraId="567F7F1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noWrap w:val="0"/>
                  <w:vAlign w:val="center"/>
                </w:tcPr>
                <w:p w14:paraId="2F92C27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2F930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continue"/>
                  <w:noWrap w:val="0"/>
                  <w:vAlign w:val="center"/>
                </w:tcPr>
                <w:p w14:paraId="1EA248B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559" w:type="pct"/>
                  <w:noWrap w:val="0"/>
                  <w:vAlign w:val="center"/>
                </w:tcPr>
                <w:p w14:paraId="73D6A75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二氧化硫</w:t>
                  </w:r>
                </w:p>
              </w:tc>
              <w:tc>
                <w:tcPr>
                  <w:tcW w:w="505" w:type="pct"/>
                  <w:noWrap w:val="0"/>
                  <w:vAlign w:val="center"/>
                </w:tcPr>
                <w:p w14:paraId="5715E70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0.025</w:t>
                  </w:r>
                </w:p>
              </w:tc>
              <w:tc>
                <w:tcPr>
                  <w:tcW w:w="403" w:type="pct"/>
                  <w:noWrap w:val="0"/>
                  <w:vAlign w:val="center"/>
                </w:tcPr>
                <w:p w14:paraId="27671CF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16F39FE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0.025</w:t>
                  </w:r>
                </w:p>
              </w:tc>
              <w:tc>
                <w:tcPr>
                  <w:tcW w:w="1100" w:type="dxa"/>
                  <w:noWrap w:val="0"/>
                  <w:vAlign w:val="center"/>
                </w:tcPr>
                <w:p w14:paraId="0F169BEB">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0.0076</w:t>
                  </w:r>
                </w:p>
              </w:tc>
              <w:tc>
                <w:tcPr>
                  <w:tcW w:w="774" w:type="pct"/>
                  <w:noWrap w:val="0"/>
                  <w:vAlign w:val="center"/>
                </w:tcPr>
                <w:p w14:paraId="4FA565C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p>
              </w:tc>
              <w:tc>
                <w:tcPr>
                  <w:tcW w:w="637" w:type="pct"/>
                  <w:noWrap w:val="0"/>
                  <w:vAlign w:val="center"/>
                </w:tcPr>
                <w:p w14:paraId="620AF02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6D1A8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continue"/>
                  <w:noWrap w:val="0"/>
                  <w:vAlign w:val="center"/>
                </w:tcPr>
                <w:p w14:paraId="40C36B9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559" w:type="pct"/>
                  <w:noWrap w:val="0"/>
                  <w:vAlign w:val="center"/>
                </w:tcPr>
                <w:p w14:paraId="573A84F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氮氧化物</w:t>
                  </w:r>
                </w:p>
              </w:tc>
              <w:tc>
                <w:tcPr>
                  <w:tcW w:w="505" w:type="pct"/>
                  <w:noWrap w:val="0"/>
                  <w:vAlign w:val="center"/>
                </w:tcPr>
                <w:p w14:paraId="73564CB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0.052</w:t>
                  </w:r>
                </w:p>
              </w:tc>
              <w:tc>
                <w:tcPr>
                  <w:tcW w:w="403" w:type="pct"/>
                  <w:noWrap w:val="0"/>
                  <w:vAlign w:val="center"/>
                </w:tcPr>
                <w:p w14:paraId="1756660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48AE0A7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0.052</w:t>
                  </w:r>
                </w:p>
              </w:tc>
              <w:tc>
                <w:tcPr>
                  <w:tcW w:w="1100" w:type="dxa"/>
                  <w:noWrap w:val="0"/>
                  <w:vAlign w:val="center"/>
                </w:tcPr>
                <w:p w14:paraId="36336EDF">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0.0159</w:t>
                  </w:r>
                </w:p>
              </w:tc>
              <w:tc>
                <w:tcPr>
                  <w:tcW w:w="774" w:type="pct"/>
                  <w:noWrap w:val="0"/>
                  <w:vAlign w:val="center"/>
                </w:tcPr>
                <w:p w14:paraId="71AA40F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低氮燃烧器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p>
              </w:tc>
              <w:tc>
                <w:tcPr>
                  <w:tcW w:w="637" w:type="pct"/>
                  <w:noWrap w:val="0"/>
                  <w:vAlign w:val="center"/>
                </w:tcPr>
                <w:p w14:paraId="2738BC9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2031B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shd w:val="clear" w:color="auto" w:fill="auto"/>
                  <w:noWrap w:val="0"/>
                  <w:vAlign w:val="center"/>
                </w:tcPr>
                <w:p w14:paraId="7B0C426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559" w:type="pct"/>
                  <w:shd w:val="clear" w:color="auto" w:fill="auto"/>
                  <w:noWrap w:val="0"/>
                  <w:vAlign w:val="center"/>
                </w:tcPr>
                <w:p w14:paraId="2FDF5AE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shd w:val="clear" w:color="auto" w:fill="auto"/>
                  <w:noWrap w:val="0"/>
                  <w:vAlign w:val="center"/>
                </w:tcPr>
                <w:p w14:paraId="002D93B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0.004</w:t>
                  </w:r>
                </w:p>
              </w:tc>
              <w:tc>
                <w:tcPr>
                  <w:tcW w:w="403" w:type="pct"/>
                  <w:shd w:val="clear" w:color="auto" w:fill="auto"/>
                  <w:noWrap w:val="0"/>
                  <w:vAlign w:val="center"/>
                </w:tcPr>
                <w:p w14:paraId="730178B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0261CE4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0.004</w:t>
                  </w:r>
                </w:p>
              </w:tc>
              <w:tc>
                <w:tcPr>
                  <w:tcW w:w="1100" w:type="dxa"/>
                  <w:shd w:val="clear" w:color="auto" w:fill="auto"/>
                  <w:noWrap w:val="0"/>
                  <w:vAlign w:val="center"/>
                </w:tcPr>
                <w:p w14:paraId="3DD0A369">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0.8</w:t>
                  </w:r>
                </w:p>
              </w:tc>
              <w:tc>
                <w:tcPr>
                  <w:tcW w:w="774" w:type="pct"/>
                  <w:shd w:val="clear" w:color="auto" w:fill="auto"/>
                  <w:noWrap w:val="0"/>
                  <w:vAlign w:val="center"/>
                </w:tcPr>
                <w:p w14:paraId="57AD0E7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shd w:val="clear" w:color="auto" w:fill="auto"/>
                  <w:noWrap w:val="0"/>
                  <w:vAlign w:val="center"/>
                </w:tcPr>
                <w:p w14:paraId="6F0751D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bl>
          <w:p w14:paraId="53A0418C">
            <w:pPr>
              <w:pStyle w:val="48"/>
              <w:spacing w:line="240" w:lineRule="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表4-</w:t>
            </w:r>
            <w:r>
              <w:rPr>
                <w:rFonts w:hint="eastAsia" w:cs="Times New Roman"/>
                <w:bCs/>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bCs/>
                <w:color w:val="000000" w:themeColor="text1"/>
                <w:sz w:val="21"/>
                <w:szCs w:val="21"/>
                <w:highlight w:val="none"/>
                <w14:textFill>
                  <w14:solidFill>
                    <w14:schemeClr w14:val="tx1"/>
                  </w14:solidFill>
                </w14:textFill>
              </w:rPr>
              <w:t xml:space="preserve">   </w:t>
            </w:r>
            <w:r>
              <w:rPr>
                <w:rFonts w:hint="eastAsia" w:cs="Times New Roman"/>
                <w:bCs/>
                <w:color w:val="000000" w:themeColor="text1"/>
                <w:sz w:val="21"/>
                <w:szCs w:val="21"/>
                <w:highlight w:val="none"/>
                <w:lang w:val="en-US" w:eastAsia="zh-CN"/>
                <w14:textFill>
                  <w14:solidFill>
                    <w14:schemeClr w14:val="tx1"/>
                  </w14:solidFill>
                </w14:textFill>
              </w:rPr>
              <w:t>二期工程</w:t>
            </w:r>
            <w:r>
              <w:rPr>
                <w:rFonts w:hint="default" w:ascii="Times New Roman" w:hAnsi="Times New Roman" w:cs="Times New Roman"/>
                <w:bCs/>
                <w:color w:val="000000" w:themeColor="text1"/>
                <w:sz w:val="21"/>
                <w:szCs w:val="21"/>
                <w:highlight w:val="none"/>
                <w14:textFill>
                  <w14:solidFill>
                    <w14:schemeClr w14:val="tx1"/>
                  </w14:solidFill>
                </w14:textFill>
              </w:rPr>
              <w:t>非正常工况废气污染物产生及排放情况</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5"/>
              <w:gridCol w:w="746"/>
              <w:gridCol w:w="595"/>
              <w:gridCol w:w="1192"/>
              <w:gridCol w:w="1100"/>
              <w:gridCol w:w="1143"/>
              <w:gridCol w:w="940"/>
            </w:tblGrid>
            <w:tr w14:paraId="74B2A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tcBorders>
                    <w:bottom w:val="single" w:color="auto" w:sz="12" w:space="0"/>
                  </w:tcBorders>
                  <w:noWrap w:val="0"/>
                  <w:vAlign w:val="center"/>
                </w:tcPr>
                <w:p w14:paraId="5621534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排放源</w:t>
                  </w:r>
                </w:p>
              </w:tc>
              <w:tc>
                <w:tcPr>
                  <w:tcW w:w="559" w:type="pct"/>
                  <w:tcBorders>
                    <w:bottom w:val="single" w:color="auto" w:sz="12" w:space="0"/>
                  </w:tcBorders>
                  <w:noWrap w:val="0"/>
                  <w:vAlign w:val="center"/>
                </w:tcPr>
                <w:p w14:paraId="3998CDC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505" w:type="pct"/>
                  <w:tcBorders>
                    <w:bottom w:val="single" w:color="auto" w:sz="12" w:space="0"/>
                  </w:tcBorders>
                  <w:noWrap w:val="0"/>
                  <w:vAlign w:val="center"/>
                </w:tcPr>
                <w:p w14:paraId="7D94AAC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排放速率</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kg/h</w:t>
                  </w:r>
                </w:p>
              </w:tc>
              <w:tc>
                <w:tcPr>
                  <w:tcW w:w="403" w:type="pct"/>
                  <w:tcBorders>
                    <w:bottom w:val="single" w:color="auto" w:sz="12" w:space="0"/>
                  </w:tcBorders>
                  <w:noWrap w:val="0"/>
                  <w:vAlign w:val="center"/>
                </w:tcPr>
                <w:p w14:paraId="2752225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持续时间</w:t>
                  </w:r>
                </w:p>
              </w:tc>
              <w:tc>
                <w:tcPr>
                  <w:tcW w:w="808" w:type="pct"/>
                  <w:tcBorders>
                    <w:bottom w:val="single" w:color="auto" w:sz="12" w:space="0"/>
                  </w:tcBorders>
                  <w:shd w:val="clear" w:color="auto" w:fill="auto"/>
                  <w:noWrap w:val="0"/>
                  <w:vAlign w:val="center"/>
                </w:tcPr>
                <w:p w14:paraId="342B192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排放量</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w:t>
                  </w:r>
                </w:p>
              </w:tc>
              <w:tc>
                <w:tcPr>
                  <w:tcW w:w="745" w:type="pct"/>
                  <w:tcBorders>
                    <w:bottom w:val="single" w:color="auto" w:sz="12" w:space="0"/>
                  </w:tcBorders>
                  <w:noWrap w:val="0"/>
                  <w:vAlign w:val="center"/>
                </w:tcPr>
                <w:p w14:paraId="2AF3B82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排放浓度mg/m</w:t>
                  </w:r>
                  <w:r>
                    <w:rPr>
                      <w:rFonts w:hint="eastAsia"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p>
              </w:tc>
              <w:tc>
                <w:tcPr>
                  <w:tcW w:w="774" w:type="pct"/>
                  <w:tcBorders>
                    <w:bottom w:val="single" w:color="auto" w:sz="12" w:space="0"/>
                  </w:tcBorders>
                  <w:noWrap w:val="0"/>
                  <w:vAlign w:val="center"/>
                </w:tcPr>
                <w:p w14:paraId="3BB49F7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非正常工况</w:t>
                  </w:r>
                </w:p>
              </w:tc>
              <w:tc>
                <w:tcPr>
                  <w:tcW w:w="637" w:type="pct"/>
                  <w:tcBorders>
                    <w:bottom w:val="single" w:color="auto" w:sz="12" w:space="0"/>
                  </w:tcBorders>
                  <w:noWrap w:val="0"/>
                  <w:vAlign w:val="center"/>
                </w:tcPr>
                <w:p w14:paraId="4B81D25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应对措施</w:t>
                  </w:r>
                </w:p>
              </w:tc>
            </w:tr>
            <w:tr w14:paraId="0179B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noWrap w:val="0"/>
                  <w:vAlign w:val="center"/>
                </w:tcPr>
                <w:p w14:paraId="133398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559" w:type="pct"/>
                  <w:noWrap w:val="0"/>
                  <w:vAlign w:val="center"/>
                </w:tcPr>
                <w:p w14:paraId="345CBE7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noWrap w:val="0"/>
                  <w:vAlign w:val="center"/>
                </w:tcPr>
                <w:p w14:paraId="2893D5A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0.106</w:t>
                  </w:r>
                </w:p>
              </w:tc>
              <w:tc>
                <w:tcPr>
                  <w:tcW w:w="403" w:type="pct"/>
                  <w:noWrap w:val="0"/>
                  <w:vAlign w:val="center"/>
                </w:tcPr>
                <w:p w14:paraId="6438071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5CE51A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0.106</w:t>
                  </w:r>
                </w:p>
              </w:tc>
              <w:tc>
                <w:tcPr>
                  <w:tcW w:w="1100" w:type="dxa"/>
                  <w:noWrap w:val="0"/>
                  <w:vAlign w:val="center"/>
                </w:tcPr>
                <w:p w14:paraId="1830D3A2">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21.2</w:t>
                  </w:r>
                </w:p>
              </w:tc>
              <w:tc>
                <w:tcPr>
                  <w:tcW w:w="774" w:type="pct"/>
                  <w:noWrap w:val="0"/>
                  <w:vAlign w:val="center"/>
                </w:tcPr>
                <w:p w14:paraId="46188ED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noWrap w:val="0"/>
                  <w:vAlign w:val="center"/>
                </w:tcPr>
                <w:p w14:paraId="58843F5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02B201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shd w:val="clear" w:color="auto" w:fill="auto"/>
                  <w:noWrap w:val="0"/>
                  <w:vAlign w:val="center"/>
                </w:tcPr>
                <w:p w14:paraId="62EE187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559" w:type="pct"/>
                  <w:shd w:val="clear" w:color="auto" w:fill="auto"/>
                  <w:noWrap w:val="0"/>
                  <w:vAlign w:val="center"/>
                </w:tcPr>
                <w:p w14:paraId="7F34E47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shd w:val="clear" w:color="auto" w:fill="auto"/>
                  <w:noWrap w:val="0"/>
                  <w:vAlign w:val="center"/>
                </w:tcPr>
                <w:p w14:paraId="7F6D94C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0.006</w:t>
                  </w:r>
                </w:p>
              </w:tc>
              <w:tc>
                <w:tcPr>
                  <w:tcW w:w="403" w:type="pct"/>
                  <w:shd w:val="clear" w:color="auto" w:fill="auto"/>
                  <w:noWrap w:val="0"/>
                  <w:vAlign w:val="center"/>
                </w:tcPr>
                <w:p w14:paraId="1402387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73ADE16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0.006</w:t>
                  </w:r>
                </w:p>
              </w:tc>
              <w:tc>
                <w:tcPr>
                  <w:tcW w:w="1100" w:type="dxa"/>
                  <w:shd w:val="clear" w:color="auto" w:fill="auto"/>
                  <w:noWrap w:val="0"/>
                  <w:vAlign w:val="center"/>
                </w:tcPr>
                <w:p w14:paraId="07054BB5">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1.2</w:t>
                  </w:r>
                </w:p>
              </w:tc>
              <w:tc>
                <w:tcPr>
                  <w:tcW w:w="774" w:type="pct"/>
                  <w:shd w:val="clear" w:color="auto" w:fill="auto"/>
                  <w:noWrap w:val="0"/>
                  <w:vAlign w:val="center"/>
                </w:tcPr>
                <w:p w14:paraId="3F4C681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shd w:val="clear" w:color="auto" w:fill="auto"/>
                  <w:noWrap w:val="0"/>
                  <w:vAlign w:val="center"/>
                </w:tcPr>
                <w:p w14:paraId="6F176F3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bl>
          <w:p w14:paraId="53286E58">
            <w:pPr>
              <w:pStyle w:val="3"/>
              <w:pageBreakBefore w:val="0"/>
              <w:kinsoku/>
              <w:wordWrap/>
              <w:overflowPunct/>
              <w:topLinePunct w:val="0"/>
              <w:autoSpaceDE/>
              <w:autoSpaceDN/>
              <w:bidi w:val="0"/>
              <w:adjustRightInd/>
              <w:spacing w:line="360" w:lineRule="auto"/>
              <w:ind w:right="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4.5.12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监测计划</w:t>
            </w:r>
          </w:p>
          <w:p w14:paraId="6E4483AE">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根据《排污单位自行监测技术指南 总则》（HJ 819-2017）</w:t>
            </w:r>
            <w:r>
              <w:rPr>
                <w:rFonts w:hint="eastAsia" w:ascii="Times New Roman" w:hAnsi="Times New Roman" w:cs="Times New Roman"/>
                <w:color w:val="000000" w:themeColor="text1"/>
                <w:sz w:val="24"/>
                <w:szCs w:val="24"/>
                <w:highlight w:val="none"/>
                <w:lang w:eastAsia="zh-CN"/>
                <w14:textFill>
                  <w14:solidFill>
                    <w14:schemeClr w14:val="tx1"/>
                  </w14:solidFill>
                </w14:textFill>
              </w:rPr>
              <w:t>、《排污许可证申请与核发技术规范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eastAsia="zh-CN"/>
                <w14:textFill>
                  <w14:solidFill>
                    <w14:schemeClr w14:val="tx1"/>
                  </w14:solidFill>
                </w14:textFill>
              </w:rPr>
              <w:t>锅炉》（HJ953—2018）</w:t>
            </w:r>
            <w:r>
              <w:rPr>
                <w:rFonts w:hint="default" w:ascii="Times New Roman" w:hAnsi="Times New Roman" w:cs="Times New Roman"/>
                <w:color w:val="000000" w:themeColor="text1"/>
                <w:sz w:val="24"/>
                <w:szCs w:val="24"/>
                <w:highlight w:val="none"/>
                <w14:textFill>
                  <w14:solidFill>
                    <w14:schemeClr w14:val="tx1"/>
                  </w14:solidFill>
                </w14:textFill>
              </w:rPr>
              <w:t>，排污单位应按照最新的监测方案开展监测活动，建设单位可委托有资质的环境监测机构进行监测。同时，企业应建立健全污染源监控和环境监测技术档案，并接受当地环境保护主管部门的业务指导、监督和检查。具体监测项目及内容如下：</w:t>
            </w:r>
          </w:p>
          <w:p w14:paraId="238B2E75">
            <w:pPr>
              <w:pStyle w:val="48"/>
              <w:bidi w:val="0"/>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eastAsia"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废气</w:t>
            </w:r>
            <w:r>
              <w:rPr>
                <w:rFonts w:hint="default" w:ascii="Times New Roman" w:hAnsi="Times New Roman" w:cs="Times New Roman"/>
                <w:color w:val="000000" w:themeColor="text1"/>
                <w:sz w:val="21"/>
                <w:szCs w:val="21"/>
                <w:highlight w:val="none"/>
                <w14:textFill>
                  <w14:solidFill>
                    <w14:schemeClr w14:val="tx1"/>
                  </w14:solidFill>
                </w14:textFill>
              </w:rPr>
              <w:t>监测内容及计划</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7"/>
              <w:gridCol w:w="997"/>
              <w:gridCol w:w="1205"/>
              <w:gridCol w:w="1003"/>
              <w:gridCol w:w="3500"/>
            </w:tblGrid>
            <w:tr w14:paraId="62FF7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52" w:type="pct"/>
                  <w:noWrap w:val="0"/>
                  <w:vAlign w:val="center"/>
                </w:tcPr>
                <w:p w14:paraId="2B3E948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因素</w:t>
                  </w:r>
                </w:p>
              </w:tc>
              <w:tc>
                <w:tcPr>
                  <w:tcW w:w="676" w:type="pct"/>
                  <w:noWrap w:val="0"/>
                  <w:vAlign w:val="center"/>
                </w:tcPr>
                <w:p w14:paraId="0D22587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w:t>
                  </w:r>
                </w:p>
                <w:p w14:paraId="53B44D4D">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位置</w:t>
                  </w:r>
                </w:p>
              </w:tc>
              <w:tc>
                <w:tcPr>
                  <w:tcW w:w="817" w:type="pct"/>
                  <w:noWrap w:val="0"/>
                  <w:vAlign w:val="center"/>
                </w:tcPr>
                <w:p w14:paraId="13DD13A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监测指标</w:t>
                  </w:r>
                </w:p>
              </w:tc>
              <w:tc>
                <w:tcPr>
                  <w:tcW w:w="680" w:type="pct"/>
                  <w:noWrap w:val="0"/>
                  <w:vAlign w:val="center"/>
                </w:tcPr>
                <w:p w14:paraId="5DF9DE1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w:t>
                  </w:r>
                </w:p>
                <w:p w14:paraId="08809F08">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频次</w:t>
                  </w:r>
                </w:p>
              </w:tc>
              <w:tc>
                <w:tcPr>
                  <w:tcW w:w="2373" w:type="pct"/>
                  <w:noWrap w:val="0"/>
                  <w:vAlign w:val="center"/>
                </w:tcPr>
                <w:p w14:paraId="51DDB99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执行标准</w:t>
                  </w:r>
                </w:p>
              </w:tc>
            </w:tr>
            <w:tr w14:paraId="56A58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tcBorders>
                    <w:left w:val="nil"/>
                  </w:tcBorders>
                  <w:noWrap w:val="0"/>
                  <w:vAlign w:val="center"/>
                </w:tcPr>
                <w:p w14:paraId="234E083E">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废气</w:t>
                  </w:r>
                </w:p>
              </w:tc>
              <w:tc>
                <w:tcPr>
                  <w:tcW w:w="676" w:type="pct"/>
                  <w:vMerge w:val="restart"/>
                  <w:noWrap w:val="0"/>
                  <w:vAlign w:val="center"/>
                </w:tcPr>
                <w:p w14:paraId="6F7E8971">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DA001</w:t>
                  </w:r>
                </w:p>
              </w:tc>
              <w:tc>
                <w:tcPr>
                  <w:tcW w:w="817" w:type="pct"/>
                  <w:noWrap w:val="0"/>
                  <w:vAlign w:val="center"/>
                </w:tcPr>
                <w:p w14:paraId="1FBA36B1">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氯化氢</w:t>
                  </w:r>
                </w:p>
              </w:tc>
              <w:tc>
                <w:tcPr>
                  <w:tcW w:w="680" w:type="pct"/>
                  <w:vMerge w:val="restart"/>
                  <w:noWrap w:val="0"/>
                  <w:vAlign w:val="center"/>
                </w:tcPr>
                <w:p w14:paraId="4352B8BC">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1次/季度</w:t>
                  </w:r>
                </w:p>
              </w:tc>
              <w:tc>
                <w:tcPr>
                  <w:tcW w:w="2373" w:type="pct"/>
                  <w:vMerge w:val="restart"/>
                  <w:tcBorders>
                    <w:right w:val="nil"/>
                  </w:tcBorders>
                  <w:noWrap w:val="0"/>
                  <w:vAlign w:val="center"/>
                </w:tcPr>
                <w:p w14:paraId="16129C1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《大气污染物综合排放标准》（GB16297-1996）</w:t>
                  </w:r>
                  <w:r>
                    <w:rPr>
                      <w:rFonts w:hint="default" w:ascii="Times New Roman" w:hAnsi="Times New Roman" w:cs="Times New Roman"/>
                      <w:b w:val="0"/>
                      <w:bCs w:val="0"/>
                      <w:color w:val="000000" w:themeColor="text1"/>
                      <w:sz w:val="21"/>
                      <w:szCs w:val="21"/>
                      <w:highlight w:val="none"/>
                      <w14:textFill>
                        <w14:solidFill>
                          <w14:schemeClr w14:val="tx1"/>
                        </w14:solidFill>
                      </w14:textFill>
                    </w:rPr>
                    <w:t>表2排放限值</w:t>
                  </w:r>
                </w:p>
              </w:tc>
            </w:tr>
            <w:tr w14:paraId="5752E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648078ED">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2162C26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5172983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680" w:type="pct"/>
                  <w:vMerge w:val="continue"/>
                  <w:noWrap w:val="0"/>
                  <w:vAlign w:val="center"/>
                </w:tcPr>
                <w:p w14:paraId="2FDC7E8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p>
              </w:tc>
              <w:tc>
                <w:tcPr>
                  <w:tcW w:w="2373" w:type="pct"/>
                  <w:vMerge w:val="continue"/>
                  <w:tcBorders>
                    <w:right w:val="nil"/>
                  </w:tcBorders>
                  <w:noWrap w:val="0"/>
                  <w:vAlign w:val="center"/>
                </w:tcPr>
                <w:p w14:paraId="3431E6C7">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49522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2E904AFD">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restart"/>
                  <w:noWrap w:val="0"/>
                  <w:vAlign w:val="center"/>
                </w:tcPr>
                <w:p w14:paraId="4304989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DA002</w:t>
                  </w:r>
                </w:p>
              </w:tc>
              <w:tc>
                <w:tcPr>
                  <w:tcW w:w="817" w:type="pct"/>
                  <w:noWrap w:val="0"/>
                  <w:vAlign w:val="center"/>
                </w:tcPr>
                <w:p w14:paraId="23F584C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680" w:type="pct"/>
                  <w:noWrap w:val="0"/>
                  <w:vAlign w:val="center"/>
                </w:tcPr>
                <w:p w14:paraId="3298B824">
                  <w:pPr>
                    <w:keepNext w:val="0"/>
                    <w:keepLines w:val="0"/>
                    <w:pageBreakBefore w:val="0"/>
                    <w:widowControl w:val="0"/>
                    <w:kinsoku/>
                    <w:wordWrap/>
                    <w:overflowPunct/>
                    <w:topLinePunct w:val="0"/>
                    <w:bidi w:val="0"/>
                    <w:spacing w:line="240" w:lineRule="auto"/>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vMerge w:val="restart"/>
                  <w:tcBorders>
                    <w:right w:val="nil"/>
                  </w:tcBorders>
                  <w:noWrap w:val="0"/>
                  <w:vAlign w:val="center"/>
                </w:tcPr>
                <w:p w14:paraId="30865AF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p>
              </w:tc>
            </w:tr>
            <w:tr w14:paraId="6A5DA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71D9B9F6">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556D29C4">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21FEB957">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二氧化硫</w:t>
                  </w:r>
                </w:p>
              </w:tc>
              <w:tc>
                <w:tcPr>
                  <w:tcW w:w="680" w:type="pct"/>
                  <w:noWrap w:val="0"/>
                  <w:vAlign w:val="center"/>
                </w:tcPr>
                <w:p w14:paraId="25BEC114">
                  <w:pPr>
                    <w:keepNext w:val="0"/>
                    <w:keepLines w:val="0"/>
                    <w:pageBreakBefore w:val="0"/>
                    <w:widowControl w:val="0"/>
                    <w:kinsoku/>
                    <w:wordWrap/>
                    <w:overflowPunct/>
                    <w:topLinePunct w:val="0"/>
                    <w:bidi w:val="0"/>
                    <w:spacing w:line="240" w:lineRule="auto"/>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vMerge w:val="continue"/>
                  <w:tcBorders>
                    <w:right w:val="nil"/>
                  </w:tcBorders>
                  <w:noWrap w:val="0"/>
                  <w:vAlign w:val="center"/>
                </w:tcPr>
                <w:p w14:paraId="3AE068F4">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18A34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52" w:type="pct"/>
                  <w:vMerge w:val="continue"/>
                  <w:tcBorders>
                    <w:left w:val="nil"/>
                  </w:tcBorders>
                  <w:noWrap w:val="0"/>
                  <w:vAlign w:val="center"/>
                </w:tcPr>
                <w:p w14:paraId="155442E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7CB659CC">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08CA745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氮氧化物</w:t>
                  </w:r>
                </w:p>
              </w:tc>
              <w:tc>
                <w:tcPr>
                  <w:tcW w:w="680" w:type="pct"/>
                  <w:noWrap w:val="0"/>
                  <w:vAlign w:val="center"/>
                </w:tcPr>
                <w:p w14:paraId="12114D49">
                  <w:pPr>
                    <w:pStyle w:val="26"/>
                    <w:keepNext w:val="0"/>
                    <w:keepLines w:val="0"/>
                    <w:pageBreakBefore w:val="0"/>
                    <w:widowControl w:val="0"/>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vMerge w:val="continue"/>
                  <w:tcBorders>
                    <w:right w:val="nil"/>
                  </w:tcBorders>
                  <w:noWrap w:val="0"/>
                  <w:vAlign w:val="center"/>
                </w:tcPr>
                <w:p w14:paraId="36063832">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359806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03CDCD64">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5332AB2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2D93CD1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烟气黑度（林格曼）</w:t>
                  </w:r>
                </w:p>
              </w:tc>
              <w:tc>
                <w:tcPr>
                  <w:tcW w:w="680" w:type="pct"/>
                  <w:noWrap w:val="0"/>
                  <w:vAlign w:val="center"/>
                </w:tcPr>
                <w:p w14:paraId="0A4A2215">
                  <w:pPr>
                    <w:pStyle w:val="26"/>
                    <w:keepNext w:val="0"/>
                    <w:keepLines w:val="0"/>
                    <w:pageBreakBefore w:val="0"/>
                    <w:widowControl w:val="0"/>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tcBorders>
                    <w:right w:val="nil"/>
                  </w:tcBorders>
                  <w:noWrap w:val="0"/>
                  <w:vAlign w:val="center"/>
                </w:tcPr>
                <w:p w14:paraId="22A72E38">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kern w:val="0"/>
                      <w:sz w:val="21"/>
                      <w:szCs w:val="21"/>
                      <w:highlight w:val="none"/>
                      <w:lang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中表3大气污染物特别排放浓度限值</w:t>
                  </w:r>
                </w:p>
              </w:tc>
            </w:tr>
            <w:tr w14:paraId="7D76D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65A0190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noWrap w:val="0"/>
                  <w:vAlign w:val="center"/>
                </w:tcPr>
                <w:p w14:paraId="67C1ED4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17" w:type="pct"/>
                  <w:vMerge w:val="restart"/>
                  <w:noWrap w:val="0"/>
                  <w:vAlign w:val="center"/>
                </w:tcPr>
                <w:p w14:paraId="40CE496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680" w:type="pct"/>
                  <w:vMerge w:val="restart"/>
                  <w:noWrap w:val="0"/>
                  <w:vAlign w:val="center"/>
                </w:tcPr>
                <w:p w14:paraId="414D20FE">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1次/年</w:t>
                  </w:r>
                </w:p>
              </w:tc>
              <w:tc>
                <w:tcPr>
                  <w:tcW w:w="2373" w:type="pct"/>
                  <w:vMerge w:val="restart"/>
                  <w:tcBorders>
                    <w:right w:val="nil"/>
                  </w:tcBorders>
                  <w:noWrap w:val="0"/>
                  <w:vAlign w:val="center"/>
                </w:tcPr>
                <w:p w14:paraId="46B1E661">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kern w:val="0"/>
                      <w:sz w:val="21"/>
                      <w:szCs w:val="21"/>
                      <w:highlight w:val="none"/>
                      <w:lang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《大气污染物综合排放标准》（GB16297-1996）</w:t>
                  </w:r>
                  <w:r>
                    <w:rPr>
                      <w:rFonts w:hint="default" w:ascii="Times New Roman" w:hAnsi="Times New Roman" w:cs="Times New Roman"/>
                      <w:b w:val="0"/>
                      <w:bCs w:val="0"/>
                      <w:color w:val="000000" w:themeColor="text1"/>
                      <w:sz w:val="21"/>
                      <w:szCs w:val="21"/>
                      <w:highlight w:val="none"/>
                      <w14:textFill>
                        <w14:solidFill>
                          <w14:schemeClr w14:val="tx1"/>
                        </w14:solidFill>
                      </w14:textFill>
                    </w:rPr>
                    <w:t>表2排放限值</w:t>
                  </w:r>
                </w:p>
              </w:tc>
            </w:tr>
            <w:tr w14:paraId="4AAC31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52" w:type="pct"/>
                  <w:vMerge w:val="continue"/>
                  <w:tcBorders>
                    <w:left w:val="nil"/>
                  </w:tcBorders>
                  <w:noWrap w:val="0"/>
                  <w:vAlign w:val="center"/>
                </w:tcPr>
                <w:p w14:paraId="30A4145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noWrap w:val="0"/>
                  <w:vAlign w:val="center"/>
                </w:tcPr>
                <w:p w14:paraId="2D026DB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17" w:type="pct"/>
                  <w:vMerge w:val="continue"/>
                  <w:noWrap w:val="0"/>
                  <w:vAlign w:val="center"/>
                </w:tcPr>
                <w:p w14:paraId="3353F267">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680" w:type="pct"/>
                  <w:vMerge w:val="continue"/>
                  <w:noWrap w:val="0"/>
                  <w:vAlign w:val="center"/>
                </w:tcPr>
                <w:p w14:paraId="7DE2B496">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p>
              </w:tc>
              <w:tc>
                <w:tcPr>
                  <w:tcW w:w="2373" w:type="pct"/>
                  <w:vMerge w:val="continue"/>
                  <w:tcBorders>
                    <w:right w:val="nil"/>
                  </w:tcBorders>
                  <w:noWrap w:val="0"/>
                  <w:vAlign w:val="center"/>
                </w:tcPr>
                <w:p w14:paraId="2B8BFFAC">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169FB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bottom w:val="single" w:color="auto" w:sz="12" w:space="0"/>
                  </w:tcBorders>
                  <w:noWrap w:val="0"/>
                  <w:vAlign w:val="center"/>
                </w:tcPr>
                <w:p w14:paraId="25971CD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tcBorders>
                    <w:bottom w:val="single" w:color="auto" w:sz="12" w:space="0"/>
                  </w:tcBorders>
                  <w:noWrap w:val="0"/>
                  <w:vAlign w:val="center"/>
                </w:tcPr>
                <w:p w14:paraId="49954FA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厂界</w:t>
                  </w:r>
                </w:p>
              </w:tc>
              <w:tc>
                <w:tcPr>
                  <w:tcW w:w="817" w:type="pct"/>
                  <w:tcBorders>
                    <w:bottom w:val="single" w:color="auto" w:sz="12" w:space="0"/>
                  </w:tcBorders>
                  <w:noWrap w:val="0"/>
                  <w:vAlign w:val="center"/>
                </w:tcPr>
                <w:p w14:paraId="3ADD7A8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颗粒物、氯化氢</w:t>
                  </w:r>
                </w:p>
              </w:tc>
              <w:tc>
                <w:tcPr>
                  <w:tcW w:w="680" w:type="pct"/>
                  <w:tcBorders>
                    <w:bottom w:val="single" w:color="auto" w:sz="12" w:space="0"/>
                  </w:tcBorders>
                  <w:noWrap w:val="0"/>
                  <w:vAlign w:val="center"/>
                </w:tcPr>
                <w:p w14:paraId="064834D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1次/年</w:t>
                  </w:r>
                </w:p>
              </w:tc>
              <w:tc>
                <w:tcPr>
                  <w:tcW w:w="2373" w:type="pct"/>
                  <w:tcBorders>
                    <w:bottom w:val="single" w:color="auto" w:sz="12" w:space="0"/>
                    <w:right w:val="nil"/>
                  </w:tcBorders>
                  <w:noWrap w:val="0"/>
                  <w:vAlign w:val="center"/>
                </w:tcPr>
                <w:p w14:paraId="6E584369">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《大气污染物综合排放标准》（GB16297-1996）</w:t>
                  </w:r>
                  <w:r>
                    <w:rPr>
                      <w:rFonts w:hint="default" w:ascii="Times New Roman" w:hAnsi="Times New Roman" w:cs="Times New Roman"/>
                      <w:b w:val="0"/>
                      <w:bCs w:val="0"/>
                      <w:color w:val="000000" w:themeColor="text1"/>
                      <w:sz w:val="21"/>
                      <w:szCs w:val="21"/>
                      <w:highlight w:val="none"/>
                      <w14:textFill>
                        <w14:solidFill>
                          <w14:schemeClr w14:val="tx1"/>
                        </w14:solidFill>
                      </w14:textFill>
                    </w:rPr>
                    <w:t>表2排放限值</w:t>
                  </w:r>
                </w:p>
              </w:tc>
            </w:tr>
          </w:tbl>
          <w:p w14:paraId="191F279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4.6运营期</w:t>
            </w:r>
            <w:r>
              <w:rPr>
                <w:rFonts w:hint="default"/>
                <w:color w:val="000000" w:themeColor="text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水环境影响与保护措施</w:t>
            </w:r>
          </w:p>
          <w:p w14:paraId="2F74E86F">
            <w:pPr>
              <w:pStyle w:val="3"/>
              <w:snapToGrid w:val="0"/>
              <w:spacing w:before="0" w:after="0" w:line="360" w:lineRule="auto"/>
              <w:jc w:val="left"/>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4.6.1</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污染物源强</w:t>
            </w:r>
          </w:p>
          <w:p w14:paraId="6AEF3C9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（1）生活</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污水</w:t>
            </w:r>
          </w:p>
          <w:p w14:paraId="32CFD2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不</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新增劳动定员</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，故无新增生活污水产生</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36C2E8DA">
            <w:pPr>
              <w:pStyle w:val="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（2）生产废水</w:t>
            </w:r>
          </w:p>
          <w:p w14:paraId="2D9968E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olor w:val="000000" w:themeColor="text1"/>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本项目一期酸洗搅拌工序</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会在搅拌罐内通入蒸汽，蒸汽来自</w:t>
            </w:r>
            <w:r>
              <w:rPr>
                <w:rFonts w:hint="eastAsia" w:cs="Times New Roman"/>
                <w:color w:val="000000" w:themeColor="text1"/>
                <w:w w:val="100"/>
                <w:position w:val="0"/>
                <w:sz w:val="24"/>
                <w:szCs w:val="24"/>
                <w:highlight w:val="none"/>
                <w:lang w:val="en-US" w:eastAsia="zh-CN"/>
                <w14:textFill>
                  <w14:solidFill>
                    <w14:schemeClr w14:val="tx1"/>
                  </w14:solidFill>
                </w14:textFill>
              </w:rPr>
              <w:t>新建醇基锅炉</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，蒸发量2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/h，锅炉</w:t>
            </w:r>
            <w:r>
              <w:rPr>
                <w:rFonts w:hint="eastAsia" w:cs="Times New Roman"/>
                <w:color w:val="000000" w:themeColor="text1"/>
                <w:w w:val="100"/>
                <w:position w:val="0"/>
                <w:sz w:val="24"/>
                <w:szCs w:val="24"/>
                <w:highlight w:val="none"/>
                <w:lang w:val="en-US" w:eastAsia="zh-CN"/>
                <w14:textFill>
                  <w14:solidFill>
                    <w14:schemeClr w14:val="tx1"/>
                  </w14:solidFill>
                </w14:textFill>
              </w:rPr>
              <w:t>用</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水需用软水，软水采用离子交换树脂工艺，新鲜水进入</w:t>
            </w:r>
            <w:r>
              <w:rPr>
                <w:rFonts w:hint="eastAsia" w:cs="Times New Roman"/>
                <w:color w:val="000000" w:themeColor="text1"/>
                <w:w w:val="100"/>
                <w:position w:val="0"/>
                <w:sz w:val="24"/>
                <w:szCs w:val="24"/>
                <w:highlight w:val="none"/>
                <w:lang w:val="en-US" w:eastAsia="zh-CN"/>
                <w14:textFill>
                  <w14:solidFill>
                    <w14:schemeClr w14:val="tx1"/>
                  </w14:solidFill>
                </w14:textFill>
              </w:rPr>
              <w:t>软水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设备全部转化为软水，软水用量即为新鲜水用量。</w:t>
            </w:r>
            <w:r>
              <w:rPr>
                <w:rFonts w:hint="eastAsia" w:cs="Times New Roman"/>
                <w:color w:val="000000" w:themeColor="text1"/>
                <w:w w:val="100"/>
                <w:position w:val="0"/>
                <w:sz w:val="24"/>
                <w:szCs w:val="24"/>
                <w:highlight w:val="none"/>
                <w:lang w:val="en-US" w:eastAsia="zh-CN"/>
                <w14:textFill>
                  <w14:solidFill>
                    <w14:schemeClr w14:val="tx1"/>
                  </w14:solidFill>
                </w14:textFill>
              </w:rPr>
              <w:t>锅炉补充水为</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，960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，离子</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软水</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设备软水制备率以80%计，用水量为</w:t>
            </w:r>
            <w:r>
              <w:rPr>
                <w:rFonts w:hint="eastAsia" w:cs="Times New Roman"/>
                <w:color w:val="000000" w:themeColor="text1"/>
                <w:w w:val="100"/>
                <w:position w:val="0"/>
                <w:sz w:val="24"/>
                <w:szCs w:val="24"/>
                <w:highlight w:val="none"/>
                <w:lang w:val="en-US" w:eastAsia="zh-CN"/>
                <w14:textFill>
                  <w14:solidFill>
                    <w14:schemeClr w14:val="tx1"/>
                  </w14:solidFill>
                </w14:textFill>
              </w:rPr>
              <w:t>0.25</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锅炉排污水根据锅炉产排污量核算系数手册中工业锅炉（热力生产和供应行业）产污系数表－工业废水量和“化学需氧量”表格可知，生物质燃料全部类型锅炉（锅外水处理）产污系数为1.33吨/吨－原料（锅炉排污水＋软化处理废水），本项目醇基燃料用量为600t/a，则本项目醇基锅炉排污水和软化处理废水的排放量约为798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产生的</w:t>
            </w:r>
            <w:r>
              <w:rPr>
                <w:rFonts w:hint="eastAsia" w:cs="Times New Roman"/>
                <w:color w:val="000000" w:themeColor="text1"/>
                <w:w w:val="100"/>
                <w:position w:val="0"/>
                <w:sz w:val="24"/>
                <w:szCs w:val="24"/>
                <w:highlight w:val="none"/>
                <w:lang w:val="en-US" w:eastAsia="zh-CN"/>
                <w14:textFill>
                  <w14:solidFill>
                    <w14:schemeClr w14:val="tx1"/>
                  </w14:solidFill>
                </w14:textFill>
              </w:rPr>
              <w:t>排污水和软化处理废水</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经园区</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污水管网排入</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昌吉高新海天污水处理厂</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酸洗搅拌后产生的废水排入酸洗沉淀池沉淀后取上清液循环使用不外排。</w:t>
            </w:r>
          </w:p>
          <w:p w14:paraId="6B160115">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4.6.2</w:t>
            </w:r>
            <w:r>
              <w:rPr>
                <w:rFonts w:hint="default"/>
                <w:color w:val="000000" w:themeColor="text1"/>
                <w:highlight w:val="none"/>
                <w:lang w:val="en-US" w:eastAsia="zh-CN"/>
                <w14:textFill>
                  <w14:solidFill>
                    <w14:schemeClr w14:val="tx1"/>
                  </w14:solidFill>
                </w14:textFill>
              </w:rPr>
              <w:t>废水治理设施依托可行性</w:t>
            </w:r>
          </w:p>
          <w:p w14:paraId="0721C923">
            <w:pPr>
              <w:snapToGrid w:val="0"/>
              <w:spacing w:line="360" w:lineRule="auto"/>
              <w:ind w:firstLine="480"/>
              <w:jc w:val="left"/>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pP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位于昌吉高新技术产业开发区西北角，该污水处理厂污水接纳范围主要包括昌吉高新技术产业开发区内各企业的工业污水、军户农场和榆树沟镇的生活污水，设计处理规模30000m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d，实际处理规模15000m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污水处理工艺采用粗格栅及污水提升泵站→细格栅及曝气沉砂池→初沉池→MBR池→二沉池→Fenton反应池→絮凝沉淀池→纤维转盘滤池→紫外消毒，处理后污水可达到《城镇污水处理厂污染物排放标准》（GB18918-2002）中一级A标准，处理后尾水夏季排入污水处理厂西侧约70m处7000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的昌吉国家高新技术产业开发区生态灌溉项目蓄水池中，用于昌吉国家高新技术产业开发区工业冷却水、绿化、洗车、浇洒道路、景观用水，冬季尾水排入污水处理厂西南侧约2km处50万m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的园区水库中。</w:t>
            </w:r>
          </w:p>
          <w:p w14:paraId="70B08670">
            <w:pPr>
              <w:snapToGrid w:val="0"/>
              <w:spacing w:line="360" w:lineRule="auto"/>
              <w:ind w:firstLine="480"/>
              <w:jc w:val="left"/>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本项目</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废水排污</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量为</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2.66</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798</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/a；</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设计处理规模3万m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/d，目前实际处理水量为1.5万m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/d，尚有1.5万m</w:t>
            </w:r>
            <w:r>
              <w:rPr>
                <w:rFonts w:hint="eastAsia"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4</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/d富余量，因此项目产生的污水完全能够纳入</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昌吉高新海天污水处理厂，故依托可行。</w:t>
            </w:r>
          </w:p>
          <w:p w14:paraId="241B0447">
            <w:pPr>
              <w:pStyle w:val="3"/>
              <w:snapToGrid w:val="0"/>
              <w:spacing w:before="0" w:after="0" w:line="360" w:lineRule="auto"/>
              <w:jc w:val="left"/>
              <w:rPr>
                <w:rFonts w:hint="default"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pPr>
            <w:r>
              <w:rPr>
                <w:rFonts w:hint="eastAsia" w:cs="Times New Roman"/>
                <w:b/>
                <w:bCs/>
                <w:color w:val="000000" w:themeColor="text1"/>
                <w:spacing w:val="0"/>
                <w:w w:val="100"/>
                <w:kern w:val="0"/>
                <w:position w:val="0"/>
                <w:sz w:val="24"/>
                <w:szCs w:val="24"/>
                <w:highlight w:val="none"/>
                <w:lang w:val="en-US" w:eastAsia="zh-CN" w:bidi="ar-SA"/>
                <w14:textFill>
                  <w14:solidFill>
                    <w14:schemeClr w14:val="tx1"/>
                  </w14:solidFill>
                </w14:textFill>
              </w:rPr>
              <w:t>4.6.3</w:t>
            </w:r>
            <w:r>
              <w:rPr>
                <w:rFonts w:hint="default"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t>水环境影响分析</w:t>
            </w:r>
          </w:p>
          <w:p w14:paraId="2C756AF9">
            <w:pPr>
              <w:snapToGrid w:val="0"/>
              <w:spacing w:line="360" w:lineRule="auto"/>
              <w:ind w:firstLine="480"/>
              <w:jc w:val="left"/>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本项目产生的废水量较小，生活污水直接通过园区管网至</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处理后，废水可达标排放，对环境影响较小。</w:t>
            </w:r>
          </w:p>
          <w:p w14:paraId="0D656A9B">
            <w:pPr>
              <w:pStyle w:val="53"/>
              <w:bidi w:val="0"/>
              <w:ind w:left="0" w:leftChars="0" w:firstLine="0" w:firstLineChars="0"/>
              <w:rPr>
                <w:rFonts w:hint="default"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t>4.6.4监测计划</w:t>
            </w:r>
          </w:p>
          <w:p w14:paraId="19E74DC4">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 xml:space="preserve">4-11 </w:t>
            </w:r>
            <w:r>
              <w:rPr>
                <w:b/>
                <w:bCs/>
                <w:color w:val="000000" w:themeColor="text1"/>
                <w:szCs w:val="21"/>
                <w:highlight w:val="none"/>
                <w14:textFill>
                  <w14:solidFill>
                    <w14:schemeClr w14:val="tx1"/>
                  </w14:solidFill>
                </w14:textFill>
              </w:rPr>
              <w:t xml:space="preserve">  废水环境监测计划一览表</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1266"/>
              <w:gridCol w:w="3609"/>
              <w:gridCol w:w="1593"/>
            </w:tblGrid>
            <w:tr w14:paraId="6EB4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5" w:type="pct"/>
                  <w:tcBorders>
                    <w:tl2br w:val="nil"/>
                    <w:tr2bl w:val="nil"/>
                  </w:tcBorders>
                  <w:noWrap w:val="0"/>
                  <w:tcMar>
                    <w:left w:w="28" w:type="dxa"/>
                    <w:right w:w="28" w:type="dxa"/>
                  </w:tcMar>
                  <w:vAlign w:val="center"/>
                </w:tcPr>
                <w:p w14:paraId="1FF5C6B6">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环境要素</w:t>
                  </w:r>
                </w:p>
              </w:tc>
              <w:tc>
                <w:tcPr>
                  <w:tcW w:w="860" w:type="pct"/>
                  <w:tcBorders>
                    <w:tl2br w:val="nil"/>
                    <w:tr2bl w:val="nil"/>
                  </w:tcBorders>
                  <w:noWrap w:val="0"/>
                  <w:tcMar>
                    <w:left w:w="28" w:type="dxa"/>
                    <w:right w:w="28" w:type="dxa"/>
                  </w:tcMar>
                  <w:vAlign w:val="center"/>
                </w:tcPr>
                <w:p w14:paraId="2CA944A8">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监测点位</w:t>
                  </w:r>
                </w:p>
              </w:tc>
              <w:tc>
                <w:tcPr>
                  <w:tcW w:w="2451" w:type="pct"/>
                  <w:tcBorders>
                    <w:tl2br w:val="nil"/>
                    <w:tr2bl w:val="nil"/>
                  </w:tcBorders>
                  <w:noWrap w:val="0"/>
                  <w:tcMar>
                    <w:left w:w="28" w:type="dxa"/>
                    <w:right w:w="28" w:type="dxa"/>
                  </w:tcMar>
                  <w:vAlign w:val="center"/>
                </w:tcPr>
                <w:p w14:paraId="3B24E7C9">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监测项目</w:t>
                  </w:r>
                </w:p>
              </w:tc>
              <w:tc>
                <w:tcPr>
                  <w:tcW w:w="1082" w:type="pct"/>
                  <w:tcBorders>
                    <w:tl2br w:val="nil"/>
                    <w:tr2bl w:val="nil"/>
                  </w:tcBorders>
                  <w:noWrap w:val="0"/>
                  <w:tcMar>
                    <w:left w:w="28" w:type="dxa"/>
                    <w:right w:w="28" w:type="dxa"/>
                  </w:tcMar>
                  <w:vAlign w:val="center"/>
                </w:tcPr>
                <w:p w14:paraId="1155A602">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监测频率</w:t>
                  </w:r>
                </w:p>
              </w:tc>
            </w:tr>
            <w:tr w14:paraId="0214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5" w:type="pct"/>
                  <w:vMerge w:val="restart"/>
                  <w:tcBorders>
                    <w:tl2br w:val="nil"/>
                    <w:tr2bl w:val="nil"/>
                  </w:tcBorders>
                  <w:noWrap w:val="0"/>
                  <w:tcMar>
                    <w:left w:w="28" w:type="dxa"/>
                    <w:right w:w="28" w:type="dxa"/>
                  </w:tcMar>
                  <w:vAlign w:val="center"/>
                </w:tcPr>
                <w:p w14:paraId="3E1DADF1">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860" w:type="pct"/>
                  <w:vMerge w:val="restart"/>
                  <w:tcBorders>
                    <w:tl2br w:val="nil"/>
                    <w:tr2bl w:val="nil"/>
                  </w:tcBorders>
                  <w:noWrap w:val="0"/>
                  <w:tcMar>
                    <w:left w:w="28" w:type="dxa"/>
                    <w:right w:w="28" w:type="dxa"/>
                  </w:tcMar>
                  <w:vAlign w:val="center"/>
                </w:tcPr>
                <w:p w14:paraId="61D88CDD">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总排口</w:t>
                  </w:r>
                </w:p>
              </w:tc>
              <w:tc>
                <w:tcPr>
                  <w:tcW w:w="2451" w:type="pct"/>
                  <w:tcBorders>
                    <w:tl2br w:val="nil"/>
                    <w:tr2bl w:val="nil"/>
                  </w:tcBorders>
                  <w:noWrap w:val="0"/>
                  <w:tcMar>
                    <w:left w:w="28" w:type="dxa"/>
                    <w:right w:w="28" w:type="dxa"/>
                  </w:tcMar>
                  <w:vAlign w:val="center"/>
                </w:tcPr>
                <w:p w14:paraId="5BDDB923">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pH</w:t>
                  </w:r>
                </w:p>
              </w:tc>
              <w:tc>
                <w:tcPr>
                  <w:tcW w:w="1082" w:type="pct"/>
                  <w:tcBorders>
                    <w:tl2br w:val="nil"/>
                    <w:tr2bl w:val="nil"/>
                  </w:tcBorders>
                  <w:noWrap w:val="0"/>
                  <w:tcMar>
                    <w:left w:w="28" w:type="dxa"/>
                    <w:right w:w="28" w:type="dxa"/>
                  </w:tcMar>
                  <w:vAlign w:val="center"/>
                </w:tcPr>
                <w:p w14:paraId="537759C9">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1次/年</w:t>
                  </w:r>
                </w:p>
              </w:tc>
            </w:tr>
            <w:tr w14:paraId="0DF6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5" w:type="pct"/>
                  <w:vMerge w:val="continue"/>
                  <w:tcBorders>
                    <w:tl2br w:val="nil"/>
                    <w:tr2bl w:val="nil"/>
                  </w:tcBorders>
                  <w:noWrap w:val="0"/>
                  <w:tcMar>
                    <w:left w:w="28" w:type="dxa"/>
                    <w:right w:w="28" w:type="dxa"/>
                  </w:tcMar>
                  <w:vAlign w:val="center"/>
                </w:tcPr>
                <w:p w14:paraId="721F7862">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860" w:type="pct"/>
                  <w:vMerge w:val="continue"/>
                  <w:tcBorders>
                    <w:tl2br w:val="nil"/>
                    <w:tr2bl w:val="nil"/>
                  </w:tcBorders>
                  <w:noWrap w:val="0"/>
                  <w:tcMar>
                    <w:left w:w="28" w:type="dxa"/>
                    <w:right w:w="28" w:type="dxa"/>
                  </w:tcMar>
                  <w:vAlign w:val="center"/>
                </w:tcPr>
                <w:p w14:paraId="268796C8">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2451" w:type="pct"/>
                  <w:tcBorders>
                    <w:tl2br w:val="nil"/>
                    <w:tr2bl w:val="nil"/>
                  </w:tcBorders>
                  <w:noWrap w:val="0"/>
                  <w:tcMar>
                    <w:left w:w="28" w:type="dxa"/>
                    <w:right w:w="28" w:type="dxa"/>
                  </w:tcMar>
                  <w:vAlign w:val="center"/>
                </w:tcPr>
                <w:p w14:paraId="4AC4E63D">
                  <w:pPr>
                    <w:adjustRightInd w:val="0"/>
                    <w:snapToGrid w:val="0"/>
                    <w:spacing w:line="240" w:lineRule="atLeast"/>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化学</w:t>
                  </w:r>
                  <w:r>
                    <w:rPr>
                      <w:rFonts w:hint="eastAsia"/>
                      <w:color w:val="000000" w:themeColor="text1"/>
                      <w:sz w:val="21"/>
                      <w:szCs w:val="21"/>
                      <w:highlight w:val="none"/>
                      <w:lang w:val="en-US" w:eastAsia="zh-CN"/>
                      <w14:textFill>
                        <w14:solidFill>
                          <w14:schemeClr w14:val="tx1"/>
                        </w14:solidFill>
                      </w14:textFill>
                    </w:rPr>
                    <w:t>需氧量</w:t>
                  </w:r>
                </w:p>
              </w:tc>
              <w:tc>
                <w:tcPr>
                  <w:tcW w:w="1082" w:type="pct"/>
                  <w:tcBorders>
                    <w:tl2br w:val="nil"/>
                    <w:tr2bl w:val="nil"/>
                  </w:tcBorders>
                  <w:noWrap w:val="0"/>
                  <w:tcMar>
                    <w:left w:w="28" w:type="dxa"/>
                    <w:right w:w="28" w:type="dxa"/>
                  </w:tcMar>
                  <w:vAlign w:val="center"/>
                </w:tcPr>
                <w:p w14:paraId="18177C6E">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1次/年</w:t>
                  </w:r>
                </w:p>
              </w:tc>
            </w:tr>
            <w:tr w14:paraId="38DC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05" w:type="pct"/>
                  <w:vMerge w:val="continue"/>
                  <w:tcBorders>
                    <w:tl2br w:val="nil"/>
                    <w:tr2bl w:val="nil"/>
                  </w:tcBorders>
                  <w:noWrap w:val="0"/>
                  <w:tcMar>
                    <w:left w:w="28" w:type="dxa"/>
                    <w:right w:w="28" w:type="dxa"/>
                  </w:tcMar>
                  <w:vAlign w:val="center"/>
                </w:tcPr>
                <w:p w14:paraId="3454182E">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860" w:type="pct"/>
                  <w:vMerge w:val="continue"/>
                  <w:tcBorders>
                    <w:tl2br w:val="nil"/>
                    <w:tr2bl w:val="nil"/>
                  </w:tcBorders>
                  <w:noWrap w:val="0"/>
                  <w:tcMar>
                    <w:left w:w="28" w:type="dxa"/>
                    <w:right w:w="28" w:type="dxa"/>
                  </w:tcMar>
                  <w:vAlign w:val="center"/>
                </w:tcPr>
                <w:p w14:paraId="59E71CBA">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2451" w:type="pct"/>
                  <w:tcBorders>
                    <w:tl2br w:val="nil"/>
                    <w:tr2bl w:val="nil"/>
                  </w:tcBorders>
                  <w:noWrap w:val="0"/>
                  <w:tcMar>
                    <w:left w:w="28" w:type="dxa"/>
                    <w:right w:w="28" w:type="dxa"/>
                  </w:tcMar>
                  <w:vAlign w:val="center"/>
                </w:tcPr>
                <w:p w14:paraId="665A17A6">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溶解性总固体（全盐量）</w:t>
                  </w:r>
                </w:p>
              </w:tc>
              <w:tc>
                <w:tcPr>
                  <w:tcW w:w="1082" w:type="pct"/>
                  <w:tcBorders>
                    <w:tl2br w:val="nil"/>
                    <w:tr2bl w:val="nil"/>
                  </w:tcBorders>
                  <w:noWrap w:val="0"/>
                  <w:tcMar>
                    <w:left w:w="28" w:type="dxa"/>
                    <w:right w:w="28" w:type="dxa"/>
                  </w:tcMar>
                  <w:vAlign w:val="center"/>
                </w:tcPr>
                <w:p w14:paraId="0020C75C">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1次/年</w:t>
                  </w:r>
                </w:p>
              </w:tc>
            </w:tr>
          </w:tbl>
          <w:p w14:paraId="21A4CA3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4.7、运营期声环境影响与保护措施</w:t>
            </w:r>
          </w:p>
          <w:p w14:paraId="4F642D7C">
            <w:pPr>
              <w:pStyle w:val="44"/>
              <w:spacing w:line="360" w:lineRule="auto"/>
              <w:rPr>
                <w:rFonts w:hint="default" w:ascii="Times New Roman" w:hAnsi="Times New Roman" w:cs="Times New Roman"/>
                <w:b/>
                <w:bCs/>
                <w:color w:val="000000" w:themeColor="text1"/>
                <w:spacing w:val="0"/>
                <w:w w:val="100"/>
                <w:position w:val="0"/>
                <w:highlight w:val="none"/>
                <w:lang w:eastAsia="zh-CN"/>
                <w14:textFill>
                  <w14:solidFill>
                    <w14:schemeClr w14:val="tx1"/>
                  </w14:solidFill>
                </w14:textFill>
              </w:rPr>
            </w:pPr>
            <w:r>
              <w:rPr>
                <w:rFonts w:hint="eastAsia" w:ascii="Times New Roman" w:hAnsi="Times New Roman" w:cs="Times New Roman"/>
                <w:b/>
                <w:bCs/>
                <w:color w:val="000000" w:themeColor="text1"/>
                <w:spacing w:val="0"/>
                <w:w w:val="100"/>
                <w:position w:val="0"/>
                <w:highlight w:val="none"/>
                <w:lang w:val="en-US" w:eastAsia="zh-CN"/>
                <w14:textFill>
                  <w14:solidFill>
                    <w14:schemeClr w14:val="tx1"/>
                  </w14:solidFill>
                </w14:textFill>
              </w:rPr>
              <w:t>4.7.1</w:t>
            </w:r>
            <w:r>
              <w:rPr>
                <w:rFonts w:hint="default" w:ascii="Times New Roman" w:hAnsi="Times New Roman" w:cs="Times New Roman"/>
                <w:b/>
                <w:bCs/>
                <w:color w:val="000000" w:themeColor="text1"/>
                <w:spacing w:val="0"/>
                <w:w w:val="100"/>
                <w:position w:val="0"/>
                <w:highlight w:val="none"/>
                <w:lang w:eastAsia="zh-CN"/>
                <w14:textFill>
                  <w14:solidFill>
                    <w14:schemeClr w14:val="tx1"/>
                  </w14:solidFill>
                </w14:textFill>
              </w:rPr>
              <w:t>噪声污染源分析</w:t>
            </w:r>
          </w:p>
          <w:p w14:paraId="7F0394DF">
            <w:pPr>
              <w:pStyle w:val="44"/>
              <w:spacing w:line="360" w:lineRule="auto"/>
              <w:ind w:firstLine="480" w:firstLineChars="200"/>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t>项目噪声源主要为生产过程中机械设备运行产生的机械噪声，噪声源强在</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50</w:t>
            </w:r>
            <w:r>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t>~85dB（A）。具体噪声源强详见表4</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-12</w:t>
            </w:r>
            <w:r>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t>。</w:t>
            </w:r>
          </w:p>
          <w:p w14:paraId="50D352C0">
            <w:pPr>
              <w:pStyle w:val="4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表4</w:t>
            </w:r>
            <w:r>
              <w:rPr>
                <w:rFonts w:hint="default"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12</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 xml:space="preserve">   本项目</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一期</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噪声源强调查清单（室内声源）</w:t>
            </w: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 xml:space="preserve">     </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单位：dB（A）</w:t>
            </w:r>
          </w:p>
          <w:tbl>
            <w:tblPr>
              <w:tblStyle w:val="46"/>
              <w:tblW w:w="494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83"/>
              <w:gridCol w:w="1032"/>
              <w:gridCol w:w="736"/>
              <w:gridCol w:w="602"/>
              <w:gridCol w:w="468"/>
              <w:gridCol w:w="479"/>
              <w:gridCol w:w="431"/>
              <w:gridCol w:w="442"/>
              <w:gridCol w:w="710"/>
              <w:gridCol w:w="781"/>
              <w:gridCol w:w="466"/>
              <w:gridCol w:w="468"/>
            </w:tblGrid>
            <w:tr w14:paraId="7C10FC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restart"/>
                  <w:tcBorders>
                    <w:tl2br w:val="nil"/>
                    <w:tr2bl w:val="nil"/>
                  </w:tcBorders>
                  <w:vAlign w:val="center"/>
                </w:tcPr>
                <w:p w14:paraId="473C1F46">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建筑物名称</w:t>
                  </w:r>
                </w:p>
              </w:tc>
              <w:tc>
                <w:tcPr>
                  <w:tcW w:w="1032" w:type="dxa"/>
                  <w:vMerge w:val="restart"/>
                  <w:tcBorders>
                    <w:tl2br w:val="nil"/>
                    <w:tr2bl w:val="nil"/>
                  </w:tcBorders>
                  <w:vAlign w:val="center"/>
                </w:tcPr>
                <w:p w14:paraId="7753792E">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声源名称</w:t>
                  </w:r>
                </w:p>
              </w:tc>
              <w:tc>
                <w:tcPr>
                  <w:tcW w:w="736" w:type="dxa"/>
                  <w:vMerge w:val="restart"/>
                  <w:tcBorders>
                    <w:tl2br w:val="nil"/>
                    <w:tr2bl w:val="nil"/>
                  </w:tcBorders>
                  <w:vAlign w:val="center"/>
                </w:tcPr>
                <w:p w14:paraId="391FBF62">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声源源强（多台设备为叠加后源强）</w:t>
                  </w:r>
                </w:p>
              </w:tc>
              <w:tc>
                <w:tcPr>
                  <w:tcW w:w="602" w:type="dxa"/>
                  <w:vMerge w:val="restart"/>
                  <w:tcBorders>
                    <w:tl2br w:val="nil"/>
                    <w:tr2bl w:val="nil"/>
                  </w:tcBorders>
                  <w:vAlign w:val="center"/>
                </w:tcPr>
                <w:p w14:paraId="40F8F647">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声源控制措施</w:t>
                  </w:r>
                </w:p>
              </w:tc>
              <w:tc>
                <w:tcPr>
                  <w:tcW w:w="1378" w:type="dxa"/>
                  <w:gridSpan w:val="3"/>
                  <w:tcBorders>
                    <w:tl2br w:val="nil"/>
                    <w:tr2bl w:val="nil"/>
                  </w:tcBorders>
                  <w:vAlign w:val="center"/>
                </w:tcPr>
                <w:p w14:paraId="44689CCC">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空间相对位置/m（项目区周围50m无声环境敏感点，以生产车间西</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南</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角为原点建立坐标系）</w:t>
                  </w:r>
                </w:p>
              </w:tc>
              <w:tc>
                <w:tcPr>
                  <w:tcW w:w="442" w:type="dxa"/>
                  <w:vMerge w:val="restart"/>
                  <w:tcBorders>
                    <w:tl2br w:val="nil"/>
                    <w:tr2bl w:val="nil"/>
                  </w:tcBorders>
                  <w:vAlign w:val="center"/>
                </w:tcPr>
                <w:p w14:paraId="112AF56A">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距室内边界距离/m</w:t>
                  </w:r>
                </w:p>
              </w:tc>
              <w:tc>
                <w:tcPr>
                  <w:tcW w:w="710" w:type="dxa"/>
                  <w:vMerge w:val="restart"/>
                  <w:tcBorders>
                    <w:tl2br w:val="nil"/>
                    <w:tr2bl w:val="nil"/>
                  </w:tcBorders>
                  <w:vAlign w:val="center"/>
                </w:tcPr>
                <w:p w14:paraId="7F8C253D">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室内边界声级</w:t>
                  </w:r>
                </w:p>
              </w:tc>
              <w:tc>
                <w:tcPr>
                  <w:tcW w:w="781" w:type="dxa"/>
                  <w:vMerge w:val="restart"/>
                  <w:tcBorders>
                    <w:tl2br w:val="nil"/>
                    <w:tr2bl w:val="nil"/>
                  </w:tcBorders>
                  <w:vAlign w:val="center"/>
                </w:tcPr>
                <w:p w14:paraId="61704CDA">
                  <w:pPr>
                    <w:pStyle w:val="44"/>
                    <w:jc w:val="cente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运行</w:t>
                  </w:r>
                </w:p>
                <w:p w14:paraId="0318A8F6">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时段</w:t>
                  </w:r>
                </w:p>
              </w:tc>
              <w:tc>
                <w:tcPr>
                  <w:tcW w:w="466" w:type="dxa"/>
                  <w:vMerge w:val="restart"/>
                  <w:tcBorders>
                    <w:tl2br w:val="nil"/>
                    <w:tr2bl w:val="nil"/>
                  </w:tcBorders>
                  <w:vAlign w:val="center"/>
                </w:tcPr>
                <w:p w14:paraId="1F4E778F">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建筑物插入损失</w:t>
                  </w:r>
                </w:p>
              </w:tc>
              <w:tc>
                <w:tcPr>
                  <w:tcW w:w="468" w:type="dxa"/>
                  <w:vMerge w:val="restart"/>
                  <w:tcBorders>
                    <w:tl2br w:val="nil"/>
                    <w:tr2bl w:val="nil"/>
                  </w:tcBorders>
                  <w:vAlign w:val="center"/>
                </w:tcPr>
                <w:p w14:paraId="65680907">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建筑物外噪声声压级</w:t>
                  </w:r>
                </w:p>
              </w:tc>
            </w:tr>
            <w:tr w14:paraId="546F4E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tcBorders>
                    <w:bottom w:val="single" w:color="000000" w:sz="12" w:space="0"/>
                    <w:tl2br w:val="nil"/>
                    <w:tr2bl w:val="nil"/>
                  </w:tcBorders>
                  <w:vAlign w:val="center"/>
                </w:tcPr>
                <w:p w14:paraId="2C06DC8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2" w:type="dxa"/>
                  <w:vMerge w:val="continue"/>
                  <w:tcBorders>
                    <w:bottom w:val="single" w:color="000000" w:sz="12" w:space="0"/>
                    <w:tl2br w:val="nil"/>
                    <w:tr2bl w:val="nil"/>
                  </w:tcBorders>
                  <w:vAlign w:val="center"/>
                </w:tcPr>
                <w:p w14:paraId="11E271B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6" w:type="dxa"/>
                  <w:vMerge w:val="continue"/>
                  <w:tcBorders>
                    <w:bottom w:val="single" w:color="000000" w:sz="12" w:space="0"/>
                    <w:tl2br w:val="nil"/>
                    <w:tr2bl w:val="nil"/>
                  </w:tcBorders>
                  <w:vAlign w:val="center"/>
                </w:tcPr>
                <w:p w14:paraId="0665FD1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602" w:type="dxa"/>
                  <w:vMerge w:val="continue"/>
                  <w:tcBorders>
                    <w:bottom w:val="single" w:color="000000" w:sz="12" w:space="0"/>
                    <w:tl2br w:val="nil"/>
                    <w:tr2bl w:val="nil"/>
                  </w:tcBorders>
                  <w:vAlign w:val="center"/>
                </w:tcPr>
                <w:p w14:paraId="07E3ACF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tcBorders>
                    <w:bottom w:val="single" w:color="000000" w:sz="12" w:space="0"/>
                    <w:tl2br w:val="nil"/>
                    <w:tr2bl w:val="nil"/>
                  </w:tcBorders>
                  <w:vAlign w:val="center"/>
                </w:tcPr>
                <w:p w14:paraId="0176000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X</w:t>
                  </w:r>
                </w:p>
              </w:tc>
              <w:tc>
                <w:tcPr>
                  <w:tcW w:w="479" w:type="dxa"/>
                  <w:tcBorders>
                    <w:bottom w:val="single" w:color="000000" w:sz="12" w:space="0"/>
                    <w:tl2br w:val="nil"/>
                    <w:tr2bl w:val="nil"/>
                  </w:tcBorders>
                  <w:vAlign w:val="center"/>
                </w:tcPr>
                <w:p w14:paraId="24714CD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Y</w:t>
                  </w:r>
                </w:p>
              </w:tc>
              <w:tc>
                <w:tcPr>
                  <w:tcW w:w="431" w:type="dxa"/>
                  <w:tcBorders>
                    <w:bottom w:val="single" w:color="000000" w:sz="12" w:space="0"/>
                    <w:tl2br w:val="nil"/>
                    <w:tr2bl w:val="nil"/>
                  </w:tcBorders>
                  <w:vAlign w:val="center"/>
                </w:tcPr>
                <w:p w14:paraId="3998F0C4">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Z</w:t>
                  </w:r>
                </w:p>
              </w:tc>
              <w:tc>
                <w:tcPr>
                  <w:tcW w:w="442" w:type="dxa"/>
                  <w:vMerge w:val="continue"/>
                  <w:tcBorders>
                    <w:bottom w:val="single" w:color="000000" w:sz="12" w:space="0"/>
                    <w:tl2br w:val="nil"/>
                    <w:tr2bl w:val="nil"/>
                  </w:tcBorders>
                  <w:vAlign w:val="center"/>
                </w:tcPr>
                <w:p w14:paraId="4B392565">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10" w:type="dxa"/>
                  <w:vMerge w:val="continue"/>
                  <w:tcBorders>
                    <w:bottom w:val="single" w:color="000000" w:sz="12" w:space="0"/>
                    <w:tl2br w:val="nil"/>
                    <w:tr2bl w:val="nil"/>
                  </w:tcBorders>
                  <w:vAlign w:val="center"/>
                </w:tcPr>
                <w:p w14:paraId="356790F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81" w:type="dxa"/>
                  <w:vMerge w:val="continue"/>
                  <w:tcBorders>
                    <w:bottom w:val="single" w:color="000000" w:sz="12" w:space="0"/>
                    <w:tl2br w:val="nil"/>
                    <w:tr2bl w:val="nil"/>
                  </w:tcBorders>
                  <w:vAlign w:val="center"/>
                </w:tcPr>
                <w:p w14:paraId="205F2AE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Merge w:val="continue"/>
                  <w:tcBorders>
                    <w:bottom w:val="single" w:color="000000" w:sz="12" w:space="0"/>
                    <w:tl2br w:val="nil"/>
                    <w:tr2bl w:val="nil"/>
                  </w:tcBorders>
                  <w:vAlign w:val="center"/>
                </w:tcPr>
                <w:p w14:paraId="6E942BE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Merge w:val="continue"/>
                  <w:tcBorders>
                    <w:bottom w:val="single" w:color="000000" w:sz="12" w:space="0"/>
                    <w:tl2br w:val="nil"/>
                    <w:tr2bl w:val="nil"/>
                  </w:tcBorders>
                  <w:vAlign w:val="center"/>
                </w:tcPr>
                <w:p w14:paraId="05909F9A">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r>
            <w:tr w14:paraId="1CC8A5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restart"/>
                  <w:tcBorders>
                    <w:top w:val="single" w:color="000000" w:sz="12" w:space="0"/>
                  </w:tcBorders>
                  <w:vAlign w:val="center"/>
                </w:tcPr>
                <w:p w14:paraId="09856E90">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厂房</w:t>
                  </w:r>
                </w:p>
              </w:tc>
              <w:tc>
                <w:tcPr>
                  <w:tcW w:w="1032" w:type="dxa"/>
                  <w:tcBorders>
                    <w:top w:val="single" w:color="000000" w:sz="12" w:space="0"/>
                  </w:tcBorders>
                  <w:vAlign w:val="center"/>
                </w:tcPr>
                <w:p w14:paraId="1853FF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736" w:type="dxa"/>
                  <w:tcBorders>
                    <w:top w:val="single" w:color="000000" w:sz="12" w:space="0"/>
                  </w:tcBorders>
                  <w:vAlign w:val="center"/>
                </w:tcPr>
                <w:p w14:paraId="380F5264">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70</w:t>
                  </w:r>
                </w:p>
              </w:tc>
              <w:tc>
                <w:tcPr>
                  <w:tcW w:w="602" w:type="dxa"/>
                  <w:vMerge w:val="restart"/>
                  <w:tcBorders>
                    <w:top w:val="single" w:color="000000" w:sz="12" w:space="0"/>
                  </w:tcBorders>
                  <w:vAlign w:val="center"/>
                </w:tcPr>
                <w:p w14:paraId="41E424C8">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厂房隔声；基础减</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振</w:t>
                  </w:r>
                </w:p>
              </w:tc>
              <w:tc>
                <w:tcPr>
                  <w:tcW w:w="468" w:type="dxa"/>
                  <w:tcBorders>
                    <w:top w:val="single" w:color="000000" w:sz="12" w:space="0"/>
                  </w:tcBorders>
                  <w:vAlign w:val="center"/>
                </w:tcPr>
                <w:p w14:paraId="6FC259E3">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24</w:t>
                  </w:r>
                </w:p>
              </w:tc>
              <w:tc>
                <w:tcPr>
                  <w:tcW w:w="479" w:type="dxa"/>
                  <w:tcBorders>
                    <w:top w:val="single" w:color="000000" w:sz="12" w:space="0"/>
                  </w:tcBorders>
                  <w:vAlign w:val="center"/>
                </w:tcPr>
                <w:p w14:paraId="250E1B92">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17</w:t>
                  </w:r>
                </w:p>
              </w:tc>
              <w:tc>
                <w:tcPr>
                  <w:tcW w:w="431" w:type="dxa"/>
                  <w:tcBorders>
                    <w:top w:val="single" w:color="000000" w:sz="12" w:space="0"/>
                  </w:tcBorders>
                  <w:vAlign w:val="center"/>
                </w:tcPr>
                <w:p w14:paraId="65E693F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2</w:t>
                  </w:r>
                </w:p>
              </w:tc>
              <w:tc>
                <w:tcPr>
                  <w:tcW w:w="442" w:type="dxa"/>
                  <w:tcBorders>
                    <w:top w:val="single" w:color="000000" w:sz="12" w:space="0"/>
                  </w:tcBorders>
                  <w:vAlign w:val="center"/>
                </w:tcPr>
                <w:p w14:paraId="3F254500">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w:t>
                  </w:r>
                </w:p>
              </w:tc>
              <w:tc>
                <w:tcPr>
                  <w:tcW w:w="710" w:type="dxa"/>
                  <w:tcBorders>
                    <w:top w:val="single" w:color="000000" w:sz="12" w:space="0"/>
                  </w:tcBorders>
                  <w:vAlign w:val="center"/>
                </w:tcPr>
                <w:p w14:paraId="07273FDA">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70</w:t>
                  </w:r>
                </w:p>
              </w:tc>
              <w:tc>
                <w:tcPr>
                  <w:tcW w:w="781" w:type="dxa"/>
                  <w:vMerge w:val="restart"/>
                  <w:tcBorders>
                    <w:top w:val="single" w:color="000000" w:sz="12" w:space="0"/>
                  </w:tcBorders>
                  <w:vAlign w:val="center"/>
                </w:tcPr>
                <w:p w14:paraId="200AB234">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08</w:t>
                  </w: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：00-2</w:t>
                  </w:r>
                  <w:r>
                    <w:rPr>
                      <w:rFonts w:hint="eastAsia" w:cs="Times New Roman"/>
                      <w:color w:val="000000" w:themeColor="text1"/>
                      <w:spacing w:val="0"/>
                      <w:w w:val="100"/>
                      <w:position w:val="0"/>
                      <w:szCs w:val="21"/>
                      <w:highlight w:val="none"/>
                      <w:lang w:val="en-US" w:eastAsia="zh-CN"/>
                      <w14:textFill>
                        <w14:solidFill>
                          <w14:schemeClr w14:val="tx1"/>
                        </w14:solidFill>
                      </w14:textFill>
                    </w:rPr>
                    <w:t>4</w:t>
                  </w: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：00</w:t>
                  </w:r>
                </w:p>
              </w:tc>
              <w:tc>
                <w:tcPr>
                  <w:tcW w:w="466" w:type="dxa"/>
                  <w:tcBorders>
                    <w:top w:val="single" w:color="000000" w:sz="12" w:space="0"/>
                  </w:tcBorders>
                  <w:vAlign w:val="center"/>
                </w:tcPr>
                <w:p w14:paraId="627D71FF">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tcBorders>
                    <w:top w:val="single" w:color="000000" w:sz="12" w:space="0"/>
                  </w:tcBorders>
                  <w:vAlign w:val="center"/>
                </w:tcPr>
                <w:p w14:paraId="7E13EEB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60</w:t>
                  </w:r>
                </w:p>
              </w:tc>
            </w:tr>
            <w:tr w14:paraId="298839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16F7FAC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2" w:type="dxa"/>
                  <w:vAlign w:val="center"/>
                </w:tcPr>
                <w:p w14:paraId="4DE8267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736" w:type="dxa"/>
                  <w:vAlign w:val="center"/>
                </w:tcPr>
                <w:p w14:paraId="6B4743FD">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602" w:type="dxa"/>
                  <w:vMerge w:val="continue"/>
                  <w:vAlign w:val="center"/>
                </w:tcPr>
                <w:p w14:paraId="16780D4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5DFD1265">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48</w:t>
                  </w:r>
                </w:p>
              </w:tc>
              <w:tc>
                <w:tcPr>
                  <w:tcW w:w="479" w:type="dxa"/>
                  <w:vAlign w:val="center"/>
                </w:tcPr>
                <w:p w14:paraId="2AD0E46A">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17</w:t>
                  </w:r>
                </w:p>
              </w:tc>
              <w:tc>
                <w:tcPr>
                  <w:tcW w:w="431" w:type="dxa"/>
                  <w:vAlign w:val="center"/>
                </w:tcPr>
                <w:p w14:paraId="5C74D3A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2</w:t>
                  </w:r>
                </w:p>
              </w:tc>
              <w:tc>
                <w:tcPr>
                  <w:tcW w:w="442" w:type="dxa"/>
                  <w:vAlign w:val="center"/>
                </w:tcPr>
                <w:p w14:paraId="45762CB9">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w:t>
                  </w:r>
                </w:p>
              </w:tc>
              <w:tc>
                <w:tcPr>
                  <w:tcW w:w="710" w:type="dxa"/>
                  <w:vAlign w:val="center"/>
                </w:tcPr>
                <w:p w14:paraId="0959B12F">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68</w:t>
                  </w:r>
                </w:p>
              </w:tc>
              <w:tc>
                <w:tcPr>
                  <w:tcW w:w="781" w:type="dxa"/>
                  <w:vMerge w:val="continue"/>
                  <w:vAlign w:val="center"/>
                </w:tcPr>
                <w:p w14:paraId="7C2CF70A">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5F947A6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5273435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5</w:t>
                  </w: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r>
            <w:tr w14:paraId="38D3E4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83" w:type="dxa"/>
                  <w:vMerge w:val="continue"/>
                  <w:vAlign w:val="center"/>
                </w:tcPr>
                <w:p w14:paraId="4F0A6AF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2" w:type="dxa"/>
                  <w:vAlign w:val="center"/>
                </w:tcPr>
                <w:p w14:paraId="3D9903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736" w:type="dxa"/>
                  <w:vAlign w:val="center"/>
                </w:tcPr>
                <w:p w14:paraId="50970759">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75</w:t>
                  </w:r>
                </w:p>
              </w:tc>
              <w:tc>
                <w:tcPr>
                  <w:tcW w:w="602" w:type="dxa"/>
                  <w:vMerge w:val="continue"/>
                  <w:vAlign w:val="center"/>
                </w:tcPr>
                <w:p w14:paraId="521A60D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7FF7CE2F">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66</w:t>
                  </w:r>
                </w:p>
              </w:tc>
              <w:tc>
                <w:tcPr>
                  <w:tcW w:w="479" w:type="dxa"/>
                  <w:vAlign w:val="center"/>
                </w:tcPr>
                <w:p w14:paraId="51256642">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431" w:type="dxa"/>
                  <w:vAlign w:val="center"/>
                </w:tcPr>
                <w:p w14:paraId="19C35CD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2" w:type="dxa"/>
                  <w:vAlign w:val="center"/>
                </w:tcPr>
                <w:p w14:paraId="11419315">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710" w:type="dxa"/>
                  <w:vAlign w:val="center"/>
                </w:tcPr>
                <w:p w14:paraId="02CEDA0B">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59</w:t>
                  </w:r>
                </w:p>
              </w:tc>
              <w:tc>
                <w:tcPr>
                  <w:tcW w:w="781" w:type="dxa"/>
                  <w:vMerge w:val="continue"/>
                  <w:vAlign w:val="center"/>
                </w:tcPr>
                <w:p w14:paraId="0674722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5C2B5D1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106E377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49</w:t>
                  </w:r>
                </w:p>
              </w:tc>
            </w:tr>
            <w:tr w14:paraId="6B08D9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58BC5D90">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p>
              </w:tc>
              <w:tc>
                <w:tcPr>
                  <w:tcW w:w="1032" w:type="dxa"/>
                  <w:vAlign w:val="center"/>
                </w:tcPr>
                <w:p w14:paraId="6381EF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736" w:type="dxa"/>
                  <w:vAlign w:val="center"/>
                </w:tcPr>
                <w:p w14:paraId="5E98D13E">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85</w:t>
                  </w:r>
                </w:p>
              </w:tc>
              <w:tc>
                <w:tcPr>
                  <w:tcW w:w="602" w:type="dxa"/>
                  <w:vMerge w:val="continue"/>
                  <w:vAlign w:val="center"/>
                </w:tcPr>
                <w:p w14:paraId="6A5C668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1270C374">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9" w:type="dxa"/>
                  <w:vAlign w:val="center"/>
                </w:tcPr>
                <w:p w14:paraId="674C79A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431" w:type="dxa"/>
                  <w:vAlign w:val="center"/>
                </w:tcPr>
                <w:p w14:paraId="5316D52B">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2" w:type="dxa"/>
                  <w:vAlign w:val="center"/>
                </w:tcPr>
                <w:p w14:paraId="29C23F2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710" w:type="dxa"/>
                  <w:vAlign w:val="center"/>
                </w:tcPr>
                <w:p w14:paraId="1F088B09">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79</w:t>
                  </w:r>
                </w:p>
              </w:tc>
              <w:tc>
                <w:tcPr>
                  <w:tcW w:w="781" w:type="dxa"/>
                  <w:vMerge w:val="continue"/>
                  <w:vAlign w:val="center"/>
                </w:tcPr>
                <w:p w14:paraId="7764915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2DEBF2E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4862EED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69</w:t>
                  </w:r>
                </w:p>
              </w:tc>
            </w:tr>
            <w:tr w14:paraId="48EB35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12F51CE6">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p>
              </w:tc>
              <w:tc>
                <w:tcPr>
                  <w:tcW w:w="1032" w:type="dxa"/>
                  <w:vAlign w:val="center"/>
                </w:tcPr>
                <w:p w14:paraId="55146D5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736" w:type="dxa"/>
                  <w:shd w:val="clear" w:color="auto" w:fill="auto"/>
                  <w:vAlign w:val="center"/>
                </w:tcPr>
                <w:p w14:paraId="4F787AB8">
                  <w:pPr>
                    <w:jc w:val="cente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c>
                <w:tcPr>
                  <w:tcW w:w="602" w:type="dxa"/>
                  <w:vMerge w:val="continue"/>
                  <w:vAlign w:val="center"/>
                </w:tcPr>
                <w:p w14:paraId="44DF58C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6B9BDBB3">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35</w:t>
                  </w:r>
                </w:p>
              </w:tc>
              <w:tc>
                <w:tcPr>
                  <w:tcW w:w="479" w:type="dxa"/>
                  <w:vAlign w:val="center"/>
                </w:tcPr>
                <w:p w14:paraId="0644BD7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431" w:type="dxa"/>
                  <w:vAlign w:val="center"/>
                </w:tcPr>
                <w:p w14:paraId="08FDB76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2" w:type="dxa"/>
                  <w:vAlign w:val="center"/>
                </w:tcPr>
                <w:p w14:paraId="4ACF8F8D">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10" w:type="dxa"/>
                  <w:vAlign w:val="center"/>
                </w:tcPr>
                <w:p w14:paraId="324CBF7A">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57</w:t>
                  </w:r>
                </w:p>
              </w:tc>
              <w:tc>
                <w:tcPr>
                  <w:tcW w:w="781" w:type="dxa"/>
                  <w:vMerge w:val="continue"/>
                  <w:vAlign w:val="center"/>
                </w:tcPr>
                <w:p w14:paraId="1426201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426267CC">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6084792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47</w:t>
                  </w:r>
                </w:p>
              </w:tc>
            </w:tr>
            <w:tr w14:paraId="77B265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7D4A2189">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p>
              </w:tc>
              <w:tc>
                <w:tcPr>
                  <w:tcW w:w="1032" w:type="dxa"/>
                  <w:vAlign w:val="center"/>
                </w:tcPr>
                <w:p w14:paraId="7A93E66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736" w:type="dxa"/>
                  <w:shd w:val="clear" w:color="auto" w:fill="auto"/>
                  <w:vAlign w:val="center"/>
                </w:tcPr>
                <w:p w14:paraId="4B4EAC35">
                  <w:pPr>
                    <w:jc w:val="cente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73</w:t>
                  </w:r>
                </w:p>
              </w:tc>
              <w:tc>
                <w:tcPr>
                  <w:tcW w:w="602" w:type="dxa"/>
                  <w:vMerge w:val="continue"/>
                  <w:vAlign w:val="center"/>
                </w:tcPr>
                <w:p w14:paraId="6047AE8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3C3A7E26">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35</w:t>
                  </w:r>
                </w:p>
              </w:tc>
              <w:tc>
                <w:tcPr>
                  <w:tcW w:w="479" w:type="dxa"/>
                  <w:vAlign w:val="center"/>
                </w:tcPr>
                <w:p w14:paraId="21E9ACB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431" w:type="dxa"/>
                  <w:vAlign w:val="center"/>
                </w:tcPr>
                <w:p w14:paraId="20D95E4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2</w:t>
                  </w:r>
                </w:p>
              </w:tc>
              <w:tc>
                <w:tcPr>
                  <w:tcW w:w="442" w:type="dxa"/>
                  <w:vAlign w:val="center"/>
                </w:tcPr>
                <w:p w14:paraId="20090FB2">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10" w:type="dxa"/>
                  <w:vAlign w:val="center"/>
                </w:tcPr>
                <w:p w14:paraId="5EF87A2B">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55</w:t>
                  </w:r>
                </w:p>
              </w:tc>
              <w:tc>
                <w:tcPr>
                  <w:tcW w:w="781" w:type="dxa"/>
                  <w:vMerge w:val="continue"/>
                  <w:vAlign w:val="center"/>
                </w:tcPr>
                <w:p w14:paraId="644F9D1C">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3313035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7C1A09F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4</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r>
          </w:tbl>
          <w:p w14:paraId="4FC9406D">
            <w:pPr>
              <w:pStyle w:val="4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表4</w:t>
            </w:r>
            <w:r>
              <w:rPr>
                <w:rFonts w:hint="default"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13</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 xml:space="preserve">   本项目</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二期</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噪声源强调查清单（室内声源）</w:t>
            </w: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 xml:space="preserve">     </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单位：dB（A）</w:t>
            </w:r>
          </w:p>
          <w:tbl>
            <w:tblPr>
              <w:tblStyle w:val="46"/>
              <w:tblW w:w="49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2"/>
              <w:gridCol w:w="1031"/>
              <w:gridCol w:w="735"/>
              <w:gridCol w:w="601"/>
              <w:gridCol w:w="467"/>
              <w:gridCol w:w="478"/>
              <w:gridCol w:w="430"/>
              <w:gridCol w:w="441"/>
              <w:gridCol w:w="709"/>
              <w:gridCol w:w="780"/>
              <w:gridCol w:w="465"/>
              <w:gridCol w:w="467"/>
            </w:tblGrid>
            <w:tr w14:paraId="272E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restart"/>
                  <w:tcBorders>
                    <w:tl2br w:val="nil"/>
                    <w:tr2bl w:val="nil"/>
                  </w:tcBorders>
                  <w:vAlign w:val="center"/>
                </w:tcPr>
                <w:p w14:paraId="7F58086A">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建筑物名称</w:t>
                  </w:r>
                </w:p>
              </w:tc>
              <w:tc>
                <w:tcPr>
                  <w:tcW w:w="1031" w:type="dxa"/>
                  <w:vMerge w:val="restart"/>
                  <w:tcBorders>
                    <w:tl2br w:val="nil"/>
                    <w:tr2bl w:val="nil"/>
                  </w:tcBorders>
                  <w:vAlign w:val="center"/>
                </w:tcPr>
                <w:p w14:paraId="204309A0">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声源名称</w:t>
                  </w:r>
                </w:p>
              </w:tc>
              <w:tc>
                <w:tcPr>
                  <w:tcW w:w="735" w:type="dxa"/>
                  <w:vMerge w:val="restart"/>
                  <w:tcBorders>
                    <w:tl2br w:val="nil"/>
                    <w:tr2bl w:val="nil"/>
                  </w:tcBorders>
                  <w:vAlign w:val="center"/>
                </w:tcPr>
                <w:p w14:paraId="156ADB82">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声源源强（多台设备为叠加后源强）</w:t>
                  </w:r>
                </w:p>
              </w:tc>
              <w:tc>
                <w:tcPr>
                  <w:tcW w:w="601" w:type="dxa"/>
                  <w:vMerge w:val="restart"/>
                  <w:tcBorders>
                    <w:tl2br w:val="nil"/>
                    <w:tr2bl w:val="nil"/>
                  </w:tcBorders>
                  <w:vAlign w:val="center"/>
                </w:tcPr>
                <w:p w14:paraId="6526C5B6">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声源控制措施</w:t>
                  </w:r>
                </w:p>
              </w:tc>
              <w:tc>
                <w:tcPr>
                  <w:tcW w:w="1375" w:type="dxa"/>
                  <w:gridSpan w:val="3"/>
                  <w:tcBorders>
                    <w:tl2br w:val="nil"/>
                    <w:tr2bl w:val="nil"/>
                  </w:tcBorders>
                  <w:vAlign w:val="center"/>
                </w:tcPr>
                <w:p w14:paraId="185DC633">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空间相对位置/m（项目区周围50m无声环境敏感点，以生产车间西</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南</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角为原点建立坐标系）</w:t>
                  </w:r>
                </w:p>
              </w:tc>
              <w:tc>
                <w:tcPr>
                  <w:tcW w:w="441" w:type="dxa"/>
                  <w:vMerge w:val="restart"/>
                  <w:tcBorders>
                    <w:tl2br w:val="nil"/>
                    <w:tr2bl w:val="nil"/>
                  </w:tcBorders>
                  <w:vAlign w:val="center"/>
                </w:tcPr>
                <w:p w14:paraId="2C7DE1A0">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距室内边界距离/m</w:t>
                  </w:r>
                </w:p>
              </w:tc>
              <w:tc>
                <w:tcPr>
                  <w:tcW w:w="709" w:type="dxa"/>
                  <w:vMerge w:val="restart"/>
                  <w:tcBorders>
                    <w:tl2br w:val="nil"/>
                    <w:tr2bl w:val="nil"/>
                  </w:tcBorders>
                  <w:vAlign w:val="center"/>
                </w:tcPr>
                <w:p w14:paraId="298623DF">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室内边界声级</w:t>
                  </w:r>
                </w:p>
              </w:tc>
              <w:tc>
                <w:tcPr>
                  <w:tcW w:w="780" w:type="dxa"/>
                  <w:vMerge w:val="restart"/>
                  <w:tcBorders>
                    <w:tl2br w:val="nil"/>
                    <w:tr2bl w:val="nil"/>
                  </w:tcBorders>
                  <w:vAlign w:val="center"/>
                </w:tcPr>
                <w:p w14:paraId="18200423">
                  <w:pPr>
                    <w:pStyle w:val="44"/>
                    <w:jc w:val="cente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运行</w:t>
                  </w:r>
                </w:p>
                <w:p w14:paraId="58D3B324">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时段</w:t>
                  </w:r>
                </w:p>
              </w:tc>
              <w:tc>
                <w:tcPr>
                  <w:tcW w:w="465" w:type="dxa"/>
                  <w:vMerge w:val="restart"/>
                  <w:tcBorders>
                    <w:tl2br w:val="nil"/>
                    <w:tr2bl w:val="nil"/>
                  </w:tcBorders>
                  <w:vAlign w:val="center"/>
                </w:tcPr>
                <w:p w14:paraId="6B8F5B5D">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建筑物插入损失</w:t>
                  </w:r>
                </w:p>
              </w:tc>
              <w:tc>
                <w:tcPr>
                  <w:tcW w:w="467" w:type="dxa"/>
                  <w:vMerge w:val="restart"/>
                  <w:tcBorders>
                    <w:tl2br w:val="nil"/>
                    <w:tr2bl w:val="nil"/>
                  </w:tcBorders>
                  <w:vAlign w:val="center"/>
                </w:tcPr>
                <w:p w14:paraId="5D5EB65A">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建筑物外噪声声压级</w:t>
                  </w:r>
                </w:p>
              </w:tc>
            </w:tr>
            <w:tr w14:paraId="2025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tcBorders>
                    <w:tl2br w:val="nil"/>
                    <w:tr2bl w:val="nil"/>
                  </w:tcBorders>
                  <w:vAlign w:val="center"/>
                </w:tcPr>
                <w:p w14:paraId="147B2DC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1" w:type="dxa"/>
                  <w:vMerge w:val="continue"/>
                  <w:tcBorders>
                    <w:tl2br w:val="nil"/>
                    <w:tr2bl w:val="nil"/>
                  </w:tcBorders>
                  <w:vAlign w:val="center"/>
                </w:tcPr>
                <w:p w14:paraId="236ED92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dxa"/>
                  <w:vMerge w:val="continue"/>
                  <w:tcBorders>
                    <w:tl2br w:val="nil"/>
                    <w:tr2bl w:val="nil"/>
                  </w:tcBorders>
                  <w:vAlign w:val="center"/>
                </w:tcPr>
                <w:p w14:paraId="3119467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601" w:type="dxa"/>
                  <w:vMerge w:val="continue"/>
                  <w:tcBorders>
                    <w:tl2br w:val="nil"/>
                    <w:tr2bl w:val="nil"/>
                  </w:tcBorders>
                  <w:vAlign w:val="center"/>
                </w:tcPr>
                <w:p w14:paraId="36BE4FD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7" w:type="dxa"/>
                  <w:tcBorders>
                    <w:tl2br w:val="nil"/>
                    <w:tr2bl w:val="nil"/>
                  </w:tcBorders>
                  <w:vAlign w:val="center"/>
                </w:tcPr>
                <w:p w14:paraId="5CA9DE4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X</w:t>
                  </w:r>
                </w:p>
              </w:tc>
              <w:tc>
                <w:tcPr>
                  <w:tcW w:w="478" w:type="dxa"/>
                  <w:tcBorders>
                    <w:tl2br w:val="nil"/>
                    <w:tr2bl w:val="nil"/>
                  </w:tcBorders>
                  <w:vAlign w:val="center"/>
                </w:tcPr>
                <w:p w14:paraId="721CEE6A">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Y</w:t>
                  </w:r>
                </w:p>
              </w:tc>
              <w:tc>
                <w:tcPr>
                  <w:tcW w:w="430" w:type="dxa"/>
                  <w:tcBorders>
                    <w:tl2br w:val="nil"/>
                    <w:tr2bl w:val="nil"/>
                  </w:tcBorders>
                  <w:vAlign w:val="center"/>
                </w:tcPr>
                <w:p w14:paraId="74675FB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Z</w:t>
                  </w:r>
                </w:p>
              </w:tc>
              <w:tc>
                <w:tcPr>
                  <w:tcW w:w="441" w:type="dxa"/>
                  <w:vMerge w:val="continue"/>
                  <w:tcBorders>
                    <w:tl2br w:val="nil"/>
                    <w:tr2bl w:val="nil"/>
                  </w:tcBorders>
                  <w:vAlign w:val="center"/>
                </w:tcPr>
                <w:p w14:paraId="1786F81D">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09" w:type="dxa"/>
                  <w:vMerge w:val="continue"/>
                  <w:tcBorders>
                    <w:tl2br w:val="nil"/>
                    <w:tr2bl w:val="nil"/>
                  </w:tcBorders>
                  <w:vAlign w:val="center"/>
                </w:tcPr>
                <w:p w14:paraId="050347DB">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80" w:type="dxa"/>
                  <w:vMerge w:val="continue"/>
                  <w:tcBorders>
                    <w:tl2br w:val="nil"/>
                    <w:tr2bl w:val="nil"/>
                  </w:tcBorders>
                  <w:vAlign w:val="center"/>
                </w:tcPr>
                <w:p w14:paraId="500E3F74">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5" w:type="dxa"/>
                  <w:vMerge w:val="continue"/>
                  <w:tcBorders>
                    <w:tl2br w:val="nil"/>
                    <w:tr2bl w:val="nil"/>
                  </w:tcBorders>
                  <w:vAlign w:val="center"/>
                </w:tcPr>
                <w:p w14:paraId="0216FBC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7" w:type="dxa"/>
                  <w:vMerge w:val="continue"/>
                  <w:tcBorders>
                    <w:tl2br w:val="nil"/>
                    <w:tr2bl w:val="nil"/>
                  </w:tcBorders>
                  <w:vAlign w:val="center"/>
                </w:tcPr>
                <w:p w14:paraId="68FE4F0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r>
            <w:tr w14:paraId="4CD4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restart"/>
                  <w:vAlign w:val="center"/>
                </w:tcPr>
                <w:p w14:paraId="717B19A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厂房</w:t>
                  </w:r>
                </w:p>
              </w:tc>
              <w:tc>
                <w:tcPr>
                  <w:tcW w:w="1031" w:type="dxa"/>
                  <w:vAlign w:val="center"/>
                </w:tcPr>
                <w:p w14:paraId="53607C1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压滤机</w:t>
                  </w:r>
                </w:p>
              </w:tc>
              <w:tc>
                <w:tcPr>
                  <w:tcW w:w="735" w:type="dxa"/>
                  <w:vAlign w:val="center"/>
                </w:tcPr>
                <w:p w14:paraId="44D68A32">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c>
                <w:tcPr>
                  <w:tcW w:w="601" w:type="dxa"/>
                  <w:vMerge w:val="restart"/>
                  <w:vAlign w:val="center"/>
                </w:tcPr>
                <w:p w14:paraId="44B5EF4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厂房隔声；基础减</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振</w:t>
                  </w:r>
                </w:p>
              </w:tc>
              <w:tc>
                <w:tcPr>
                  <w:tcW w:w="467" w:type="dxa"/>
                  <w:vAlign w:val="center"/>
                </w:tcPr>
                <w:p w14:paraId="0AB349F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48</w:t>
                  </w:r>
                </w:p>
              </w:tc>
              <w:tc>
                <w:tcPr>
                  <w:tcW w:w="478" w:type="dxa"/>
                  <w:vAlign w:val="center"/>
                </w:tcPr>
                <w:p w14:paraId="628DE6F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16</w:t>
                  </w:r>
                </w:p>
              </w:tc>
              <w:tc>
                <w:tcPr>
                  <w:tcW w:w="430" w:type="dxa"/>
                  <w:vAlign w:val="center"/>
                </w:tcPr>
                <w:p w14:paraId="13564FF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466B7154">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w:t>
                  </w:r>
                </w:p>
              </w:tc>
              <w:tc>
                <w:tcPr>
                  <w:tcW w:w="709" w:type="dxa"/>
                  <w:vAlign w:val="center"/>
                </w:tcPr>
                <w:p w14:paraId="185CCFE2">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65</w:t>
                  </w:r>
                </w:p>
              </w:tc>
              <w:tc>
                <w:tcPr>
                  <w:tcW w:w="780" w:type="dxa"/>
                  <w:vMerge w:val="continue"/>
                  <w:vAlign w:val="center"/>
                </w:tcPr>
                <w:p w14:paraId="516F1BF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0006705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55E49D2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55</w:t>
                  </w:r>
                </w:p>
              </w:tc>
            </w:tr>
            <w:tr w14:paraId="08A1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639F4F0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260F45C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摇床</w:t>
                  </w:r>
                </w:p>
              </w:tc>
              <w:tc>
                <w:tcPr>
                  <w:tcW w:w="735" w:type="dxa"/>
                  <w:vAlign w:val="center"/>
                </w:tcPr>
                <w:p w14:paraId="4CF74AE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75</w:t>
                  </w:r>
                </w:p>
              </w:tc>
              <w:tc>
                <w:tcPr>
                  <w:tcW w:w="601" w:type="dxa"/>
                  <w:vMerge w:val="continue"/>
                  <w:vAlign w:val="center"/>
                </w:tcPr>
                <w:p w14:paraId="3309F41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vAlign w:val="center"/>
                </w:tcPr>
                <w:p w14:paraId="517BC28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66</w:t>
                  </w:r>
                </w:p>
              </w:tc>
              <w:tc>
                <w:tcPr>
                  <w:tcW w:w="478" w:type="dxa"/>
                  <w:vAlign w:val="center"/>
                </w:tcPr>
                <w:p w14:paraId="21AF398C">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430" w:type="dxa"/>
                  <w:vAlign w:val="center"/>
                </w:tcPr>
                <w:p w14:paraId="3E562A4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1" w:type="dxa"/>
                  <w:vAlign w:val="center"/>
                </w:tcPr>
                <w:p w14:paraId="394765D1">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709" w:type="dxa"/>
                  <w:vAlign w:val="center"/>
                </w:tcPr>
                <w:p w14:paraId="5C25938E">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59</w:t>
                  </w:r>
                </w:p>
              </w:tc>
              <w:tc>
                <w:tcPr>
                  <w:tcW w:w="780" w:type="dxa"/>
                  <w:vMerge w:val="continue"/>
                  <w:vAlign w:val="center"/>
                </w:tcPr>
                <w:p w14:paraId="71638E8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01D2792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4077634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4</w:t>
                  </w:r>
                  <w:r>
                    <w:rPr>
                      <w:rFonts w:hint="eastAsia" w:cs="Times New Roman"/>
                      <w:color w:val="000000" w:themeColor="text1"/>
                      <w:spacing w:val="0"/>
                      <w:w w:val="100"/>
                      <w:position w:val="0"/>
                      <w:szCs w:val="21"/>
                      <w:highlight w:val="none"/>
                      <w:lang w:val="en-US" w:eastAsia="zh-CN"/>
                      <w14:textFill>
                        <w14:solidFill>
                          <w14:schemeClr w14:val="tx1"/>
                        </w14:solidFill>
                      </w14:textFill>
                    </w:rPr>
                    <w:t>9</w:t>
                  </w:r>
                </w:p>
              </w:tc>
            </w:tr>
            <w:tr w14:paraId="5356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77A8A7C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344BD29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静压机</w:t>
                  </w:r>
                </w:p>
              </w:tc>
              <w:tc>
                <w:tcPr>
                  <w:tcW w:w="735" w:type="dxa"/>
                  <w:vAlign w:val="center"/>
                </w:tcPr>
                <w:p w14:paraId="5C894B0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601" w:type="dxa"/>
                  <w:vMerge w:val="continue"/>
                  <w:vAlign w:val="center"/>
                </w:tcPr>
                <w:p w14:paraId="6F970EC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vAlign w:val="center"/>
                </w:tcPr>
                <w:p w14:paraId="439141B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vAlign w:val="center"/>
                </w:tcPr>
                <w:p w14:paraId="37017691">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430" w:type="dxa"/>
                  <w:vAlign w:val="center"/>
                </w:tcPr>
                <w:p w14:paraId="2330520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1</w:t>
                  </w:r>
                </w:p>
              </w:tc>
              <w:tc>
                <w:tcPr>
                  <w:tcW w:w="441" w:type="dxa"/>
                  <w:vAlign w:val="center"/>
                </w:tcPr>
                <w:p w14:paraId="050FB2C4">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709" w:type="dxa"/>
                  <w:vAlign w:val="center"/>
                </w:tcPr>
                <w:p w14:paraId="532F583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79</w:t>
                  </w:r>
                </w:p>
              </w:tc>
              <w:tc>
                <w:tcPr>
                  <w:tcW w:w="780" w:type="dxa"/>
                  <w:vMerge w:val="continue"/>
                  <w:vAlign w:val="center"/>
                </w:tcPr>
                <w:p w14:paraId="4E94990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79ABFD3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07764EB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69</w:t>
                  </w:r>
                </w:p>
              </w:tc>
            </w:tr>
            <w:tr w14:paraId="1746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4D89E1F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75F6E1C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废气风机</w:t>
                  </w:r>
                </w:p>
              </w:tc>
              <w:tc>
                <w:tcPr>
                  <w:tcW w:w="735" w:type="dxa"/>
                  <w:shd w:val="clear" w:color="auto" w:fill="auto"/>
                  <w:vAlign w:val="center"/>
                </w:tcPr>
                <w:p w14:paraId="0FCDB17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73</w:t>
                  </w:r>
                </w:p>
              </w:tc>
              <w:tc>
                <w:tcPr>
                  <w:tcW w:w="601" w:type="dxa"/>
                  <w:vMerge w:val="continue"/>
                  <w:vAlign w:val="center"/>
                </w:tcPr>
                <w:p w14:paraId="41F4F23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vAlign w:val="center"/>
                </w:tcPr>
                <w:p w14:paraId="3732289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35</w:t>
                  </w:r>
                </w:p>
              </w:tc>
              <w:tc>
                <w:tcPr>
                  <w:tcW w:w="478" w:type="dxa"/>
                  <w:vAlign w:val="center"/>
                </w:tcPr>
                <w:p w14:paraId="427A91A9">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430" w:type="dxa"/>
                  <w:vAlign w:val="center"/>
                </w:tcPr>
                <w:p w14:paraId="452510F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6372EFCD">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09" w:type="dxa"/>
                  <w:vAlign w:val="center"/>
                </w:tcPr>
                <w:p w14:paraId="12F407F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55</w:t>
                  </w:r>
                </w:p>
              </w:tc>
              <w:tc>
                <w:tcPr>
                  <w:tcW w:w="780" w:type="dxa"/>
                  <w:vMerge w:val="continue"/>
                  <w:vAlign w:val="center"/>
                </w:tcPr>
                <w:p w14:paraId="0A3C315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221A2CC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365B11C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45</w:t>
                  </w:r>
                </w:p>
              </w:tc>
            </w:tr>
            <w:tr w14:paraId="79BF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2AEFC05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187A059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破碎机</w:t>
                  </w:r>
                </w:p>
              </w:tc>
              <w:tc>
                <w:tcPr>
                  <w:tcW w:w="735" w:type="dxa"/>
                  <w:shd w:val="clear" w:color="auto" w:fill="auto"/>
                  <w:vAlign w:val="center"/>
                </w:tcPr>
                <w:p w14:paraId="670EE8B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85</w:t>
                  </w:r>
                </w:p>
              </w:tc>
              <w:tc>
                <w:tcPr>
                  <w:tcW w:w="601" w:type="dxa"/>
                  <w:vMerge w:val="continue"/>
                  <w:vAlign w:val="center"/>
                </w:tcPr>
                <w:p w14:paraId="7BF4DF5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shd w:val="clear" w:color="auto" w:fill="auto"/>
                  <w:vAlign w:val="center"/>
                </w:tcPr>
                <w:p w14:paraId="25BB71D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shd w:val="clear" w:color="auto" w:fill="auto"/>
                  <w:vAlign w:val="center"/>
                </w:tcPr>
                <w:p w14:paraId="41F29E5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17</w:t>
                  </w:r>
                </w:p>
              </w:tc>
              <w:tc>
                <w:tcPr>
                  <w:tcW w:w="430" w:type="dxa"/>
                  <w:shd w:val="clear" w:color="auto" w:fill="auto"/>
                  <w:vAlign w:val="center"/>
                </w:tcPr>
                <w:p w14:paraId="57A23F8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7BC3EE23">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709" w:type="dxa"/>
                  <w:vAlign w:val="center"/>
                </w:tcPr>
                <w:p w14:paraId="7CADF13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79</w:t>
                  </w:r>
                </w:p>
              </w:tc>
              <w:tc>
                <w:tcPr>
                  <w:tcW w:w="780" w:type="dxa"/>
                  <w:vMerge w:val="continue"/>
                  <w:vAlign w:val="center"/>
                </w:tcPr>
                <w:p w14:paraId="131B1A5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23A8400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286EE68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69</w:t>
                  </w:r>
                </w:p>
              </w:tc>
            </w:tr>
            <w:tr w14:paraId="377D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7685FC9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2CCD640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球磨机</w:t>
                  </w:r>
                </w:p>
              </w:tc>
              <w:tc>
                <w:tcPr>
                  <w:tcW w:w="735" w:type="dxa"/>
                  <w:shd w:val="clear" w:color="auto" w:fill="auto"/>
                  <w:vAlign w:val="center"/>
                </w:tcPr>
                <w:p w14:paraId="74C4D74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601" w:type="dxa"/>
                  <w:vMerge w:val="continue"/>
                  <w:vAlign w:val="center"/>
                </w:tcPr>
                <w:p w14:paraId="292C9D5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shd w:val="clear" w:color="auto" w:fill="auto"/>
                  <w:vAlign w:val="center"/>
                </w:tcPr>
                <w:p w14:paraId="2F1A3FF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shd w:val="clear" w:color="auto" w:fill="auto"/>
                  <w:vAlign w:val="center"/>
                </w:tcPr>
                <w:p w14:paraId="13CFE29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15</w:t>
                  </w:r>
                </w:p>
              </w:tc>
              <w:tc>
                <w:tcPr>
                  <w:tcW w:w="430" w:type="dxa"/>
                  <w:shd w:val="clear" w:color="auto" w:fill="auto"/>
                  <w:vAlign w:val="center"/>
                </w:tcPr>
                <w:p w14:paraId="4E3A806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3A93D762">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w:t>
                  </w:r>
                </w:p>
              </w:tc>
              <w:tc>
                <w:tcPr>
                  <w:tcW w:w="709" w:type="dxa"/>
                  <w:vAlign w:val="center"/>
                </w:tcPr>
                <w:p w14:paraId="25D0A2E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75</w:t>
                  </w:r>
                </w:p>
              </w:tc>
              <w:tc>
                <w:tcPr>
                  <w:tcW w:w="780" w:type="dxa"/>
                  <w:vMerge w:val="continue"/>
                  <w:vAlign w:val="center"/>
                </w:tcPr>
                <w:p w14:paraId="3FD8E4A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08B344CE">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2FF3220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65</w:t>
                  </w:r>
                </w:p>
              </w:tc>
            </w:tr>
            <w:tr w14:paraId="1B24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527E6EB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070ABDC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分级机</w:t>
                  </w:r>
                </w:p>
              </w:tc>
              <w:tc>
                <w:tcPr>
                  <w:tcW w:w="735" w:type="dxa"/>
                  <w:vAlign w:val="center"/>
                </w:tcPr>
                <w:p w14:paraId="4B6AFC8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80</w:t>
                  </w:r>
                </w:p>
              </w:tc>
              <w:tc>
                <w:tcPr>
                  <w:tcW w:w="601" w:type="dxa"/>
                  <w:vMerge w:val="continue"/>
                  <w:vAlign w:val="center"/>
                </w:tcPr>
                <w:p w14:paraId="0A72D2D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shd w:val="clear" w:color="auto" w:fill="auto"/>
                  <w:vAlign w:val="center"/>
                </w:tcPr>
                <w:p w14:paraId="1C2D45A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shd w:val="clear" w:color="auto" w:fill="auto"/>
                  <w:vAlign w:val="center"/>
                </w:tcPr>
                <w:p w14:paraId="08C17AF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13</w:t>
                  </w:r>
                </w:p>
              </w:tc>
              <w:tc>
                <w:tcPr>
                  <w:tcW w:w="430" w:type="dxa"/>
                  <w:shd w:val="clear" w:color="auto" w:fill="auto"/>
                  <w:vAlign w:val="center"/>
                </w:tcPr>
                <w:p w14:paraId="10E1591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1</w:t>
                  </w:r>
                </w:p>
              </w:tc>
              <w:tc>
                <w:tcPr>
                  <w:tcW w:w="441" w:type="dxa"/>
                  <w:vAlign w:val="center"/>
                </w:tcPr>
                <w:p w14:paraId="49056C2C">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709" w:type="dxa"/>
                  <w:vAlign w:val="center"/>
                </w:tcPr>
                <w:p w14:paraId="1ED48FB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66</w:t>
                  </w:r>
                </w:p>
              </w:tc>
              <w:tc>
                <w:tcPr>
                  <w:tcW w:w="780" w:type="dxa"/>
                  <w:vMerge w:val="continue"/>
                  <w:vAlign w:val="center"/>
                </w:tcPr>
                <w:p w14:paraId="1A41C39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562EDCFE">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1AFD058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56</w:t>
                  </w:r>
                </w:p>
              </w:tc>
            </w:tr>
          </w:tbl>
          <w:p w14:paraId="34612314">
            <w:pPr>
              <w:pStyle w:val="6"/>
              <w:spacing w:before="120" w:beforeLines="50" w:line="360" w:lineRule="auto"/>
              <w:ind w:firstLine="0"/>
              <w:rPr>
                <w:rFonts w:hint="default" w:ascii="Times New Roman" w:hAnsi="Times New Roman" w:eastAsia="宋体" w:cs="Times New Roman"/>
                <w:b/>
                <w:color w:val="000000" w:themeColor="text1"/>
                <w:spacing w:val="0"/>
                <w:w w:val="100"/>
                <w:position w:val="0"/>
                <w:sz w:val="24"/>
                <w:highlight w:val="none"/>
                <w:lang w:val="en-US" w:eastAsia="zh-CN"/>
                <w14:textFill>
                  <w14:solidFill>
                    <w14:schemeClr w14:val="tx1"/>
                  </w14:solidFill>
                </w14:textFill>
              </w:rPr>
            </w:pPr>
            <w:r>
              <w:rPr>
                <w:rFonts w:hint="eastAsia" w:cs="Times New Roman"/>
                <w:b/>
                <w:bCs/>
                <w:color w:val="000000" w:themeColor="text1"/>
                <w:spacing w:val="0"/>
                <w:w w:val="100"/>
                <w:position w:val="0"/>
                <w:sz w:val="24"/>
                <w:highlight w:val="none"/>
                <w:lang w:val="en-US" w:eastAsia="zh-CN"/>
                <w14:textFill>
                  <w14:solidFill>
                    <w14:schemeClr w14:val="tx1"/>
                  </w14:solidFill>
                </w14:textFill>
              </w:rPr>
              <w:t>4.7.2</w:t>
            </w:r>
            <w:r>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t>预测方法</w:t>
            </w:r>
          </w:p>
          <w:p w14:paraId="1662F48D">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噪声源布置较为集中，其对声环境影响采取《环境影响评价技术导则 声环境》（HJ2.4-2021）中的噪声预测模式。</w:t>
            </w:r>
          </w:p>
          <w:p w14:paraId="793FD6CD">
            <w:pPr>
              <w:spacing w:line="360" w:lineRule="auto"/>
              <w:ind w:firstLine="456" w:firstLineChars="200"/>
              <w:rPr>
                <w:rFonts w:hint="default" w:ascii="Times New Roman" w:hAnsi="Times New Roman" w:cs="Times New Roman"/>
                <w:color w:val="000000" w:themeColor="text1"/>
                <w:spacing w:val="-6"/>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6"/>
                <w:w w:val="100"/>
                <w:position w:val="0"/>
                <w:sz w:val="24"/>
                <w:highlight w:val="none"/>
                <w14:textFill>
                  <w14:solidFill>
                    <w14:schemeClr w14:val="tx1"/>
                  </w14:solidFill>
                </w14:textFill>
              </w:rPr>
              <w:t>由于在声波传播的过程中，通过距离衰减、空气吸收衰减到达厂界外，故实际衰减量要低于其预测衰减量，即实际噪声值将略低于其预测值。</w:t>
            </w:r>
          </w:p>
          <w:p w14:paraId="721A39F5">
            <w:pPr>
              <w:pStyle w:val="6"/>
              <w:spacing w:line="360" w:lineRule="auto"/>
              <w:ind w:firstLine="0"/>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pPr>
            <w:r>
              <w:rPr>
                <w:rFonts w:hint="eastAsia" w:cs="Times New Roman"/>
                <w:b/>
                <w:bCs/>
                <w:color w:val="000000" w:themeColor="text1"/>
                <w:spacing w:val="0"/>
                <w:w w:val="100"/>
                <w:position w:val="0"/>
                <w:sz w:val="24"/>
                <w:highlight w:val="none"/>
                <w:lang w:val="en-US" w:eastAsia="zh-CN"/>
                <w14:textFill>
                  <w14:solidFill>
                    <w14:schemeClr w14:val="tx1"/>
                  </w14:solidFill>
                </w14:textFill>
              </w:rPr>
              <w:t>4.7.3</w:t>
            </w:r>
            <w:r>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t>噪声排放标准</w:t>
            </w:r>
          </w:p>
          <w:p w14:paraId="71278AD3">
            <w:pPr>
              <w:spacing w:line="360" w:lineRule="auto"/>
              <w:ind w:firstLine="480" w:firstLineChars="200"/>
              <w:jc w:val="both"/>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厂界噪声标准采用《工业企业厂界环境噪声排放标准》（GB12348-2008）中的3类</w:t>
            </w:r>
            <w:r>
              <w:rPr>
                <w:rFonts w:hint="eastAsia" w:cs="Times New Roman"/>
                <w:color w:val="000000" w:themeColor="text1"/>
                <w:spacing w:val="0"/>
                <w:w w:val="100"/>
                <w:position w:val="0"/>
                <w:sz w:val="24"/>
                <w:highlight w:val="none"/>
                <w:lang w:val="en-US" w:eastAsia="zh-CN"/>
                <w14:textFill>
                  <w14:solidFill>
                    <w14:schemeClr w14:val="tx1"/>
                  </w14:solidFill>
                </w14:textFill>
              </w:rPr>
              <w:t>排放限值</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，其标准值见表4-</w:t>
            </w:r>
            <w:r>
              <w:rPr>
                <w:rFonts w:hint="eastAsia" w:cs="Times New Roman"/>
                <w:color w:val="000000" w:themeColor="text1"/>
                <w:spacing w:val="0"/>
                <w:w w:val="100"/>
                <w:position w:val="0"/>
                <w:sz w:val="24"/>
                <w:highlight w:val="none"/>
                <w:lang w:val="en-US" w:eastAsia="zh-CN"/>
                <w14:textFill>
                  <w14:solidFill>
                    <w14:schemeClr w14:val="tx1"/>
                  </w14:solidFill>
                </w14:textFill>
              </w:rPr>
              <w:t>14</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0BAC412E">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表4-</w:t>
            </w:r>
            <w:r>
              <w:rPr>
                <w:rFonts w:hint="eastAsia" w:cs="Times New Roman"/>
                <w:b/>
                <w:bCs/>
                <w:color w:val="000000" w:themeColor="text1"/>
                <w:spacing w:val="0"/>
                <w:w w:val="100"/>
                <w:position w:val="0"/>
                <w:szCs w:val="21"/>
                <w:highlight w:val="none"/>
                <w:lang w:val="en-US" w:eastAsia="zh-CN"/>
                <w14:textFill>
                  <w14:solidFill>
                    <w14:schemeClr w14:val="tx1"/>
                  </w14:solidFill>
                </w14:textFill>
              </w:rPr>
              <w:t xml:space="preserve">14 </w:t>
            </w: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 xml:space="preserve">  噪声评价标准       单位：dB（A）</w:t>
            </w:r>
          </w:p>
          <w:tbl>
            <w:tblPr>
              <w:tblStyle w:val="21"/>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60"/>
              <w:gridCol w:w="1094"/>
              <w:gridCol w:w="976"/>
              <w:gridCol w:w="1172"/>
            </w:tblGrid>
            <w:tr w14:paraId="50473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76" w:type="dxa"/>
                  <w:tcBorders>
                    <w:tl2br w:val="nil"/>
                    <w:tr2bl w:val="nil"/>
                  </w:tcBorders>
                  <w:vAlign w:val="center"/>
                </w:tcPr>
                <w:p w14:paraId="60EAEC8D">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采用标准</w:t>
                  </w:r>
                </w:p>
              </w:tc>
              <w:tc>
                <w:tcPr>
                  <w:tcW w:w="1166" w:type="dxa"/>
                  <w:tcBorders>
                    <w:tl2br w:val="nil"/>
                    <w:tr2bl w:val="nil"/>
                  </w:tcBorders>
                  <w:vAlign w:val="center"/>
                </w:tcPr>
                <w:p w14:paraId="38BF0FE1">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类别</w:t>
                  </w:r>
                </w:p>
              </w:tc>
              <w:tc>
                <w:tcPr>
                  <w:tcW w:w="1038" w:type="dxa"/>
                  <w:tcBorders>
                    <w:tl2br w:val="nil"/>
                    <w:tr2bl w:val="nil"/>
                  </w:tcBorders>
                  <w:vAlign w:val="center"/>
                </w:tcPr>
                <w:p w14:paraId="4D8C7F52">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昼间</w:t>
                  </w:r>
                </w:p>
              </w:tc>
              <w:tc>
                <w:tcPr>
                  <w:tcW w:w="1250" w:type="dxa"/>
                  <w:tcBorders>
                    <w:tl2br w:val="nil"/>
                    <w:tr2bl w:val="nil"/>
                  </w:tcBorders>
                  <w:vAlign w:val="center"/>
                </w:tcPr>
                <w:p w14:paraId="382CAD4E">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夜间</w:t>
                  </w:r>
                </w:p>
              </w:tc>
            </w:tr>
            <w:tr w14:paraId="16198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76" w:type="dxa"/>
                  <w:tcBorders>
                    <w:tl2br w:val="nil"/>
                    <w:tr2bl w:val="nil"/>
                  </w:tcBorders>
                  <w:vAlign w:val="center"/>
                </w:tcPr>
                <w:p w14:paraId="4E625A8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工业企业厂界环境噪声排放标准</w:t>
                  </w:r>
                </w:p>
              </w:tc>
              <w:tc>
                <w:tcPr>
                  <w:tcW w:w="1166" w:type="dxa"/>
                  <w:tcBorders>
                    <w:tl2br w:val="nil"/>
                    <w:tr2bl w:val="nil"/>
                  </w:tcBorders>
                  <w:vAlign w:val="center"/>
                </w:tcPr>
                <w:p w14:paraId="53D119AB">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3</w:t>
                  </w:r>
                </w:p>
              </w:tc>
              <w:tc>
                <w:tcPr>
                  <w:tcW w:w="1038" w:type="dxa"/>
                  <w:tcBorders>
                    <w:tl2br w:val="nil"/>
                    <w:tr2bl w:val="nil"/>
                  </w:tcBorders>
                  <w:vAlign w:val="center"/>
                </w:tcPr>
                <w:p w14:paraId="5D51E34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65</w:t>
                  </w:r>
                </w:p>
              </w:tc>
              <w:tc>
                <w:tcPr>
                  <w:tcW w:w="1250" w:type="dxa"/>
                  <w:tcBorders>
                    <w:tl2br w:val="nil"/>
                    <w:tr2bl w:val="nil"/>
                  </w:tcBorders>
                  <w:vAlign w:val="center"/>
                </w:tcPr>
                <w:p w14:paraId="728D5AE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55</w:t>
                  </w:r>
                </w:p>
              </w:tc>
            </w:tr>
          </w:tbl>
          <w:p w14:paraId="6A91F27A">
            <w:pPr>
              <w:pStyle w:val="6"/>
              <w:spacing w:before="120" w:beforeLines="50" w:line="360" w:lineRule="auto"/>
              <w:ind w:firstLine="0"/>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pPr>
            <w:r>
              <w:rPr>
                <w:rFonts w:hint="eastAsia" w:cs="Times New Roman"/>
                <w:b/>
                <w:color w:val="000000" w:themeColor="text1"/>
                <w:spacing w:val="0"/>
                <w:w w:val="100"/>
                <w:position w:val="0"/>
                <w:sz w:val="24"/>
                <w:highlight w:val="none"/>
                <w:lang w:val="en-US" w:eastAsia="zh-CN"/>
                <w14:textFill>
                  <w14:solidFill>
                    <w14:schemeClr w14:val="tx1"/>
                  </w14:solidFill>
                </w14:textFill>
              </w:rPr>
              <w:t>4.7.4</w:t>
            </w:r>
            <w:r>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t>噪声影响预测模式</w:t>
            </w:r>
          </w:p>
          <w:p w14:paraId="4F907D5E">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① 点声源随传播距离增加引起其衰减值预测模式计算：</w:t>
            </w:r>
          </w:p>
          <w:p w14:paraId="39B83A9C">
            <w:pPr>
              <w:spacing w:line="360" w:lineRule="auto"/>
              <w:jc w:val="center"/>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bookmarkStart w:id="7" w:name="OLE_LINK14"/>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20lg</w:t>
            </w:r>
            <w:bookmarkEnd w:id="7"/>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(r/</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03D3B061">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式中：L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---预测点处声压级，dB</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12A04EFA">
            <w:pPr>
              <w:spacing w:line="360" w:lineRule="auto"/>
              <w:ind w:firstLine="1200" w:firstLineChars="5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--参考位置</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处的声压级，dB。</w:t>
            </w:r>
          </w:p>
          <w:p w14:paraId="2A0C04E1">
            <w:pPr>
              <w:spacing w:line="360" w:lineRule="auto"/>
              <w:ind w:firstLine="484" w:firstLineChars="202"/>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②噪声叠加模式</w:t>
            </w:r>
          </w:p>
          <w:p w14:paraId="63830F71">
            <w:pPr>
              <w:spacing w:line="360" w:lineRule="auto"/>
              <w:jc w:val="center"/>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L=10lg[Σ100.1Li]</w:t>
            </w:r>
          </w:p>
          <w:p w14:paraId="5458EF91">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式中：L--总声压强度，dB</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A</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624CE66C">
            <w:pPr>
              <w:spacing w:line="360" w:lineRule="auto"/>
              <w:ind w:firstLine="1204" w:firstLineChars="502"/>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L1--第i个参与合成的声压级强度，dB(A)。</w:t>
            </w:r>
          </w:p>
          <w:p w14:paraId="26698387">
            <w:pPr>
              <w:spacing w:line="360" w:lineRule="auto"/>
              <w:ind w:firstLine="484" w:firstLineChars="202"/>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根据以上模式对主要声源噪声衰减进行预测。详见噪声衰减预测结果</w:t>
            </w:r>
            <w:r>
              <w:rPr>
                <w:rFonts w:hint="eastAsia" w:cs="Times New Roman"/>
                <w:color w:val="000000" w:themeColor="text1"/>
                <w:spacing w:val="0"/>
                <w:w w:val="100"/>
                <w:position w:val="0"/>
                <w:sz w:val="24"/>
                <w:highlight w:val="none"/>
                <w:lang w:val="en-US" w:eastAsia="zh-CN"/>
                <w14:textFill>
                  <w14:solidFill>
                    <w14:schemeClr w14:val="tx1"/>
                  </w14:solidFill>
                </w14:textFill>
              </w:rPr>
              <w:t>下表</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2335FEFF">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一期</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各声源与预测点间的距离</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889"/>
              <w:gridCol w:w="1292"/>
              <w:gridCol w:w="776"/>
              <w:gridCol w:w="669"/>
              <w:gridCol w:w="654"/>
              <w:gridCol w:w="672"/>
              <w:gridCol w:w="557"/>
            </w:tblGrid>
            <w:tr w14:paraId="0FAE0C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restart"/>
                  <w:vAlign w:val="center"/>
                </w:tcPr>
                <w:p w14:paraId="43A837D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889" w:type="dxa"/>
                  <w:vMerge w:val="restart"/>
                  <w:vAlign w:val="center"/>
                </w:tcPr>
                <w:p w14:paraId="3FD4346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92" w:type="dxa"/>
                  <w:vMerge w:val="restart"/>
                  <w:vAlign w:val="center"/>
                </w:tcPr>
                <w:p w14:paraId="0618A120">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噪声源强</w:t>
                  </w: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［dB(A)］</w:t>
                  </w:r>
                </w:p>
              </w:tc>
              <w:tc>
                <w:tcPr>
                  <w:tcW w:w="776" w:type="dxa"/>
                  <w:vMerge w:val="restart"/>
                  <w:vAlign w:val="center"/>
                </w:tcPr>
                <w:p w14:paraId="64E754EF">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数量（台）</w:t>
                  </w:r>
                </w:p>
              </w:tc>
              <w:tc>
                <w:tcPr>
                  <w:tcW w:w="2552" w:type="dxa"/>
                  <w:gridSpan w:val="4"/>
                  <w:vAlign w:val="center"/>
                </w:tcPr>
                <w:p w14:paraId="718F9DB9">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距厂界距离（m)</w:t>
                  </w:r>
                </w:p>
              </w:tc>
            </w:tr>
            <w:tr w14:paraId="38B71A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continue"/>
                  <w:tcBorders>
                    <w:bottom w:val="single" w:color="auto" w:sz="12" w:space="0"/>
                  </w:tcBorders>
                  <w:vAlign w:val="center"/>
                </w:tcPr>
                <w:p w14:paraId="2ED8823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889" w:type="dxa"/>
                  <w:vMerge w:val="continue"/>
                  <w:tcBorders>
                    <w:bottom w:val="single" w:color="auto" w:sz="12" w:space="0"/>
                  </w:tcBorders>
                  <w:vAlign w:val="center"/>
                </w:tcPr>
                <w:p w14:paraId="420538A3">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292" w:type="dxa"/>
                  <w:vMerge w:val="continue"/>
                  <w:tcBorders>
                    <w:bottom w:val="single" w:color="auto" w:sz="12" w:space="0"/>
                  </w:tcBorders>
                  <w:vAlign w:val="center"/>
                </w:tcPr>
                <w:p w14:paraId="4287D735">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776" w:type="dxa"/>
                  <w:vMerge w:val="continue"/>
                  <w:tcBorders>
                    <w:bottom w:val="single" w:color="auto" w:sz="12" w:space="0"/>
                  </w:tcBorders>
                  <w:vAlign w:val="center"/>
                </w:tcPr>
                <w:p w14:paraId="6C17391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669" w:type="dxa"/>
                  <w:tcBorders>
                    <w:bottom w:val="single" w:color="auto" w:sz="12" w:space="0"/>
                  </w:tcBorders>
                  <w:vAlign w:val="center"/>
                </w:tcPr>
                <w:p w14:paraId="65F8C84F">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东</w:t>
                  </w:r>
                </w:p>
              </w:tc>
              <w:tc>
                <w:tcPr>
                  <w:tcW w:w="654" w:type="dxa"/>
                  <w:tcBorders>
                    <w:bottom w:val="single" w:color="auto" w:sz="12" w:space="0"/>
                  </w:tcBorders>
                  <w:vAlign w:val="center"/>
                </w:tcPr>
                <w:p w14:paraId="3D23E0A7">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南</w:t>
                  </w:r>
                </w:p>
              </w:tc>
              <w:tc>
                <w:tcPr>
                  <w:tcW w:w="672" w:type="dxa"/>
                  <w:tcBorders>
                    <w:bottom w:val="single" w:color="auto" w:sz="12" w:space="0"/>
                  </w:tcBorders>
                  <w:vAlign w:val="center"/>
                </w:tcPr>
                <w:p w14:paraId="73288C01">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西</w:t>
                  </w:r>
                </w:p>
              </w:tc>
              <w:tc>
                <w:tcPr>
                  <w:tcW w:w="557" w:type="dxa"/>
                  <w:tcBorders>
                    <w:bottom w:val="single" w:color="auto" w:sz="12" w:space="0"/>
                  </w:tcBorders>
                  <w:vAlign w:val="center"/>
                </w:tcPr>
                <w:p w14:paraId="744A5098">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北</w:t>
                  </w:r>
                </w:p>
              </w:tc>
            </w:tr>
            <w:tr w14:paraId="05AD7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restart"/>
                  <w:tcBorders>
                    <w:top w:val="single" w:color="auto" w:sz="12" w:space="0"/>
                    <w:tl2br w:val="nil"/>
                    <w:tr2bl w:val="nil"/>
                  </w:tcBorders>
                  <w:vAlign w:val="center"/>
                </w:tcPr>
                <w:p w14:paraId="044D119F">
                  <w:pPr>
                    <w:widowControl/>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车间</w:t>
                  </w:r>
                </w:p>
              </w:tc>
              <w:tc>
                <w:tcPr>
                  <w:tcW w:w="1889" w:type="dxa"/>
                  <w:tcBorders>
                    <w:top w:val="single" w:color="auto" w:sz="12" w:space="0"/>
                    <w:tl2br w:val="nil"/>
                    <w:tr2bl w:val="nil"/>
                  </w:tcBorders>
                  <w:vAlign w:val="center"/>
                </w:tcPr>
                <w:p w14:paraId="3982D4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1292" w:type="dxa"/>
                  <w:tcBorders>
                    <w:top w:val="single" w:color="auto" w:sz="12" w:space="0"/>
                    <w:tl2br w:val="nil"/>
                    <w:tr2bl w:val="nil"/>
                  </w:tcBorders>
                  <w:vAlign w:val="center"/>
                </w:tcPr>
                <w:p w14:paraId="6F9992BF">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op w:val="single" w:color="auto" w:sz="12" w:space="0"/>
                    <w:tl2br w:val="nil"/>
                    <w:tr2bl w:val="nil"/>
                  </w:tcBorders>
                  <w:vAlign w:val="center"/>
                </w:tcPr>
                <w:p w14:paraId="106FB3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op w:val="single" w:color="auto" w:sz="12" w:space="0"/>
                    <w:tl2br w:val="nil"/>
                    <w:tr2bl w:val="nil"/>
                  </w:tcBorders>
                  <w:vAlign w:val="center"/>
                </w:tcPr>
                <w:p w14:paraId="43F8BFF7">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168</w:t>
                  </w:r>
                </w:p>
              </w:tc>
              <w:tc>
                <w:tcPr>
                  <w:tcW w:w="654" w:type="dxa"/>
                  <w:tcBorders>
                    <w:top w:val="single" w:color="auto" w:sz="12" w:space="0"/>
                    <w:tl2br w:val="nil"/>
                    <w:tr2bl w:val="nil"/>
                  </w:tcBorders>
                  <w:vAlign w:val="center"/>
                </w:tcPr>
                <w:p w14:paraId="250077B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op w:val="single" w:color="auto" w:sz="12" w:space="0"/>
                    <w:tl2br w:val="nil"/>
                    <w:tr2bl w:val="nil"/>
                  </w:tcBorders>
                  <w:vAlign w:val="center"/>
                </w:tcPr>
                <w:p w14:paraId="098A137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40</w:t>
                  </w:r>
                </w:p>
              </w:tc>
              <w:tc>
                <w:tcPr>
                  <w:tcW w:w="557" w:type="dxa"/>
                  <w:tcBorders>
                    <w:top w:val="single" w:color="auto" w:sz="12" w:space="0"/>
                    <w:tl2br w:val="nil"/>
                    <w:tr2bl w:val="nil"/>
                  </w:tcBorders>
                  <w:vAlign w:val="center"/>
                </w:tcPr>
                <w:p w14:paraId="13EE9741">
                  <w:pPr>
                    <w:pStyle w:val="15"/>
                    <w:jc w:val="center"/>
                    <w:rPr>
                      <w:rFonts w:hint="eastAsia" w:ascii="Times New Roman" w:hAnsi="Times New Roman" w:eastAsia="宋体" w:cs="Times New Roman"/>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59961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4" w:hRule="atLeast"/>
                <w:jc w:val="center"/>
              </w:trPr>
              <w:tc>
                <w:tcPr>
                  <w:tcW w:w="792" w:type="dxa"/>
                  <w:vMerge w:val="continue"/>
                  <w:tcBorders>
                    <w:tl2br w:val="nil"/>
                    <w:tr2bl w:val="nil"/>
                  </w:tcBorders>
                  <w:vAlign w:val="center"/>
                </w:tcPr>
                <w:p w14:paraId="2F45D50E">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288532D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92" w:type="dxa"/>
                  <w:tcBorders>
                    <w:tl2br w:val="nil"/>
                    <w:tr2bl w:val="nil"/>
                  </w:tcBorders>
                  <w:vAlign w:val="center"/>
                </w:tcPr>
                <w:p w14:paraId="3EDABAF3">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76" w:type="dxa"/>
                  <w:tcBorders>
                    <w:tl2br w:val="nil"/>
                    <w:tr2bl w:val="nil"/>
                  </w:tcBorders>
                  <w:vAlign w:val="center"/>
                </w:tcPr>
                <w:p w14:paraId="04860B2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669" w:type="dxa"/>
                  <w:tcBorders>
                    <w:tl2br w:val="nil"/>
                    <w:tr2bl w:val="nil"/>
                  </w:tcBorders>
                  <w:vAlign w:val="center"/>
                </w:tcPr>
                <w:p w14:paraId="3B8C05A9">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75379CE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l2br w:val="nil"/>
                    <w:tr2bl w:val="nil"/>
                  </w:tcBorders>
                  <w:vAlign w:val="center"/>
                </w:tcPr>
                <w:p w14:paraId="63604E4E">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1B61A715">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49736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4141ACD8">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425D5A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92" w:type="dxa"/>
                  <w:tcBorders>
                    <w:tl2br w:val="nil"/>
                    <w:tr2bl w:val="nil"/>
                  </w:tcBorders>
                  <w:vAlign w:val="center"/>
                </w:tcPr>
                <w:p w14:paraId="67BDB268">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l2br w:val="nil"/>
                    <w:tr2bl w:val="nil"/>
                  </w:tcBorders>
                  <w:vAlign w:val="center"/>
                </w:tcPr>
                <w:p w14:paraId="74D1A4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9</w:t>
                  </w:r>
                </w:p>
              </w:tc>
              <w:tc>
                <w:tcPr>
                  <w:tcW w:w="669" w:type="dxa"/>
                  <w:tcBorders>
                    <w:tl2br w:val="nil"/>
                    <w:tr2bl w:val="nil"/>
                  </w:tcBorders>
                  <w:vAlign w:val="center"/>
                </w:tcPr>
                <w:p w14:paraId="31EC3E35">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74</w:t>
                  </w:r>
                </w:p>
              </w:tc>
              <w:tc>
                <w:tcPr>
                  <w:tcW w:w="654" w:type="dxa"/>
                  <w:tcBorders>
                    <w:tl2br w:val="nil"/>
                    <w:tr2bl w:val="nil"/>
                  </w:tcBorders>
                  <w:vAlign w:val="center"/>
                </w:tcPr>
                <w:p w14:paraId="5A2EFA98">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127</w:t>
                  </w:r>
                </w:p>
              </w:tc>
              <w:tc>
                <w:tcPr>
                  <w:tcW w:w="672" w:type="dxa"/>
                  <w:tcBorders>
                    <w:tl2br w:val="nil"/>
                    <w:tr2bl w:val="nil"/>
                  </w:tcBorders>
                  <w:vAlign w:val="center"/>
                </w:tcPr>
                <w:p w14:paraId="55D5860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134</w:t>
                  </w:r>
                </w:p>
              </w:tc>
              <w:tc>
                <w:tcPr>
                  <w:tcW w:w="557" w:type="dxa"/>
                  <w:tcBorders>
                    <w:tl2br w:val="nil"/>
                    <w:tr2bl w:val="nil"/>
                  </w:tcBorders>
                  <w:vAlign w:val="center"/>
                </w:tcPr>
                <w:p w14:paraId="4C201CA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w:t>
                  </w:r>
                </w:p>
              </w:tc>
            </w:tr>
            <w:tr w14:paraId="10F61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52A7077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6552FBA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92" w:type="dxa"/>
                  <w:tcBorders>
                    <w:tl2br w:val="nil"/>
                    <w:tr2bl w:val="nil"/>
                  </w:tcBorders>
                  <w:vAlign w:val="center"/>
                </w:tcPr>
                <w:p w14:paraId="134CA265">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2694584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6AF70C3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44DB6E3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123</w:t>
                  </w:r>
                </w:p>
              </w:tc>
              <w:tc>
                <w:tcPr>
                  <w:tcW w:w="672" w:type="dxa"/>
                  <w:tcBorders>
                    <w:tl2br w:val="nil"/>
                    <w:tr2bl w:val="nil"/>
                  </w:tcBorders>
                  <w:vAlign w:val="center"/>
                </w:tcPr>
                <w:p w14:paraId="33675661">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459E905D">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17</w:t>
                  </w:r>
                </w:p>
              </w:tc>
            </w:tr>
            <w:tr w14:paraId="062039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007887A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130A34A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1292" w:type="dxa"/>
                  <w:tcBorders>
                    <w:tl2br w:val="nil"/>
                    <w:tr2bl w:val="nil"/>
                  </w:tcBorders>
                  <w:vAlign w:val="center"/>
                </w:tcPr>
                <w:p w14:paraId="7416BA2A">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l2br w:val="nil"/>
                    <w:tr2bl w:val="nil"/>
                  </w:tcBorders>
                  <w:vAlign w:val="center"/>
                </w:tcPr>
                <w:p w14:paraId="0CD14B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3A5CFD5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153</w:t>
                  </w:r>
                </w:p>
              </w:tc>
              <w:tc>
                <w:tcPr>
                  <w:tcW w:w="654" w:type="dxa"/>
                  <w:tcBorders>
                    <w:tl2br w:val="nil"/>
                    <w:tr2bl w:val="nil"/>
                  </w:tcBorders>
                  <w:vAlign w:val="center"/>
                </w:tcPr>
                <w:p w14:paraId="77DA0D6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l2br w:val="nil"/>
                    <w:tr2bl w:val="nil"/>
                  </w:tcBorders>
                  <w:vAlign w:val="center"/>
                </w:tcPr>
                <w:p w14:paraId="380968A7">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55</w:t>
                  </w:r>
                </w:p>
              </w:tc>
              <w:tc>
                <w:tcPr>
                  <w:tcW w:w="557" w:type="dxa"/>
                  <w:tcBorders>
                    <w:tl2br w:val="nil"/>
                    <w:tr2bl w:val="nil"/>
                  </w:tcBorders>
                  <w:vAlign w:val="center"/>
                </w:tcPr>
                <w:p w14:paraId="096B2649">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469DF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19E6E899">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10B323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92" w:type="dxa"/>
                  <w:tcBorders>
                    <w:tl2br w:val="nil"/>
                    <w:tr2bl w:val="nil"/>
                  </w:tcBorders>
                  <w:vAlign w:val="center"/>
                </w:tcPr>
                <w:p w14:paraId="5BD509AF">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68</w:t>
                  </w:r>
                </w:p>
              </w:tc>
              <w:tc>
                <w:tcPr>
                  <w:tcW w:w="776" w:type="dxa"/>
                  <w:tcBorders>
                    <w:tl2br w:val="nil"/>
                    <w:tr2bl w:val="nil"/>
                  </w:tcBorders>
                  <w:vAlign w:val="center"/>
                </w:tcPr>
                <w:p w14:paraId="003146E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4</w:t>
                  </w:r>
                </w:p>
              </w:tc>
              <w:tc>
                <w:tcPr>
                  <w:tcW w:w="669" w:type="dxa"/>
                  <w:tcBorders>
                    <w:tl2br w:val="nil"/>
                    <w:tr2bl w:val="nil"/>
                  </w:tcBorders>
                  <w:vAlign w:val="center"/>
                </w:tcPr>
                <w:p w14:paraId="29417977">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147</w:t>
                  </w:r>
                </w:p>
              </w:tc>
              <w:tc>
                <w:tcPr>
                  <w:tcW w:w="654" w:type="dxa"/>
                  <w:tcBorders>
                    <w:tl2br w:val="nil"/>
                    <w:tr2bl w:val="nil"/>
                  </w:tcBorders>
                  <w:vAlign w:val="center"/>
                </w:tcPr>
                <w:p w14:paraId="311211C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130</w:t>
                  </w:r>
                </w:p>
              </w:tc>
              <w:tc>
                <w:tcPr>
                  <w:tcW w:w="672" w:type="dxa"/>
                  <w:tcBorders>
                    <w:tl2br w:val="nil"/>
                    <w:tr2bl w:val="nil"/>
                  </w:tcBorders>
                  <w:vAlign w:val="center"/>
                </w:tcPr>
                <w:p w14:paraId="7A16FC6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61</w:t>
                  </w:r>
                </w:p>
              </w:tc>
              <w:tc>
                <w:tcPr>
                  <w:tcW w:w="557" w:type="dxa"/>
                  <w:tcBorders>
                    <w:tl2br w:val="nil"/>
                    <w:tr2bl w:val="nil"/>
                  </w:tcBorders>
                  <w:vAlign w:val="center"/>
                </w:tcPr>
                <w:p w14:paraId="7CE9DFF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10</w:t>
                  </w:r>
                </w:p>
              </w:tc>
            </w:tr>
          </w:tbl>
          <w:p w14:paraId="3C5612ED">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二期</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各声源与预测点间的距离</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889"/>
              <w:gridCol w:w="1292"/>
              <w:gridCol w:w="776"/>
              <w:gridCol w:w="669"/>
              <w:gridCol w:w="654"/>
              <w:gridCol w:w="672"/>
              <w:gridCol w:w="557"/>
            </w:tblGrid>
            <w:tr w14:paraId="11194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restart"/>
                  <w:vAlign w:val="center"/>
                </w:tcPr>
                <w:p w14:paraId="3ADF8DB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889" w:type="dxa"/>
                  <w:vMerge w:val="restart"/>
                  <w:vAlign w:val="center"/>
                </w:tcPr>
                <w:p w14:paraId="2BD97ECB">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92" w:type="dxa"/>
                  <w:vMerge w:val="restart"/>
                  <w:vAlign w:val="center"/>
                </w:tcPr>
                <w:p w14:paraId="0109743D">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噪声源强</w:t>
                  </w: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［dB(A)］</w:t>
                  </w:r>
                </w:p>
              </w:tc>
              <w:tc>
                <w:tcPr>
                  <w:tcW w:w="776" w:type="dxa"/>
                  <w:vMerge w:val="restart"/>
                  <w:vAlign w:val="center"/>
                </w:tcPr>
                <w:p w14:paraId="60C9EB5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数量（台）</w:t>
                  </w:r>
                </w:p>
              </w:tc>
              <w:tc>
                <w:tcPr>
                  <w:tcW w:w="2552" w:type="dxa"/>
                  <w:gridSpan w:val="4"/>
                  <w:vAlign w:val="center"/>
                </w:tcPr>
                <w:p w14:paraId="31F1BD5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距厂界距离（m)</w:t>
                  </w:r>
                </w:p>
              </w:tc>
            </w:tr>
            <w:tr w14:paraId="10368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continue"/>
                  <w:tcBorders>
                    <w:bottom w:val="single" w:color="auto" w:sz="12" w:space="0"/>
                  </w:tcBorders>
                  <w:vAlign w:val="center"/>
                </w:tcPr>
                <w:p w14:paraId="57D64A93">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889" w:type="dxa"/>
                  <w:vMerge w:val="continue"/>
                  <w:tcBorders>
                    <w:bottom w:val="single" w:color="auto" w:sz="12" w:space="0"/>
                  </w:tcBorders>
                  <w:vAlign w:val="center"/>
                </w:tcPr>
                <w:p w14:paraId="3387CEC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292" w:type="dxa"/>
                  <w:vMerge w:val="continue"/>
                  <w:tcBorders>
                    <w:bottom w:val="single" w:color="auto" w:sz="12" w:space="0"/>
                  </w:tcBorders>
                  <w:vAlign w:val="center"/>
                </w:tcPr>
                <w:p w14:paraId="0EBF71B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776" w:type="dxa"/>
                  <w:vMerge w:val="continue"/>
                  <w:tcBorders>
                    <w:bottom w:val="single" w:color="auto" w:sz="12" w:space="0"/>
                  </w:tcBorders>
                  <w:vAlign w:val="center"/>
                </w:tcPr>
                <w:p w14:paraId="278FD630">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669" w:type="dxa"/>
                  <w:tcBorders>
                    <w:bottom w:val="single" w:color="auto" w:sz="12" w:space="0"/>
                  </w:tcBorders>
                  <w:vAlign w:val="center"/>
                </w:tcPr>
                <w:p w14:paraId="1D46DD59">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东</w:t>
                  </w:r>
                </w:p>
              </w:tc>
              <w:tc>
                <w:tcPr>
                  <w:tcW w:w="654" w:type="dxa"/>
                  <w:tcBorders>
                    <w:bottom w:val="single" w:color="auto" w:sz="12" w:space="0"/>
                  </w:tcBorders>
                  <w:vAlign w:val="center"/>
                </w:tcPr>
                <w:p w14:paraId="6CBD6D75">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南</w:t>
                  </w:r>
                </w:p>
              </w:tc>
              <w:tc>
                <w:tcPr>
                  <w:tcW w:w="672" w:type="dxa"/>
                  <w:tcBorders>
                    <w:bottom w:val="single" w:color="auto" w:sz="12" w:space="0"/>
                  </w:tcBorders>
                  <w:vAlign w:val="center"/>
                </w:tcPr>
                <w:p w14:paraId="16854E05">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西</w:t>
                  </w:r>
                </w:p>
              </w:tc>
              <w:tc>
                <w:tcPr>
                  <w:tcW w:w="557" w:type="dxa"/>
                  <w:tcBorders>
                    <w:bottom w:val="single" w:color="auto" w:sz="12" w:space="0"/>
                  </w:tcBorders>
                  <w:vAlign w:val="center"/>
                </w:tcPr>
                <w:p w14:paraId="6272E107">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北</w:t>
                  </w:r>
                </w:p>
              </w:tc>
            </w:tr>
            <w:tr w14:paraId="1B241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4" w:hRule="atLeast"/>
                <w:jc w:val="center"/>
              </w:trPr>
              <w:tc>
                <w:tcPr>
                  <w:tcW w:w="792" w:type="dxa"/>
                  <w:vMerge w:val="restart"/>
                  <w:tcBorders>
                    <w:tl2br w:val="nil"/>
                    <w:tr2bl w:val="nil"/>
                  </w:tcBorders>
                  <w:vAlign w:val="center"/>
                </w:tcPr>
                <w:p w14:paraId="7298BF7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车间</w:t>
                  </w:r>
                </w:p>
              </w:tc>
              <w:tc>
                <w:tcPr>
                  <w:tcW w:w="1889" w:type="dxa"/>
                  <w:tcBorders>
                    <w:tl2br w:val="nil"/>
                    <w:tr2bl w:val="nil"/>
                  </w:tcBorders>
                  <w:vAlign w:val="center"/>
                </w:tcPr>
                <w:p w14:paraId="2A3213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92" w:type="dxa"/>
                  <w:tcBorders>
                    <w:tl2br w:val="nil"/>
                    <w:tr2bl w:val="nil"/>
                  </w:tcBorders>
                  <w:vAlign w:val="center"/>
                </w:tcPr>
                <w:p w14:paraId="2B9796EC">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c>
                <w:tcPr>
                  <w:tcW w:w="776" w:type="dxa"/>
                  <w:tcBorders>
                    <w:tl2br w:val="nil"/>
                    <w:tr2bl w:val="nil"/>
                  </w:tcBorders>
                  <w:vAlign w:val="center"/>
                </w:tcPr>
                <w:p w14:paraId="3C7CB1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669" w:type="dxa"/>
                  <w:tcBorders>
                    <w:tl2br w:val="nil"/>
                    <w:tr2bl w:val="nil"/>
                  </w:tcBorders>
                  <w:vAlign w:val="center"/>
                </w:tcPr>
                <w:p w14:paraId="3AA14168">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706D554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l2br w:val="nil"/>
                    <w:tr2bl w:val="nil"/>
                  </w:tcBorders>
                  <w:vAlign w:val="center"/>
                </w:tcPr>
                <w:p w14:paraId="45527366">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499F0C69">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70189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78FD8609">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6045A0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92" w:type="dxa"/>
                  <w:tcBorders>
                    <w:tl2br w:val="nil"/>
                    <w:tr2bl w:val="nil"/>
                  </w:tcBorders>
                  <w:vAlign w:val="center"/>
                </w:tcPr>
                <w:p w14:paraId="4F0328F2">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l2br w:val="nil"/>
                    <w:tr2bl w:val="nil"/>
                  </w:tcBorders>
                  <w:vAlign w:val="center"/>
                </w:tcPr>
                <w:p w14:paraId="6AC0051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9</w:t>
                  </w:r>
                </w:p>
              </w:tc>
              <w:tc>
                <w:tcPr>
                  <w:tcW w:w="669" w:type="dxa"/>
                  <w:tcBorders>
                    <w:tl2br w:val="nil"/>
                    <w:tr2bl w:val="nil"/>
                  </w:tcBorders>
                  <w:vAlign w:val="center"/>
                </w:tcPr>
                <w:p w14:paraId="5C29898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74</w:t>
                  </w:r>
                </w:p>
              </w:tc>
              <w:tc>
                <w:tcPr>
                  <w:tcW w:w="654" w:type="dxa"/>
                  <w:tcBorders>
                    <w:tl2br w:val="nil"/>
                    <w:tr2bl w:val="nil"/>
                  </w:tcBorders>
                  <w:vAlign w:val="center"/>
                </w:tcPr>
                <w:p w14:paraId="3C78730C">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127</w:t>
                  </w:r>
                </w:p>
              </w:tc>
              <w:tc>
                <w:tcPr>
                  <w:tcW w:w="672" w:type="dxa"/>
                  <w:tcBorders>
                    <w:tl2br w:val="nil"/>
                    <w:tr2bl w:val="nil"/>
                  </w:tcBorders>
                  <w:vAlign w:val="center"/>
                </w:tcPr>
                <w:p w14:paraId="79E71EAE">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134</w:t>
                  </w:r>
                </w:p>
              </w:tc>
              <w:tc>
                <w:tcPr>
                  <w:tcW w:w="557" w:type="dxa"/>
                  <w:tcBorders>
                    <w:tl2br w:val="nil"/>
                    <w:tr2bl w:val="nil"/>
                  </w:tcBorders>
                  <w:vAlign w:val="center"/>
                </w:tcPr>
                <w:p w14:paraId="051C51F4">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w:t>
                  </w:r>
                </w:p>
              </w:tc>
            </w:tr>
            <w:tr w14:paraId="35E4C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46C09B3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390FFB7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92" w:type="dxa"/>
                  <w:tcBorders>
                    <w:tl2br w:val="nil"/>
                    <w:tr2bl w:val="nil"/>
                  </w:tcBorders>
                  <w:vAlign w:val="center"/>
                </w:tcPr>
                <w:p w14:paraId="19209EBF">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5FABF79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16AD9271">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6ACD005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123</w:t>
                  </w:r>
                </w:p>
              </w:tc>
              <w:tc>
                <w:tcPr>
                  <w:tcW w:w="672" w:type="dxa"/>
                  <w:tcBorders>
                    <w:tl2br w:val="nil"/>
                    <w:tr2bl w:val="nil"/>
                  </w:tcBorders>
                  <w:vAlign w:val="center"/>
                </w:tcPr>
                <w:p w14:paraId="5F5E7020">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02FCFDFB">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17</w:t>
                  </w:r>
                </w:p>
              </w:tc>
            </w:tr>
            <w:tr w14:paraId="1D78A0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61C51F85">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066A5E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92" w:type="dxa"/>
                  <w:tcBorders>
                    <w:tl2br w:val="nil"/>
                    <w:tr2bl w:val="nil"/>
                  </w:tcBorders>
                  <w:vAlign w:val="center"/>
                </w:tcPr>
                <w:p w14:paraId="0BC889C2">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68</w:t>
                  </w:r>
                </w:p>
              </w:tc>
              <w:tc>
                <w:tcPr>
                  <w:tcW w:w="776" w:type="dxa"/>
                  <w:tcBorders>
                    <w:tl2br w:val="nil"/>
                    <w:tr2bl w:val="nil"/>
                  </w:tcBorders>
                  <w:vAlign w:val="center"/>
                </w:tcPr>
                <w:p w14:paraId="73504C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4</w:t>
                  </w:r>
                </w:p>
              </w:tc>
              <w:tc>
                <w:tcPr>
                  <w:tcW w:w="669" w:type="dxa"/>
                  <w:tcBorders>
                    <w:tl2br w:val="nil"/>
                    <w:tr2bl w:val="nil"/>
                  </w:tcBorders>
                  <w:vAlign w:val="center"/>
                </w:tcPr>
                <w:p w14:paraId="32305FF5">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147</w:t>
                  </w:r>
                </w:p>
              </w:tc>
              <w:tc>
                <w:tcPr>
                  <w:tcW w:w="654" w:type="dxa"/>
                  <w:tcBorders>
                    <w:tl2br w:val="nil"/>
                    <w:tr2bl w:val="nil"/>
                  </w:tcBorders>
                  <w:vAlign w:val="center"/>
                </w:tcPr>
                <w:p w14:paraId="4BDF80A8">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130</w:t>
                  </w:r>
                </w:p>
              </w:tc>
              <w:tc>
                <w:tcPr>
                  <w:tcW w:w="672" w:type="dxa"/>
                  <w:tcBorders>
                    <w:tl2br w:val="nil"/>
                    <w:tr2bl w:val="nil"/>
                  </w:tcBorders>
                  <w:vAlign w:val="center"/>
                </w:tcPr>
                <w:p w14:paraId="0BD0F8BE">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61</w:t>
                  </w:r>
                </w:p>
              </w:tc>
              <w:tc>
                <w:tcPr>
                  <w:tcW w:w="557" w:type="dxa"/>
                  <w:tcBorders>
                    <w:tl2br w:val="nil"/>
                    <w:tr2bl w:val="nil"/>
                  </w:tcBorders>
                  <w:vAlign w:val="center"/>
                </w:tcPr>
                <w:p w14:paraId="1C32F9C6">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10</w:t>
                  </w:r>
                </w:p>
              </w:tc>
            </w:tr>
            <w:tr w14:paraId="4099A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3F8FBBF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3CC3E0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破碎机</w:t>
                  </w:r>
                </w:p>
              </w:tc>
              <w:tc>
                <w:tcPr>
                  <w:tcW w:w="1292" w:type="dxa"/>
                  <w:tcBorders>
                    <w:tl2br w:val="nil"/>
                    <w:tr2bl w:val="nil"/>
                  </w:tcBorders>
                  <w:vAlign w:val="center"/>
                </w:tcPr>
                <w:p w14:paraId="127870B3">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1C09C3C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16789045">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430D022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137</w:t>
                  </w:r>
                </w:p>
              </w:tc>
              <w:tc>
                <w:tcPr>
                  <w:tcW w:w="672" w:type="dxa"/>
                  <w:tcBorders>
                    <w:tl2br w:val="nil"/>
                    <w:tr2bl w:val="nil"/>
                  </w:tcBorders>
                  <w:vAlign w:val="center"/>
                </w:tcPr>
                <w:p w14:paraId="19ACD401">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0357ADA1">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3</w:t>
                  </w:r>
                </w:p>
              </w:tc>
            </w:tr>
            <w:tr w14:paraId="08B32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61C4DB3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07DC4B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球磨机</w:t>
                  </w:r>
                </w:p>
              </w:tc>
              <w:tc>
                <w:tcPr>
                  <w:tcW w:w="1292" w:type="dxa"/>
                  <w:tcBorders>
                    <w:tl2br w:val="nil"/>
                    <w:tr2bl w:val="nil"/>
                  </w:tcBorders>
                  <w:vAlign w:val="center"/>
                </w:tcPr>
                <w:p w14:paraId="31F5FEB5">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1BE197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2826E8BA">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7154CE7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136</w:t>
                  </w:r>
                </w:p>
              </w:tc>
              <w:tc>
                <w:tcPr>
                  <w:tcW w:w="672" w:type="dxa"/>
                  <w:tcBorders>
                    <w:tl2br w:val="nil"/>
                    <w:tr2bl w:val="nil"/>
                  </w:tcBorders>
                  <w:vAlign w:val="center"/>
                </w:tcPr>
                <w:p w14:paraId="7CBACAF7">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5B4DFCEB">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w:t>
                  </w:r>
                </w:p>
              </w:tc>
            </w:tr>
            <w:tr w14:paraId="4E300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6169EBE0">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3C0480B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分级机</w:t>
                  </w:r>
                </w:p>
              </w:tc>
              <w:tc>
                <w:tcPr>
                  <w:tcW w:w="1292" w:type="dxa"/>
                  <w:tcBorders>
                    <w:tl2br w:val="nil"/>
                    <w:tr2bl w:val="nil"/>
                  </w:tcBorders>
                  <w:vAlign w:val="center"/>
                </w:tcPr>
                <w:p w14:paraId="6BD3A3CD">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80</w:t>
                  </w:r>
                </w:p>
              </w:tc>
              <w:tc>
                <w:tcPr>
                  <w:tcW w:w="776" w:type="dxa"/>
                  <w:tcBorders>
                    <w:tl2br w:val="nil"/>
                    <w:tr2bl w:val="nil"/>
                  </w:tcBorders>
                  <w:vAlign w:val="center"/>
                </w:tcPr>
                <w:p w14:paraId="7A98324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0465C46B">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0C6D7D8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134</w:t>
                  </w:r>
                </w:p>
              </w:tc>
              <w:tc>
                <w:tcPr>
                  <w:tcW w:w="672" w:type="dxa"/>
                  <w:tcBorders>
                    <w:tl2br w:val="nil"/>
                    <w:tr2bl w:val="nil"/>
                  </w:tcBorders>
                  <w:vAlign w:val="center"/>
                </w:tcPr>
                <w:p w14:paraId="4BFAA20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480EC4B5">
                  <w:pPr>
                    <w:pStyle w:val="15"/>
                    <w:jc w:val="center"/>
                    <w:rPr>
                      <w:rFonts w:hint="eastAsia" w:ascii="Times New Roman" w:hAnsi="Times New Roman" w:eastAsia="宋体" w:cs="Times New Roman"/>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6</w:t>
                  </w:r>
                </w:p>
              </w:tc>
            </w:tr>
          </w:tbl>
          <w:p w14:paraId="163A3F26">
            <w:pPr>
              <w:pStyle w:val="47"/>
              <w:spacing w:line="360" w:lineRule="auto"/>
              <w:ind w:firstLine="560"/>
              <w:jc w:val="left"/>
              <w:rPr>
                <w:rFonts w:hint="default" w:ascii="Times New Roman" w:hAnsi="Times New Roman" w:eastAsia="宋体" w:cs="Times New Roman"/>
                <w:b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s="Times New Roman"/>
                <w:b w:val="0"/>
                <w:color w:val="000000" w:themeColor="text1"/>
                <w:spacing w:val="0"/>
                <w:w w:val="100"/>
                <w:position w:val="0"/>
                <w:sz w:val="24"/>
                <w:szCs w:val="24"/>
                <w:highlight w:val="none"/>
                <w14:textFill>
                  <w14:solidFill>
                    <w14:schemeClr w14:val="tx1"/>
                  </w14:solidFill>
                </w14:textFill>
              </w:rPr>
              <w:t>产噪设备加设减振基础或减振垫等措施后，噪声能降低噪声级15dB(A)，结合距离衰减，项目各设备噪声源同时运行时对厂界噪声贡献值见</w:t>
            </w:r>
            <w:r>
              <w:rPr>
                <w:rFonts w:hint="eastAsia" w:eastAsia="宋体" w:cs="Times New Roman"/>
                <w:b w:val="0"/>
                <w:color w:val="000000" w:themeColor="text1"/>
                <w:spacing w:val="0"/>
                <w:w w:val="100"/>
                <w:position w:val="0"/>
                <w:sz w:val="24"/>
                <w:szCs w:val="24"/>
                <w:highlight w:val="none"/>
                <w:lang w:val="en-US" w:eastAsia="zh-CN"/>
                <w14:textFill>
                  <w14:solidFill>
                    <w14:schemeClr w14:val="tx1"/>
                  </w14:solidFill>
                </w14:textFill>
              </w:rPr>
              <w:t>下表</w:t>
            </w:r>
            <w:r>
              <w:rPr>
                <w:rFonts w:hint="default" w:ascii="Times New Roman" w:hAnsi="Times New Roman" w:eastAsia="宋体" w:cs="Times New Roman"/>
                <w:b w:val="0"/>
                <w:color w:val="000000" w:themeColor="text1"/>
                <w:spacing w:val="0"/>
                <w:w w:val="100"/>
                <w:position w:val="0"/>
                <w:sz w:val="24"/>
                <w:szCs w:val="24"/>
                <w:highlight w:val="none"/>
                <w14:textFill>
                  <w14:solidFill>
                    <w14:schemeClr w14:val="tx1"/>
                  </w14:solidFill>
                </w14:textFill>
              </w:rPr>
              <w:t>。</w:t>
            </w:r>
          </w:p>
          <w:p w14:paraId="6E842AE4">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表4-1</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一期工程</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距离衰减对各预测点的影响表    单位：dB(A)</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74"/>
              <w:gridCol w:w="1213"/>
              <w:gridCol w:w="655"/>
              <w:gridCol w:w="886"/>
              <w:gridCol w:w="955"/>
              <w:gridCol w:w="873"/>
              <w:gridCol w:w="901"/>
            </w:tblGrid>
            <w:tr w14:paraId="44B4E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644" w:type="dxa"/>
                  <w:tcBorders>
                    <w:bottom w:val="single" w:color="auto" w:sz="12" w:space="0"/>
                  </w:tcBorders>
                  <w:vAlign w:val="center"/>
                </w:tcPr>
                <w:p w14:paraId="0F50363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174" w:type="dxa"/>
                  <w:tcBorders>
                    <w:bottom w:val="single" w:color="auto" w:sz="12" w:space="0"/>
                  </w:tcBorders>
                  <w:vAlign w:val="center"/>
                </w:tcPr>
                <w:p w14:paraId="2CB7BF2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13" w:type="dxa"/>
                  <w:tcBorders>
                    <w:bottom w:val="single" w:color="auto" w:sz="12" w:space="0"/>
                  </w:tcBorders>
                  <w:vAlign w:val="center"/>
                </w:tcPr>
                <w:p w14:paraId="0CB5707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降噪后声级［dB(A)］</w:t>
                  </w:r>
                </w:p>
              </w:tc>
              <w:tc>
                <w:tcPr>
                  <w:tcW w:w="655" w:type="dxa"/>
                  <w:tcBorders>
                    <w:bottom w:val="single" w:color="auto" w:sz="12" w:space="0"/>
                  </w:tcBorders>
                  <w:vAlign w:val="center"/>
                </w:tcPr>
                <w:p w14:paraId="7172B9E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w:t>
                  </w:r>
                </w:p>
              </w:tc>
              <w:tc>
                <w:tcPr>
                  <w:tcW w:w="886" w:type="dxa"/>
                  <w:tcBorders>
                    <w:bottom w:val="single" w:color="auto" w:sz="12" w:space="0"/>
                  </w:tcBorders>
                  <w:vAlign w:val="center"/>
                </w:tcPr>
                <w:p w14:paraId="12A5DCEC">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厂界东</w:t>
                  </w:r>
                </w:p>
              </w:tc>
              <w:tc>
                <w:tcPr>
                  <w:tcW w:w="955" w:type="dxa"/>
                  <w:tcBorders>
                    <w:bottom w:val="single" w:color="auto" w:sz="12" w:space="0"/>
                  </w:tcBorders>
                  <w:vAlign w:val="center"/>
                </w:tcPr>
                <w:p w14:paraId="14D552FA">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厂界南</w:t>
                  </w:r>
                </w:p>
              </w:tc>
              <w:tc>
                <w:tcPr>
                  <w:tcW w:w="873" w:type="dxa"/>
                  <w:tcBorders>
                    <w:bottom w:val="single" w:color="auto" w:sz="12" w:space="0"/>
                  </w:tcBorders>
                  <w:vAlign w:val="center"/>
                </w:tcPr>
                <w:p w14:paraId="311CB33A">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厂界西</w:t>
                  </w:r>
                </w:p>
              </w:tc>
              <w:tc>
                <w:tcPr>
                  <w:tcW w:w="901" w:type="dxa"/>
                  <w:tcBorders>
                    <w:bottom w:val="single" w:color="auto" w:sz="12" w:space="0"/>
                  </w:tcBorders>
                  <w:vAlign w:val="center"/>
                </w:tcPr>
                <w:p w14:paraId="08722490">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厂界北</w:t>
                  </w:r>
                </w:p>
              </w:tc>
            </w:tr>
            <w:tr w14:paraId="204DF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restart"/>
                  <w:tcBorders>
                    <w:top w:val="single" w:color="auto" w:sz="12" w:space="0"/>
                  </w:tcBorders>
                  <w:vAlign w:val="center"/>
                </w:tcPr>
                <w:p w14:paraId="744AC8A4">
                  <w:pPr>
                    <w:widowControl/>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生产车间</w:t>
                  </w:r>
                </w:p>
              </w:tc>
              <w:tc>
                <w:tcPr>
                  <w:tcW w:w="1174" w:type="dxa"/>
                  <w:tcBorders>
                    <w:top w:val="single" w:color="auto" w:sz="12" w:space="0"/>
                    <w:bottom w:val="single" w:color="auto" w:sz="4" w:space="0"/>
                  </w:tcBorders>
                  <w:vAlign w:val="center"/>
                </w:tcPr>
                <w:p w14:paraId="4AFF59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1213" w:type="dxa"/>
                  <w:tcBorders>
                    <w:top w:val="single" w:color="auto" w:sz="12" w:space="0"/>
                    <w:bottom w:val="single" w:color="auto" w:sz="4" w:space="0"/>
                  </w:tcBorders>
                  <w:vAlign w:val="center"/>
                </w:tcPr>
                <w:p w14:paraId="256336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60</w:t>
                  </w:r>
                </w:p>
              </w:tc>
              <w:tc>
                <w:tcPr>
                  <w:tcW w:w="655" w:type="dxa"/>
                  <w:tcBorders>
                    <w:top w:val="single" w:color="auto" w:sz="12" w:space="0"/>
                    <w:bottom w:val="single" w:color="auto" w:sz="4" w:space="0"/>
                  </w:tcBorders>
                  <w:vAlign w:val="center"/>
                </w:tcPr>
                <w:p w14:paraId="37B84F1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12" w:space="0"/>
                    <w:bottom w:val="single" w:color="auto" w:sz="4" w:space="0"/>
                  </w:tcBorders>
                  <w:vAlign w:val="center"/>
                </w:tcPr>
                <w:p w14:paraId="7353AD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15.5</w:t>
                  </w:r>
                </w:p>
              </w:tc>
              <w:tc>
                <w:tcPr>
                  <w:tcW w:w="955" w:type="dxa"/>
                  <w:tcBorders>
                    <w:top w:val="single" w:color="auto" w:sz="12" w:space="0"/>
                    <w:bottom w:val="single" w:color="auto" w:sz="4" w:space="0"/>
                  </w:tcBorders>
                  <w:vAlign w:val="center"/>
                </w:tcPr>
                <w:p w14:paraId="76B6F1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17.2</w:t>
                  </w:r>
                </w:p>
              </w:tc>
              <w:tc>
                <w:tcPr>
                  <w:tcW w:w="873" w:type="dxa"/>
                  <w:tcBorders>
                    <w:top w:val="single" w:color="auto" w:sz="12" w:space="0"/>
                    <w:bottom w:val="single" w:color="auto" w:sz="4" w:space="0"/>
                  </w:tcBorders>
                  <w:vAlign w:val="center"/>
                </w:tcPr>
                <w:p w14:paraId="0B28D4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28</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c>
                <w:tcPr>
                  <w:tcW w:w="901" w:type="dxa"/>
                  <w:tcBorders>
                    <w:top w:val="single" w:color="auto" w:sz="12" w:space="0"/>
                    <w:bottom w:val="single" w:color="auto" w:sz="4" w:space="0"/>
                  </w:tcBorders>
                  <w:vAlign w:val="center"/>
                </w:tcPr>
                <w:p w14:paraId="7F72DA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54</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30FA5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5BBBAC63">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0D2688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13" w:type="dxa"/>
                  <w:tcBorders>
                    <w:top w:val="single" w:color="auto" w:sz="4" w:space="0"/>
                    <w:bottom w:val="single" w:color="auto" w:sz="4" w:space="0"/>
                  </w:tcBorders>
                  <w:vAlign w:val="center"/>
                </w:tcPr>
                <w:p w14:paraId="293E8A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55</w:t>
                  </w:r>
                </w:p>
              </w:tc>
              <w:tc>
                <w:tcPr>
                  <w:tcW w:w="655" w:type="dxa"/>
                  <w:tcBorders>
                    <w:top w:val="single" w:color="auto" w:sz="4" w:space="0"/>
                    <w:bottom w:val="single" w:color="auto" w:sz="4" w:space="0"/>
                  </w:tcBorders>
                  <w:vAlign w:val="center"/>
                </w:tcPr>
                <w:p w14:paraId="5524BC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w:t>
                  </w:r>
                </w:p>
              </w:tc>
              <w:tc>
                <w:tcPr>
                  <w:tcW w:w="886" w:type="dxa"/>
                  <w:tcBorders>
                    <w:top w:val="single" w:color="auto" w:sz="4" w:space="0"/>
                    <w:bottom w:val="single" w:color="auto" w:sz="4" w:space="0"/>
                  </w:tcBorders>
                  <w:vAlign w:val="center"/>
                </w:tcPr>
                <w:p w14:paraId="678A34A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13.7</w:t>
                  </w:r>
                </w:p>
              </w:tc>
              <w:tc>
                <w:tcPr>
                  <w:tcW w:w="955" w:type="dxa"/>
                  <w:tcBorders>
                    <w:top w:val="single" w:color="auto" w:sz="4" w:space="0"/>
                    <w:bottom w:val="single" w:color="auto" w:sz="4" w:space="0"/>
                  </w:tcBorders>
                  <w:vAlign w:val="center"/>
                </w:tcPr>
                <w:p w14:paraId="48FEAF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15.2</w:t>
                  </w:r>
                </w:p>
              </w:tc>
              <w:tc>
                <w:tcPr>
                  <w:tcW w:w="873" w:type="dxa"/>
                  <w:tcBorders>
                    <w:top w:val="single" w:color="auto" w:sz="4" w:space="0"/>
                    <w:bottom w:val="single" w:color="auto" w:sz="4" w:space="0"/>
                  </w:tcBorders>
                  <w:vAlign w:val="center"/>
                </w:tcPr>
                <w:p w14:paraId="32A85AD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25.1</w:t>
                  </w:r>
                </w:p>
              </w:tc>
              <w:tc>
                <w:tcPr>
                  <w:tcW w:w="901" w:type="dxa"/>
                  <w:tcBorders>
                    <w:top w:val="single" w:color="auto" w:sz="4" w:space="0"/>
                    <w:bottom w:val="single" w:color="auto" w:sz="4" w:space="0"/>
                  </w:tcBorders>
                  <w:vAlign w:val="center"/>
                </w:tcPr>
                <w:p w14:paraId="7CBD793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52</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652E9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1F86DA98">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464D4A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13" w:type="dxa"/>
                  <w:tcBorders>
                    <w:top w:val="single" w:color="auto" w:sz="4" w:space="0"/>
                    <w:bottom w:val="single" w:color="auto" w:sz="4" w:space="0"/>
                  </w:tcBorders>
                  <w:vAlign w:val="center"/>
                </w:tcPr>
                <w:p w14:paraId="1FC49A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w:t>
                  </w:r>
                </w:p>
              </w:tc>
              <w:tc>
                <w:tcPr>
                  <w:tcW w:w="655" w:type="dxa"/>
                  <w:tcBorders>
                    <w:top w:val="single" w:color="auto" w:sz="4" w:space="0"/>
                    <w:bottom w:val="single" w:color="auto" w:sz="4" w:space="0"/>
                  </w:tcBorders>
                  <w:vAlign w:val="center"/>
                </w:tcPr>
                <w:p w14:paraId="0EF0CB0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w:t>
                  </w:r>
                </w:p>
              </w:tc>
              <w:tc>
                <w:tcPr>
                  <w:tcW w:w="886" w:type="dxa"/>
                  <w:tcBorders>
                    <w:top w:val="single" w:color="auto" w:sz="4" w:space="0"/>
                    <w:bottom w:val="single" w:color="auto" w:sz="4" w:space="0"/>
                  </w:tcBorders>
                  <w:vAlign w:val="center"/>
                </w:tcPr>
                <w:p w14:paraId="5F7115F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11.6</w:t>
                  </w:r>
                </w:p>
              </w:tc>
              <w:tc>
                <w:tcPr>
                  <w:tcW w:w="955" w:type="dxa"/>
                  <w:tcBorders>
                    <w:top w:val="single" w:color="auto" w:sz="4" w:space="0"/>
                    <w:bottom w:val="single" w:color="auto" w:sz="4" w:space="0"/>
                  </w:tcBorders>
                  <w:vAlign w:val="center"/>
                </w:tcPr>
                <w:p w14:paraId="20532C3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w:t>
                  </w:r>
                </w:p>
              </w:tc>
              <w:tc>
                <w:tcPr>
                  <w:tcW w:w="873" w:type="dxa"/>
                  <w:tcBorders>
                    <w:top w:val="single" w:color="auto" w:sz="4" w:space="0"/>
                    <w:bottom w:val="single" w:color="auto" w:sz="4" w:space="0"/>
                  </w:tcBorders>
                  <w:vAlign w:val="center"/>
                </w:tcPr>
                <w:p w14:paraId="28EF35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6.5</w:t>
                  </w:r>
                </w:p>
              </w:tc>
              <w:tc>
                <w:tcPr>
                  <w:tcW w:w="901" w:type="dxa"/>
                  <w:tcBorders>
                    <w:top w:val="single" w:color="auto" w:sz="4" w:space="0"/>
                    <w:bottom w:val="single" w:color="auto" w:sz="4" w:space="0"/>
                  </w:tcBorders>
                  <w:vAlign w:val="center"/>
                </w:tcPr>
                <w:p w14:paraId="5C95100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26.7</w:t>
                  </w:r>
                </w:p>
              </w:tc>
            </w:tr>
            <w:tr w14:paraId="4D7BB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5C77DA71">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419549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13" w:type="dxa"/>
                  <w:tcBorders>
                    <w:top w:val="single" w:color="auto" w:sz="4" w:space="0"/>
                    <w:bottom w:val="single" w:color="auto" w:sz="4" w:space="0"/>
                  </w:tcBorders>
                  <w:vAlign w:val="center"/>
                </w:tcPr>
                <w:p w14:paraId="214505C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w:t>
                  </w:r>
                </w:p>
              </w:tc>
              <w:tc>
                <w:tcPr>
                  <w:tcW w:w="655" w:type="dxa"/>
                  <w:tcBorders>
                    <w:top w:val="single" w:color="auto" w:sz="4" w:space="0"/>
                    <w:bottom w:val="single" w:color="auto" w:sz="4" w:space="0"/>
                  </w:tcBorders>
                  <w:vAlign w:val="center"/>
                </w:tcPr>
                <w:p w14:paraId="5C6034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71657F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24.7</w:t>
                  </w:r>
                </w:p>
              </w:tc>
              <w:tc>
                <w:tcPr>
                  <w:tcW w:w="955" w:type="dxa"/>
                  <w:tcBorders>
                    <w:top w:val="single" w:color="auto" w:sz="4" w:space="0"/>
                    <w:bottom w:val="single" w:color="auto" w:sz="4" w:space="0"/>
                  </w:tcBorders>
                  <w:vAlign w:val="center"/>
                </w:tcPr>
                <w:p w14:paraId="0528558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27.2</w:t>
                  </w:r>
                </w:p>
              </w:tc>
              <w:tc>
                <w:tcPr>
                  <w:tcW w:w="873" w:type="dxa"/>
                  <w:tcBorders>
                    <w:top w:val="single" w:color="auto" w:sz="4" w:space="0"/>
                    <w:bottom w:val="single" w:color="auto" w:sz="4" w:space="0"/>
                  </w:tcBorders>
                  <w:vAlign w:val="center"/>
                </w:tcPr>
                <w:p w14:paraId="74DE21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36.1</w:t>
                  </w:r>
                </w:p>
              </w:tc>
              <w:tc>
                <w:tcPr>
                  <w:tcW w:w="901" w:type="dxa"/>
                  <w:tcBorders>
                    <w:top w:val="single" w:color="auto" w:sz="4" w:space="0"/>
                    <w:bottom w:val="single" w:color="auto" w:sz="4" w:space="0"/>
                  </w:tcBorders>
                  <w:vAlign w:val="center"/>
                </w:tcPr>
                <w:p w14:paraId="75BBCA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44.4</w:t>
                  </w:r>
                </w:p>
              </w:tc>
            </w:tr>
            <w:tr w14:paraId="0BDC1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46D9D1D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65D6998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1213" w:type="dxa"/>
                  <w:tcBorders>
                    <w:top w:val="single" w:color="auto" w:sz="4" w:space="0"/>
                    <w:bottom w:val="single" w:color="auto" w:sz="4" w:space="0"/>
                  </w:tcBorders>
                  <w:vAlign w:val="center"/>
                </w:tcPr>
                <w:p w14:paraId="582A7BB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42</w:t>
                  </w:r>
                </w:p>
              </w:tc>
              <w:tc>
                <w:tcPr>
                  <w:tcW w:w="655" w:type="dxa"/>
                  <w:tcBorders>
                    <w:top w:val="single" w:color="auto" w:sz="4" w:space="0"/>
                    <w:bottom w:val="single" w:color="auto" w:sz="4" w:space="0"/>
                  </w:tcBorders>
                  <w:vAlign w:val="center"/>
                </w:tcPr>
                <w:p w14:paraId="60DAE1F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430B163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3.3</w:t>
                  </w:r>
                </w:p>
              </w:tc>
              <w:tc>
                <w:tcPr>
                  <w:tcW w:w="955" w:type="dxa"/>
                  <w:tcBorders>
                    <w:top w:val="single" w:color="auto" w:sz="4" w:space="0"/>
                    <w:bottom w:val="single" w:color="auto" w:sz="4" w:space="0"/>
                  </w:tcBorders>
                  <w:vAlign w:val="center"/>
                </w:tcPr>
                <w:p w14:paraId="380DCB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4.2</w:t>
                  </w:r>
                </w:p>
              </w:tc>
              <w:tc>
                <w:tcPr>
                  <w:tcW w:w="873" w:type="dxa"/>
                  <w:tcBorders>
                    <w:top w:val="single" w:color="auto" w:sz="4" w:space="0"/>
                    <w:bottom w:val="single" w:color="auto" w:sz="4" w:space="0"/>
                  </w:tcBorders>
                  <w:vAlign w:val="center"/>
                </w:tcPr>
                <w:p w14:paraId="52656D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12.2</w:t>
                  </w:r>
                </w:p>
              </w:tc>
              <w:tc>
                <w:tcPr>
                  <w:tcW w:w="901" w:type="dxa"/>
                  <w:tcBorders>
                    <w:top w:val="single" w:color="auto" w:sz="4" w:space="0"/>
                    <w:bottom w:val="single" w:color="auto" w:sz="4" w:space="0"/>
                  </w:tcBorders>
                  <w:vAlign w:val="center"/>
                </w:tcPr>
                <w:p w14:paraId="3EF613C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41</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06DFD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558AEB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12" w:space="0"/>
                  </w:tcBorders>
                  <w:vAlign w:val="center"/>
                </w:tcPr>
                <w:p w14:paraId="22738BD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13" w:type="dxa"/>
                  <w:tcBorders>
                    <w:top w:val="single" w:color="auto" w:sz="4" w:space="0"/>
                    <w:bottom w:val="single" w:color="auto" w:sz="12" w:space="0"/>
                  </w:tcBorders>
                  <w:vAlign w:val="center"/>
                </w:tcPr>
                <w:p w14:paraId="3098A8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40</w:t>
                  </w:r>
                </w:p>
              </w:tc>
              <w:tc>
                <w:tcPr>
                  <w:tcW w:w="655" w:type="dxa"/>
                  <w:tcBorders>
                    <w:top w:val="single" w:color="auto" w:sz="4" w:space="0"/>
                    <w:bottom w:val="single" w:color="auto" w:sz="12" w:space="0"/>
                  </w:tcBorders>
                  <w:vAlign w:val="center"/>
                </w:tcPr>
                <w:p w14:paraId="58AF4B9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w:t>
                  </w:r>
                </w:p>
              </w:tc>
              <w:tc>
                <w:tcPr>
                  <w:tcW w:w="886" w:type="dxa"/>
                  <w:tcBorders>
                    <w:top w:val="single" w:color="auto" w:sz="4" w:space="0"/>
                    <w:bottom w:val="single" w:color="auto" w:sz="12" w:space="0"/>
                  </w:tcBorders>
                  <w:vAlign w:val="center"/>
                </w:tcPr>
                <w:p w14:paraId="359ECA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1.7</w:t>
                  </w:r>
                </w:p>
              </w:tc>
              <w:tc>
                <w:tcPr>
                  <w:tcW w:w="955" w:type="dxa"/>
                  <w:tcBorders>
                    <w:top w:val="single" w:color="auto" w:sz="4" w:space="0"/>
                    <w:bottom w:val="single" w:color="auto" w:sz="12" w:space="0"/>
                  </w:tcBorders>
                  <w:vAlign w:val="center"/>
                </w:tcPr>
                <w:p w14:paraId="225444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2.7</w:t>
                  </w:r>
                </w:p>
              </w:tc>
              <w:tc>
                <w:tcPr>
                  <w:tcW w:w="873" w:type="dxa"/>
                  <w:tcBorders>
                    <w:top w:val="single" w:color="auto" w:sz="4" w:space="0"/>
                    <w:bottom w:val="single" w:color="auto" w:sz="12" w:space="0"/>
                  </w:tcBorders>
                  <w:vAlign w:val="center"/>
                </w:tcPr>
                <w:p w14:paraId="184ACD0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9.3</w:t>
                  </w:r>
                </w:p>
              </w:tc>
              <w:tc>
                <w:tcPr>
                  <w:tcW w:w="901" w:type="dxa"/>
                  <w:tcBorders>
                    <w:top w:val="single" w:color="auto" w:sz="4" w:space="0"/>
                    <w:bottom w:val="single" w:color="auto" w:sz="12" w:space="0"/>
                  </w:tcBorders>
                  <w:vAlign w:val="center"/>
                </w:tcPr>
                <w:p w14:paraId="790A1F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25</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bl>
          <w:p w14:paraId="797CC19F">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表4-1</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二期工程</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距离衰减对各预测点的影响表    单位：dB(A)</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74"/>
              <w:gridCol w:w="1213"/>
              <w:gridCol w:w="655"/>
              <w:gridCol w:w="886"/>
              <w:gridCol w:w="955"/>
              <w:gridCol w:w="873"/>
              <w:gridCol w:w="901"/>
            </w:tblGrid>
            <w:tr w14:paraId="0CEDC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644" w:type="dxa"/>
                  <w:tcBorders>
                    <w:bottom w:val="single" w:color="auto" w:sz="12" w:space="0"/>
                  </w:tcBorders>
                  <w:vAlign w:val="center"/>
                </w:tcPr>
                <w:p w14:paraId="30CF08E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174" w:type="dxa"/>
                  <w:tcBorders>
                    <w:bottom w:val="single" w:color="auto" w:sz="12" w:space="0"/>
                  </w:tcBorders>
                  <w:vAlign w:val="center"/>
                </w:tcPr>
                <w:p w14:paraId="6A82D46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13" w:type="dxa"/>
                  <w:tcBorders>
                    <w:bottom w:val="single" w:color="auto" w:sz="12" w:space="0"/>
                  </w:tcBorders>
                  <w:vAlign w:val="center"/>
                </w:tcPr>
                <w:p w14:paraId="0E5BFB09">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降噪后声级［dB(A)］</w:t>
                  </w:r>
                </w:p>
              </w:tc>
              <w:tc>
                <w:tcPr>
                  <w:tcW w:w="655" w:type="dxa"/>
                  <w:tcBorders>
                    <w:bottom w:val="single" w:color="auto" w:sz="12" w:space="0"/>
                  </w:tcBorders>
                  <w:vAlign w:val="center"/>
                </w:tcPr>
                <w:p w14:paraId="23F72BAE">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w:t>
                  </w:r>
                </w:p>
              </w:tc>
              <w:tc>
                <w:tcPr>
                  <w:tcW w:w="886" w:type="dxa"/>
                  <w:tcBorders>
                    <w:bottom w:val="single" w:color="auto" w:sz="12" w:space="0"/>
                  </w:tcBorders>
                  <w:vAlign w:val="center"/>
                </w:tcPr>
                <w:p w14:paraId="53D5423E">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厂界东</w:t>
                  </w:r>
                </w:p>
              </w:tc>
              <w:tc>
                <w:tcPr>
                  <w:tcW w:w="955" w:type="dxa"/>
                  <w:tcBorders>
                    <w:bottom w:val="single" w:color="auto" w:sz="12" w:space="0"/>
                  </w:tcBorders>
                  <w:vAlign w:val="center"/>
                </w:tcPr>
                <w:p w14:paraId="2190D7FC">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厂界南</w:t>
                  </w:r>
                </w:p>
              </w:tc>
              <w:tc>
                <w:tcPr>
                  <w:tcW w:w="873" w:type="dxa"/>
                  <w:tcBorders>
                    <w:bottom w:val="single" w:color="auto" w:sz="12" w:space="0"/>
                  </w:tcBorders>
                  <w:vAlign w:val="center"/>
                </w:tcPr>
                <w:p w14:paraId="700DE71D">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厂界西</w:t>
                  </w:r>
                </w:p>
              </w:tc>
              <w:tc>
                <w:tcPr>
                  <w:tcW w:w="901" w:type="dxa"/>
                  <w:tcBorders>
                    <w:bottom w:val="single" w:color="auto" w:sz="12" w:space="0"/>
                  </w:tcBorders>
                  <w:vAlign w:val="center"/>
                </w:tcPr>
                <w:p w14:paraId="0F6F5CB8">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厂界北</w:t>
                  </w:r>
                </w:p>
              </w:tc>
            </w:tr>
            <w:tr w14:paraId="1B5D4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restart"/>
                  <w:vAlign w:val="center"/>
                </w:tcPr>
                <w:p w14:paraId="1A12C7D2">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生产车间</w:t>
                  </w:r>
                </w:p>
              </w:tc>
              <w:tc>
                <w:tcPr>
                  <w:tcW w:w="1174" w:type="dxa"/>
                  <w:tcBorders>
                    <w:top w:val="single" w:color="auto" w:sz="4" w:space="0"/>
                    <w:bottom w:val="single" w:color="auto" w:sz="4" w:space="0"/>
                  </w:tcBorders>
                  <w:vAlign w:val="center"/>
                </w:tcPr>
                <w:p w14:paraId="6A44F6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13" w:type="dxa"/>
                  <w:tcBorders>
                    <w:top w:val="single" w:color="auto" w:sz="4" w:space="0"/>
                    <w:bottom w:val="single" w:color="auto" w:sz="4" w:space="0"/>
                  </w:tcBorders>
                  <w:vAlign w:val="center"/>
                </w:tcPr>
                <w:p w14:paraId="298EBAA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49</w:t>
                  </w:r>
                </w:p>
              </w:tc>
              <w:tc>
                <w:tcPr>
                  <w:tcW w:w="655" w:type="dxa"/>
                  <w:tcBorders>
                    <w:top w:val="single" w:color="auto" w:sz="4" w:space="0"/>
                    <w:bottom w:val="single" w:color="auto" w:sz="4" w:space="0"/>
                  </w:tcBorders>
                  <w:vAlign w:val="center"/>
                </w:tcPr>
                <w:p w14:paraId="630D33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w:t>
                  </w:r>
                </w:p>
              </w:tc>
              <w:tc>
                <w:tcPr>
                  <w:tcW w:w="886" w:type="dxa"/>
                  <w:tcBorders>
                    <w:top w:val="single" w:color="auto" w:sz="4" w:space="0"/>
                    <w:bottom w:val="single" w:color="auto" w:sz="4" w:space="0"/>
                  </w:tcBorders>
                  <w:vAlign w:val="center"/>
                </w:tcPr>
                <w:p w14:paraId="347E3B9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10.5</w:t>
                  </w:r>
                </w:p>
              </w:tc>
              <w:tc>
                <w:tcPr>
                  <w:tcW w:w="955" w:type="dxa"/>
                  <w:tcBorders>
                    <w:top w:val="single" w:color="auto" w:sz="4" w:space="0"/>
                    <w:bottom w:val="single" w:color="auto" w:sz="4" w:space="0"/>
                  </w:tcBorders>
                  <w:vAlign w:val="center"/>
                </w:tcPr>
                <w:p w14:paraId="789343F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12.2</w:t>
                  </w:r>
                </w:p>
              </w:tc>
              <w:tc>
                <w:tcPr>
                  <w:tcW w:w="873" w:type="dxa"/>
                  <w:tcBorders>
                    <w:top w:val="single" w:color="auto" w:sz="4" w:space="0"/>
                    <w:bottom w:val="single" w:color="auto" w:sz="4" w:space="0"/>
                  </w:tcBorders>
                  <w:vAlign w:val="center"/>
                </w:tcPr>
                <w:p w14:paraId="50D9DEA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23</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c>
                <w:tcPr>
                  <w:tcW w:w="901" w:type="dxa"/>
                  <w:tcBorders>
                    <w:top w:val="single" w:color="auto" w:sz="4" w:space="0"/>
                    <w:bottom w:val="single" w:color="auto" w:sz="4" w:space="0"/>
                  </w:tcBorders>
                  <w:vAlign w:val="center"/>
                </w:tcPr>
                <w:p w14:paraId="5305A0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49</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60EE1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E382022">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00C0337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13" w:type="dxa"/>
                  <w:tcBorders>
                    <w:top w:val="single" w:color="auto" w:sz="4" w:space="0"/>
                    <w:bottom w:val="single" w:color="auto" w:sz="4" w:space="0"/>
                  </w:tcBorders>
                  <w:vAlign w:val="center"/>
                </w:tcPr>
                <w:p w14:paraId="0976A28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w:t>
                  </w:r>
                </w:p>
              </w:tc>
              <w:tc>
                <w:tcPr>
                  <w:tcW w:w="655" w:type="dxa"/>
                  <w:tcBorders>
                    <w:top w:val="single" w:color="auto" w:sz="4" w:space="0"/>
                    <w:bottom w:val="single" w:color="auto" w:sz="4" w:space="0"/>
                  </w:tcBorders>
                  <w:vAlign w:val="center"/>
                </w:tcPr>
                <w:p w14:paraId="5FAA1F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w:t>
                  </w:r>
                </w:p>
              </w:tc>
              <w:tc>
                <w:tcPr>
                  <w:tcW w:w="886" w:type="dxa"/>
                  <w:tcBorders>
                    <w:top w:val="single" w:color="auto" w:sz="4" w:space="0"/>
                    <w:bottom w:val="single" w:color="auto" w:sz="4" w:space="0"/>
                  </w:tcBorders>
                  <w:vAlign w:val="center"/>
                </w:tcPr>
                <w:p w14:paraId="0BE51B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11.6</w:t>
                  </w:r>
                </w:p>
              </w:tc>
              <w:tc>
                <w:tcPr>
                  <w:tcW w:w="955" w:type="dxa"/>
                  <w:tcBorders>
                    <w:top w:val="single" w:color="auto" w:sz="4" w:space="0"/>
                    <w:bottom w:val="single" w:color="auto" w:sz="4" w:space="0"/>
                  </w:tcBorders>
                  <w:vAlign w:val="center"/>
                </w:tcPr>
                <w:p w14:paraId="7DDCC95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6.92</w:t>
                  </w:r>
                </w:p>
              </w:tc>
              <w:tc>
                <w:tcPr>
                  <w:tcW w:w="873" w:type="dxa"/>
                  <w:tcBorders>
                    <w:top w:val="single" w:color="auto" w:sz="4" w:space="0"/>
                    <w:bottom w:val="single" w:color="auto" w:sz="4" w:space="0"/>
                  </w:tcBorders>
                  <w:vAlign w:val="center"/>
                </w:tcPr>
                <w:p w14:paraId="63DD94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6.5</w:t>
                  </w:r>
                </w:p>
              </w:tc>
              <w:tc>
                <w:tcPr>
                  <w:tcW w:w="901" w:type="dxa"/>
                  <w:tcBorders>
                    <w:top w:val="single" w:color="auto" w:sz="4" w:space="0"/>
                    <w:bottom w:val="single" w:color="auto" w:sz="4" w:space="0"/>
                  </w:tcBorders>
                  <w:vAlign w:val="center"/>
                </w:tcPr>
                <w:p w14:paraId="75DB91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26.7</w:t>
                  </w:r>
                </w:p>
              </w:tc>
            </w:tr>
            <w:tr w14:paraId="65BFF0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6585931">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614D0C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13" w:type="dxa"/>
                  <w:tcBorders>
                    <w:top w:val="single" w:color="auto" w:sz="4" w:space="0"/>
                    <w:bottom w:val="single" w:color="auto" w:sz="4" w:space="0"/>
                  </w:tcBorders>
                  <w:vAlign w:val="center"/>
                </w:tcPr>
                <w:p w14:paraId="33D024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w:t>
                  </w:r>
                </w:p>
              </w:tc>
              <w:tc>
                <w:tcPr>
                  <w:tcW w:w="655" w:type="dxa"/>
                  <w:tcBorders>
                    <w:top w:val="single" w:color="auto" w:sz="4" w:space="0"/>
                    <w:bottom w:val="single" w:color="auto" w:sz="4" w:space="0"/>
                  </w:tcBorders>
                  <w:vAlign w:val="center"/>
                </w:tcPr>
                <w:p w14:paraId="64253CE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31E573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4.7</w:t>
                  </w:r>
                </w:p>
              </w:tc>
              <w:tc>
                <w:tcPr>
                  <w:tcW w:w="955" w:type="dxa"/>
                  <w:tcBorders>
                    <w:top w:val="single" w:color="auto" w:sz="4" w:space="0"/>
                    <w:bottom w:val="single" w:color="auto" w:sz="4" w:space="0"/>
                  </w:tcBorders>
                  <w:vAlign w:val="center"/>
                </w:tcPr>
                <w:p w14:paraId="688B7BA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7.2</w:t>
                  </w:r>
                </w:p>
              </w:tc>
              <w:tc>
                <w:tcPr>
                  <w:tcW w:w="873" w:type="dxa"/>
                  <w:tcBorders>
                    <w:top w:val="single" w:color="auto" w:sz="4" w:space="0"/>
                    <w:bottom w:val="single" w:color="auto" w:sz="4" w:space="0"/>
                  </w:tcBorders>
                  <w:vAlign w:val="center"/>
                </w:tcPr>
                <w:p w14:paraId="05E001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36.1</w:t>
                  </w:r>
                </w:p>
              </w:tc>
              <w:tc>
                <w:tcPr>
                  <w:tcW w:w="901" w:type="dxa"/>
                  <w:tcBorders>
                    <w:top w:val="single" w:color="auto" w:sz="4" w:space="0"/>
                    <w:bottom w:val="single" w:color="auto" w:sz="4" w:space="0"/>
                  </w:tcBorders>
                  <w:vAlign w:val="center"/>
                </w:tcPr>
                <w:p w14:paraId="35C6C01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44.4</w:t>
                  </w:r>
                </w:p>
              </w:tc>
            </w:tr>
            <w:tr w14:paraId="41660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0CA9F3A">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3D750B0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13" w:type="dxa"/>
                  <w:tcBorders>
                    <w:top w:val="single" w:color="auto" w:sz="4" w:space="0"/>
                    <w:bottom w:val="single" w:color="auto" w:sz="4" w:space="0"/>
                  </w:tcBorders>
                  <w:vAlign w:val="center"/>
                </w:tcPr>
                <w:p w14:paraId="05CB2A2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40</w:t>
                  </w:r>
                </w:p>
              </w:tc>
              <w:tc>
                <w:tcPr>
                  <w:tcW w:w="655" w:type="dxa"/>
                  <w:tcBorders>
                    <w:top w:val="single" w:color="auto" w:sz="4" w:space="0"/>
                    <w:bottom w:val="single" w:color="auto" w:sz="4" w:space="0"/>
                  </w:tcBorders>
                  <w:vAlign w:val="center"/>
                </w:tcPr>
                <w:p w14:paraId="17D26B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w:t>
                  </w:r>
                </w:p>
              </w:tc>
              <w:tc>
                <w:tcPr>
                  <w:tcW w:w="886" w:type="dxa"/>
                  <w:tcBorders>
                    <w:top w:val="single" w:color="auto" w:sz="4" w:space="0"/>
                    <w:bottom w:val="single" w:color="auto" w:sz="4" w:space="0"/>
                  </w:tcBorders>
                  <w:vAlign w:val="center"/>
                </w:tcPr>
                <w:p w14:paraId="587FE5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1.7</w:t>
                  </w:r>
                </w:p>
              </w:tc>
              <w:tc>
                <w:tcPr>
                  <w:tcW w:w="955" w:type="dxa"/>
                  <w:tcBorders>
                    <w:top w:val="single" w:color="auto" w:sz="4" w:space="0"/>
                    <w:bottom w:val="single" w:color="auto" w:sz="4" w:space="0"/>
                  </w:tcBorders>
                  <w:vAlign w:val="center"/>
                </w:tcPr>
                <w:p w14:paraId="3D2D7FE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2.7</w:t>
                  </w:r>
                </w:p>
              </w:tc>
              <w:tc>
                <w:tcPr>
                  <w:tcW w:w="873" w:type="dxa"/>
                  <w:tcBorders>
                    <w:top w:val="single" w:color="auto" w:sz="4" w:space="0"/>
                    <w:bottom w:val="single" w:color="auto" w:sz="4" w:space="0"/>
                  </w:tcBorders>
                  <w:vAlign w:val="center"/>
                </w:tcPr>
                <w:p w14:paraId="0E6B2E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9.3</w:t>
                  </w:r>
                </w:p>
              </w:tc>
              <w:tc>
                <w:tcPr>
                  <w:tcW w:w="901" w:type="dxa"/>
                  <w:tcBorders>
                    <w:top w:val="single" w:color="auto" w:sz="4" w:space="0"/>
                    <w:bottom w:val="single" w:color="auto" w:sz="4" w:space="0"/>
                  </w:tcBorders>
                  <w:vAlign w:val="center"/>
                </w:tcPr>
                <w:p w14:paraId="2028BA8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25</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663082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160852C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6967F37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破碎机</w:t>
                  </w:r>
                </w:p>
              </w:tc>
              <w:tc>
                <w:tcPr>
                  <w:tcW w:w="1213" w:type="dxa"/>
                  <w:tcBorders>
                    <w:top w:val="single" w:color="auto" w:sz="4" w:space="0"/>
                    <w:bottom w:val="single" w:color="auto" w:sz="4" w:space="0"/>
                  </w:tcBorders>
                  <w:vAlign w:val="center"/>
                </w:tcPr>
                <w:p w14:paraId="0D0F3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75</w:t>
                  </w:r>
                </w:p>
              </w:tc>
              <w:tc>
                <w:tcPr>
                  <w:tcW w:w="655" w:type="dxa"/>
                  <w:tcBorders>
                    <w:top w:val="single" w:color="auto" w:sz="4" w:space="0"/>
                    <w:bottom w:val="single" w:color="auto" w:sz="4" w:space="0"/>
                  </w:tcBorders>
                  <w:vAlign w:val="center"/>
                </w:tcPr>
                <w:p w14:paraId="43D06B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3B6E6D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24.7</w:t>
                  </w:r>
                </w:p>
              </w:tc>
              <w:tc>
                <w:tcPr>
                  <w:tcW w:w="955" w:type="dxa"/>
                  <w:tcBorders>
                    <w:top w:val="single" w:color="auto" w:sz="4" w:space="0"/>
                    <w:bottom w:val="single" w:color="auto" w:sz="4" w:space="0"/>
                  </w:tcBorders>
                  <w:vAlign w:val="center"/>
                </w:tcPr>
                <w:p w14:paraId="761D4B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26.2</w:t>
                  </w:r>
                </w:p>
              </w:tc>
              <w:tc>
                <w:tcPr>
                  <w:tcW w:w="873" w:type="dxa"/>
                  <w:tcBorders>
                    <w:top w:val="single" w:color="auto" w:sz="4" w:space="0"/>
                    <w:bottom w:val="single" w:color="auto" w:sz="4" w:space="0"/>
                  </w:tcBorders>
                  <w:vAlign w:val="center"/>
                </w:tcPr>
                <w:p w14:paraId="621F8AF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36.1</w:t>
                  </w:r>
                </w:p>
              </w:tc>
              <w:tc>
                <w:tcPr>
                  <w:tcW w:w="901" w:type="dxa"/>
                  <w:tcBorders>
                    <w:top w:val="single" w:color="auto" w:sz="4" w:space="0"/>
                    <w:bottom w:val="single" w:color="auto" w:sz="4" w:space="0"/>
                  </w:tcBorders>
                  <w:vAlign w:val="center"/>
                </w:tcPr>
                <w:p w14:paraId="60236A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59.5</w:t>
                  </w:r>
                </w:p>
              </w:tc>
            </w:tr>
            <w:tr w14:paraId="151AF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6A546FD3">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015786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球磨机</w:t>
                  </w:r>
                </w:p>
              </w:tc>
              <w:tc>
                <w:tcPr>
                  <w:tcW w:w="1213" w:type="dxa"/>
                  <w:tcBorders>
                    <w:top w:val="single" w:color="auto" w:sz="4" w:space="0"/>
                    <w:bottom w:val="single" w:color="auto" w:sz="4" w:space="0"/>
                  </w:tcBorders>
                  <w:vAlign w:val="center"/>
                </w:tcPr>
                <w:p w14:paraId="7BA3E58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65</w:t>
                  </w:r>
                </w:p>
              </w:tc>
              <w:tc>
                <w:tcPr>
                  <w:tcW w:w="655" w:type="dxa"/>
                  <w:tcBorders>
                    <w:top w:val="single" w:color="auto" w:sz="4" w:space="0"/>
                    <w:bottom w:val="single" w:color="auto" w:sz="4" w:space="0"/>
                  </w:tcBorders>
                  <w:vAlign w:val="center"/>
                </w:tcPr>
                <w:p w14:paraId="79BABE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4560058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20.7</w:t>
                  </w:r>
                </w:p>
              </w:tc>
              <w:tc>
                <w:tcPr>
                  <w:tcW w:w="955" w:type="dxa"/>
                  <w:tcBorders>
                    <w:top w:val="single" w:color="auto" w:sz="4" w:space="0"/>
                    <w:bottom w:val="single" w:color="auto" w:sz="4" w:space="0"/>
                  </w:tcBorders>
                  <w:vAlign w:val="center"/>
                </w:tcPr>
                <w:p w14:paraId="28EFCB7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22.3</w:t>
                  </w:r>
                </w:p>
              </w:tc>
              <w:tc>
                <w:tcPr>
                  <w:tcW w:w="873" w:type="dxa"/>
                  <w:tcBorders>
                    <w:top w:val="single" w:color="auto" w:sz="4" w:space="0"/>
                    <w:bottom w:val="single" w:color="auto" w:sz="4" w:space="0"/>
                  </w:tcBorders>
                  <w:vAlign w:val="center"/>
                </w:tcPr>
                <w:p w14:paraId="5A98D0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32.1</w:t>
                  </w:r>
                </w:p>
              </w:tc>
              <w:tc>
                <w:tcPr>
                  <w:tcW w:w="901" w:type="dxa"/>
                  <w:tcBorders>
                    <w:top w:val="single" w:color="auto" w:sz="4" w:space="0"/>
                    <w:bottom w:val="single" w:color="auto" w:sz="4" w:space="0"/>
                  </w:tcBorders>
                  <w:vAlign w:val="center"/>
                </w:tcPr>
                <w:p w14:paraId="10A0F8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53</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040045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69A58B8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12" w:space="0"/>
                  </w:tcBorders>
                  <w:vAlign w:val="center"/>
                </w:tcPr>
                <w:p w14:paraId="510408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分级机</w:t>
                  </w:r>
                </w:p>
              </w:tc>
              <w:tc>
                <w:tcPr>
                  <w:tcW w:w="1213" w:type="dxa"/>
                  <w:tcBorders>
                    <w:top w:val="single" w:color="auto" w:sz="4" w:space="0"/>
                    <w:bottom w:val="single" w:color="auto" w:sz="12" w:space="0"/>
                  </w:tcBorders>
                  <w:vAlign w:val="center"/>
                </w:tcPr>
                <w:p w14:paraId="40B1074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56</w:t>
                  </w:r>
                </w:p>
              </w:tc>
              <w:tc>
                <w:tcPr>
                  <w:tcW w:w="655" w:type="dxa"/>
                  <w:tcBorders>
                    <w:top w:val="single" w:color="auto" w:sz="4" w:space="0"/>
                    <w:bottom w:val="single" w:color="auto" w:sz="12" w:space="0"/>
                  </w:tcBorders>
                  <w:vAlign w:val="center"/>
                </w:tcPr>
                <w:p w14:paraId="5BDD734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12" w:space="0"/>
                  </w:tcBorders>
                  <w:vAlign w:val="center"/>
                </w:tcPr>
                <w:p w14:paraId="74E9DFF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11.7</w:t>
                  </w:r>
                </w:p>
              </w:tc>
              <w:tc>
                <w:tcPr>
                  <w:tcW w:w="955" w:type="dxa"/>
                  <w:tcBorders>
                    <w:top w:val="single" w:color="auto" w:sz="4" w:space="0"/>
                    <w:bottom w:val="single" w:color="auto" w:sz="12" w:space="0"/>
                  </w:tcBorders>
                  <w:vAlign w:val="center"/>
                </w:tcPr>
                <w:p w14:paraId="5F9B626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13.5</w:t>
                  </w:r>
                </w:p>
              </w:tc>
              <w:tc>
                <w:tcPr>
                  <w:tcW w:w="873" w:type="dxa"/>
                  <w:tcBorders>
                    <w:top w:val="single" w:color="auto" w:sz="4" w:space="0"/>
                    <w:bottom w:val="single" w:color="auto" w:sz="12" w:space="0"/>
                  </w:tcBorders>
                  <w:vAlign w:val="center"/>
                </w:tcPr>
                <w:p w14:paraId="6A621B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23.1</w:t>
                  </w:r>
                </w:p>
              </w:tc>
              <w:tc>
                <w:tcPr>
                  <w:tcW w:w="901" w:type="dxa"/>
                  <w:tcBorders>
                    <w:top w:val="single" w:color="auto" w:sz="4" w:space="0"/>
                    <w:bottom w:val="single" w:color="auto" w:sz="12" w:space="0"/>
                  </w:tcBorders>
                  <w:vAlign w:val="center"/>
                </w:tcPr>
                <w:p w14:paraId="31FCCAD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40.4</w:t>
                  </w:r>
                </w:p>
              </w:tc>
            </w:tr>
          </w:tbl>
          <w:p w14:paraId="34288DE6">
            <w:pPr>
              <w:pStyle w:val="47"/>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表4-1</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一期工程</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厂界噪声</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贡献值</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结果一览表</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单位：dB(A)</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681"/>
              <w:gridCol w:w="804"/>
              <w:gridCol w:w="742"/>
              <w:gridCol w:w="746"/>
              <w:gridCol w:w="742"/>
              <w:gridCol w:w="746"/>
              <w:gridCol w:w="742"/>
              <w:gridCol w:w="747"/>
            </w:tblGrid>
            <w:tr w14:paraId="7C265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restart"/>
                  <w:tcBorders>
                    <w:tl2br w:val="nil"/>
                    <w:tr2bl w:val="nil"/>
                  </w:tcBorders>
                  <w:noWrap w:val="0"/>
                  <w:vAlign w:val="center"/>
                </w:tcPr>
                <w:p w14:paraId="5EA13C2C">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厂界噪声</w:t>
                  </w:r>
                </w:p>
                <w:p w14:paraId="3193A2E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dB（A）</w:t>
                  </w:r>
                </w:p>
              </w:tc>
              <w:tc>
                <w:tcPr>
                  <w:tcW w:w="1007" w:type="pct"/>
                  <w:gridSpan w:val="2"/>
                  <w:tcBorders>
                    <w:tl2br w:val="nil"/>
                    <w:tr2bl w:val="nil"/>
                  </w:tcBorders>
                  <w:noWrap w:val="0"/>
                  <w:vAlign w:val="center"/>
                </w:tcPr>
                <w:p w14:paraId="58140BE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东厂界</w:t>
                  </w:r>
                </w:p>
              </w:tc>
              <w:tc>
                <w:tcPr>
                  <w:tcW w:w="1009" w:type="pct"/>
                  <w:gridSpan w:val="2"/>
                  <w:tcBorders>
                    <w:tl2br w:val="nil"/>
                    <w:tr2bl w:val="nil"/>
                  </w:tcBorders>
                  <w:noWrap w:val="0"/>
                  <w:vAlign w:val="center"/>
                </w:tcPr>
                <w:p w14:paraId="62383F85">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南厂界</w:t>
                  </w:r>
                </w:p>
              </w:tc>
              <w:tc>
                <w:tcPr>
                  <w:tcW w:w="1009" w:type="pct"/>
                  <w:gridSpan w:val="2"/>
                  <w:tcBorders>
                    <w:tl2br w:val="nil"/>
                    <w:tr2bl w:val="nil"/>
                  </w:tcBorders>
                  <w:noWrap w:val="0"/>
                  <w:vAlign w:val="center"/>
                </w:tcPr>
                <w:p w14:paraId="71F4AEE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西厂界</w:t>
                  </w:r>
                </w:p>
              </w:tc>
              <w:tc>
                <w:tcPr>
                  <w:tcW w:w="1009" w:type="pct"/>
                  <w:gridSpan w:val="2"/>
                  <w:tcBorders>
                    <w:tl2br w:val="nil"/>
                    <w:tr2bl w:val="nil"/>
                  </w:tcBorders>
                  <w:noWrap w:val="0"/>
                  <w:vAlign w:val="center"/>
                </w:tcPr>
                <w:p w14:paraId="12C4752A">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北厂界</w:t>
                  </w:r>
                </w:p>
              </w:tc>
            </w:tr>
            <w:tr w14:paraId="09093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continue"/>
                  <w:tcBorders>
                    <w:tl2br w:val="nil"/>
                    <w:tr2bl w:val="nil"/>
                  </w:tcBorders>
                  <w:noWrap w:val="0"/>
                  <w:vAlign w:val="center"/>
                </w:tcPr>
                <w:p w14:paraId="591B57D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p>
              </w:tc>
              <w:tc>
                <w:tcPr>
                  <w:tcW w:w="462" w:type="pct"/>
                  <w:tcBorders>
                    <w:tl2br w:val="nil"/>
                    <w:tr2bl w:val="nil"/>
                  </w:tcBorders>
                  <w:noWrap w:val="0"/>
                  <w:vAlign w:val="center"/>
                </w:tcPr>
                <w:p w14:paraId="343B485E">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45" w:type="pct"/>
                  <w:tcBorders>
                    <w:tl2br w:val="nil"/>
                    <w:tr2bl w:val="nil"/>
                  </w:tcBorders>
                  <w:noWrap w:val="0"/>
                  <w:vAlign w:val="center"/>
                </w:tcPr>
                <w:p w14:paraId="295C66F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5726AAD6">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245E636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37994887">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108ECDE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5A297BC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2B18B40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r>
            <w:tr w14:paraId="5CD64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3817322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贡献值</w:t>
                  </w:r>
                </w:p>
              </w:tc>
              <w:tc>
                <w:tcPr>
                  <w:tcW w:w="462" w:type="pct"/>
                  <w:tcBorders>
                    <w:tl2br w:val="nil"/>
                    <w:tr2bl w:val="nil"/>
                  </w:tcBorders>
                  <w:noWrap w:val="0"/>
                  <w:vAlign w:val="center"/>
                </w:tcPr>
                <w:p w14:paraId="69A64957">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25.7</w:t>
                  </w:r>
                </w:p>
              </w:tc>
              <w:tc>
                <w:tcPr>
                  <w:tcW w:w="545" w:type="pct"/>
                  <w:tcBorders>
                    <w:tl2br w:val="nil"/>
                    <w:tr2bl w:val="nil"/>
                  </w:tcBorders>
                  <w:noWrap w:val="0"/>
                  <w:vAlign w:val="center"/>
                </w:tcPr>
                <w:p w14:paraId="49A9680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25.7</w:t>
                  </w:r>
                </w:p>
              </w:tc>
              <w:tc>
                <w:tcPr>
                  <w:tcW w:w="503" w:type="pct"/>
                  <w:tcBorders>
                    <w:tl2br w:val="nil"/>
                    <w:tr2bl w:val="nil"/>
                  </w:tcBorders>
                  <w:noWrap w:val="0"/>
                  <w:vAlign w:val="center"/>
                </w:tcPr>
                <w:p w14:paraId="575F095C">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27.9</w:t>
                  </w:r>
                </w:p>
              </w:tc>
              <w:tc>
                <w:tcPr>
                  <w:tcW w:w="505" w:type="pct"/>
                  <w:tcBorders>
                    <w:tl2br w:val="nil"/>
                    <w:tr2bl w:val="nil"/>
                  </w:tcBorders>
                  <w:noWrap w:val="0"/>
                  <w:vAlign w:val="center"/>
                </w:tcPr>
                <w:p w14:paraId="02D86AF1">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27.9</w:t>
                  </w:r>
                </w:p>
              </w:tc>
              <w:tc>
                <w:tcPr>
                  <w:tcW w:w="503" w:type="pct"/>
                  <w:tcBorders>
                    <w:tl2br w:val="nil"/>
                    <w:tr2bl w:val="nil"/>
                  </w:tcBorders>
                  <w:noWrap w:val="0"/>
                  <w:vAlign w:val="center"/>
                </w:tcPr>
                <w:p w14:paraId="56EE0E57">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t>37.0</w:t>
                  </w:r>
                </w:p>
              </w:tc>
              <w:tc>
                <w:tcPr>
                  <w:tcW w:w="505" w:type="pct"/>
                  <w:tcBorders>
                    <w:tl2br w:val="nil"/>
                    <w:tr2bl w:val="nil"/>
                  </w:tcBorders>
                  <w:noWrap w:val="0"/>
                  <w:vAlign w:val="center"/>
                </w:tcPr>
                <w:p w14:paraId="2D3BE11E">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37.0</w:t>
                  </w:r>
                </w:p>
              </w:tc>
              <w:tc>
                <w:tcPr>
                  <w:tcW w:w="503" w:type="pct"/>
                  <w:tcBorders>
                    <w:tl2br w:val="nil"/>
                    <w:tr2bl w:val="nil"/>
                  </w:tcBorders>
                  <w:noWrap w:val="0"/>
                  <w:vAlign w:val="center"/>
                </w:tcPr>
                <w:p w14:paraId="308C29EA">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t>56.5</w:t>
                  </w:r>
                </w:p>
              </w:tc>
              <w:tc>
                <w:tcPr>
                  <w:tcW w:w="505" w:type="pct"/>
                  <w:tcBorders>
                    <w:tl2br w:val="nil"/>
                    <w:tr2bl w:val="nil"/>
                  </w:tcBorders>
                  <w:noWrap w:val="0"/>
                  <w:vAlign w:val="center"/>
                </w:tcPr>
                <w:p w14:paraId="1BF815CE">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56.5</w:t>
                  </w:r>
                </w:p>
              </w:tc>
            </w:tr>
            <w:tr w14:paraId="374F4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34CAD4C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标准值</w:t>
                  </w:r>
                </w:p>
              </w:tc>
              <w:tc>
                <w:tcPr>
                  <w:tcW w:w="462" w:type="pct"/>
                  <w:tcBorders>
                    <w:tl2br w:val="nil"/>
                    <w:tr2bl w:val="nil"/>
                  </w:tcBorders>
                  <w:noWrap w:val="0"/>
                  <w:vAlign w:val="center"/>
                </w:tcPr>
                <w:p w14:paraId="75CA5BB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545" w:type="pct"/>
                  <w:tcBorders>
                    <w:tl2br w:val="nil"/>
                    <w:tr2bl w:val="nil"/>
                  </w:tcBorders>
                  <w:noWrap w:val="0"/>
                  <w:vAlign w:val="center"/>
                </w:tcPr>
                <w:p w14:paraId="782AC3D8">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11E20780">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0248C33C">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3911CD4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4EA6DEE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125333D6">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7" w:type="dxa"/>
                  <w:tcBorders>
                    <w:tl2br w:val="nil"/>
                    <w:tr2bl w:val="nil"/>
                  </w:tcBorders>
                  <w:noWrap w:val="0"/>
                  <w:vAlign w:val="center"/>
                </w:tcPr>
                <w:p w14:paraId="5CB5FCC5">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r>
          </w:tbl>
          <w:p w14:paraId="0D43B6F7">
            <w:pPr>
              <w:pStyle w:val="47"/>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 xml:space="preserve">20 </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二期工程</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厂界噪声</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贡献值</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结果一览表</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单位：dB(A)</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681"/>
              <w:gridCol w:w="804"/>
              <w:gridCol w:w="742"/>
              <w:gridCol w:w="746"/>
              <w:gridCol w:w="742"/>
              <w:gridCol w:w="746"/>
              <w:gridCol w:w="742"/>
              <w:gridCol w:w="747"/>
            </w:tblGrid>
            <w:tr w14:paraId="62BB22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restart"/>
                  <w:tcBorders>
                    <w:tl2br w:val="nil"/>
                    <w:tr2bl w:val="nil"/>
                  </w:tcBorders>
                  <w:noWrap w:val="0"/>
                  <w:vAlign w:val="center"/>
                </w:tcPr>
                <w:p w14:paraId="25E4F625">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厂界噪声</w:t>
                  </w:r>
                </w:p>
                <w:p w14:paraId="4CB3CC1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dB（A）</w:t>
                  </w:r>
                </w:p>
              </w:tc>
              <w:tc>
                <w:tcPr>
                  <w:tcW w:w="1007" w:type="pct"/>
                  <w:gridSpan w:val="2"/>
                  <w:tcBorders>
                    <w:tl2br w:val="nil"/>
                    <w:tr2bl w:val="nil"/>
                  </w:tcBorders>
                  <w:noWrap w:val="0"/>
                  <w:vAlign w:val="center"/>
                </w:tcPr>
                <w:p w14:paraId="25C68EB9">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东厂界</w:t>
                  </w:r>
                </w:p>
              </w:tc>
              <w:tc>
                <w:tcPr>
                  <w:tcW w:w="1009" w:type="pct"/>
                  <w:gridSpan w:val="2"/>
                  <w:tcBorders>
                    <w:tl2br w:val="nil"/>
                    <w:tr2bl w:val="nil"/>
                  </w:tcBorders>
                  <w:noWrap w:val="0"/>
                  <w:vAlign w:val="center"/>
                </w:tcPr>
                <w:p w14:paraId="743BD7D1">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南厂界</w:t>
                  </w:r>
                </w:p>
              </w:tc>
              <w:tc>
                <w:tcPr>
                  <w:tcW w:w="1009" w:type="pct"/>
                  <w:gridSpan w:val="2"/>
                  <w:tcBorders>
                    <w:tl2br w:val="nil"/>
                    <w:tr2bl w:val="nil"/>
                  </w:tcBorders>
                  <w:noWrap w:val="0"/>
                  <w:vAlign w:val="center"/>
                </w:tcPr>
                <w:p w14:paraId="5D3D400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西厂界</w:t>
                  </w:r>
                </w:p>
              </w:tc>
              <w:tc>
                <w:tcPr>
                  <w:tcW w:w="1009" w:type="pct"/>
                  <w:gridSpan w:val="2"/>
                  <w:tcBorders>
                    <w:tl2br w:val="nil"/>
                    <w:tr2bl w:val="nil"/>
                  </w:tcBorders>
                  <w:noWrap w:val="0"/>
                  <w:vAlign w:val="center"/>
                </w:tcPr>
                <w:p w14:paraId="667AD1EA">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北厂界</w:t>
                  </w:r>
                </w:p>
              </w:tc>
            </w:tr>
            <w:tr w14:paraId="6B1AA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continue"/>
                  <w:tcBorders>
                    <w:tl2br w:val="nil"/>
                    <w:tr2bl w:val="nil"/>
                  </w:tcBorders>
                  <w:noWrap w:val="0"/>
                  <w:vAlign w:val="center"/>
                </w:tcPr>
                <w:p w14:paraId="052AA3DC">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p>
              </w:tc>
              <w:tc>
                <w:tcPr>
                  <w:tcW w:w="462" w:type="pct"/>
                  <w:tcBorders>
                    <w:tl2br w:val="nil"/>
                    <w:tr2bl w:val="nil"/>
                  </w:tcBorders>
                  <w:noWrap w:val="0"/>
                  <w:vAlign w:val="center"/>
                </w:tcPr>
                <w:p w14:paraId="419BA37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45" w:type="pct"/>
                  <w:tcBorders>
                    <w:tl2br w:val="nil"/>
                    <w:tr2bl w:val="nil"/>
                  </w:tcBorders>
                  <w:noWrap w:val="0"/>
                  <w:vAlign w:val="center"/>
                </w:tcPr>
                <w:p w14:paraId="43FC0396">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72DC0B55">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60D3E82E">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1F70C66E">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307CD43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48F659E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6D186231">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r>
            <w:tr w14:paraId="071A1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4A2E3BB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贡献值</w:t>
                  </w:r>
                </w:p>
              </w:tc>
              <w:tc>
                <w:tcPr>
                  <w:tcW w:w="462" w:type="pct"/>
                  <w:tcBorders>
                    <w:tl2br w:val="nil"/>
                    <w:tr2bl w:val="nil"/>
                  </w:tcBorders>
                  <w:noWrap w:val="0"/>
                  <w:vAlign w:val="center"/>
                </w:tcPr>
                <w:p w14:paraId="4327054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26.6</w:t>
                  </w:r>
                </w:p>
              </w:tc>
              <w:tc>
                <w:tcPr>
                  <w:tcW w:w="545" w:type="pct"/>
                  <w:tcBorders>
                    <w:tl2br w:val="nil"/>
                    <w:tr2bl w:val="nil"/>
                  </w:tcBorders>
                  <w:noWrap w:val="0"/>
                  <w:vAlign w:val="center"/>
                </w:tcPr>
                <w:p w14:paraId="6FC311B0">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26.6</w:t>
                  </w:r>
                </w:p>
              </w:tc>
              <w:tc>
                <w:tcPr>
                  <w:tcW w:w="503" w:type="pct"/>
                  <w:tcBorders>
                    <w:tl2br w:val="nil"/>
                    <w:tr2bl w:val="nil"/>
                  </w:tcBorders>
                  <w:noWrap w:val="0"/>
                  <w:vAlign w:val="center"/>
                </w:tcPr>
                <w:p w14:paraId="0920637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t>28.</w:t>
                  </w:r>
                  <w:r>
                    <w:rPr>
                      <w:rFonts w:hint="eastAsia" w:cs="Times New Roman"/>
                      <w:color w:val="000000" w:themeColor="text1"/>
                      <w:kern w:val="2"/>
                      <w:sz w:val="21"/>
                      <w:szCs w:val="24"/>
                      <w:highlight w:val="none"/>
                      <w:lang w:val="en-US" w:eastAsia="zh-CN"/>
                      <w14:textFill>
                        <w14:solidFill>
                          <w14:schemeClr w14:val="tx1"/>
                        </w14:solidFill>
                      </w14:textFill>
                    </w:rPr>
                    <w:t>1</w:t>
                  </w:r>
                </w:p>
              </w:tc>
              <w:tc>
                <w:tcPr>
                  <w:tcW w:w="505" w:type="pct"/>
                  <w:tcBorders>
                    <w:tl2br w:val="nil"/>
                    <w:tr2bl w:val="nil"/>
                  </w:tcBorders>
                  <w:noWrap w:val="0"/>
                  <w:vAlign w:val="center"/>
                </w:tcPr>
                <w:p w14:paraId="04003636">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28.1</w:t>
                  </w:r>
                </w:p>
              </w:tc>
              <w:tc>
                <w:tcPr>
                  <w:tcW w:w="503" w:type="pct"/>
                  <w:tcBorders>
                    <w:tl2br w:val="nil"/>
                    <w:tr2bl w:val="nil"/>
                  </w:tcBorders>
                  <w:noWrap w:val="0"/>
                  <w:vAlign w:val="center"/>
                </w:tcPr>
                <w:p w14:paraId="30DFD4D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40.1</w:t>
                  </w:r>
                </w:p>
              </w:tc>
              <w:tc>
                <w:tcPr>
                  <w:tcW w:w="505" w:type="pct"/>
                  <w:tcBorders>
                    <w:tl2br w:val="nil"/>
                    <w:tr2bl w:val="nil"/>
                  </w:tcBorders>
                  <w:noWrap w:val="0"/>
                  <w:vAlign w:val="center"/>
                </w:tcPr>
                <w:p w14:paraId="7A98C46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40.1</w:t>
                  </w:r>
                </w:p>
              </w:tc>
              <w:tc>
                <w:tcPr>
                  <w:tcW w:w="503" w:type="pct"/>
                  <w:tcBorders>
                    <w:tl2br w:val="nil"/>
                    <w:tr2bl w:val="nil"/>
                  </w:tcBorders>
                  <w:noWrap w:val="0"/>
                  <w:vAlign w:val="center"/>
                </w:tcPr>
                <w:p w14:paraId="303FF7EF">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60.8</w:t>
                  </w:r>
                </w:p>
              </w:tc>
              <w:tc>
                <w:tcPr>
                  <w:tcW w:w="505" w:type="pct"/>
                  <w:tcBorders>
                    <w:tl2br w:val="nil"/>
                    <w:tr2bl w:val="nil"/>
                  </w:tcBorders>
                  <w:noWrap w:val="0"/>
                  <w:vAlign w:val="center"/>
                </w:tcPr>
                <w:p w14:paraId="28FE9FC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60.8</w:t>
                  </w:r>
                </w:p>
              </w:tc>
            </w:tr>
            <w:tr w14:paraId="004332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2C85E0D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标准值</w:t>
                  </w:r>
                </w:p>
              </w:tc>
              <w:tc>
                <w:tcPr>
                  <w:tcW w:w="462" w:type="pct"/>
                  <w:tcBorders>
                    <w:tl2br w:val="nil"/>
                    <w:tr2bl w:val="nil"/>
                  </w:tcBorders>
                  <w:noWrap w:val="0"/>
                  <w:vAlign w:val="center"/>
                </w:tcPr>
                <w:p w14:paraId="09A75FCA">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545" w:type="pct"/>
                  <w:tcBorders>
                    <w:tl2br w:val="nil"/>
                    <w:tr2bl w:val="nil"/>
                  </w:tcBorders>
                  <w:noWrap w:val="0"/>
                  <w:vAlign w:val="center"/>
                </w:tcPr>
                <w:p w14:paraId="0681127C">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512BDB6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4FF1ED7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59161145">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1865C77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308260D3">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7" w:type="dxa"/>
                  <w:tcBorders>
                    <w:tl2br w:val="nil"/>
                    <w:tr2bl w:val="nil"/>
                  </w:tcBorders>
                  <w:noWrap w:val="0"/>
                  <w:vAlign w:val="center"/>
                </w:tcPr>
                <w:p w14:paraId="39CC1640">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r>
          </w:tbl>
          <w:p w14:paraId="08BB7B94">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由预测结果可知，本项目厂界处噪声</w:t>
            </w:r>
            <w:r>
              <w:rPr>
                <w:rFonts w:hint="eastAsia" w:cs="Times New Roman"/>
                <w:color w:val="000000" w:themeColor="text1"/>
                <w:spacing w:val="0"/>
                <w:w w:val="100"/>
                <w:position w:val="0"/>
                <w:sz w:val="24"/>
                <w:highlight w:val="none"/>
                <w:lang w:val="en-US" w:eastAsia="zh-CN"/>
                <w14:textFill>
                  <w14:solidFill>
                    <w14:schemeClr w14:val="tx1"/>
                  </w14:solidFill>
                </w14:textFill>
              </w:rPr>
              <w:t>贡献值</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满足《工业企业厂界环境噪声排放标准》（GB12348-2008）中3类区的昼、夜间噪声排放标准限值，即昼间噪声≤65dB（A），夜间噪声≤55dB（A）。</w:t>
            </w:r>
          </w:p>
          <w:p w14:paraId="1938C470">
            <w:pPr>
              <w:pStyle w:val="53"/>
              <w:bidi w:val="0"/>
              <w:rPr>
                <w:rFonts w:hint="default"/>
              </w:rPr>
            </w:pPr>
            <w:r>
              <w:rPr>
                <w:rFonts w:hint="default" w:ascii="Times New Roman" w:hAnsi="Times New Roman" w:cs="Times New Roman"/>
                <w:color w:val="000000" w:themeColor="text1"/>
                <w:spacing w:val="0"/>
                <w:w w:val="100"/>
                <w:kern w:val="0"/>
                <w:position w:val="0"/>
                <w:highlight w:val="none"/>
                <w14:textFill>
                  <w14:solidFill>
                    <w14:schemeClr w14:val="tx1"/>
                  </w14:solidFill>
                </w14:textFill>
              </w:rPr>
              <w:t>为了进一步降低项目噪声对周围环境的影响，本环评要求项目采取如下环</w:t>
            </w:r>
            <w:r>
              <w:rPr>
                <w:rFonts w:hint="default"/>
              </w:rPr>
              <w:t>保措施：</w:t>
            </w:r>
          </w:p>
          <w:p w14:paraId="20B4B4AB">
            <w:pPr>
              <w:pStyle w:val="53"/>
              <w:bidi w:val="0"/>
              <w:rPr>
                <w:rFonts w:hint="default"/>
              </w:rPr>
            </w:pPr>
            <w:r>
              <w:rPr>
                <w:rFonts w:hint="default"/>
              </w:rPr>
              <w:t>（1）加强设备的维护，确保设备处于良好的运转状态，杜绝因设备不正常运转时产生的高噪声现象。</w:t>
            </w:r>
          </w:p>
          <w:p w14:paraId="6F97D03A">
            <w:pPr>
              <w:pStyle w:val="53"/>
              <w:bidi w:val="0"/>
              <w:rPr>
                <w:rFonts w:hint="default"/>
              </w:rPr>
            </w:pPr>
            <w:r>
              <w:rPr>
                <w:rFonts w:hint="default"/>
              </w:rPr>
              <w:t>（2）加强职工环保意识教育、提倡文明生产，防止人为噪声。</w:t>
            </w:r>
          </w:p>
          <w:p w14:paraId="569295DB">
            <w:pPr>
              <w:pStyle w:val="53"/>
              <w:bidi w:val="0"/>
              <w:rPr>
                <w:rFonts w:hint="default"/>
              </w:rPr>
            </w:pPr>
            <w:r>
              <w:rPr>
                <w:rFonts w:hint="default"/>
              </w:rPr>
              <w:t>（3）重大噪声源应加装减震垫、安装消声器。</w:t>
            </w:r>
          </w:p>
          <w:p w14:paraId="5CEBA552">
            <w:pPr>
              <w:pStyle w:val="53"/>
              <w:bidi w:val="0"/>
              <w:rPr>
                <w:rFonts w:hint="default"/>
              </w:rPr>
            </w:pPr>
            <w:r>
              <w:rPr>
                <w:rFonts w:hint="default"/>
              </w:rPr>
              <w:t>本项目在严格执行相关噪声防治措施后，将项目所产生的噪声对周围环境影响降至最低。</w:t>
            </w:r>
          </w:p>
          <w:p w14:paraId="6A9E1011">
            <w:pPr>
              <w:pStyle w:val="53"/>
              <w:bidi w:val="0"/>
              <w:rPr>
                <w:rFonts w:hint="default"/>
                <w:color w:val="000000" w:themeColor="text1"/>
                <w:highlight w:val="none"/>
                <w14:textFill>
                  <w14:solidFill>
                    <w14:schemeClr w14:val="tx1"/>
                  </w14:solidFill>
                </w14:textFill>
              </w:rPr>
            </w:pPr>
            <w:r>
              <w:rPr>
                <w:rFonts w:hint="default"/>
              </w:rPr>
              <w:t>根据《排污单位自行监测技术指</w:t>
            </w:r>
            <w:r>
              <w:rPr>
                <w:rFonts w:hint="default"/>
                <w:color w:val="000000" w:themeColor="text1"/>
                <w:highlight w:val="none"/>
                <w14:textFill>
                  <w14:solidFill>
                    <w14:schemeClr w14:val="tx1"/>
                  </w14:solidFill>
                </w14:textFill>
              </w:rPr>
              <w:t>南 总则》（HJ819-2017）中厂界噪声监测要求详见表4-</w:t>
            </w:r>
            <w:r>
              <w:rPr>
                <w:rFonts w:hint="eastAsia"/>
                <w:color w:val="000000" w:themeColor="text1"/>
                <w:highlight w:val="none"/>
                <w:lang w:val="en-US" w:eastAsia="zh-CN"/>
                <w14:textFill>
                  <w14:solidFill>
                    <w14:schemeClr w14:val="tx1"/>
                  </w14:solidFill>
                </w14:textFill>
              </w:rPr>
              <w:t>21</w:t>
            </w:r>
            <w:r>
              <w:rPr>
                <w:rFonts w:hint="default"/>
                <w:color w:val="000000" w:themeColor="text1"/>
                <w:highlight w:val="none"/>
                <w14:textFill>
                  <w14:solidFill>
                    <w14:schemeClr w14:val="tx1"/>
                  </w14:solidFill>
                </w14:textFill>
              </w:rPr>
              <w:t>：</w:t>
            </w:r>
          </w:p>
          <w:p w14:paraId="52858A5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color w:val="000000" w:themeColor="text1"/>
                <w:spacing w:val="0"/>
                <w:w w:val="100"/>
                <w:position w:val="0"/>
                <w:szCs w:val="21"/>
                <w:highlight w:val="none"/>
                <w14:textFill>
                  <w14:solidFill>
                    <w14:schemeClr w14:val="tx1"/>
                  </w14:solidFill>
                </w14:textFill>
              </w:rPr>
              <w:t>表4-</w:t>
            </w:r>
            <w:r>
              <w:rPr>
                <w:rFonts w:hint="eastAsia" w:cs="Times New Roman"/>
                <w:b/>
                <w:color w:val="000000" w:themeColor="text1"/>
                <w:spacing w:val="0"/>
                <w:w w:val="100"/>
                <w:position w:val="0"/>
                <w:szCs w:val="21"/>
                <w:highlight w:val="none"/>
                <w:lang w:val="en-US" w:eastAsia="zh-CN"/>
                <w14:textFill>
                  <w14:solidFill>
                    <w14:schemeClr w14:val="tx1"/>
                  </w14:solidFill>
                </w14:textFill>
              </w:rPr>
              <w:t>21</w:t>
            </w:r>
            <w:r>
              <w:rPr>
                <w:rFonts w:hint="default" w:ascii="Times New Roman" w:hAnsi="Times New Roman" w:cs="Times New Roman"/>
                <w:b/>
                <w:color w:val="000000" w:themeColor="text1"/>
                <w:spacing w:val="0"/>
                <w:w w:val="100"/>
                <w:position w:val="0"/>
                <w:szCs w:val="21"/>
                <w:highlight w:val="none"/>
                <w14:textFill>
                  <w14:solidFill>
                    <w14:schemeClr w14:val="tx1"/>
                  </w14:solidFill>
                </w14:textFill>
              </w:rPr>
              <w:t xml:space="preserve">      噪声环境监测计划一览表</w:t>
            </w:r>
          </w:p>
          <w:tbl>
            <w:tblPr>
              <w:tblStyle w:val="21"/>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010"/>
              <w:gridCol w:w="1536"/>
              <w:gridCol w:w="970"/>
              <w:gridCol w:w="824"/>
              <w:gridCol w:w="1176"/>
              <w:gridCol w:w="1147"/>
            </w:tblGrid>
            <w:tr w14:paraId="04A6B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7" w:type="dxa"/>
                  <w:tcBorders>
                    <w:bottom w:val="single" w:color="auto" w:sz="12" w:space="0"/>
                  </w:tcBorders>
                  <w:vAlign w:val="center"/>
                </w:tcPr>
                <w:p w14:paraId="6D836607">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监测类别</w:t>
                  </w:r>
                </w:p>
              </w:tc>
              <w:tc>
                <w:tcPr>
                  <w:tcW w:w="1082" w:type="dxa"/>
                  <w:tcBorders>
                    <w:bottom w:val="single" w:color="auto" w:sz="12" w:space="0"/>
                  </w:tcBorders>
                  <w:vAlign w:val="center"/>
                </w:tcPr>
                <w:p w14:paraId="3F5AA63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w:t>
                  </w:r>
                </w:p>
                <w:p w14:paraId="41636C8B">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点位</w:t>
                  </w:r>
                </w:p>
              </w:tc>
              <w:tc>
                <w:tcPr>
                  <w:tcW w:w="1657" w:type="dxa"/>
                  <w:tcBorders>
                    <w:bottom w:val="single" w:color="auto" w:sz="12" w:space="0"/>
                  </w:tcBorders>
                  <w:vAlign w:val="center"/>
                </w:tcPr>
                <w:p w14:paraId="6FF54C7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监测项目</w:t>
                  </w:r>
                </w:p>
              </w:tc>
              <w:tc>
                <w:tcPr>
                  <w:tcW w:w="1039" w:type="dxa"/>
                  <w:tcBorders>
                    <w:bottom w:val="single" w:color="auto" w:sz="12" w:space="0"/>
                  </w:tcBorders>
                  <w:vAlign w:val="center"/>
                </w:tcPr>
                <w:p w14:paraId="3DE467F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w:t>
                  </w:r>
                </w:p>
                <w:p w14:paraId="21D41D98">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频率</w:t>
                  </w:r>
                </w:p>
              </w:tc>
              <w:tc>
                <w:tcPr>
                  <w:tcW w:w="879" w:type="dxa"/>
                  <w:tcBorders>
                    <w:bottom w:val="single" w:color="auto" w:sz="12" w:space="0"/>
                  </w:tcBorders>
                  <w:vAlign w:val="center"/>
                </w:tcPr>
                <w:p w14:paraId="45E26009">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w:t>
                  </w:r>
                </w:p>
                <w:p w14:paraId="5BFE4241">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时间</w:t>
                  </w:r>
                </w:p>
              </w:tc>
              <w:tc>
                <w:tcPr>
                  <w:tcW w:w="1264" w:type="dxa"/>
                  <w:tcBorders>
                    <w:bottom w:val="single" w:color="auto" w:sz="12" w:space="0"/>
                  </w:tcBorders>
                  <w:vAlign w:val="center"/>
                </w:tcPr>
                <w:p w14:paraId="366AA3C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采样</w:t>
                  </w:r>
                </w:p>
                <w:p w14:paraId="47FA6740">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时间</w:t>
                  </w:r>
                </w:p>
              </w:tc>
              <w:tc>
                <w:tcPr>
                  <w:tcW w:w="1232" w:type="dxa"/>
                  <w:tcBorders>
                    <w:bottom w:val="single" w:color="auto" w:sz="12" w:space="0"/>
                  </w:tcBorders>
                  <w:vAlign w:val="center"/>
                </w:tcPr>
                <w:p w14:paraId="4A54D9AD">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实施</w:t>
                  </w:r>
                </w:p>
                <w:p w14:paraId="39CBEFB9">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机构</w:t>
                  </w:r>
                </w:p>
              </w:tc>
            </w:tr>
            <w:tr w14:paraId="6296B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7" w:type="dxa"/>
                  <w:tcBorders>
                    <w:top w:val="single" w:color="auto" w:sz="12" w:space="0"/>
                    <w:tl2br w:val="nil"/>
                    <w:tr2bl w:val="nil"/>
                  </w:tcBorders>
                  <w:vAlign w:val="center"/>
                </w:tcPr>
                <w:p w14:paraId="31BF334D">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噪声</w:t>
                  </w:r>
                </w:p>
              </w:tc>
              <w:tc>
                <w:tcPr>
                  <w:tcW w:w="1082" w:type="dxa"/>
                  <w:tcBorders>
                    <w:top w:val="single" w:color="auto" w:sz="12" w:space="0"/>
                    <w:tl2br w:val="nil"/>
                    <w:tr2bl w:val="nil"/>
                  </w:tcBorders>
                  <w:vAlign w:val="center"/>
                </w:tcPr>
                <w:p w14:paraId="299242C2">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厂界外1m处</w:t>
                  </w:r>
                </w:p>
              </w:tc>
              <w:tc>
                <w:tcPr>
                  <w:tcW w:w="1657" w:type="dxa"/>
                  <w:tcBorders>
                    <w:top w:val="single" w:color="auto" w:sz="12" w:space="0"/>
                    <w:tl2br w:val="nil"/>
                    <w:tr2bl w:val="nil"/>
                  </w:tcBorders>
                  <w:vAlign w:val="center"/>
                </w:tcPr>
                <w:p w14:paraId="0DA29443">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厂界噪声（等效A声级）</w:t>
                  </w:r>
                </w:p>
              </w:tc>
              <w:tc>
                <w:tcPr>
                  <w:tcW w:w="1039" w:type="dxa"/>
                  <w:tcBorders>
                    <w:top w:val="single" w:color="auto" w:sz="12" w:space="0"/>
                    <w:tl2br w:val="nil"/>
                    <w:tr2bl w:val="nil"/>
                  </w:tcBorders>
                  <w:vAlign w:val="center"/>
                </w:tcPr>
                <w:p w14:paraId="73D034ED">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1次/季度</w:t>
                  </w:r>
                </w:p>
              </w:tc>
              <w:tc>
                <w:tcPr>
                  <w:tcW w:w="879" w:type="dxa"/>
                  <w:tcBorders>
                    <w:top w:val="single" w:color="auto" w:sz="12" w:space="0"/>
                    <w:tl2br w:val="nil"/>
                    <w:tr2bl w:val="nil"/>
                  </w:tcBorders>
                  <w:vAlign w:val="center"/>
                </w:tcPr>
                <w:p w14:paraId="27286BBE">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1天</w:t>
                  </w:r>
                </w:p>
              </w:tc>
              <w:tc>
                <w:tcPr>
                  <w:tcW w:w="1264" w:type="dxa"/>
                  <w:tcBorders>
                    <w:top w:val="single" w:color="auto" w:sz="12" w:space="0"/>
                    <w:tl2br w:val="nil"/>
                    <w:tr2bl w:val="nil"/>
                  </w:tcBorders>
                  <w:vAlign w:val="center"/>
                </w:tcPr>
                <w:p w14:paraId="0FE878BA">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每天昼、夜间各1次</w:t>
                  </w:r>
                </w:p>
              </w:tc>
              <w:tc>
                <w:tcPr>
                  <w:tcW w:w="1232" w:type="dxa"/>
                  <w:tcBorders>
                    <w:top w:val="single" w:color="auto" w:sz="12" w:space="0"/>
                    <w:tl2br w:val="nil"/>
                    <w:tr2bl w:val="nil"/>
                  </w:tcBorders>
                  <w:vAlign w:val="center"/>
                </w:tcPr>
                <w:p w14:paraId="32CAD490">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有资质的检测单位</w:t>
                  </w:r>
                </w:p>
              </w:tc>
            </w:tr>
          </w:tbl>
          <w:p w14:paraId="74501737">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4.8、运营期固废影响与保护措施</w:t>
            </w:r>
          </w:p>
          <w:p w14:paraId="1B59F1A3">
            <w:pPr>
              <w:pStyle w:val="11"/>
              <w:pageBreakBefore w:val="0"/>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一期工程一般工业固废：</w:t>
            </w:r>
          </w:p>
          <w:p w14:paraId="2A31A38F">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（1）</w:t>
            </w:r>
            <w:r>
              <w:rPr>
                <w:rFonts w:hint="eastAsia"/>
                <w:color w:val="000000" w:themeColor="text1"/>
                <w:sz w:val="24"/>
                <w:szCs w:val="24"/>
                <w:highlight w:val="none"/>
                <w:lang w:val="en-US" w:eastAsia="zh-CN"/>
                <w14:textFill>
                  <w14:solidFill>
                    <w14:schemeClr w14:val="tx1"/>
                  </w14:solidFill>
                </w14:textFill>
              </w:rPr>
              <w:t>废包装物</w:t>
            </w:r>
          </w:p>
          <w:p w14:paraId="5F213136">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项目原料主要采用袋装，在此过程中会产生部分的废包装材料，产生量约为60</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，为一般固废，根据《固体废物分类与代码目录》，废包装物固废代码为900-003-S17。此部分废包装材料集中收集至厂内原有一般固废贮存间内，</w:t>
            </w:r>
            <w:r>
              <w:rPr>
                <w:rFonts w:hint="eastAsia"/>
                <w:color w:val="000000" w:themeColor="text1"/>
                <w:spacing w:val="-6"/>
                <w:sz w:val="24"/>
                <w:szCs w:val="24"/>
                <w:highlight w:val="none"/>
                <w:lang w:val="en-US" w:eastAsia="zh-CN"/>
                <w14:textFill>
                  <w14:solidFill>
                    <w14:schemeClr w14:val="tx1"/>
                  </w14:solidFill>
                </w14:textFill>
              </w:rPr>
              <w:t>定期外售于废品回收站</w:t>
            </w:r>
            <w:r>
              <w:rPr>
                <w:rFonts w:hint="eastAsia"/>
                <w:color w:val="000000" w:themeColor="text1"/>
                <w:sz w:val="24"/>
                <w:szCs w:val="24"/>
                <w:highlight w:val="none"/>
                <w:lang w:val="en-US" w:eastAsia="zh-CN"/>
                <w14:textFill>
                  <w14:solidFill>
                    <w14:schemeClr w14:val="tx1"/>
                  </w14:solidFill>
                </w14:textFill>
              </w:rPr>
              <w:t>。</w:t>
            </w:r>
          </w:p>
          <w:p w14:paraId="29F49999">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2</w:t>
            </w: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废布袋</w:t>
            </w:r>
          </w:p>
          <w:p w14:paraId="09A444E4">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项目一台布袋除尘器布袋重量约为</w:t>
            </w:r>
            <w:r>
              <w:rPr>
                <w:rFonts w:hint="default"/>
                <w:color w:val="000000" w:themeColor="text1"/>
                <w:sz w:val="24"/>
                <w:szCs w:val="24"/>
                <w:highlight w:val="none"/>
                <w:lang w:val="en-US" w:eastAsia="zh-CN"/>
                <w14:textFill>
                  <w14:solidFill>
                    <w14:schemeClr w14:val="tx1"/>
                  </w14:solidFill>
                </w14:textFill>
              </w:rPr>
              <w:t>0.01</w:t>
            </w:r>
            <w:r>
              <w:rPr>
                <w:rFonts w:hint="eastAsia"/>
                <w:color w:val="000000" w:themeColor="text1"/>
                <w:sz w:val="24"/>
                <w:szCs w:val="24"/>
                <w:highlight w:val="none"/>
                <w:lang w:val="en-US" w:eastAsia="zh-CN"/>
                <w14:textFill>
                  <w14:solidFill>
                    <w14:schemeClr w14:val="tx1"/>
                  </w14:solidFill>
                </w14:textFill>
              </w:rPr>
              <w:t>5</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，一期工程主要涉及醇基锅炉与烘干工序2台布袋除尘器，一般情况下，布袋除尘器中的布袋每年更换一次，故废布袋产生量为</w:t>
            </w:r>
            <w:r>
              <w:rPr>
                <w:rFonts w:hint="default"/>
                <w:color w:val="000000" w:themeColor="text1"/>
                <w:sz w:val="24"/>
                <w:szCs w:val="24"/>
                <w:highlight w:val="none"/>
                <w:lang w:val="en-US" w:eastAsia="zh-CN"/>
                <w14:textFill>
                  <w14:solidFill>
                    <w14:schemeClr w14:val="tx1"/>
                  </w14:solidFill>
                </w14:textFill>
              </w:rPr>
              <w:t>0.0</w:t>
            </w:r>
            <w:r>
              <w:rPr>
                <w:rFonts w:hint="eastAsia"/>
                <w:color w:val="000000" w:themeColor="text1"/>
                <w:sz w:val="24"/>
                <w:szCs w:val="24"/>
                <w:highlight w:val="none"/>
                <w:lang w:val="en-US" w:eastAsia="zh-CN"/>
                <w14:textFill>
                  <w14:solidFill>
                    <w14:schemeClr w14:val="tx1"/>
                  </w14:solidFill>
                </w14:textFill>
              </w:rPr>
              <w:t>3</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，废布袋主要成分为纺织的滤布或非纺织的毡，为一般工业固体废物。根据《固体废物分类与代码目录》，废布袋固废代码为900-007-S17，定期交由厂家更换回收处置。</w:t>
            </w:r>
          </w:p>
          <w:p w14:paraId="667583C2">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3</w:t>
            </w: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除尘灰</w:t>
            </w:r>
          </w:p>
          <w:p w14:paraId="252CB651">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一期工程主要涉及醇基锅炉与烘干工序2台布袋除尘器进行处理颗粒物，项目除尘器颗粒物收集量：2.294</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t/a，收集后的尘含有硅相，经收集后回用于</w:t>
            </w:r>
            <w:r>
              <w:rPr>
                <w:rFonts w:hint="eastAsia"/>
                <w:color w:val="000000" w:themeColor="text1"/>
                <w:sz w:val="24"/>
                <w:szCs w:val="24"/>
                <w:highlight w:val="none"/>
                <w:lang w:val="en-US" w:eastAsia="zh-CN"/>
                <w14:textFill>
                  <w14:solidFill>
                    <w14:schemeClr w14:val="tx1"/>
                  </w14:solidFill>
                </w14:textFill>
              </w:rPr>
              <w:t>生产线，根据《固体废物分类与代码目录》，除尘灰固废代码为900-099-S59</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w:t>
            </w:r>
          </w:p>
          <w:p w14:paraId="572C9FF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（4）外沉池底泥</w:t>
            </w:r>
          </w:p>
          <w:p w14:paraId="5E8A3A33">
            <w:pPr>
              <w:pStyle w:val="53"/>
              <w:bidi w:val="0"/>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项目运营期硅粉与硅渣经压滤机压滤后的滤液排入重选沉淀池最终于外沉池沉淀，沉淀池底泥含有硅相，产生量约240t/a，经收集后回用于生产线。</w:t>
            </w:r>
          </w:p>
          <w:p w14:paraId="7490736B">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（5）废离子交换树脂</w:t>
            </w:r>
          </w:p>
          <w:p w14:paraId="042896A2">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锅炉软水制备工艺采用离子交换，会产生废离子交换树脂，树脂使用量为0.42t，更换期为每3年更换一次，则废离子交换树脂产生量为0.14t/a，对照《国家危险废物名录》（2021），软水制备工艺废离子交换树脂不属于危险废物，为一般固体废物，由厂家定期更换回收处理。</w:t>
            </w:r>
          </w:p>
          <w:p w14:paraId="7BD94CCA">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p w14:paraId="7D030D74">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根据《国家危险废物名录(2025年版)》中“危险废物豁免管理清单”表述</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废弃的含油抹布、劳保用品全过程不按危险废物管理，故废弃的含油抹布、劳保用品未分类收集，存放于厂区垃圾桶内，年产量0.00</w:t>
            </w:r>
            <w:r>
              <w:rPr>
                <w:rFonts w:hint="eastAsia"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t/a，定期清运。</w:t>
            </w:r>
          </w:p>
          <w:p w14:paraId="7A703ED4">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（7）一期工程生产工序尾渣</w:t>
            </w:r>
          </w:p>
          <w:p w14:paraId="40919E5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本项目一期工程压滤工序、摇床重选工序均会产生尾渣，产生量根据物料平衡计算为2197.346t，</w:t>
            </w:r>
            <w:r>
              <w:rPr>
                <w:rFonts w:hint="default"/>
                <w:color w:val="000000" w:themeColor="text1"/>
                <w:highlight w:val="none"/>
                <w:lang w:val="en-US" w:eastAsia="zh-CN"/>
                <w14:textFill>
                  <w14:solidFill>
                    <w14:schemeClr w14:val="tx1"/>
                  </w14:solidFill>
                </w14:textFill>
              </w:rPr>
              <w:t>暂存至厂内原有一般固废贮存间内，</w:t>
            </w:r>
            <w:r>
              <w:rPr>
                <w:rFonts w:hint="eastAsia"/>
                <w:color w:val="000000" w:themeColor="text1"/>
                <w:highlight w:val="none"/>
                <w:lang w:val="en-US" w:eastAsia="zh-CN"/>
                <w14:textFill>
                  <w14:solidFill>
                    <w14:schemeClr w14:val="tx1"/>
                  </w14:solidFill>
                </w14:textFill>
              </w:rPr>
              <w:t>每日外售。</w:t>
            </w:r>
          </w:p>
          <w:p w14:paraId="19555B80">
            <w:pPr>
              <w:pStyle w:val="11"/>
              <w:pageBreakBefore w:val="0"/>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二期工程一般工业固废：</w:t>
            </w:r>
          </w:p>
          <w:p w14:paraId="420A0986">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（1）</w:t>
            </w:r>
            <w:r>
              <w:rPr>
                <w:rFonts w:hint="eastAsia"/>
                <w:color w:val="000000" w:themeColor="text1"/>
                <w:sz w:val="24"/>
                <w:szCs w:val="24"/>
                <w:highlight w:val="none"/>
                <w:lang w:val="en-US" w:eastAsia="zh-CN"/>
                <w14:textFill>
                  <w14:solidFill>
                    <w14:schemeClr w14:val="tx1"/>
                  </w14:solidFill>
                </w14:textFill>
              </w:rPr>
              <w:t>废包装物</w:t>
            </w:r>
          </w:p>
          <w:p w14:paraId="0D1A59C0">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项目原料主要采用袋装，在此过程中会产生部分的废包装材料，产生量约为75</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，为一般固废，根据《固体废物分类与代码目录》，废包装物固废代码为900-003-S17。此部分废包装材料集中收集至厂内原有一般固废贮存间内，</w:t>
            </w:r>
            <w:r>
              <w:rPr>
                <w:rFonts w:hint="eastAsia"/>
                <w:color w:val="000000" w:themeColor="text1"/>
                <w:spacing w:val="-6"/>
                <w:sz w:val="24"/>
                <w:szCs w:val="24"/>
                <w:highlight w:val="none"/>
                <w:lang w:val="en-US" w:eastAsia="zh-CN"/>
                <w14:textFill>
                  <w14:solidFill>
                    <w14:schemeClr w14:val="tx1"/>
                  </w14:solidFill>
                </w14:textFill>
              </w:rPr>
              <w:t>定期外售于废品回收站</w:t>
            </w:r>
            <w:r>
              <w:rPr>
                <w:rFonts w:hint="eastAsia"/>
                <w:color w:val="000000" w:themeColor="text1"/>
                <w:sz w:val="24"/>
                <w:szCs w:val="24"/>
                <w:highlight w:val="none"/>
                <w:lang w:val="en-US" w:eastAsia="zh-CN"/>
                <w14:textFill>
                  <w14:solidFill>
                    <w14:schemeClr w14:val="tx1"/>
                  </w14:solidFill>
                </w14:textFill>
              </w:rPr>
              <w:t>。</w:t>
            </w:r>
          </w:p>
          <w:p w14:paraId="1ACB4E93">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2</w:t>
            </w: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废布袋</w:t>
            </w:r>
          </w:p>
          <w:p w14:paraId="573DE175">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项目一台布袋除尘器布袋重量约为</w:t>
            </w:r>
            <w:r>
              <w:rPr>
                <w:rFonts w:hint="default"/>
                <w:color w:val="000000" w:themeColor="text1"/>
                <w:sz w:val="24"/>
                <w:szCs w:val="24"/>
                <w:highlight w:val="none"/>
                <w:lang w:val="en-US" w:eastAsia="zh-CN"/>
                <w14:textFill>
                  <w14:solidFill>
                    <w14:schemeClr w14:val="tx1"/>
                  </w14:solidFill>
                </w14:textFill>
              </w:rPr>
              <w:t>0.01</w:t>
            </w:r>
            <w:r>
              <w:rPr>
                <w:rFonts w:hint="eastAsia"/>
                <w:color w:val="000000" w:themeColor="text1"/>
                <w:sz w:val="24"/>
                <w:szCs w:val="24"/>
                <w:highlight w:val="none"/>
                <w:lang w:val="en-US" w:eastAsia="zh-CN"/>
                <w14:textFill>
                  <w14:solidFill>
                    <w14:schemeClr w14:val="tx1"/>
                  </w14:solidFill>
                </w14:textFill>
              </w:rPr>
              <w:t>5</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，二期工程主要涉及破碎、球磨工序与烘干工序2台布袋除尘器，一般情况下，布袋除尘器中的布袋每年更换一次，故废布袋产生量为</w:t>
            </w:r>
            <w:r>
              <w:rPr>
                <w:rFonts w:hint="default"/>
                <w:color w:val="000000" w:themeColor="text1"/>
                <w:sz w:val="24"/>
                <w:szCs w:val="24"/>
                <w:highlight w:val="none"/>
                <w:lang w:val="en-US" w:eastAsia="zh-CN"/>
                <w14:textFill>
                  <w14:solidFill>
                    <w14:schemeClr w14:val="tx1"/>
                  </w14:solidFill>
                </w14:textFill>
              </w:rPr>
              <w:t>0.0</w:t>
            </w:r>
            <w:r>
              <w:rPr>
                <w:rFonts w:hint="eastAsia"/>
                <w:color w:val="000000" w:themeColor="text1"/>
                <w:sz w:val="24"/>
                <w:szCs w:val="24"/>
                <w:highlight w:val="none"/>
                <w:lang w:val="en-US" w:eastAsia="zh-CN"/>
                <w14:textFill>
                  <w14:solidFill>
                    <w14:schemeClr w14:val="tx1"/>
                  </w14:solidFill>
                </w14:textFill>
              </w:rPr>
              <w:t>3</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，废布袋主要成分为纺织的滤布或非纺织的毡，为一般工业固体废物。根据《固体废物分类与代码目录》，废布袋固废代码为900-007-S17，定期交由厂家更换回收处置。</w:t>
            </w:r>
          </w:p>
          <w:p w14:paraId="62D0B001">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3</w:t>
            </w: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除尘灰</w:t>
            </w:r>
          </w:p>
          <w:p w14:paraId="66A09717">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二期工程主要涉及破碎、球磨工序与烘干工序2台布袋除尘器进行处理颗粒物，项目除尘器颗粒物收集量：53.193</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t/a，收集后的尘含有硅相，经收集后回用于</w:t>
            </w:r>
            <w:r>
              <w:rPr>
                <w:rFonts w:hint="eastAsia"/>
                <w:color w:val="000000" w:themeColor="text1"/>
                <w:sz w:val="24"/>
                <w:szCs w:val="24"/>
                <w:highlight w:val="none"/>
                <w:lang w:val="en-US" w:eastAsia="zh-CN"/>
                <w14:textFill>
                  <w14:solidFill>
                    <w14:schemeClr w14:val="tx1"/>
                  </w14:solidFill>
                </w14:textFill>
              </w:rPr>
              <w:t>生产线，根据《固体废物分类与代码目录》，除尘灰固废代码为900-099-S59</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w:t>
            </w:r>
          </w:p>
          <w:p w14:paraId="128EE48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（4）外沉池底泥</w:t>
            </w:r>
          </w:p>
          <w:p w14:paraId="130740AB">
            <w:pPr>
              <w:pStyle w:val="53"/>
              <w:bidi w:val="0"/>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项目运营期硅粉与硅渣经压滤机压滤后的滤液排入重选沉淀池最终于外沉池沉淀，沉淀池底泥含有硅相，产生量约120t/a，经收集后回用于生产线。</w:t>
            </w:r>
          </w:p>
          <w:p w14:paraId="4231DEF4">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p w14:paraId="43B64300">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根据《国家危险废物名录(2025年版)》中“危险废物豁免管理清单”表述</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废弃的含油抹布、劳保用品全过程不按危险废物管理，故废弃的含油抹布、劳保用品未分类收集，存放于厂区垃圾桶内，年产量0.00</w:t>
            </w:r>
            <w:r>
              <w:rPr>
                <w:rFonts w:hint="eastAsia" w:cs="Times New Roman"/>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t/a，定期清运。</w:t>
            </w:r>
          </w:p>
          <w:p w14:paraId="52EBC50B">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（6）二期工程生产工序尾渣</w:t>
            </w:r>
          </w:p>
          <w:p w14:paraId="5418E7D1">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①分级工序</w:t>
            </w:r>
          </w:p>
          <w:p w14:paraId="6FE4954B">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项目二期工程运营期硅渣</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通过</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旋流器组分级，分离出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150（约0.1mm）-200（约0.074mm）</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目合格颗粒进入浮选工段，</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直径大于</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0.1mm颗粒</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返回球磨机再粉碎</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，小于0.074mm颗粒经压滤后外售进行综合利用，年产量为1500t。</w:t>
            </w:r>
          </w:p>
          <w:p w14:paraId="46FC2964">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②浮选、压滤、重选工序废渣</w:t>
            </w:r>
          </w:p>
          <w:p w14:paraId="68DC9CCF">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硅渣分级后进入浮选与重选工序，浮选与重选过程中均会有废渣产生，</w:t>
            </w:r>
            <w:r>
              <w:rPr>
                <w:rFonts w:hint="eastAsia"/>
                <w:color w:val="000000" w:themeColor="text1"/>
                <w:highlight w:val="none"/>
                <w:lang w:val="en-US" w:eastAsia="zh-CN"/>
                <w14:textFill>
                  <w14:solidFill>
                    <w14:schemeClr w14:val="tx1"/>
                  </w14:solidFill>
                </w14:textFill>
              </w:rPr>
              <w:t>产生量根据物料平衡计算</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为10320.287t，经压滤后外售进行综合利用。</w:t>
            </w:r>
          </w:p>
          <w:p w14:paraId="7023A6C3">
            <w:pPr>
              <w:pStyle w:val="11"/>
              <w:pageBreakBefore w:val="0"/>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生活垃圾：</w:t>
            </w:r>
          </w:p>
          <w:p w14:paraId="31FEC944">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本项目无新增劳动定员，故无新增生活垃圾</w:t>
            </w:r>
            <w:r>
              <w:rPr>
                <w:color w:val="000000" w:themeColor="text1"/>
                <w:sz w:val="24"/>
                <w:szCs w:val="24"/>
                <w:highlight w:val="none"/>
                <w14:textFill>
                  <w14:solidFill>
                    <w14:schemeClr w14:val="tx1"/>
                  </w14:solidFill>
                </w14:textFill>
              </w:rPr>
              <w:t>。</w:t>
            </w:r>
          </w:p>
          <w:p w14:paraId="2F8F1274">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2" w:firstLineChars="200"/>
              <w:jc w:val="both"/>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一期工程危险废物：</w:t>
            </w:r>
          </w:p>
          <w:p w14:paraId="1DD036B2">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（1）</w:t>
            </w:r>
            <w:r>
              <w:rPr>
                <w:rFonts w:hint="eastAsia"/>
                <w:color w:val="000000" w:themeColor="text1"/>
                <w:sz w:val="24"/>
                <w:szCs w:val="24"/>
                <w:highlight w:val="none"/>
                <w:lang w:val="en-US" w:eastAsia="zh-CN"/>
                <w14:textFill>
                  <w14:solidFill>
                    <w14:schemeClr w14:val="tx1"/>
                  </w14:solidFill>
                </w14:textFill>
              </w:rPr>
              <w:t>废润滑油</w:t>
            </w:r>
          </w:p>
          <w:p w14:paraId="22BAC577">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项目设备维护保养时会产生废润滑油。项目设备维护保养过程中润滑油使用量为</w:t>
            </w:r>
            <w:r>
              <w:rPr>
                <w:rFonts w:hint="default"/>
                <w:color w:val="000000" w:themeColor="text1"/>
                <w:highlight w:val="none"/>
                <w:lang w:val="en-US" w:eastAsia="zh-CN"/>
                <w14:textFill>
                  <w14:solidFill>
                    <w14:schemeClr w14:val="tx1"/>
                  </w14:solidFill>
                </w14:textFill>
              </w:rPr>
              <w:t>0.05t/a</w:t>
            </w:r>
            <w:r>
              <w:rPr>
                <w:rFonts w:hint="eastAsia"/>
                <w:color w:val="000000" w:themeColor="text1"/>
                <w:highlight w:val="none"/>
                <w:lang w:val="en-US" w:eastAsia="zh-CN"/>
                <w14:textFill>
                  <w14:solidFill>
                    <w14:schemeClr w14:val="tx1"/>
                  </w14:solidFill>
                </w14:textFill>
              </w:rPr>
              <w:t>，在使用过程中约</w:t>
            </w:r>
            <w:r>
              <w:rPr>
                <w:rFonts w:hint="default"/>
                <w:color w:val="000000" w:themeColor="text1"/>
                <w:highlight w:val="none"/>
                <w:lang w:val="en-US" w:eastAsia="zh-CN"/>
                <w14:textFill>
                  <w14:solidFill>
                    <w14:schemeClr w14:val="tx1"/>
                  </w14:solidFill>
                </w14:textFill>
              </w:rPr>
              <w:t>40%</w:t>
            </w:r>
            <w:r>
              <w:rPr>
                <w:rFonts w:hint="eastAsia"/>
                <w:color w:val="000000" w:themeColor="text1"/>
                <w:highlight w:val="none"/>
                <w:lang w:val="en-US" w:eastAsia="zh-CN"/>
                <w14:textFill>
                  <w14:solidFill>
                    <w14:schemeClr w14:val="tx1"/>
                  </w14:solidFill>
                </w14:textFill>
              </w:rPr>
              <w:t>进入设备中耗损，故废润滑油产生量为</w:t>
            </w:r>
            <w:r>
              <w:rPr>
                <w:rFonts w:hint="default"/>
                <w:color w:val="000000" w:themeColor="text1"/>
                <w:highlight w:val="none"/>
                <w:lang w:val="en-US" w:eastAsia="zh-CN"/>
                <w14:textFill>
                  <w14:solidFill>
                    <w14:schemeClr w14:val="tx1"/>
                  </w14:solidFill>
                </w14:textFill>
              </w:rPr>
              <w:t>0.03t/a</w:t>
            </w:r>
            <w:r>
              <w:rPr>
                <w:rFonts w:hint="eastAsia"/>
                <w:color w:val="000000" w:themeColor="text1"/>
                <w:highlight w:val="none"/>
                <w:lang w:val="en-US" w:eastAsia="zh-CN"/>
                <w14:textFill>
                  <w14:solidFill>
                    <w14:schemeClr w14:val="tx1"/>
                  </w14:solidFill>
                </w14:textFill>
              </w:rPr>
              <w:t>。根据《国家危险废物名录》（2025年版），废润滑油属于</w:t>
            </w:r>
            <w:r>
              <w:rPr>
                <w:rFonts w:hint="default"/>
                <w:color w:val="000000" w:themeColor="text1"/>
                <w:highlight w:val="none"/>
                <w:lang w:val="en-US" w:eastAsia="zh-CN"/>
                <w14:textFill>
                  <w14:solidFill>
                    <w14:schemeClr w14:val="tx1"/>
                  </w14:solidFill>
                </w14:textFill>
              </w:rPr>
              <w:t>HW08</w:t>
            </w:r>
            <w:r>
              <w:rPr>
                <w:rFonts w:hint="eastAsia"/>
                <w:color w:val="000000" w:themeColor="text1"/>
                <w:highlight w:val="none"/>
                <w:lang w:val="en-US" w:eastAsia="zh-CN"/>
                <w14:textFill>
                  <w14:solidFill>
                    <w14:schemeClr w14:val="tx1"/>
                  </w14:solidFill>
                </w14:textFill>
              </w:rPr>
              <w:t>废矿物油与含矿物油废物</w:t>
            </w:r>
            <w:r>
              <w:rPr>
                <w:rFonts w:hint="default"/>
                <w:color w:val="000000" w:themeColor="text1"/>
                <w:highlight w:val="none"/>
                <w:lang w:val="en-US" w:eastAsia="zh-CN"/>
                <w14:textFill>
                  <w14:solidFill>
                    <w14:schemeClr w14:val="tx1"/>
                  </w14:solidFill>
                </w14:textFill>
              </w:rPr>
              <w:t>900-249-08</w:t>
            </w:r>
            <w:r>
              <w:rPr>
                <w:rFonts w:hint="eastAsia"/>
                <w:color w:val="000000" w:themeColor="text1"/>
                <w:highlight w:val="none"/>
                <w:lang w:val="en-US" w:eastAsia="zh-CN"/>
                <w14:textFill>
                  <w14:solidFill>
                    <w14:schemeClr w14:val="tx1"/>
                  </w14:solidFill>
                </w14:textFill>
              </w:rPr>
              <w:t>其他生产、销售、使用过程中产生的废矿物油与含矿物油废物中的危险废物，暂存至危险废物贮存点内，定期交由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4A1E453B">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（2）废油桶</w:t>
            </w:r>
          </w:p>
          <w:p w14:paraId="7A109109">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本项目废油桶根据《国家危险废物名录》（2025年版）属于</w:t>
            </w:r>
            <w:r>
              <w:rPr>
                <w:rFonts w:hint="default"/>
                <w:color w:val="000000" w:themeColor="text1"/>
                <w:highlight w:val="none"/>
                <w:lang w:val="en-US" w:eastAsia="zh-CN"/>
                <w14:textFill>
                  <w14:solidFill>
                    <w14:schemeClr w14:val="tx1"/>
                  </w14:solidFill>
                </w14:textFill>
              </w:rPr>
              <w:t>HW</w:t>
            </w:r>
            <w:r>
              <w:rPr>
                <w:rFonts w:hint="eastAsia"/>
                <w:color w:val="000000" w:themeColor="text1"/>
                <w:highlight w:val="none"/>
                <w:lang w:val="en-US" w:eastAsia="zh-CN"/>
                <w14:textFill>
                  <w14:solidFill>
                    <w14:schemeClr w14:val="tx1"/>
                  </w14:solidFill>
                </w14:textFill>
              </w:rPr>
              <w:t>49其他废物</w:t>
            </w:r>
            <w:r>
              <w:rPr>
                <w:rFonts w:hint="default"/>
                <w:color w:val="000000" w:themeColor="text1"/>
                <w:highlight w:val="none"/>
                <w:lang w:val="en-US" w:eastAsia="zh-CN"/>
                <w14:textFill>
                  <w14:solidFill>
                    <w14:schemeClr w14:val="tx1"/>
                  </w14:solidFill>
                </w14:textFill>
              </w:rPr>
              <w:t>900-</w:t>
            </w:r>
            <w:r>
              <w:rPr>
                <w:rFonts w:hint="eastAsia"/>
                <w:color w:val="000000" w:themeColor="text1"/>
                <w:highlight w:val="none"/>
                <w:lang w:val="en-US" w:eastAsia="zh-CN"/>
                <w14:textFill>
                  <w14:solidFill>
                    <w14:schemeClr w14:val="tx1"/>
                  </w14:solidFill>
                </w14:textFill>
              </w:rPr>
              <w:t>041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49含有或者沾染毒性、感染性危险废物的废弃的包装物、容器、过滤吸附介质的危险废物，产生量为0.01t/a，暂存至危险废物贮存点内，定期交由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24CDFEA9">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（3）废醇基燃料吨桶</w:t>
            </w:r>
          </w:p>
          <w:p w14:paraId="381B0131">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本项目醇基燃料不在场内进行大量储存，每日购买，现买现用，故废醇基燃料吨桶最大储存量为当天购买量空桶重量即0.4t。</w:t>
            </w:r>
          </w:p>
          <w:p w14:paraId="46EA460D">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textAlignment w:val="auto"/>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4</w:t>
            </w:r>
            <w:r>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废金属盐（酸洗沉淀池底泥）</w:t>
            </w:r>
          </w:p>
          <w:p w14:paraId="5258B6B5">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项目一期采用盐酸</w:t>
            </w:r>
            <w:r>
              <w:rPr>
                <w:rFonts w:hint="eastAsia"/>
                <w:color w:val="000000" w:themeColor="text1"/>
                <w:sz w:val="24"/>
                <w:szCs w:val="24"/>
                <w:highlight w:val="none"/>
                <w:lang w:val="en-US" w:eastAsia="zh-CN"/>
                <w14:textFill>
                  <w14:solidFill>
                    <w14:schemeClr w14:val="tx1"/>
                  </w14:solidFill>
                </w14:textFill>
              </w:rPr>
              <w:t>对</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废硅粉进行酸洗提纯，酸洗后会产生部分铁、铝及其他废金属盐，</w:t>
            </w:r>
            <w:r>
              <w:rPr>
                <w:rFonts w:hint="eastAsia"/>
                <w:color w:val="000000" w:themeColor="text1"/>
                <w:sz w:val="24"/>
                <w:szCs w:val="24"/>
                <w:highlight w:val="none"/>
                <w:lang w:val="en-US" w:eastAsia="zh-CN"/>
                <w14:textFill>
                  <w14:solidFill>
                    <w14:schemeClr w14:val="tx1"/>
                  </w14:solidFill>
                </w14:textFill>
              </w:rPr>
              <w:t>项目酸洗后</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废金属盐产生量约</w:t>
            </w:r>
            <w:r>
              <w:rPr>
                <w:rFonts w:hint="eastAsia"/>
                <w:color w:val="000000" w:themeColor="text1"/>
                <w:sz w:val="24"/>
                <w:szCs w:val="24"/>
                <w:highlight w:val="none"/>
                <w:lang w:val="en-US" w:eastAsia="zh-CN"/>
                <w14:textFill>
                  <w14:solidFill>
                    <w14:schemeClr w14:val="tx1"/>
                  </w14:solidFill>
                </w14:textFill>
              </w:rPr>
              <w:t>1560</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t/a，根据《国家危险废物名录》（2025年版）属于</w:t>
            </w:r>
            <w:r>
              <w:rPr>
                <w:rFonts w:hint="default" w:ascii="Times New Roman" w:hAnsi="Times New Roman" w:eastAsia="宋体"/>
                <w:color w:val="000000" w:themeColor="text1"/>
                <w:sz w:val="24"/>
                <w:szCs w:val="24"/>
                <w:highlight w:val="none"/>
                <w:lang w:val="en-US" w:eastAsia="zh-CN"/>
                <w14:textFill>
                  <w14:solidFill>
                    <w14:schemeClr w14:val="tx1"/>
                  </w14:solidFill>
                </w14:textFill>
              </w:rPr>
              <w:t>HW</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49其他废物900-047-49，</w:t>
            </w:r>
            <w:r>
              <w:rPr>
                <w:rFonts w:hint="eastAsia"/>
                <w:color w:val="000000" w:themeColor="text1"/>
                <w:sz w:val="24"/>
                <w:szCs w:val="24"/>
                <w:highlight w:val="none"/>
                <w:lang w:val="en-US" w:eastAsia="zh-CN"/>
                <w14:textFill>
                  <w14:solidFill>
                    <w14:schemeClr w14:val="tx1"/>
                  </w14:solidFill>
                </w14:textFill>
              </w:rPr>
              <w:t>压滤后</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暂存至危险废物贮存点内，定期交由有资质单位处理。</w:t>
            </w:r>
          </w:p>
          <w:p w14:paraId="6DA9BFA9">
            <w:pPr>
              <w:numPr>
                <w:ilvl w:val="0"/>
                <w:numId w:val="0"/>
              </w:numPr>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sz w:val="24"/>
                <w:szCs w:val="24"/>
                <w:highlight w:val="none"/>
                <w:lang w:val="en-US" w:eastAsia="zh-CN" w:bidi="ar-SA"/>
                <w14:textFill>
                  <w14:solidFill>
                    <w14:schemeClr w14:val="tx1"/>
                  </w14:solidFill>
                </w14:textFill>
              </w:rPr>
              <w:t>（</w:t>
            </w:r>
            <w:r>
              <w:rPr>
                <w:rFonts w:hint="eastAsia" w:cstheme="minorBidi"/>
                <w:color w:val="000000" w:themeColor="text1"/>
                <w:sz w:val="24"/>
                <w:szCs w:val="24"/>
                <w:highlight w:val="none"/>
                <w:lang w:val="en-US" w:eastAsia="zh-CN" w:bidi="ar-SA"/>
                <w14:textFill>
                  <w14:solidFill>
                    <w14:schemeClr w14:val="tx1"/>
                  </w14:solidFill>
                </w14:textFill>
              </w:rPr>
              <w:t>5</w:t>
            </w:r>
            <w:r>
              <w:rPr>
                <w:rFonts w:hint="eastAsia" w:ascii="Times New Roman" w:hAnsi="Times New Roman" w:eastAsia="宋体" w:cstheme="minorBidi"/>
                <w:color w:val="000000" w:themeColor="text1"/>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废碱液</w:t>
            </w:r>
          </w:p>
          <w:p w14:paraId="24E0DEDC">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本项目碱液池定期</w:t>
            </w:r>
            <w:r>
              <w:rPr>
                <w:rFonts w:hint="eastAsia" w:cs="Times New Roman"/>
                <w:color w:val="000000" w:themeColor="text1"/>
                <w:sz w:val="24"/>
                <w:szCs w:val="21"/>
                <w:highlight w:val="none"/>
                <w:lang w:val="en-US" w:eastAsia="zh-CN" w:bidi="ar-SA"/>
                <w14:textFill>
                  <w14:solidFill>
                    <w14:schemeClr w14:val="tx1"/>
                  </w14:solidFill>
                </w14:textFill>
              </w:rPr>
              <w:t>进行碱液池的清理，避免碱洗</w:t>
            </w:r>
            <w:r>
              <w:rPr>
                <w:rFonts w:hint="eastAsia" w:cs="Times New Roman"/>
                <w:b w:val="0"/>
                <w:bCs w:val="0"/>
                <w:color w:val="000000" w:themeColor="text1"/>
                <w:sz w:val="24"/>
                <w:szCs w:val="21"/>
                <w:highlight w:val="none"/>
                <w:lang w:val="en-US" w:eastAsia="zh-CN" w:bidi="ar-SA"/>
                <w14:textFill>
                  <w14:solidFill>
                    <w14:schemeClr w14:val="tx1"/>
                  </w14:solidFill>
                </w14:textFill>
              </w:rPr>
              <w:t>废水</w:t>
            </w:r>
            <w:r>
              <w:rPr>
                <w:rFonts w:hint="eastAsia" w:ascii="宋体" w:hAnsi="宋体" w:cs="宋体"/>
                <w:b w:val="0"/>
                <w:bCs w:val="0"/>
                <w:color w:val="000000" w:themeColor="text1"/>
                <w:kern w:val="0"/>
                <w:sz w:val="24"/>
                <w:highlight w:val="none"/>
                <w14:textFill>
                  <w14:solidFill>
                    <w14:schemeClr w14:val="tx1"/>
                  </w14:solidFill>
                </w14:textFill>
              </w:rPr>
              <w:t>盐类饱和后就无法循环</w:t>
            </w:r>
            <w:r>
              <w:rPr>
                <w:rFonts w:hint="eastAsia" w:ascii="宋体" w:hAnsi="宋体" w:cs="宋体"/>
                <w:b w:val="0"/>
                <w:bCs w:val="0"/>
                <w:color w:val="000000" w:themeColor="text1"/>
                <w:kern w:val="0"/>
                <w:sz w:val="24"/>
                <w:highlight w:val="none"/>
                <w:lang w:val="en-US" w:eastAsia="zh-CN"/>
                <w14:textFill>
                  <w14:solidFill>
                    <w14:schemeClr w14:val="tx1"/>
                  </w14:solidFill>
                </w14:textFill>
              </w:rPr>
              <w:t>使用</w:t>
            </w:r>
            <w:r>
              <w:rPr>
                <w:rFonts w:hint="eastAsia"/>
                <w:color w:val="000000" w:themeColor="text1"/>
                <w:highlight w:val="none"/>
                <w:lang w:val="en-US" w:eastAsia="zh-CN"/>
                <w14:textFill>
                  <w14:solidFill>
                    <w14:schemeClr w14:val="tx1"/>
                  </w14:solidFill>
                </w14:textFill>
              </w:rPr>
              <w:t>，废碱液年产生量为500m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属于《国家危险废物名录(2025年版)》中的“HW35废碱--900-352-35使用碱进行清洗产生的废碱液”，用专用收集桶收集后暂存于危废贮存点，收集桶下方设置托盘，托盘容积需大于废碱液容积，定期交由有资质的单位进行处置。</w:t>
            </w:r>
          </w:p>
          <w:p w14:paraId="19448506">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2" w:firstLineChars="200"/>
              <w:jc w:val="both"/>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二期工程危险废物：</w:t>
            </w:r>
          </w:p>
          <w:p w14:paraId="6FE8DA2C">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1</w:t>
            </w: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废润滑油</w:t>
            </w:r>
          </w:p>
          <w:p w14:paraId="48151A22">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项目设备维护保养时会产生废润滑油。项目设备维护保养过程中润滑油使用量为</w:t>
            </w:r>
            <w:r>
              <w:rPr>
                <w:rFonts w:hint="default"/>
                <w:color w:val="000000" w:themeColor="text1"/>
                <w:highlight w:val="none"/>
                <w:lang w:val="en-US" w:eastAsia="zh-CN"/>
                <w14:textFill>
                  <w14:solidFill>
                    <w14:schemeClr w14:val="tx1"/>
                  </w14:solidFill>
                </w14:textFill>
              </w:rPr>
              <w:t>0.05t/a</w:t>
            </w:r>
            <w:r>
              <w:rPr>
                <w:rFonts w:hint="eastAsia"/>
                <w:color w:val="000000" w:themeColor="text1"/>
                <w:highlight w:val="none"/>
                <w:lang w:val="en-US" w:eastAsia="zh-CN"/>
                <w14:textFill>
                  <w14:solidFill>
                    <w14:schemeClr w14:val="tx1"/>
                  </w14:solidFill>
                </w14:textFill>
              </w:rPr>
              <w:t>，在使用过程中约</w:t>
            </w:r>
            <w:r>
              <w:rPr>
                <w:rFonts w:hint="default"/>
                <w:color w:val="000000" w:themeColor="text1"/>
                <w:highlight w:val="none"/>
                <w:lang w:val="en-US" w:eastAsia="zh-CN"/>
                <w14:textFill>
                  <w14:solidFill>
                    <w14:schemeClr w14:val="tx1"/>
                  </w14:solidFill>
                </w14:textFill>
              </w:rPr>
              <w:t>40%</w:t>
            </w:r>
            <w:r>
              <w:rPr>
                <w:rFonts w:hint="eastAsia"/>
                <w:color w:val="000000" w:themeColor="text1"/>
                <w:highlight w:val="none"/>
                <w:lang w:val="en-US" w:eastAsia="zh-CN"/>
                <w14:textFill>
                  <w14:solidFill>
                    <w14:schemeClr w14:val="tx1"/>
                  </w14:solidFill>
                </w14:textFill>
              </w:rPr>
              <w:t>进入设备中耗损，故废润滑油产生量为</w:t>
            </w:r>
            <w:r>
              <w:rPr>
                <w:rFonts w:hint="default"/>
                <w:color w:val="000000" w:themeColor="text1"/>
                <w:highlight w:val="none"/>
                <w:lang w:val="en-US" w:eastAsia="zh-CN"/>
                <w14:textFill>
                  <w14:solidFill>
                    <w14:schemeClr w14:val="tx1"/>
                  </w14:solidFill>
                </w14:textFill>
              </w:rPr>
              <w:t>0.03t/a</w:t>
            </w:r>
            <w:r>
              <w:rPr>
                <w:rFonts w:hint="eastAsia"/>
                <w:color w:val="000000" w:themeColor="text1"/>
                <w:highlight w:val="none"/>
                <w:lang w:val="en-US" w:eastAsia="zh-CN"/>
                <w14:textFill>
                  <w14:solidFill>
                    <w14:schemeClr w14:val="tx1"/>
                  </w14:solidFill>
                </w14:textFill>
              </w:rPr>
              <w:t>。根据《国家危险废物名录》（2025年版），废润滑油属于</w:t>
            </w:r>
            <w:r>
              <w:rPr>
                <w:rFonts w:hint="default"/>
                <w:color w:val="000000" w:themeColor="text1"/>
                <w:highlight w:val="none"/>
                <w:lang w:val="en-US" w:eastAsia="zh-CN"/>
                <w14:textFill>
                  <w14:solidFill>
                    <w14:schemeClr w14:val="tx1"/>
                  </w14:solidFill>
                </w14:textFill>
              </w:rPr>
              <w:t>HW08</w:t>
            </w:r>
            <w:r>
              <w:rPr>
                <w:rFonts w:hint="eastAsia"/>
                <w:color w:val="000000" w:themeColor="text1"/>
                <w:highlight w:val="none"/>
                <w:lang w:val="en-US" w:eastAsia="zh-CN"/>
                <w14:textFill>
                  <w14:solidFill>
                    <w14:schemeClr w14:val="tx1"/>
                  </w14:solidFill>
                </w14:textFill>
              </w:rPr>
              <w:t>废矿物油与含矿物油废物</w:t>
            </w:r>
            <w:r>
              <w:rPr>
                <w:rFonts w:hint="default"/>
                <w:color w:val="000000" w:themeColor="text1"/>
                <w:highlight w:val="none"/>
                <w:lang w:val="en-US" w:eastAsia="zh-CN"/>
                <w14:textFill>
                  <w14:solidFill>
                    <w14:schemeClr w14:val="tx1"/>
                  </w14:solidFill>
                </w14:textFill>
              </w:rPr>
              <w:t>900-249-08</w:t>
            </w:r>
            <w:r>
              <w:rPr>
                <w:rFonts w:hint="eastAsia"/>
                <w:color w:val="000000" w:themeColor="text1"/>
                <w:highlight w:val="none"/>
                <w:lang w:val="en-US" w:eastAsia="zh-CN"/>
                <w14:textFill>
                  <w14:solidFill>
                    <w14:schemeClr w14:val="tx1"/>
                  </w14:solidFill>
                </w14:textFill>
              </w:rPr>
              <w:t>其他生产、销售、使用过程中产生的废矿物油与含矿物油废物中的危险废物，暂存至危险废物贮存点内，定期交由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5DEDB2B4">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（2）废油桶</w:t>
            </w:r>
          </w:p>
          <w:p w14:paraId="286F5BFF">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本项目废油桶根据《国家危险废物名录》（2025年版）属于</w:t>
            </w:r>
            <w:r>
              <w:rPr>
                <w:rFonts w:hint="default"/>
                <w:color w:val="000000" w:themeColor="text1"/>
                <w:highlight w:val="none"/>
                <w:lang w:val="en-US" w:eastAsia="zh-CN"/>
                <w14:textFill>
                  <w14:solidFill>
                    <w14:schemeClr w14:val="tx1"/>
                  </w14:solidFill>
                </w14:textFill>
              </w:rPr>
              <w:t>HW</w:t>
            </w:r>
            <w:r>
              <w:rPr>
                <w:rFonts w:hint="eastAsia"/>
                <w:color w:val="000000" w:themeColor="text1"/>
                <w:highlight w:val="none"/>
                <w:lang w:val="en-US" w:eastAsia="zh-CN"/>
                <w14:textFill>
                  <w14:solidFill>
                    <w14:schemeClr w14:val="tx1"/>
                  </w14:solidFill>
                </w14:textFill>
              </w:rPr>
              <w:t>49其他废物</w:t>
            </w:r>
            <w:r>
              <w:rPr>
                <w:rFonts w:hint="default"/>
                <w:color w:val="000000" w:themeColor="text1"/>
                <w:highlight w:val="none"/>
                <w:lang w:val="en-US" w:eastAsia="zh-CN"/>
                <w14:textFill>
                  <w14:solidFill>
                    <w14:schemeClr w14:val="tx1"/>
                  </w14:solidFill>
                </w14:textFill>
              </w:rPr>
              <w:t>900-</w:t>
            </w:r>
            <w:r>
              <w:rPr>
                <w:rFonts w:hint="eastAsia"/>
                <w:color w:val="000000" w:themeColor="text1"/>
                <w:highlight w:val="none"/>
                <w:lang w:val="en-US" w:eastAsia="zh-CN"/>
                <w14:textFill>
                  <w14:solidFill>
                    <w14:schemeClr w14:val="tx1"/>
                  </w14:solidFill>
                </w14:textFill>
              </w:rPr>
              <w:t>041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49含有或者沾染毒性、感染性危险废物的废弃的包装物、容器、过滤吸附介质的危险废物，产生量为0.01t/a，暂存至危险废物贮存点内，定期交由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400E48E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（3）浮选药剂包装桶</w:t>
            </w:r>
          </w:p>
          <w:p w14:paraId="0D6A2A3B">
            <w:pPr>
              <w:pStyle w:val="53"/>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本项目浮选药剂包装桶根据《国家危险废物名录》（2025年版）属于</w:t>
            </w:r>
            <w:r>
              <w:rPr>
                <w:rFonts w:hint="default"/>
                <w:color w:val="000000" w:themeColor="text1"/>
                <w:highlight w:val="none"/>
                <w:lang w:val="en-US" w:eastAsia="zh-CN"/>
                <w14:textFill>
                  <w14:solidFill>
                    <w14:schemeClr w14:val="tx1"/>
                  </w14:solidFill>
                </w14:textFill>
              </w:rPr>
              <w:t>HW</w:t>
            </w:r>
            <w:r>
              <w:rPr>
                <w:rFonts w:hint="eastAsia"/>
                <w:color w:val="000000" w:themeColor="text1"/>
                <w:highlight w:val="none"/>
                <w:lang w:val="en-US" w:eastAsia="zh-CN"/>
                <w14:textFill>
                  <w14:solidFill>
                    <w14:schemeClr w14:val="tx1"/>
                  </w14:solidFill>
                </w14:textFill>
              </w:rPr>
              <w:t>49其他废物</w:t>
            </w:r>
            <w:r>
              <w:rPr>
                <w:rFonts w:hint="default"/>
                <w:color w:val="000000" w:themeColor="text1"/>
                <w:highlight w:val="none"/>
                <w:lang w:val="en-US" w:eastAsia="zh-CN"/>
                <w14:textFill>
                  <w14:solidFill>
                    <w14:schemeClr w14:val="tx1"/>
                  </w14:solidFill>
                </w14:textFill>
              </w:rPr>
              <w:t>900-</w:t>
            </w:r>
            <w:r>
              <w:rPr>
                <w:rFonts w:hint="eastAsia"/>
                <w:color w:val="000000" w:themeColor="text1"/>
                <w:highlight w:val="none"/>
                <w:lang w:val="en-US" w:eastAsia="zh-CN"/>
                <w14:textFill>
                  <w14:solidFill>
                    <w14:schemeClr w14:val="tx1"/>
                  </w14:solidFill>
                </w14:textFill>
              </w:rPr>
              <w:t>041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49含有或者沾染毒性、感染性危险废物的废弃的包装物、容器、过滤吸附介质的危险废物，产生量为5t/a，暂存至危险废物贮存点内，定期交由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3BC1A7D3">
            <w:pPr>
              <w:spacing w:line="360" w:lineRule="auto"/>
              <w:ind w:firstLine="480" w:firstLineChars="200"/>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本项目固体废物产生及处置情况见下表4-22。</w:t>
            </w:r>
          </w:p>
          <w:p w14:paraId="49DAD3E6">
            <w:pPr>
              <w:pStyle w:val="48"/>
              <w:pageBreakBefore w:val="0"/>
              <w:shd w:val="clear"/>
              <w:kinsoku/>
              <w:wordWrap/>
              <w:overflowPunct/>
              <w:topLinePunct w:val="0"/>
              <w:autoSpaceDE/>
              <w:autoSpaceDN/>
              <w:bidi w:val="0"/>
              <w:adjustRightInd/>
              <w:spacing w:line="360" w:lineRule="auto"/>
              <w:ind w:right="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 xml:space="preserve">表4-22     </w:t>
            </w:r>
            <w:r>
              <w:rPr>
                <w:color w:val="000000" w:themeColor="text1"/>
                <w:sz w:val="21"/>
                <w:szCs w:val="21"/>
                <w:highlight w:val="none"/>
                <w14:textFill>
                  <w14:solidFill>
                    <w14:schemeClr w14:val="tx1"/>
                  </w14:solidFill>
                </w14:textFill>
              </w:rPr>
              <w:t>本项目固体废物产生及处置情况一览</w:t>
            </w:r>
            <w:r>
              <w:rPr>
                <w:rFonts w:hint="eastAsia"/>
                <w:color w:val="000000" w:themeColor="text1"/>
                <w:sz w:val="21"/>
                <w:szCs w:val="21"/>
                <w:highlight w:val="none"/>
                <w:lang w:val="en-US" w:eastAsia="zh-CN"/>
                <w14:textFill>
                  <w14:solidFill>
                    <w14:schemeClr w14:val="tx1"/>
                  </w14:solidFill>
                </w14:textFill>
              </w:rPr>
              <w:t>表</w:t>
            </w:r>
          </w:p>
          <w:tbl>
            <w:tblPr>
              <w:tblStyle w:val="21"/>
              <w:tblW w:w="745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526"/>
              <w:gridCol w:w="1286"/>
              <w:gridCol w:w="1665"/>
              <w:gridCol w:w="1354"/>
              <w:gridCol w:w="960"/>
              <w:gridCol w:w="1665"/>
            </w:tblGrid>
            <w:tr w14:paraId="5F02E9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835" w:hRule="atLeast"/>
                <w:jc w:val="center"/>
              </w:trPr>
              <w:tc>
                <w:tcPr>
                  <w:tcW w:w="352" w:type="pct"/>
                  <w:tcBorders>
                    <w:bottom w:val="single" w:color="auto" w:sz="12" w:space="0"/>
                  </w:tcBorders>
                  <w:shd w:val="clear" w:color="auto" w:fill="auto"/>
                  <w:noWrap w:val="0"/>
                  <w:vAlign w:val="center"/>
                </w:tcPr>
                <w:p w14:paraId="2953EC6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862" w:type="pct"/>
                  <w:tcBorders>
                    <w:bottom w:val="single" w:color="auto" w:sz="12" w:space="0"/>
                  </w:tcBorders>
                  <w:shd w:val="clear" w:color="auto" w:fill="auto"/>
                  <w:noWrap w:val="0"/>
                  <w:vAlign w:val="center"/>
                </w:tcPr>
                <w:p w14:paraId="4890BA2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名称</w:t>
                  </w:r>
                </w:p>
              </w:tc>
              <w:tc>
                <w:tcPr>
                  <w:tcW w:w="1116" w:type="pct"/>
                  <w:tcBorders>
                    <w:bottom w:val="single" w:color="auto" w:sz="12" w:space="0"/>
                  </w:tcBorders>
                  <w:shd w:val="clear" w:color="auto" w:fill="auto"/>
                  <w:noWrap w:val="0"/>
                  <w:vAlign w:val="center"/>
                </w:tcPr>
                <w:p w14:paraId="5CC168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废物代码</w:t>
                  </w:r>
                </w:p>
              </w:tc>
              <w:tc>
                <w:tcPr>
                  <w:tcW w:w="907" w:type="pct"/>
                  <w:tcBorders>
                    <w:bottom w:val="single" w:color="auto" w:sz="12" w:space="0"/>
                  </w:tcBorders>
                  <w:shd w:val="clear" w:color="auto" w:fill="auto"/>
                  <w:noWrap w:val="0"/>
                  <w:vAlign w:val="center"/>
                </w:tcPr>
                <w:p w14:paraId="62AF57B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产生途径</w:t>
                  </w:r>
                </w:p>
              </w:tc>
              <w:tc>
                <w:tcPr>
                  <w:tcW w:w="643" w:type="pct"/>
                  <w:tcBorders>
                    <w:bottom w:val="single" w:color="auto" w:sz="12" w:space="0"/>
                  </w:tcBorders>
                  <w:shd w:val="clear" w:color="auto" w:fill="auto"/>
                  <w:noWrap w:val="0"/>
                  <w:vAlign w:val="center"/>
                </w:tcPr>
                <w:p w14:paraId="49548B8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产生量</w:t>
                  </w:r>
                  <w:r>
                    <w:rPr>
                      <w:rFonts w:hint="default" w:ascii="Times New Roman" w:hAnsi="Times New Roman" w:cs="Times New Roman"/>
                      <w:b/>
                      <w:bCs/>
                      <w:color w:val="000000" w:themeColor="text1"/>
                      <w:sz w:val="21"/>
                      <w:szCs w:val="21"/>
                      <w:highlight w:val="none"/>
                      <w:lang w:val="en-US" w:eastAsia="en-US"/>
                      <w14:textFill>
                        <w14:solidFill>
                          <w14:schemeClr w14:val="tx1"/>
                        </w14:solidFill>
                      </w14:textFill>
                    </w:rPr>
                    <w:t>t/a</w:t>
                  </w:r>
                </w:p>
              </w:tc>
              <w:tc>
                <w:tcPr>
                  <w:tcW w:w="1116" w:type="pct"/>
                  <w:tcBorders>
                    <w:bottom w:val="single" w:color="auto" w:sz="12" w:space="0"/>
                  </w:tcBorders>
                  <w:shd w:val="clear" w:color="auto" w:fill="auto"/>
                  <w:noWrap w:val="0"/>
                  <w:vAlign w:val="center"/>
                </w:tcPr>
                <w:p w14:paraId="4B55190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处理措施</w:t>
                  </w:r>
                </w:p>
              </w:tc>
            </w:tr>
            <w:tr w14:paraId="3E4A7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435" w:hRule="atLeast"/>
                <w:jc w:val="center"/>
              </w:trPr>
              <w:tc>
                <w:tcPr>
                  <w:tcW w:w="5000" w:type="pct"/>
                  <w:gridSpan w:val="6"/>
                  <w:tcBorders>
                    <w:top w:val="single" w:color="auto" w:sz="12" w:space="0"/>
                    <w:tl2br w:val="nil"/>
                    <w:tr2bl w:val="nil"/>
                  </w:tcBorders>
                  <w:shd w:val="clear" w:color="auto" w:fill="auto"/>
                  <w:noWrap w:val="0"/>
                  <w:vAlign w:val="center"/>
                </w:tcPr>
                <w:p w14:paraId="4ED51B6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一期工程一般固废</w:t>
                  </w:r>
                </w:p>
              </w:tc>
            </w:tr>
            <w:tr w14:paraId="2F89A9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1181" w:hRule="atLeast"/>
                <w:jc w:val="center"/>
              </w:trPr>
              <w:tc>
                <w:tcPr>
                  <w:tcW w:w="352" w:type="pct"/>
                  <w:tcBorders>
                    <w:top w:val="single" w:color="auto" w:sz="12" w:space="0"/>
                    <w:tl2br w:val="nil"/>
                    <w:tr2bl w:val="nil"/>
                  </w:tcBorders>
                  <w:shd w:val="clear" w:color="auto" w:fill="auto"/>
                  <w:noWrap w:val="0"/>
                  <w:vAlign w:val="center"/>
                </w:tcPr>
                <w:p w14:paraId="7C51E01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op w:val="single" w:color="auto" w:sz="12" w:space="0"/>
                    <w:tl2br w:val="nil"/>
                    <w:tr2bl w:val="nil"/>
                  </w:tcBorders>
                  <w:shd w:val="clear" w:color="auto" w:fill="auto"/>
                  <w:noWrap w:val="0"/>
                  <w:vAlign w:val="center"/>
                </w:tcPr>
                <w:p w14:paraId="4384A6D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116" w:type="pct"/>
                  <w:tcBorders>
                    <w:top w:val="single" w:color="auto" w:sz="12" w:space="0"/>
                    <w:tl2br w:val="nil"/>
                    <w:tr2bl w:val="nil"/>
                  </w:tcBorders>
                  <w:shd w:val="clear" w:color="auto" w:fill="auto"/>
                  <w:noWrap w:val="0"/>
                  <w:vAlign w:val="center"/>
                </w:tcPr>
                <w:p w14:paraId="7E861EB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900-003-S17</w:t>
                  </w:r>
                </w:p>
              </w:tc>
              <w:tc>
                <w:tcPr>
                  <w:tcW w:w="907" w:type="pct"/>
                  <w:tcBorders>
                    <w:top w:val="single" w:color="auto" w:sz="12" w:space="0"/>
                    <w:tl2br w:val="nil"/>
                    <w:tr2bl w:val="nil"/>
                  </w:tcBorders>
                  <w:shd w:val="clear" w:color="auto" w:fill="auto"/>
                  <w:noWrap w:val="0"/>
                  <w:vAlign w:val="center"/>
                </w:tcPr>
                <w:p w14:paraId="09F29AB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原料装卸工序</w:t>
                  </w:r>
                </w:p>
              </w:tc>
              <w:tc>
                <w:tcPr>
                  <w:tcW w:w="643" w:type="pct"/>
                  <w:tcBorders>
                    <w:top w:val="single" w:color="auto" w:sz="12" w:space="0"/>
                    <w:tl2br w:val="nil"/>
                    <w:tr2bl w:val="nil"/>
                  </w:tcBorders>
                  <w:shd w:val="clear" w:color="auto" w:fill="auto"/>
                  <w:noWrap w:val="0"/>
                  <w:vAlign w:val="center"/>
                </w:tcPr>
                <w:p w14:paraId="5E4A720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p>
              </w:tc>
              <w:tc>
                <w:tcPr>
                  <w:tcW w:w="1116" w:type="pct"/>
                  <w:tcBorders>
                    <w:top w:val="single" w:color="auto" w:sz="12" w:space="0"/>
                    <w:tl2br w:val="nil"/>
                    <w:tr2bl w:val="nil"/>
                  </w:tcBorders>
                  <w:shd w:val="clear" w:color="auto" w:fill="auto"/>
                  <w:noWrap w:val="0"/>
                  <w:vAlign w:val="center"/>
                </w:tcPr>
                <w:p w14:paraId="6555245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集中收集至厂内原有一般固废贮存间内，定期外售于废品回收站</w:t>
                  </w:r>
                </w:p>
              </w:tc>
            </w:tr>
            <w:tr w14:paraId="30786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19" w:hRule="atLeast"/>
                <w:jc w:val="center"/>
              </w:trPr>
              <w:tc>
                <w:tcPr>
                  <w:tcW w:w="352" w:type="pct"/>
                  <w:tcBorders>
                    <w:tl2br w:val="nil"/>
                    <w:tr2bl w:val="nil"/>
                  </w:tcBorders>
                  <w:shd w:val="clear" w:color="auto" w:fill="auto"/>
                  <w:noWrap w:val="0"/>
                  <w:vAlign w:val="center"/>
                </w:tcPr>
                <w:p w14:paraId="2F88241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3DEFB10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116" w:type="pct"/>
                  <w:tcBorders>
                    <w:tl2br w:val="nil"/>
                    <w:tr2bl w:val="nil"/>
                  </w:tcBorders>
                  <w:shd w:val="clear" w:color="auto" w:fill="auto"/>
                  <w:noWrap w:val="0"/>
                  <w:vAlign w:val="center"/>
                </w:tcPr>
                <w:p w14:paraId="45E011A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900-099-S07</w:t>
                  </w:r>
                </w:p>
              </w:tc>
              <w:tc>
                <w:tcPr>
                  <w:tcW w:w="907" w:type="pct"/>
                  <w:tcBorders>
                    <w:tl2br w:val="nil"/>
                    <w:tr2bl w:val="nil"/>
                  </w:tcBorders>
                  <w:shd w:val="clear" w:color="auto" w:fill="auto"/>
                  <w:noWrap w:val="0"/>
                  <w:vAlign w:val="center"/>
                </w:tcPr>
                <w:p w14:paraId="60968B6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沉淀池</w:t>
                  </w:r>
                </w:p>
              </w:tc>
              <w:tc>
                <w:tcPr>
                  <w:tcW w:w="643" w:type="pct"/>
                  <w:tcBorders>
                    <w:tl2br w:val="nil"/>
                    <w:tr2bl w:val="nil"/>
                  </w:tcBorders>
                  <w:shd w:val="clear" w:color="auto" w:fill="auto"/>
                  <w:noWrap w:val="0"/>
                  <w:vAlign w:val="center"/>
                </w:tcPr>
                <w:p w14:paraId="453FE77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p>
              </w:tc>
              <w:tc>
                <w:tcPr>
                  <w:tcW w:w="1116" w:type="pct"/>
                  <w:tcBorders>
                    <w:tl2br w:val="nil"/>
                    <w:tr2bl w:val="nil"/>
                  </w:tcBorders>
                  <w:shd w:val="clear" w:color="auto" w:fill="auto"/>
                  <w:noWrap w:val="0"/>
                  <w:vAlign w:val="center"/>
                </w:tcPr>
                <w:p w14:paraId="39BC3E6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4D9B9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793" w:hRule="atLeast"/>
                <w:jc w:val="center"/>
              </w:trPr>
              <w:tc>
                <w:tcPr>
                  <w:tcW w:w="352" w:type="pct"/>
                  <w:tcBorders>
                    <w:tl2br w:val="nil"/>
                    <w:tr2bl w:val="nil"/>
                  </w:tcBorders>
                  <w:shd w:val="clear" w:color="auto" w:fill="auto"/>
                  <w:noWrap w:val="0"/>
                  <w:vAlign w:val="center"/>
                </w:tcPr>
                <w:p w14:paraId="47FA9E5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748F74C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116" w:type="pct"/>
                  <w:tcBorders>
                    <w:tl2br w:val="nil"/>
                    <w:tr2bl w:val="nil"/>
                  </w:tcBorders>
                  <w:shd w:val="clear" w:color="auto" w:fill="auto"/>
                  <w:noWrap w:val="0"/>
                  <w:vAlign w:val="center"/>
                </w:tcPr>
                <w:p w14:paraId="1A51C50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900-007-S17</w:t>
                  </w:r>
                </w:p>
              </w:tc>
              <w:tc>
                <w:tcPr>
                  <w:tcW w:w="907" w:type="pct"/>
                  <w:tcBorders>
                    <w:tl2br w:val="nil"/>
                    <w:tr2bl w:val="nil"/>
                  </w:tcBorders>
                  <w:shd w:val="clear" w:color="auto" w:fill="auto"/>
                  <w:noWrap w:val="0"/>
                  <w:vAlign w:val="center"/>
                </w:tcPr>
                <w:p w14:paraId="7E2B077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368446D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2399F66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r>
            <w:tr w14:paraId="7F5B1C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519" w:hRule="atLeast"/>
                <w:jc w:val="center"/>
              </w:trPr>
              <w:tc>
                <w:tcPr>
                  <w:tcW w:w="352" w:type="pct"/>
                  <w:tcBorders>
                    <w:tl2br w:val="nil"/>
                    <w:tr2bl w:val="nil"/>
                  </w:tcBorders>
                  <w:shd w:val="clear" w:color="auto" w:fill="auto"/>
                  <w:noWrap w:val="0"/>
                  <w:vAlign w:val="center"/>
                </w:tcPr>
                <w:p w14:paraId="4169946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62" w:type="pct"/>
                  <w:tcBorders>
                    <w:tl2br w:val="nil"/>
                    <w:tr2bl w:val="nil"/>
                  </w:tcBorders>
                  <w:shd w:val="clear" w:color="auto" w:fill="auto"/>
                  <w:noWrap w:val="0"/>
                  <w:vAlign w:val="center"/>
                </w:tcPr>
                <w:p w14:paraId="2F4E6C3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116" w:type="pct"/>
                  <w:tcBorders>
                    <w:tl2br w:val="nil"/>
                    <w:tr2bl w:val="nil"/>
                  </w:tcBorders>
                  <w:shd w:val="clear" w:color="auto" w:fill="auto"/>
                  <w:noWrap w:val="0"/>
                  <w:vAlign w:val="center"/>
                </w:tcPr>
                <w:p w14:paraId="793AEF9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797DDEC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3878A45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2.294</w:t>
                  </w:r>
                </w:p>
              </w:tc>
              <w:tc>
                <w:tcPr>
                  <w:tcW w:w="1116" w:type="pct"/>
                  <w:tcBorders>
                    <w:tl2br w:val="nil"/>
                    <w:tr2bl w:val="nil"/>
                  </w:tcBorders>
                  <w:shd w:val="clear" w:color="auto" w:fill="auto"/>
                  <w:noWrap w:val="0"/>
                  <w:vAlign w:val="center"/>
                </w:tcPr>
                <w:p w14:paraId="2798642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0E14C3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1010" w:hRule="atLeast"/>
                <w:jc w:val="center"/>
              </w:trPr>
              <w:tc>
                <w:tcPr>
                  <w:tcW w:w="352" w:type="pct"/>
                  <w:tcBorders>
                    <w:tl2br w:val="nil"/>
                    <w:tr2bl w:val="nil"/>
                  </w:tcBorders>
                  <w:shd w:val="clear" w:color="auto" w:fill="auto"/>
                  <w:noWrap w:val="0"/>
                  <w:vAlign w:val="center"/>
                </w:tcPr>
                <w:p w14:paraId="3FA3F71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862" w:type="pct"/>
                  <w:tcBorders>
                    <w:tl2br w:val="nil"/>
                    <w:tr2bl w:val="nil"/>
                  </w:tcBorders>
                  <w:shd w:val="clear" w:color="auto" w:fill="auto"/>
                  <w:noWrap w:val="0"/>
                  <w:vAlign w:val="center"/>
                </w:tcPr>
                <w:p w14:paraId="0AB2BD1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w:t>
                  </w:r>
                </w:p>
              </w:tc>
              <w:tc>
                <w:tcPr>
                  <w:tcW w:w="1116" w:type="pct"/>
                  <w:tcBorders>
                    <w:tl2br w:val="nil"/>
                    <w:tr2bl w:val="nil"/>
                  </w:tcBorders>
                  <w:shd w:val="clear" w:color="auto" w:fill="auto"/>
                  <w:noWrap w:val="0"/>
                  <w:vAlign w:val="center"/>
                </w:tcPr>
                <w:p w14:paraId="5A5EEEB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42F6362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酸洗提纯</w:t>
                  </w:r>
                </w:p>
              </w:tc>
              <w:tc>
                <w:tcPr>
                  <w:tcW w:w="643" w:type="pct"/>
                  <w:tcBorders>
                    <w:tl2br w:val="nil"/>
                    <w:tr2bl w:val="nil"/>
                  </w:tcBorders>
                  <w:shd w:val="clear" w:color="auto" w:fill="auto"/>
                  <w:noWrap w:val="0"/>
                  <w:vAlign w:val="center"/>
                </w:tcPr>
                <w:p w14:paraId="77712E1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2197.346</w:t>
                  </w:r>
                </w:p>
              </w:tc>
              <w:tc>
                <w:tcPr>
                  <w:tcW w:w="1116" w:type="pct"/>
                  <w:tcBorders>
                    <w:tl2br w:val="nil"/>
                    <w:tr2bl w:val="nil"/>
                  </w:tcBorders>
                  <w:shd w:val="clear" w:color="auto" w:fill="auto"/>
                  <w:noWrap w:val="0"/>
                  <w:vAlign w:val="center"/>
                </w:tcPr>
                <w:p w14:paraId="5B21610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r>
            <w:tr w14:paraId="56C289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674" w:hRule="atLeast"/>
                <w:jc w:val="center"/>
              </w:trPr>
              <w:tc>
                <w:tcPr>
                  <w:tcW w:w="352" w:type="pct"/>
                  <w:tcBorders>
                    <w:tl2br w:val="nil"/>
                    <w:tr2bl w:val="nil"/>
                  </w:tcBorders>
                  <w:shd w:val="clear" w:color="auto" w:fill="auto"/>
                  <w:noWrap w:val="0"/>
                  <w:vAlign w:val="center"/>
                </w:tcPr>
                <w:p w14:paraId="28E66D4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w:t>
                  </w:r>
                </w:p>
              </w:tc>
              <w:tc>
                <w:tcPr>
                  <w:tcW w:w="862" w:type="pct"/>
                  <w:tcBorders>
                    <w:tl2br w:val="nil"/>
                    <w:tr2bl w:val="nil"/>
                  </w:tcBorders>
                  <w:shd w:val="clear" w:color="auto" w:fill="auto"/>
                  <w:noWrap w:val="0"/>
                  <w:vAlign w:val="center"/>
                </w:tcPr>
                <w:p w14:paraId="1A88B4F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离子交换树脂</w:t>
                  </w:r>
                </w:p>
              </w:tc>
              <w:tc>
                <w:tcPr>
                  <w:tcW w:w="1116" w:type="pct"/>
                  <w:tcBorders>
                    <w:tl2br w:val="nil"/>
                    <w:tr2bl w:val="nil"/>
                  </w:tcBorders>
                  <w:shd w:val="clear" w:color="auto" w:fill="auto"/>
                  <w:noWrap w:val="0"/>
                  <w:vAlign w:val="center"/>
                </w:tcPr>
                <w:p w14:paraId="789EBE8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900-008-S59</w:t>
                  </w:r>
                </w:p>
              </w:tc>
              <w:tc>
                <w:tcPr>
                  <w:tcW w:w="907" w:type="pct"/>
                  <w:tcBorders>
                    <w:tl2br w:val="nil"/>
                    <w:tr2bl w:val="nil"/>
                  </w:tcBorders>
                  <w:shd w:val="clear" w:color="auto" w:fill="auto"/>
                  <w:noWrap w:val="0"/>
                  <w:vAlign w:val="center"/>
                </w:tcPr>
                <w:p w14:paraId="18956A4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锅炉软水制备工艺</w:t>
                  </w:r>
                </w:p>
              </w:tc>
              <w:tc>
                <w:tcPr>
                  <w:tcW w:w="643" w:type="pct"/>
                  <w:tcBorders>
                    <w:tl2br w:val="nil"/>
                    <w:tr2bl w:val="nil"/>
                  </w:tcBorders>
                  <w:shd w:val="clear" w:color="auto" w:fill="auto"/>
                  <w:noWrap w:val="0"/>
                  <w:vAlign w:val="center"/>
                </w:tcPr>
                <w:p w14:paraId="25CA4D7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p>
              </w:tc>
              <w:tc>
                <w:tcPr>
                  <w:tcW w:w="1116" w:type="pct"/>
                  <w:tcBorders>
                    <w:tl2br w:val="nil"/>
                    <w:tr2bl w:val="nil"/>
                  </w:tcBorders>
                  <w:shd w:val="clear" w:color="auto" w:fill="auto"/>
                  <w:noWrap w:val="0"/>
                  <w:vAlign w:val="center"/>
                </w:tcPr>
                <w:p w14:paraId="3B5A709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由厂家定期更换回收处理</w:t>
                  </w:r>
                </w:p>
              </w:tc>
            </w:tr>
            <w:tr w14:paraId="7A8B38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601" w:hRule="atLeast"/>
                <w:jc w:val="center"/>
              </w:trPr>
              <w:tc>
                <w:tcPr>
                  <w:tcW w:w="352" w:type="pct"/>
                  <w:tcBorders>
                    <w:tl2br w:val="nil"/>
                    <w:tr2bl w:val="nil"/>
                  </w:tcBorders>
                  <w:shd w:val="clear" w:color="auto" w:fill="auto"/>
                  <w:noWrap w:val="0"/>
                  <w:vAlign w:val="center"/>
                </w:tcPr>
                <w:p w14:paraId="070AE6C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w:t>
                  </w:r>
                </w:p>
              </w:tc>
              <w:tc>
                <w:tcPr>
                  <w:tcW w:w="862" w:type="pct"/>
                  <w:tcBorders>
                    <w:tl2br w:val="nil"/>
                    <w:tr2bl w:val="nil"/>
                  </w:tcBorders>
                  <w:shd w:val="clear" w:color="auto" w:fill="auto"/>
                  <w:noWrap w:val="0"/>
                  <w:vAlign w:val="center"/>
                </w:tcPr>
                <w:p w14:paraId="598155F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116" w:type="pct"/>
                  <w:tcBorders>
                    <w:tl2br w:val="nil"/>
                    <w:tr2bl w:val="nil"/>
                  </w:tcBorders>
                  <w:shd w:val="clear" w:color="auto" w:fill="auto"/>
                  <w:noWrap w:val="0"/>
                  <w:vAlign w:val="center"/>
                </w:tcPr>
                <w:p w14:paraId="605F620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900-041-49</w:t>
                  </w:r>
                </w:p>
              </w:tc>
              <w:tc>
                <w:tcPr>
                  <w:tcW w:w="907" w:type="pct"/>
                  <w:tcBorders>
                    <w:tl2br w:val="nil"/>
                    <w:tr2bl w:val="nil"/>
                  </w:tcBorders>
                  <w:shd w:val="clear" w:color="auto" w:fill="auto"/>
                  <w:noWrap w:val="0"/>
                  <w:vAlign w:val="center"/>
                </w:tcPr>
                <w:p w14:paraId="5DA404A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34C5FC9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p>
              </w:tc>
              <w:tc>
                <w:tcPr>
                  <w:tcW w:w="1116" w:type="pct"/>
                  <w:tcBorders>
                    <w:tl2br w:val="nil"/>
                    <w:tr2bl w:val="nil"/>
                  </w:tcBorders>
                  <w:shd w:val="clear" w:color="auto" w:fill="auto"/>
                  <w:noWrap w:val="0"/>
                  <w:vAlign w:val="center"/>
                </w:tcPr>
                <w:p w14:paraId="2369407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r>
            <w:tr w14:paraId="228F6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39" w:hRule="atLeast"/>
                <w:jc w:val="center"/>
              </w:trPr>
              <w:tc>
                <w:tcPr>
                  <w:tcW w:w="5000" w:type="pct"/>
                  <w:gridSpan w:val="6"/>
                  <w:tcBorders>
                    <w:tl2br w:val="nil"/>
                    <w:tr2bl w:val="nil"/>
                  </w:tcBorders>
                  <w:shd w:val="clear" w:color="auto" w:fill="auto"/>
                  <w:noWrap w:val="0"/>
                  <w:vAlign w:val="center"/>
                </w:tcPr>
                <w:p w14:paraId="6529FB6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二期工程一般固废</w:t>
                  </w:r>
                </w:p>
              </w:tc>
            </w:tr>
            <w:tr w14:paraId="5A23C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329" w:hRule="atLeast"/>
                <w:jc w:val="center"/>
              </w:trPr>
              <w:tc>
                <w:tcPr>
                  <w:tcW w:w="352" w:type="pct"/>
                  <w:tcBorders>
                    <w:tl2br w:val="nil"/>
                    <w:tr2bl w:val="nil"/>
                  </w:tcBorders>
                  <w:shd w:val="clear" w:color="auto" w:fill="auto"/>
                  <w:noWrap w:val="0"/>
                  <w:vAlign w:val="center"/>
                </w:tcPr>
                <w:p w14:paraId="792050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l2br w:val="nil"/>
                    <w:tr2bl w:val="nil"/>
                  </w:tcBorders>
                  <w:shd w:val="clear" w:color="auto" w:fill="auto"/>
                  <w:noWrap w:val="0"/>
                  <w:vAlign w:val="center"/>
                </w:tcPr>
                <w:p w14:paraId="5B8D80F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116" w:type="pct"/>
                  <w:tcBorders>
                    <w:tl2br w:val="nil"/>
                    <w:tr2bl w:val="nil"/>
                  </w:tcBorders>
                  <w:shd w:val="clear" w:color="auto" w:fill="auto"/>
                  <w:noWrap w:val="0"/>
                  <w:vAlign w:val="center"/>
                </w:tcPr>
                <w:p w14:paraId="076D917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900-003-S17</w:t>
                  </w:r>
                </w:p>
              </w:tc>
              <w:tc>
                <w:tcPr>
                  <w:tcW w:w="907" w:type="pct"/>
                  <w:tcBorders>
                    <w:tl2br w:val="nil"/>
                    <w:tr2bl w:val="nil"/>
                  </w:tcBorders>
                  <w:shd w:val="clear" w:color="auto" w:fill="auto"/>
                  <w:noWrap w:val="0"/>
                  <w:vAlign w:val="center"/>
                </w:tcPr>
                <w:p w14:paraId="631F4B0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原料装卸工序</w:t>
                  </w:r>
                </w:p>
              </w:tc>
              <w:tc>
                <w:tcPr>
                  <w:tcW w:w="643" w:type="pct"/>
                  <w:tcBorders>
                    <w:tl2br w:val="nil"/>
                    <w:tr2bl w:val="nil"/>
                  </w:tcBorders>
                  <w:shd w:val="clear" w:color="auto" w:fill="auto"/>
                  <w:noWrap w:val="0"/>
                  <w:vAlign w:val="center"/>
                </w:tcPr>
                <w:p w14:paraId="387BCF6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p>
              </w:tc>
              <w:tc>
                <w:tcPr>
                  <w:tcW w:w="1116" w:type="pct"/>
                  <w:tcBorders>
                    <w:tl2br w:val="nil"/>
                    <w:tr2bl w:val="nil"/>
                  </w:tcBorders>
                  <w:shd w:val="clear" w:color="auto" w:fill="auto"/>
                  <w:noWrap w:val="0"/>
                  <w:vAlign w:val="center"/>
                </w:tcPr>
                <w:p w14:paraId="201AD61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集中收集至厂内原有一般固废贮存间内，定期外售于废品回收站</w:t>
                  </w:r>
                </w:p>
              </w:tc>
            </w:tr>
            <w:tr w14:paraId="37EE8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74" w:hRule="atLeast"/>
                <w:jc w:val="center"/>
              </w:trPr>
              <w:tc>
                <w:tcPr>
                  <w:tcW w:w="352" w:type="pct"/>
                  <w:tcBorders>
                    <w:tl2br w:val="nil"/>
                    <w:tr2bl w:val="nil"/>
                  </w:tcBorders>
                  <w:shd w:val="clear" w:color="auto" w:fill="auto"/>
                  <w:noWrap w:val="0"/>
                  <w:vAlign w:val="center"/>
                </w:tcPr>
                <w:p w14:paraId="60C9BEC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46038B1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116" w:type="pct"/>
                  <w:tcBorders>
                    <w:tl2br w:val="nil"/>
                    <w:tr2bl w:val="nil"/>
                  </w:tcBorders>
                  <w:shd w:val="clear" w:color="auto" w:fill="auto"/>
                  <w:noWrap w:val="0"/>
                  <w:vAlign w:val="center"/>
                </w:tcPr>
                <w:p w14:paraId="41D61D5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900-099-S07</w:t>
                  </w:r>
                </w:p>
              </w:tc>
              <w:tc>
                <w:tcPr>
                  <w:tcW w:w="907" w:type="pct"/>
                  <w:tcBorders>
                    <w:tl2br w:val="nil"/>
                    <w:tr2bl w:val="nil"/>
                  </w:tcBorders>
                  <w:shd w:val="clear" w:color="auto" w:fill="auto"/>
                  <w:noWrap w:val="0"/>
                  <w:vAlign w:val="center"/>
                </w:tcPr>
                <w:p w14:paraId="0F88978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沉淀池</w:t>
                  </w:r>
                </w:p>
              </w:tc>
              <w:tc>
                <w:tcPr>
                  <w:tcW w:w="643" w:type="pct"/>
                  <w:tcBorders>
                    <w:tl2br w:val="nil"/>
                    <w:tr2bl w:val="nil"/>
                  </w:tcBorders>
                  <w:shd w:val="clear" w:color="auto" w:fill="auto"/>
                  <w:noWrap w:val="0"/>
                  <w:vAlign w:val="center"/>
                </w:tcPr>
                <w:p w14:paraId="33AF8B8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p>
              </w:tc>
              <w:tc>
                <w:tcPr>
                  <w:tcW w:w="1116" w:type="pct"/>
                  <w:tcBorders>
                    <w:tl2br w:val="nil"/>
                    <w:tr2bl w:val="nil"/>
                  </w:tcBorders>
                  <w:shd w:val="clear" w:color="auto" w:fill="auto"/>
                  <w:noWrap w:val="0"/>
                  <w:vAlign w:val="center"/>
                </w:tcPr>
                <w:p w14:paraId="092AF81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21028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90" w:hRule="atLeast"/>
                <w:jc w:val="center"/>
              </w:trPr>
              <w:tc>
                <w:tcPr>
                  <w:tcW w:w="352" w:type="pct"/>
                  <w:tcBorders>
                    <w:tl2br w:val="nil"/>
                    <w:tr2bl w:val="nil"/>
                  </w:tcBorders>
                  <w:shd w:val="clear" w:color="auto" w:fill="auto"/>
                  <w:noWrap w:val="0"/>
                  <w:vAlign w:val="center"/>
                </w:tcPr>
                <w:p w14:paraId="3DFB6E8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00B4808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116" w:type="pct"/>
                  <w:tcBorders>
                    <w:tl2br w:val="nil"/>
                    <w:tr2bl w:val="nil"/>
                  </w:tcBorders>
                  <w:shd w:val="clear" w:color="auto" w:fill="auto"/>
                  <w:noWrap w:val="0"/>
                  <w:vAlign w:val="center"/>
                </w:tcPr>
                <w:p w14:paraId="6A9DCC1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900-007-S17</w:t>
                  </w:r>
                </w:p>
              </w:tc>
              <w:tc>
                <w:tcPr>
                  <w:tcW w:w="907" w:type="pct"/>
                  <w:tcBorders>
                    <w:tl2br w:val="nil"/>
                    <w:tr2bl w:val="nil"/>
                  </w:tcBorders>
                  <w:shd w:val="clear" w:color="auto" w:fill="auto"/>
                  <w:noWrap w:val="0"/>
                  <w:vAlign w:val="center"/>
                </w:tcPr>
                <w:p w14:paraId="1B7FF28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618068A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4D8EC32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r>
            <w:tr w14:paraId="41D91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352" w:type="pct"/>
                  <w:tcBorders>
                    <w:tl2br w:val="nil"/>
                    <w:tr2bl w:val="nil"/>
                  </w:tcBorders>
                  <w:shd w:val="clear" w:color="auto" w:fill="auto"/>
                  <w:noWrap w:val="0"/>
                  <w:vAlign w:val="center"/>
                </w:tcPr>
                <w:p w14:paraId="0691178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62" w:type="pct"/>
                  <w:tcBorders>
                    <w:tl2br w:val="nil"/>
                    <w:tr2bl w:val="nil"/>
                  </w:tcBorders>
                  <w:shd w:val="clear" w:color="auto" w:fill="auto"/>
                  <w:noWrap w:val="0"/>
                  <w:vAlign w:val="center"/>
                </w:tcPr>
                <w:p w14:paraId="2DC0F7B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116" w:type="pct"/>
                  <w:tcBorders>
                    <w:tl2br w:val="nil"/>
                    <w:tr2bl w:val="nil"/>
                  </w:tcBorders>
                  <w:shd w:val="clear" w:color="auto" w:fill="auto"/>
                  <w:noWrap w:val="0"/>
                  <w:vAlign w:val="center"/>
                </w:tcPr>
                <w:p w14:paraId="3F72A4F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21435BD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13A7449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p>
              </w:tc>
              <w:tc>
                <w:tcPr>
                  <w:tcW w:w="1116" w:type="pct"/>
                  <w:tcBorders>
                    <w:tl2br w:val="nil"/>
                    <w:tr2bl w:val="nil"/>
                  </w:tcBorders>
                  <w:shd w:val="clear" w:color="auto" w:fill="auto"/>
                  <w:noWrap w:val="0"/>
                  <w:vAlign w:val="center"/>
                </w:tcPr>
                <w:p w14:paraId="7358558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00660C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404" w:hRule="atLeast"/>
                <w:jc w:val="center"/>
              </w:trPr>
              <w:tc>
                <w:tcPr>
                  <w:tcW w:w="352" w:type="pct"/>
                  <w:tcBorders>
                    <w:tl2br w:val="nil"/>
                    <w:tr2bl w:val="nil"/>
                  </w:tcBorders>
                  <w:shd w:val="clear" w:color="auto" w:fill="auto"/>
                  <w:noWrap w:val="0"/>
                  <w:vAlign w:val="center"/>
                </w:tcPr>
                <w:p w14:paraId="6498141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862" w:type="pct"/>
                  <w:tcBorders>
                    <w:tl2br w:val="nil"/>
                    <w:tr2bl w:val="nil"/>
                  </w:tcBorders>
                  <w:shd w:val="clear" w:color="auto" w:fill="auto"/>
                  <w:noWrap w:val="0"/>
                  <w:vAlign w:val="center"/>
                </w:tcPr>
                <w:p w14:paraId="44A7B1E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生产工序尾渣（分级工序与浮选、压滤、重选工序）</w:t>
                  </w:r>
                </w:p>
              </w:tc>
              <w:tc>
                <w:tcPr>
                  <w:tcW w:w="1116" w:type="pct"/>
                  <w:tcBorders>
                    <w:tl2br w:val="nil"/>
                    <w:tr2bl w:val="nil"/>
                  </w:tcBorders>
                  <w:shd w:val="clear" w:color="auto" w:fill="auto"/>
                  <w:noWrap w:val="0"/>
                  <w:vAlign w:val="center"/>
                </w:tcPr>
                <w:p w14:paraId="1B74C6D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0C4A0DC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酸洗提纯</w:t>
                  </w:r>
                </w:p>
              </w:tc>
              <w:tc>
                <w:tcPr>
                  <w:tcW w:w="643" w:type="pct"/>
                  <w:tcBorders>
                    <w:tl2br w:val="nil"/>
                    <w:tr2bl w:val="nil"/>
                  </w:tcBorders>
                  <w:shd w:val="clear" w:color="auto" w:fill="auto"/>
                  <w:noWrap w:val="0"/>
                  <w:vAlign w:val="center"/>
                </w:tcPr>
                <w:p w14:paraId="1DB58FE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p>
              </w:tc>
              <w:tc>
                <w:tcPr>
                  <w:tcW w:w="1116" w:type="pct"/>
                  <w:tcBorders>
                    <w:tl2br w:val="nil"/>
                    <w:tr2bl w:val="nil"/>
                  </w:tcBorders>
                  <w:shd w:val="clear" w:color="auto" w:fill="auto"/>
                  <w:noWrap w:val="0"/>
                  <w:vAlign w:val="center"/>
                </w:tcPr>
                <w:p w14:paraId="3CCAA6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r>
            <w:tr w14:paraId="7D0A0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56" w:hRule="atLeast"/>
                <w:jc w:val="center"/>
              </w:trPr>
              <w:tc>
                <w:tcPr>
                  <w:tcW w:w="352" w:type="pct"/>
                  <w:tcBorders>
                    <w:tl2br w:val="nil"/>
                    <w:tr2bl w:val="nil"/>
                  </w:tcBorders>
                  <w:shd w:val="clear" w:color="auto" w:fill="auto"/>
                  <w:noWrap w:val="0"/>
                  <w:vAlign w:val="center"/>
                </w:tcPr>
                <w:p w14:paraId="5CD50B3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w:t>
                  </w:r>
                </w:p>
              </w:tc>
              <w:tc>
                <w:tcPr>
                  <w:tcW w:w="862" w:type="pct"/>
                  <w:tcBorders>
                    <w:tl2br w:val="nil"/>
                    <w:tr2bl w:val="nil"/>
                  </w:tcBorders>
                  <w:shd w:val="clear" w:color="auto" w:fill="auto"/>
                  <w:noWrap w:val="0"/>
                  <w:vAlign w:val="center"/>
                </w:tcPr>
                <w:p w14:paraId="62B52E6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116" w:type="pct"/>
                  <w:tcBorders>
                    <w:tl2br w:val="nil"/>
                    <w:tr2bl w:val="nil"/>
                  </w:tcBorders>
                  <w:shd w:val="clear" w:color="auto" w:fill="auto"/>
                  <w:noWrap w:val="0"/>
                  <w:vAlign w:val="center"/>
                </w:tcPr>
                <w:p w14:paraId="73B2E06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900-041-49</w:t>
                  </w:r>
                </w:p>
              </w:tc>
              <w:tc>
                <w:tcPr>
                  <w:tcW w:w="907" w:type="pct"/>
                  <w:tcBorders>
                    <w:tl2br w:val="nil"/>
                    <w:tr2bl w:val="nil"/>
                  </w:tcBorders>
                  <w:shd w:val="clear" w:color="auto" w:fill="auto"/>
                  <w:noWrap w:val="0"/>
                  <w:vAlign w:val="center"/>
                </w:tcPr>
                <w:p w14:paraId="633E594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14AE0F5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p>
              </w:tc>
              <w:tc>
                <w:tcPr>
                  <w:tcW w:w="1116" w:type="pct"/>
                  <w:tcBorders>
                    <w:tl2br w:val="nil"/>
                    <w:tr2bl w:val="nil"/>
                  </w:tcBorders>
                  <w:shd w:val="clear" w:color="auto" w:fill="auto"/>
                  <w:noWrap w:val="0"/>
                  <w:vAlign w:val="center"/>
                </w:tcPr>
                <w:p w14:paraId="425A003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r>
            <w:tr w14:paraId="1A81E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5000" w:type="pct"/>
                  <w:gridSpan w:val="6"/>
                  <w:tcBorders>
                    <w:tl2br w:val="nil"/>
                    <w:tr2bl w:val="nil"/>
                  </w:tcBorders>
                  <w:shd w:val="clear" w:color="auto" w:fill="auto"/>
                  <w:noWrap w:val="0"/>
                  <w:vAlign w:val="center"/>
                </w:tcPr>
                <w:p w14:paraId="29DBD8C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一期工程危险废物</w:t>
                  </w:r>
                </w:p>
              </w:tc>
            </w:tr>
            <w:tr w14:paraId="5F8998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179" w:hRule="atLeast"/>
                <w:jc w:val="center"/>
              </w:trPr>
              <w:tc>
                <w:tcPr>
                  <w:tcW w:w="352" w:type="pct"/>
                  <w:tcBorders>
                    <w:tl2br w:val="nil"/>
                    <w:tr2bl w:val="nil"/>
                  </w:tcBorders>
                  <w:shd w:val="clear" w:color="auto" w:fill="auto"/>
                  <w:noWrap w:val="0"/>
                  <w:vAlign w:val="center"/>
                </w:tcPr>
                <w:p w14:paraId="48E417C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l2br w:val="nil"/>
                    <w:tr2bl w:val="nil"/>
                  </w:tcBorders>
                  <w:shd w:val="clear" w:color="auto" w:fill="auto"/>
                  <w:noWrap w:val="0"/>
                  <w:vAlign w:val="center"/>
                </w:tcPr>
                <w:p w14:paraId="42B1DEC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116" w:type="pct"/>
                  <w:tcBorders>
                    <w:tl2br w:val="nil"/>
                    <w:tr2bl w:val="nil"/>
                  </w:tcBorders>
                  <w:shd w:val="clear" w:color="auto" w:fill="auto"/>
                  <w:noWrap w:val="0"/>
                  <w:vAlign w:val="center"/>
                </w:tcPr>
                <w:p w14:paraId="2FA37DB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900-249-08</w:t>
                  </w:r>
                </w:p>
              </w:tc>
              <w:tc>
                <w:tcPr>
                  <w:tcW w:w="907" w:type="pct"/>
                  <w:tcBorders>
                    <w:tl2br w:val="nil"/>
                    <w:tr2bl w:val="nil"/>
                  </w:tcBorders>
                  <w:shd w:val="clear" w:color="auto" w:fill="auto"/>
                  <w:noWrap w:val="0"/>
                  <w:vAlign w:val="center"/>
                </w:tcPr>
                <w:p w14:paraId="33DDDCC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4ADB2F0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02B338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723356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45AAA35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bookmarkStart w:id="8" w:name="_Toc5099"/>
                  <w:bookmarkStart w:id="9" w:name="_Toc10798"/>
                  <w:bookmarkStart w:id="10" w:name="_Toc28938"/>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3A70AA6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废醇基燃料吨桶</w:t>
                  </w:r>
                </w:p>
              </w:tc>
              <w:tc>
                <w:tcPr>
                  <w:tcW w:w="1116" w:type="pct"/>
                  <w:tcBorders>
                    <w:tl2br w:val="nil"/>
                    <w:tr2bl w:val="nil"/>
                  </w:tcBorders>
                  <w:shd w:val="clear" w:color="auto" w:fill="auto"/>
                  <w:noWrap w:val="0"/>
                  <w:vAlign w:val="center"/>
                </w:tcPr>
                <w:p w14:paraId="798F8D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2C87B3C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醇基锅炉</w:t>
                  </w:r>
                </w:p>
              </w:tc>
              <w:tc>
                <w:tcPr>
                  <w:tcW w:w="643" w:type="pct"/>
                  <w:tcBorders>
                    <w:tl2br w:val="nil"/>
                    <w:tr2bl w:val="nil"/>
                  </w:tcBorders>
                  <w:shd w:val="clear" w:color="auto" w:fill="auto"/>
                  <w:noWrap w:val="0"/>
                  <w:vAlign w:val="center"/>
                </w:tcPr>
                <w:p w14:paraId="3A9146C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c>
                <w:tcPr>
                  <w:tcW w:w="1116" w:type="pct"/>
                  <w:tcBorders>
                    <w:tl2br w:val="nil"/>
                    <w:tr2bl w:val="nil"/>
                  </w:tcBorders>
                  <w:shd w:val="clear" w:color="auto" w:fill="auto"/>
                  <w:noWrap w:val="0"/>
                  <w:vAlign w:val="center"/>
                </w:tcPr>
                <w:p w14:paraId="11CDA74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每日由厂家回收</w:t>
                  </w:r>
                </w:p>
              </w:tc>
            </w:tr>
            <w:tr w14:paraId="38F7B4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6037C7C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2E34EE9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116" w:type="pct"/>
                  <w:tcBorders>
                    <w:tl2br w:val="nil"/>
                    <w:tr2bl w:val="nil"/>
                  </w:tcBorders>
                  <w:shd w:val="clear" w:color="auto" w:fill="auto"/>
                  <w:noWrap w:val="0"/>
                  <w:vAlign w:val="center"/>
                </w:tcPr>
                <w:p w14:paraId="0BC8477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5E5E012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7ABEB11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w:t>
                  </w:r>
                </w:p>
              </w:tc>
              <w:tc>
                <w:tcPr>
                  <w:tcW w:w="1116" w:type="pct"/>
                  <w:tcBorders>
                    <w:tl2br w:val="nil"/>
                    <w:tr2bl w:val="nil"/>
                  </w:tcBorders>
                  <w:shd w:val="clear" w:color="auto" w:fill="auto"/>
                  <w:noWrap w:val="0"/>
                  <w:vAlign w:val="center"/>
                </w:tcPr>
                <w:p w14:paraId="135C0C1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7B8A5B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77ED668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62" w:type="pct"/>
                  <w:tcBorders>
                    <w:tl2br w:val="nil"/>
                    <w:tr2bl w:val="nil"/>
                  </w:tcBorders>
                  <w:shd w:val="clear" w:color="auto" w:fill="auto"/>
                  <w:noWrap w:val="0"/>
                  <w:vAlign w:val="center"/>
                </w:tcPr>
                <w:p w14:paraId="0F2B6E9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废金属盐</w:t>
                  </w:r>
                </w:p>
              </w:tc>
              <w:tc>
                <w:tcPr>
                  <w:tcW w:w="1116" w:type="pct"/>
                  <w:tcBorders>
                    <w:tl2br w:val="nil"/>
                    <w:tr2bl w:val="nil"/>
                  </w:tcBorders>
                  <w:shd w:val="clear" w:color="auto" w:fill="auto"/>
                  <w:noWrap w:val="0"/>
                  <w:vAlign w:val="center"/>
                </w:tcPr>
                <w:p w14:paraId="57D760C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HW49-900-047-49</w:t>
                  </w:r>
                </w:p>
              </w:tc>
              <w:tc>
                <w:tcPr>
                  <w:tcW w:w="907" w:type="pct"/>
                  <w:tcBorders>
                    <w:tl2br w:val="nil"/>
                    <w:tr2bl w:val="nil"/>
                  </w:tcBorders>
                  <w:shd w:val="clear" w:color="auto" w:fill="auto"/>
                  <w:noWrap w:val="0"/>
                  <w:vAlign w:val="center"/>
                </w:tcPr>
                <w:p w14:paraId="2C06677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酸洗沉淀池</w:t>
                  </w:r>
                </w:p>
              </w:tc>
              <w:tc>
                <w:tcPr>
                  <w:tcW w:w="643" w:type="pct"/>
                  <w:tcBorders>
                    <w:tl2br w:val="nil"/>
                    <w:tr2bl w:val="nil"/>
                  </w:tcBorders>
                  <w:shd w:val="clear" w:color="auto" w:fill="auto"/>
                  <w:noWrap w:val="0"/>
                  <w:vAlign w:val="center"/>
                </w:tcPr>
                <w:p w14:paraId="3BF2140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w:t>
                  </w:r>
                </w:p>
              </w:tc>
              <w:tc>
                <w:tcPr>
                  <w:tcW w:w="1116" w:type="pct"/>
                  <w:tcBorders>
                    <w:tl2br w:val="nil"/>
                    <w:tr2bl w:val="nil"/>
                  </w:tcBorders>
                  <w:shd w:val="clear" w:color="auto" w:fill="auto"/>
                  <w:noWrap w:val="0"/>
                  <w:vAlign w:val="center"/>
                </w:tcPr>
                <w:p w14:paraId="4A94D38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1B400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5A23C38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862" w:type="pct"/>
                  <w:tcBorders>
                    <w:tl2br w:val="nil"/>
                    <w:tr2bl w:val="nil"/>
                  </w:tcBorders>
                  <w:shd w:val="clear" w:color="auto" w:fill="auto"/>
                  <w:noWrap w:val="0"/>
                  <w:vAlign w:val="center"/>
                </w:tcPr>
                <w:p w14:paraId="37C2592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废碱液</w:t>
                  </w:r>
                </w:p>
              </w:tc>
              <w:tc>
                <w:tcPr>
                  <w:tcW w:w="1116" w:type="pct"/>
                  <w:tcBorders>
                    <w:tl2br w:val="nil"/>
                    <w:tr2bl w:val="nil"/>
                  </w:tcBorders>
                  <w:shd w:val="clear" w:color="auto" w:fill="auto"/>
                  <w:noWrap w:val="0"/>
                  <w:vAlign w:val="center"/>
                </w:tcPr>
                <w:p w14:paraId="4FCBCFD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HW35-900-352-35</w:t>
                  </w:r>
                </w:p>
              </w:tc>
              <w:tc>
                <w:tcPr>
                  <w:tcW w:w="907" w:type="pct"/>
                  <w:tcBorders>
                    <w:tl2br w:val="nil"/>
                    <w:tr2bl w:val="nil"/>
                  </w:tcBorders>
                  <w:shd w:val="clear" w:color="auto" w:fill="auto"/>
                  <w:noWrap w:val="0"/>
                  <w:vAlign w:val="center"/>
                </w:tcPr>
                <w:p w14:paraId="34DE9C8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碱性喷淋塔</w:t>
                  </w:r>
                </w:p>
              </w:tc>
              <w:tc>
                <w:tcPr>
                  <w:tcW w:w="643" w:type="pct"/>
                  <w:tcBorders>
                    <w:tl2br w:val="nil"/>
                    <w:tr2bl w:val="nil"/>
                  </w:tcBorders>
                  <w:shd w:val="clear" w:color="auto" w:fill="auto"/>
                  <w:noWrap w:val="0"/>
                  <w:vAlign w:val="center"/>
                </w:tcPr>
                <w:p w14:paraId="599558F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1116" w:type="pct"/>
                  <w:tcBorders>
                    <w:tl2br w:val="nil"/>
                    <w:tr2bl w:val="nil"/>
                  </w:tcBorders>
                  <w:shd w:val="clear" w:color="auto" w:fill="auto"/>
                  <w:noWrap w:val="0"/>
                  <w:vAlign w:val="center"/>
                </w:tcPr>
                <w:p w14:paraId="7B34B45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用专用收集桶收集后暂存于危废贮存点，收集桶下方设置托盘，托盘容积需大于废碱液容积，定期交由有资质的单位进行处置</w:t>
                  </w:r>
                </w:p>
              </w:tc>
            </w:tr>
            <w:tr w14:paraId="68537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94" w:hRule="atLeast"/>
                <w:jc w:val="center"/>
              </w:trPr>
              <w:tc>
                <w:tcPr>
                  <w:tcW w:w="5000" w:type="pct"/>
                  <w:gridSpan w:val="6"/>
                  <w:tcBorders>
                    <w:tl2br w:val="nil"/>
                    <w:tr2bl w:val="nil"/>
                  </w:tcBorders>
                  <w:shd w:val="clear" w:color="auto" w:fill="auto"/>
                  <w:noWrap w:val="0"/>
                  <w:vAlign w:val="center"/>
                </w:tcPr>
                <w:p w14:paraId="5A8A25F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二期工程危险废物</w:t>
                  </w:r>
                </w:p>
              </w:tc>
            </w:tr>
            <w:tr w14:paraId="60E1F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2602778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l2br w:val="nil"/>
                    <w:tr2bl w:val="nil"/>
                  </w:tcBorders>
                  <w:shd w:val="clear" w:color="auto" w:fill="auto"/>
                  <w:noWrap w:val="0"/>
                  <w:vAlign w:val="center"/>
                </w:tcPr>
                <w:p w14:paraId="0188AAD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116" w:type="pct"/>
                  <w:tcBorders>
                    <w:tl2br w:val="nil"/>
                    <w:tr2bl w:val="nil"/>
                  </w:tcBorders>
                  <w:shd w:val="clear" w:color="auto" w:fill="auto"/>
                  <w:noWrap w:val="0"/>
                  <w:vAlign w:val="center"/>
                </w:tcPr>
                <w:p w14:paraId="71A3CF2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900-249-08</w:t>
                  </w:r>
                </w:p>
              </w:tc>
              <w:tc>
                <w:tcPr>
                  <w:tcW w:w="907" w:type="pct"/>
                  <w:tcBorders>
                    <w:tl2br w:val="nil"/>
                    <w:tr2bl w:val="nil"/>
                  </w:tcBorders>
                  <w:shd w:val="clear" w:color="auto" w:fill="auto"/>
                  <w:noWrap w:val="0"/>
                  <w:vAlign w:val="center"/>
                </w:tcPr>
                <w:p w14:paraId="773B809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643D75C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59D0570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79F60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43EF5E6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6B224CC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116" w:type="pct"/>
                  <w:tcBorders>
                    <w:tl2br w:val="nil"/>
                    <w:tr2bl w:val="nil"/>
                  </w:tcBorders>
                  <w:shd w:val="clear" w:color="auto" w:fill="auto"/>
                  <w:noWrap w:val="0"/>
                  <w:vAlign w:val="center"/>
                </w:tcPr>
                <w:p w14:paraId="05C9662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39301D1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21B2CC5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w:t>
                  </w:r>
                </w:p>
              </w:tc>
              <w:tc>
                <w:tcPr>
                  <w:tcW w:w="1116" w:type="pct"/>
                  <w:tcBorders>
                    <w:tl2br w:val="nil"/>
                    <w:tr2bl w:val="nil"/>
                  </w:tcBorders>
                  <w:shd w:val="clear" w:color="auto" w:fill="auto"/>
                  <w:noWrap w:val="0"/>
                  <w:vAlign w:val="center"/>
                </w:tcPr>
                <w:p w14:paraId="3F542C0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07FFE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66B2A2D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5A34F88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浮选药剂包装桶</w:t>
                  </w:r>
                </w:p>
              </w:tc>
              <w:tc>
                <w:tcPr>
                  <w:tcW w:w="1116" w:type="pct"/>
                  <w:tcBorders>
                    <w:tl2br w:val="nil"/>
                    <w:tr2bl w:val="nil"/>
                  </w:tcBorders>
                  <w:shd w:val="clear" w:color="auto" w:fill="auto"/>
                  <w:noWrap w:val="0"/>
                  <w:vAlign w:val="center"/>
                </w:tcPr>
                <w:p w14:paraId="4C3C963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33B826E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浮选工序</w:t>
                  </w:r>
                </w:p>
              </w:tc>
              <w:tc>
                <w:tcPr>
                  <w:tcW w:w="643" w:type="pct"/>
                  <w:tcBorders>
                    <w:tl2br w:val="nil"/>
                    <w:tr2bl w:val="nil"/>
                  </w:tcBorders>
                  <w:shd w:val="clear" w:color="auto" w:fill="auto"/>
                  <w:noWrap w:val="0"/>
                  <w:vAlign w:val="center"/>
                </w:tcPr>
                <w:p w14:paraId="5E0D5E0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1116" w:type="pct"/>
                  <w:tcBorders>
                    <w:tl2br w:val="nil"/>
                    <w:tr2bl w:val="nil"/>
                  </w:tcBorders>
                  <w:shd w:val="clear" w:color="auto" w:fill="auto"/>
                  <w:noWrap w:val="0"/>
                  <w:vAlign w:val="center"/>
                </w:tcPr>
                <w:p w14:paraId="7399857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bl>
          <w:p w14:paraId="12593A19">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4.8、运营期</w:t>
            </w:r>
            <w:r>
              <w:rPr>
                <w:rFonts w:hint="default" w:ascii="Times New Roman" w:hAnsi="Times New Roman" w:eastAsia="宋体" w:cs="Times New Roman"/>
                <w:color w:val="000000" w:themeColor="text1"/>
                <w:highlight w:val="none"/>
                <w:lang w:val="en-US" w:eastAsia="zh-CN"/>
                <w14:textFill>
                  <w14:solidFill>
                    <w14:schemeClr w14:val="tx1"/>
                  </w14:solidFill>
                </w14:textFill>
              </w:rPr>
              <w:t>防治措施及环境管理要求</w:t>
            </w:r>
          </w:p>
          <w:bookmarkEnd w:id="8"/>
          <w:bookmarkEnd w:id="9"/>
          <w:bookmarkEnd w:id="10"/>
          <w:p w14:paraId="7CA8491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4.8.1一般固废贮存库</w:t>
            </w:r>
          </w:p>
          <w:p w14:paraId="1EACF49A">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本项目产生的一般工业固体废物集中收集于一般固废</w:t>
            </w:r>
            <w:r>
              <w:rPr>
                <w:rFonts w:hint="eastAsia" w:cs="Times New Roman"/>
                <w:b w:val="0"/>
                <w:color w:val="000000" w:themeColor="text1"/>
                <w:kern w:val="2"/>
                <w:sz w:val="24"/>
                <w:szCs w:val="24"/>
                <w:highlight w:val="none"/>
                <w:lang w:val="en-US" w:eastAsia="zh-CN" w:bidi="ar-SA"/>
                <w14:textFill>
                  <w14:solidFill>
                    <w14:schemeClr w14:val="tx1"/>
                  </w14:solidFill>
                </w14:textFill>
              </w:rPr>
              <w:t>贮存间</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后定期处置，按要求建立一般工业固体废物管理台账。一般固废暂存点应参照《一般工业固体废物贮存和填埋污染控制标准》（GB18599-2020）相关要求规范化建设，应满足如下要求：</w:t>
            </w:r>
          </w:p>
          <w:p w14:paraId="41AF03FB">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①地面应采取硬化措施并满足承载力要求，必要时采取相应措施防止地基下沉；</w:t>
            </w:r>
          </w:p>
          <w:p w14:paraId="319A9E4C">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②要求设置必要的防风、防雨、防晒措施；</w:t>
            </w:r>
          </w:p>
          <w:p w14:paraId="71BA29E7">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③按《环境保护图形标志—固体废物贮存（处置）场》（GB 15562.2-1995）</w:t>
            </w:r>
            <w:r>
              <w:rPr>
                <w:rFonts w:hint="eastAsia" w:cs="Times New Roman"/>
                <w:b w:val="0"/>
                <w:color w:val="000000" w:themeColor="text1"/>
                <w:kern w:val="2"/>
                <w:sz w:val="24"/>
                <w:szCs w:val="24"/>
                <w:highlight w:val="none"/>
                <w:lang w:val="en-US" w:eastAsia="zh-CN" w:bidi="ar-SA"/>
                <w14:textFill>
                  <w14:solidFill>
                    <w14:schemeClr w14:val="tx1"/>
                  </w14:solidFill>
                </w14:textFill>
              </w:rPr>
              <w:t>及修改单</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要求设置环境保护图形标志。</w:t>
            </w:r>
          </w:p>
          <w:p w14:paraId="16A4199E">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④根据《排污许可证申请与核发技术规范 工业固体废物（试行）》（HJ1200-2021）和《一般工业固体废物管理台账制定指南（试行）》要求，制定工业固体废物管理台账并妥善保存。</w:t>
            </w:r>
          </w:p>
          <w:p w14:paraId="338D8BFB">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11" w:name="_Toc6798"/>
            <w:bookmarkStart w:id="12" w:name="_Toc19422"/>
            <w:bookmarkStart w:id="13" w:name="_Toc17828"/>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4.</w:t>
            </w:r>
            <w:r>
              <w:rPr>
                <w:rFonts w:hint="eastAsia" w:cs="Times New Roman"/>
                <w:b/>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2</w:t>
            </w:r>
            <w:r>
              <w:rPr>
                <w:rFonts w:hint="eastAsia" w:cs="Times New Roman"/>
                <w:b/>
                <w:color w:val="000000" w:themeColor="text1"/>
                <w:kern w:val="2"/>
                <w:sz w:val="24"/>
                <w:szCs w:val="24"/>
                <w:highlight w:val="none"/>
                <w:lang w:val="en-US" w:eastAsia="zh-CN" w:bidi="ar-SA"/>
                <w14:textFill>
                  <w14:solidFill>
                    <w14:schemeClr w14:val="tx1"/>
                  </w14:solidFill>
                </w14:textFill>
              </w:rPr>
              <w:t>危险废物贮存点</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管理要求</w:t>
            </w:r>
            <w:bookmarkEnd w:id="11"/>
            <w:bookmarkEnd w:id="12"/>
            <w:bookmarkEnd w:id="13"/>
          </w:p>
          <w:p w14:paraId="4EFF0DBB">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14" w:name="_Toc5813"/>
            <w:bookmarkStart w:id="15" w:name="_Toc13907"/>
            <w:bookmarkStart w:id="16" w:name="_Toc29320"/>
            <w:r>
              <w:rPr>
                <w:rFonts w:hint="eastAsia" w:cs="Times New Roman"/>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危险废物产生、收集</w:t>
            </w:r>
            <w:bookmarkEnd w:id="14"/>
            <w:bookmarkEnd w:id="15"/>
            <w:bookmarkEnd w:id="16"/>
          </w:p>
          <w:p w14:paraId="17A6551C">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本项目产生的危险废物暂存于</w:t>
            </w:r>
            <w:r>
              <w:rPr>
                <w:rFonts w:hint="eastAsia"/>
                <w:color w:val="000000" w:themeColor="text1"/>
                <w:sz w:val="24"/>
                <w:szCs w:val="24"/>
                <w:highlight w:val="none"/>
                <w:lang w:val="en-US" w:eastAsia="zh-CN"/>
                <w14:textFill>
                  <w14:solidFill>
                    <w14:schemeClr w14:val="tx1"/>
                  </w14:solidFill>
                </w14:textFill>
              </w:rPr>
              <w:t>危险废物贮存点</w:t>
            </w:r>
            <w:r>
              <w:rPr>
                <w:rFonts w:hint="default"/>
                <w:color w:val="000000" w:themeColor="text1"/>
                <w:sz w:val="24"/>
                <w:szCs w:val="24"/>
                <w:highlight w:val="none"/>
                <w:lang w:val="en-US" w:eastAsia="zh-CN"/>
                <w14:textFill>
                  <w14:solidFill>
                    <w14:schemeClr w14:val="tx1"/>
                  </w14:solidFill>
                </w14:textFill>
              </w:rPr>
              <w:t>，定期交由资质单位处置，项目</w:t>
            </w:r>
            <w:r>
              <w:rPr>
                <w:rFonts w:hint="eastAsia"/>
                <w:color w:val="000000" w:themeColor="text1"/>
                <w:sz w:val="24"/>
                <w:szCs w:val="24"/>
                <w:highlight w:val="none"/>
                <w:lang w:val="en-US" w:eastAsia="zh-CN"/>
                <w14:textFill>
                  <w14:solidFill>
                    <w14:schemeClr w14:val="tx1"/>
                  </w14:solidFill>
                </w14:textFill>
              </w:rPr>
              <w:t>危险废物贮存点</w:t>
            </w:r>
            <w:r>
              <w:rPr>
                <w:rFonts w:hint="default"/>
                <w:color w:val="000000" w:themeColor="text1"/>
                <w:sz w:val="24"/>
                <w:szCs w:val="24"/>
                <w:highlight w:val="none"/>
                <w:lang w:val="en-US" w:eastAsia="zh-CN"/>
                <w14:textFill>
                  <w14:solidFill>
                    <w14:schemeClr w14:val="tx1"/>
                  </w14:solidFill>
                </w14:textFill>
              </w:rPr>
              <w:t>设置于厂区</w:t>
            </w:r>
            <w:r>
              <w:rPr>
                <w:rFonts w:hint="eastAsia"/>
                <w:color w:val="000000" w:themeColor="text1"/>
                <w:sz w:val="24"/>
                <w:szCs w:val="24"/>
                <w:highlight w:val="none"/>
                <w:lang w:val="en-US" w:eastAsia="zh-CN"/>
                <w14:textFill>
                  <w14:solidFill>
                    <w14:schemeClr w14:val="tx1"/>
                  </w14:solidFill>
                </w14:textFill>
              </w:rPr>
              <w:t>南</w:t>
            </w:r>
            <w:r>
              <w:rPr>
                <w:rFonts w:hint="default"/>
                <w:color w:val="000000" w:themeColor="text1"/>
                <w:sz w:val="24"/>
                <w:szCs w:val="24"/>
                <w:highlight w:val="none"/>
                <w:lang w:val="en-US" w:eastAsia="zh-CN"/>
                <w14:textFill>
                  <w14:solidFill>
                    <w14:schemeClr w14:val="tx1"/>
                  </w14:solidFill>
                </w14:textFill>
              </w:rPr>
              <w:t>部，占地面积1</w:t>
            </w:r>
            <w:r>
              <w:rPr>
                <w:rFonts w:hint="eastAsia"/>
                <w:color w:val="000000" w:themeColor="text1"/>
                <w:sz w:val="24"/>
                <w:szCs w:val="24"/>
                <w:highlight w:val="none"/>
                <w:lang w:val="en-US" w:eastAsia="zh-CN"/>
                <w14:textFill>
                  <w14:solidFill>
                    <w14:schemeClr w14:val="tx1"/>
                  </w14:solidFill>
                </w14:textFill>
              </w:rPr>
              <w:t>0m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default"/>
                <w:color w:val="000000" w:themeColor="text1"/>
                <w:sz w:val="24"/>
                <w:szCs w:val="24"/>
                <w:highlight w:val="none"/>
                <w:lang w:val="en-US" w:eastAsia="zh-CN"/>
                <w14:textFill>
                  <w14:solidFill>
                    <w14:schemeClr w14:val="tx1"/>
                  </w14:solidFill>
                </w14:textFill>
              </w:rPr>
              <w:t>，地面防渗结构由下至上：15cm水泥基础层+2mm厚高密度聚乙烯（HDPE）防渗膜+2mm环氧树脂地坪漆，渗透系数≤10-10cm/s；裙角刷0.8m高环氧树脂地坪漆。</w:t>
            </w:r>
            <w:r>
              <w:rPr>
                <w:rFonts w:hint="eastAsia"/>
                <w:color w:val="000000" w:themeColor="text1"/>
                <w:sz w:val="24"/>
                <w:szCs w:val="24"/>
                <w:highlight w:val="none"/>
                <w:lang w:val="en-US" w:eastAsia="zh-CN"/>
                <w14:textFill>
                  <w14:solidFill>
                    <w14:schemeClr w14:val="tx1"/>
                  </w14:solidFill>
                </w14:textFill>
              </w:rPr>
              <w:t>贮存点</w:t>
            </w:r>
            <w:r>
              <w:rPr>
                <w:rFonts w:hint="default"/>
                <w:color w:val="000000" w:themeColor="text1"/>
                <w:sz w:val="24"/>
                <w:szCs w:val="24"/>
                <w:highlight w:val="none"/>
                <w:lang w:val="en-US" w:eastAsia="zh-CN"/>
                <w14:textFill>
                  <w14:solidFill>
                    <w14:schemeClr w14:val="tx1"/>
                  </w14:solidFill>
                </w14:textFill>
              </w:rPr>
              <w:t>设置有警示标志，具备“防风、防晒、防雨、防漏、防渗、防腐”措施，</w:t>
            </w:r>
            <w:r>
              <w:rPr>
                <w:rFonts w:hint="eastAsia"/>
                <w:color w:val="000000" w:themeColor="text1"/>
                <w:sz w:val="24"/>
                <w:szCs w:val="24"/>
                <w:highlight w:val="none"/>
                <w:lang w:val="en-US" w:eastAsia="zh-CN"/>
                <w14:textFill>
                  <w14:solidFill>
                    <w14:schemeClr w14:val="tx1"/>
                  </w14:solidFill>
                </w14:textFill>
              </w:rPr>
              <w:t>危险废物贮存点</w:t>
            </w:r>
            <w:r>
              <w:rPr>
                <w:rFonts w:hint="default"/>
                <w:color w:val="000000" w:themeColor="text1"/>
                <w:sz w:val="24"/>
                <w:szCs w:val="24"/>
                <w:highlight w:val="none"/>
                <w:lang w:val="en-US" w:eastAsia="zh-CN"/>
                <w14:textFill>
                  <w14:solidFill>
                    <w14:schemeClr w14:val="tx1"/>
                  </w14:solidFill>
                </w14:textFill>
              </w:rPr>
              <w:t>四周设有混凝土防渗结构围堰（围堰高度10</w:t>
            </w:r>
            <w:r>
              <w:rPr>
                <w:rFonts w:hint="eastAsia"/>
                <w:color w:val="000000" w:themeColor="text1"/>
                <w:sz w:val="24"/>
                <w:szCs w:val="24"/>
                <w:highlight w:val="none"/>
                <w:lang w:val="en-US" w:eastAsia="zh-CN"/>
                <w14:textFill>
                  <w14:solidFill>
                    <w14:schemeClr w14:val="tx1"/>
                  </w14:solidFill>
                </w14:textFill>
              </w:rPr>
              <w:t>cm</w:t>
            </w:r>
            <w:r>
              <w:rPr>
                <w:rFonts w:hint="default"/>
                <w:color w:val="000000" w:themeColor="text1"/>
                <w:sz w:val="24"/>
                <w:szCs w:val="24"/>
                <w:highlight w:val="none"/>
                <w:lang w:val="en-US" w:eastAsia="zh-CN"/>
                <w14:textFill>
                  <w14:solidFill>
                    <w14:schemeClr w14:val="tx1"/>
                  </w14:solidFill>
                </w14:textFill>
              </w:rPr>
              <w:t>），将可能</w:t>
            </w:r>
            <w:r>
              <w:rPr>
                <w:rFonts w:hint="eastAsia"/>
                <w:color w:val="000000" w:themeColor="text1"/>
                <w:sz w:val="24"/>
                <w:szCs w:val="24"/>
                <w:highlight w:val="none"/>
                <w:lang w:val="en-US" w:eastAsia="zh-CN"/>
                <w14:textFill>
                  <w14:solidFill>
                    <w14:schemeClr w14:val="tx1"/>
                  </w14:solidFill>
                </w14:textFill>
              </w:rPr>
              <w:t>泄漏</w:t>
            </w:r>
            <w:r>
              <w:rPr>
                <w:rFonts w:hint="default"/>
                <w:color w:val="000000" w:themeColor="text1"/>
                <w:sz w:val="24"/>
                <w:szCs w:val="24"/>
                <w:highlight w:val="none"/>
                <w:lang w:val="en-US" w:eastAsia="zh-CN"/>
                <w14:textFill>
                  <w14:solidFill>
                    <w14:schemeClr w14:val="tx1"/>
                  </w14:solidFill>
                </w14:textFill>
              </w:rPr>
              <w:t>的危险废物阻留在围堰内，防止其进入外环境，可容纳危险废物3t，本项目</w:t>
            </w:r>
            <w:r>
              <w:rPr>
                <w:rFonts w:hint="eastAsia"/>
                <w:color w:val="000000" w:themeColor="text1"/>
                <w:sz w:val="24"/>
                <w:szCs w:val="24"/>
                <w:highlight w:val="none"/>
                <w:lang w:val="en-US" w:eastAsia="zh-CN"/>
                <w14:textFill>
                  <w14:solidFill>
                    <w14:schemeClr w14:val="tx1"/>
                  </w14:solidFill>
                </w14:textFill>
              </w:rPr>
              <w:t>危险废物贮存</w:t>
            </w:r>
            <w:r>
              <w:rPr>
                <w:rFonts w:hint="default"/>
                <w:color w:val="000000" w:themeColor="text1"/>
                <w:sz w:val="24"/>
                <w:szCs w:val="24"/>
                <w:highlight w:val="none"/>
                <w:lang w:val="en-US" w:eastAsia="zh-CN"/>
                <w14:textFill>
                  <w14:solidFill>
                    <w14:schemeClr w14:val="tx1"/>
                  </w14:solidFill>
                </w14:textFill>
              </w:rPr>
              <w:t>量为0.</w:t>
            </w:r>
            <w:r>
              <w:rPr>
                <w:rFonts w:hint="eastAsia"/>
                <w:color w:val="000000" w:themeColor="text1"/>
                <w:sz w:val="24"/>
                <w:szCs w:val="24"/>
                <w:highlight w:val="none"/>
                <w:lang w:val="en-US" w:eastAsia="zh-CN"/>
                <w14:textFill>
                  <w14:solidFill>
                    <w14:schemeClr w14:val="tx1"/>
                  </w14:solidFill>
                </w14:textFill>
              </w:rPr>
              <w:t>03t/a</w:t>
            </w:r>
            <w:r>
              <w:rPr>
                <w:rFonts w:hint="default"/>
                <w:color w:val="000000" w:themeColor="text1"/>
                <w:sz w:val="24"/>
                <w:szCs w:val="24"/>
                <w:highlight w:val="none"/>
                <w:lang w:val="en-US" w:eastAsia="zh-CN"/>
                <w14:textFill>
                  <w14:solidFill>
                    <w14:schemeClr w14:val="tx1"/>
                  </w14:solidFill>
                </w14:textFill>
              </w:rPr>
              <w:t>，可容纳本项目产生的危险废物。</w:t>
            </w:r>
          </w:p>
          <w:p w14:paraId="16719337">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17" w:name="_Toc24793"/>
            <w:bookmarkStart w:id="18" w:name="_Toc21622"/>
            <w:bookmarkStart w:id="19" w:name="_Toc25399"/>
            <w:r>
              <w:rPr>
                <w:rFonts w:hint="eastAsia" w:cs="Times New Roman"/>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运输、转移管理要求</w:t>
            </w:r>
            <w:bookmarkEnd w:id="17"/>
            <w:bookmarkEnd w:id="18"/>
            <w:bookmarkEnd w:id="19"/>
          </w:p>
          <w:p w14:paraId="75FF6EB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贮存情况：产废单位应明确危险废物贮存设施现状，包括设施名称、数量、类型、面积及贮存能力，掌握贮存危险废物的类别、名称、数量及贮存原因，提出危险废物贮存过程的污染防治和事故预防措施等内容。</w:t>
            </w:r>
          </w:p>
          <w:p w14:paraId="0B270BAC">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贮存点环境管理要求：</w:t>
            </w:r>
          </w:p>
          <w:p w14:paraId="61C85FF2">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①贮存点应具有固定的区域边界，并应采取与其他区域进行隔离的措施；</w:t>
            </w:r>
          </w:p>
          <w:p w14:paraId="7ACB2975">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②贮存点应采取防风、防雨、防晒和防止危险废物流失、扬散等措施。</w:t>
            </w:r>
          </w:p>
          <w:p w14:paraId="76A1ED2D">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③贮存点贮存的危险废物应置于容器或包装物中，不应直接散堆。</w:t>
            </w:r>
          </w:p>
          <w:p w14:paraId="22936605">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④贮存点应根据危险废物的形态、物理化学性质、包装形式等，采取防渗、防漏等污染防治措施或采用具有相应功能的装置。</w:t>
            </w:r>
          </w:p>
          <w:p w14:paraId="0BBAFB9C">
            <w:pPr>
              <w:pStyle w:val="28"/>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⑤贮存点应及时清运贮存的危险废物，实时贮存量不应超过3吨。</w:t>
            </w:r>
          </w:p>
          <w:p w14:paraId="48099FC3">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本项目危险废物</w:t>
            </w:r>
            <w:r>
              <w:rPr>
                <w:rFonts w:hint="eastAsia" w:cs="Times New Roman"/>
                <w:snapToGrid w:val="0"/>
                <w:color w:val="000000" w:themeColor="text1"/>
                <w:kern w:val="0"/>
                <w:sz w:val="24"/>
                <w:szCs w:val="28"/>
                <w:highlight w:val="none"/>
                <w:lang w:val="en-US" w:eastAsia="zh-CN" w:bidi="ar-SA"/>
                <w14:textFill>
                  <w14:solidFill>
                    <w14:schemeClr w14:val="tx1"/>
                  </w14:solidFill>
                </w14:textFill>
              </w:rPr>
              <w:t>贮存点</w:t>
            </w: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具有固定的区域边界，四周封闭与其他区域进行隔离；具有防风、防雨、防晒特性，地面做了相应的防渗措施防止危险废物流失，暂存间内的危险废物根据危险废物的形态、物理化学性质、包装形式等都相应存放于特定容器中，不散堆，危险废物</w:t>
            </w:r>
            <w:r>
              <w:rPr>
                <w:rFonts w:hint="eastAsia" w:cs="Times New Roman"/>
                <w:snapToGrid w:val="0"/>
                <w:color w:val="000000" w:themeColor="text1"/>
                <w:kern w:val="0"/>
                <w:sz w:val="24"/>
                <w:szCs w:val="28"/>
                <w:highlight w:val="none"/>
                <w:lang w:val="en-US" w:eastAsia="zh-CN" w:bidi="ar-SA"/>
                <w14:textFill>
                  <w14:solidFill>
                    <w14:schemeClr w14:val="tx1"/>
                  </w14:solidFill>
                </w14:textFill>
              </w:rPr>
              <w:t>贮存点</w:t>
            </w: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内的危险废物及时清运，根据上一年的危险废物电子转运联单可知，本项目实时贮存量不超过3吨，上一年危险废物电子转运联单补充至附件。</w:t>
            </w:r>
          </w:p>
          <w:p w14:paraId="5D4C4D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运输情况：危险废物运输应遵守危险货物运输管理的相关规定，按照危险废物特性分类运输。自行运输危险废物的应描述拟采用运输工具状况，包括工具种类、载重量、使用年限、危险货物运输资质、污染防治和事故预防措施等；委托外单位运输危险废物的，应描述委托运输具体状况，包括委托运输单位、危险货物运输资质等。</w:t>
            </w:r>
          </w:p>
          <w:p w14:paraId="0C5BD9FF">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危险废物转移情况：根据《危险废物转移管理办法》（</w:t>
            </w:r>
            <w:r>
              <w:rPr>
                <w:rFonts w:hint="eastAsia" w:cs="Times New Roman"/>
                <w:snapToGrid w:val="0"/>
                <w:color w:val="000000" w:themeColor="text1"/>
                <w:kern w:val="0"/>
                <w:sz w:val="24"/>
                <w:szCs w:val="28"/>
                <w:highlight w:val="none"/>
                <w:lang w:val="en-US" w:eastAsia="zh-CN" w:bidi="ar-SA"/>
                <w14:textFill>
                  <w14:solidFill>
                    <w14:schemeClr w14:val="tx1"/>
                  </w14:solidFill>
                </w14:textFill>
              </w:rPr>
              <w:t>交通运输</w:t>
            </w: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部令第23号），危险废物转移联单应当根据危险废物管理计划中填报的危险废物转移等备案信息填写、运行。每转移一车次同类危险废物，应当填写、运行一份危险废物转移联单；每车次转移多类危险废物的，可以填写、运行一份危险废物转移联单，也可以每一类危险废物填写、运行一份危险废物转移联单。填写、运行危险废物转移联单，在危险废物转移联单中如实填写移出人、承运人、</w:t>
            </w: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接收</w:t>
            </w: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人信息，转移危险废物的种类、重量（数量）、危险特性等信息，以及突发环境事件的防范措施等；因特殊原因无法运行危险废物电子转移联单的，可以先使用纸质转移联单，并于转移活动完成后十个工作日内在信息系统中补录电子转移联单。</w:t>
            </w:r>
          </w:p>
          <w:p w14:paraId="3989C5C5">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20" w:name="_Toc28211"/>
            <w:bookmarkStart w:id="21" w:name="_Toc3219"/>
            <w:bookmarkStart w:id="22" w:name="_Toc395"/>
            <w:r>
              <w:rPr>
                <w:rFonts w:hint="eastAsia" w:cs="Times New Roman"/>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委托处置管理要求</w:t>
            </w:r>
            <w:bookmarkEnd w:id="20"/>
            <w:bookmarkEnd w:id="21"/>
            <w:bookmarkEnd w:id="22"/>
          </w:p>
          <w:p w14:paraId="3F63D096">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危险废物委托利用处置情况主要包括：委托利用处置单位名称、经营单位的许可证编号、委托利用处置危险废物的名称、利用处置方式、本年度计划委托量和上年度委托量等</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w:t>
            </w:r>
          </w:p>
          <w:p w14:paraId="2A39AA75">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23" w:name="_Toc21751"/>
            <w:bookmarkStart w:id="24" w:name="_Toc7072"/>
            <w:bookmarkStart w:id="25" w:name="_Toc22819"/>
            <w:r>
              <w:rPr>
                <w:rFonts w:hint="eastAsia" w:cs="Times New Roman"/>
                <w:b/>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管理制度建设</w:t>
            </w:r>
            <w:bookmarkEnd w:id="23"/>
            <w:bookmarkEnd w:id="24"/>
            <w:bookmarkEnd w:id="25"/>
          </w:p>
          <w:p w14:paraId="3FC3C507">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default"/>
                <w:color w:val="000000" w:themeColor="text1"/>
                <w:sz w:val="24"/>
                <w:szCs w:val="24"/>
                <w:highlight w:val="none"/>
                <w14:textFill>
                  <w14:solidFill>
                    <w14:schemeClr w14:val="tx1"/>
                  </w14:solidFill>
                </w14:textFill>
              </w:rPr>
            </w:pPr>
            <w:r>
              <w:rPr>
                <w:rFonts w:hint="default"/>
                <w:color w:val="000000" w:themeColor="text1"/>
                <w:sz w:val="24"/>
                <w:szCs w:val="24"/>
                <w:highlight w:val="none"/>
                <w14:textFill>
                  <w14:solidFill>
                    <w14:schemeClr w14:val="tx1"/>
                  </w14:solidFill>
                </w14:textFill>
              </w:rPr>
              <w:t>本项目危险废物贮存在危险废物</w:t>
            </w:r>
            <w:r>
              <w:rPr>
                <w:rFonts w:hint="eastAsia"/>
                <w:color w:val="000000" w:themeColor="text1"/>
                <w:sz w:val="24"/>
                <w:szCs w:val="24"/>
                <w:highlight w:val="none"/>
                <w:lang w:val="en-US"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内，危废</w:t>
            </w:r>
            <w:r>
              <w:rPr>
                <w:rFonts w:hint="eastAsia"/>
                <w:color w:val="000000" w:themeColor="text1"/>
                <w:sz w:val="24"/>
                <w:szCs w:val="24"/>
                <w:highlight w:val="none"/>
                <w:lang w:val="en-US"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按照《危险废物贮存污染控制标准》（GB18597-2023）中的要求，建设危废</w:t>
            </w:r>
            <w:r>
              <w:rPr>
                <w:rFonts w:hint="eastAsia"/>
                <w:color w:val="000000" w:themeColor="text1"/>
                <w:sz w:val="24"/>
                <w:szCs w:val="24"/>
                <w:highlight w:val="none"/>
                <w:lang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必须做防渗处理，并满足生态环境管理部门的要求，在醒目的位置安装危废的标识牌。危废</w:t>
            </w:r>
            <w:r>
              <w:rPr>
                <w:rFonts w:hint="eastAsia"/>
                <w:color w:val="000000" w:themeColor="text1"/>
                <w:sz w:val="24"/>
                <w:szCs w:val="24"/>
                <w:highlight w:val="none"/>
                <w:lang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用于暂存</w:t>
            </w:r>
            <w:r>
              <w:rPr>
                <w:rFonts w:hint="eastAsia" w:ascii="Times New Roman" w:hAnsi="Times New Roman"/>
                <w:color w:val="000000" w:themeColor="text1"/>
                <w:sz w:val="24"/>
                <w:szCs w:val="24"/>
                <w:highlight w:val="none"/>
                <w:lang w:val="en-US" w:eastAsia="zh-CN"/>
                <w14:textFill>
                  <w14:solidFill>
                    <w14:schemeClr w14:val="tx1"/>
                  </w14:solidFill>
                </w14:textFill>
              </w:rPr>
              <w:t>废润滑油、废醇基燃料吨桶、废油桶、废金属盐、浮选药剂包装桶、废碱液</w:t>
            </w:r>
            <w:r>
              <w:rPr>
                <w:rFonts w:hint="default"/>
                <w:color w:val="000000" w:themeColor="text1"/>
                <w:sz w:val="24"/>
                <w:szCs w:val="24"/>
                <w:highlight w:val="none"/>
                <w14:textFill>
                  <w14:solidFill>
                    <w14:schemeClr w14:val="tx1"/>
                  </w14:solidFill>
                </w14:textFill>
              </w:rPr>
              <w:t>，危险废物收集后存放于危废</w:t>
            </w:r>
            <w:r>
              <w:rPr>
                <w:rFonts w:hint="eastAsia"/>
                <w:color w:val="000000" w:themeColor="text1"/>
                <w:sz w:val="24"/>
                <w:szCs w:val="24"/>
                <w:highlight w:val="none"/>
                <w:lang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，并做好防扬散、防流失、防渗漏措施，由危废处置单位委托具有危险货物专业运输资质的运输单位进行承运，并根据规定实施危废转移联单制度。</w:t>
            </w:r>
          </w:p>
          <w:p w14:paraId="7CF9D776">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14:textFill>
                  <w14:solidFill>
                    <w14:schemeClr w14:val="tx1"/>
                  </w14:solidFill>
                </w14:textFill>
              </w:rPr>
              <w:t>综上所述，本项目的各类固体废物均能得到合理妥善</w:t>
            </w:r>
            <w:r>
              <w:rPr>
                <w:rFonts w:hint="eastAsia"/>
                <w:color w:val="000000" w:themeColor="text1"/>
                <w:sz w:val="24"/>
                <w:szCs w:val="24"/>
                <w:highlight w:val="none"/>
                <w:lang w:eastAsia="zh-CN"/>
                <w14:textFill>
                  <w14:solidFill>
                    <w14:schemeClr w14:val="tx1"/>
                  </w14:solidFill>
                </w14:textFill>
              </w:rPr>
              <w:t>地</w:t>
            </w:r>
            <w:r>
              <w:rPr>
                <w:rFonts w:hint="default"/>
                <w:color w:val="000000" w:themeColor="text1"/>
                <w:sz w:val="24"/>
                <w:szCs w:val="24"/>
                <w:highlight w:val="none"/>
                <w14:textFill>
                  <w14:solidFill>
                    <w14:schemeClr w14:val="tx1"/>
                  </w14:solidFill>
                </w14:textFill>
              </w:rPr>
              <w:t>处置，因此对环境影响较小。</w:t>
            </w:r>
          </w:p>
          <w:p w14:paraId="12FC28AA">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26" w:name="_Toc23220"/>
            <w:bookmarkStart w:id="27" w:name="_Toc8685"/>
            <w:bookmarkStart w:id="28" w:name="_Toc25901"/>
            <w:r>
              <w:rPr>
                <w:rFonts w:hint="eastAsia"/>
                <w:color w:val="000000" w:themeColor="text1"/>
                <w:highlight w:val="none"/>
                <w:lang w:val="en-US" w:eastAsia="zh-CN"/>
                <w14:textFill>
                  <w14:solidFill>
                    <w14:schemeClr w14:val="tx1"/>
                  </w14:solidFill>
                </w14:textFill>
              </w:rPr>
              <w:t>4.9、运</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营期地下水、土壤污染影响及防治措施</w:t>
            </w:r>
          </w:p>
          <w:bookmarkEnd w:id="26"/>
          <w:bookmarkEnd w:id="27"/>
          <w:bookmarkEnd w:id="28"/>
          <w:p w14:paraId="438BD840">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right="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bookmarkStart w:id="29" w:name="_Toc9255"/>
            <w:bookmarkStart w:id="30" w:name="_Toc29230"/>
            <w:bookmarkStart w:id="31" w:name="_Toc23635"/>
            <w:r>
              <w:rPr>
                <w:rFonts w:hint="eastAsia" w:cs="Times New Roman"/>
                <w:color w:val="000000" w:themeColor="text1"/>
                <w:sz w:val="24"/>
                <w:szCs w:val="24"/>
                <w:highlight w:val="none"/>
                <w:lang w:val="en-US" w:eastAsia="zh-CN"/>
                <w14:textFill>
                  <w14:solidFill>
                    <w14:schemeClr w14:val="tx1"/>
                  </w14:solidFill>
                </w14:textFill>
              </w:rPr>
              <w:t>4.9.1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地下水</w:t>
            </w:r>
            <w:bookmarkEnd w:id="29"/>
            <w:bookmarkEnd w:id="30"/>
            <w:bookmarkEnd w:id="31"/>
          </w:p>
          <w:p w14:paraId="08ED5C33">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（1）划分依据</w:t>
            </w:r>
          </w:p>
          <w:p w14:paraId="75B4D3C9">
            <w:pPr>
              <w:pageBreakBefore w:val="0"/>
              <w:widowControl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①根据《环境影响评价技术导则 地下水环境》（HJ610-2016）中附录A</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，本项目属于地下水环境影响评价项目类</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别Ⅳ类。</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因此本项目可不开展地下水环境影响评价。</w:t>
            </w:r>
          </w:p>
          <w:p w14:paraId="142020E1">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（2）地下水污染途径</w:t>
            </w:r>
          </w:p>
          <w:p w14:paraId="6C2196CA">
            <w:pPr>
              <w:pageBreakBefore w:val="0"/>
              <w:widowControl w:val="0"/>
              <w:kinsoku/>
              <w:wordWrap/>
              <w:overflowPunct/>
              <w:topLinePunct w:val="0"/>
              <w:autoSpaceDE/>
              <w:autoSpaceDN/>
              <w:bidi w:val="0"/>
              <w:adjustRightInd/>
              <w:spacing w:line="360" w:lineRule="auto"/>
              <w:ind w:right="0" w:firstLine="480" w:firstLineChars="200"/>
              <w:jc w:val="left"/>
              <w:textAlignment w:val="auto"/>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cs="Times New Roman"/>
                <w:b w:val="0"/>
                <w:color w:val="000000" w:themeColor="text1"/>
                <w:kern w:val="2"/>
                <w:sz w:val="24"/>
                <w:szCs w:val="24"/>
                <w:highlight w:val="none"/>
                <w:lang w:val="en-US" w:eastAsia="zh-CN" w:bidi="ar-SA"/>
                <w14:textFill>
                  <w14:solidFill>
                    <w14:schemeClr w14:val="tx1"/>
                  </w14:solidFill>
                </w14:textFill>
              </w:rPr>
              <w:t>危险废物贮存点内</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废</w:t>
            </w:r>
            <w:r>
              <w:rPr>
                <w:rFonts w:hint="eastAsia" w:cs="Times New Roman"/>
                <w:b w:val="0"/>
                <w:color w:val="000000" w:themeColor="text1"/>
                <w:kern w:val="2"/>
                <w:sz w:val="24"/>
                <w:szCs w:val="24"/>
                <w:highlight w:val="none"/>
                <w:lang w:val="en-US" w:eastAsia="zh-CN" w:bidi="ar-SA"/>
                <w14:textFill>
                  <w14:solidFill>
                    <w14:schemeClr w14:val="tx1"/>
                  </w14:solidFill>
                </w14:textFill>
              </w:rPr>
              <w:t>润滑油</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泄漏、</w:t>
            </w:r>
            <w:r>
              <w:rPr>
                <w:rFonts w:hint="eastAsia" w:cs="Times New Roman"/>
                <w:b w:val="0"/>
                <w:color w:val="000000" w:themeColor="text1"/>
                <w:kern w:val="2"/>
                <w:sz w:val="24"/>
                <w:szCs w:val="24"/>
                <w:highlight w:val="none"/>
                <w:lang w:val="en-US" w:eastAsia="zh-CN" w:bidi="ar-SA"/>
                <w14:textFill>
                  <w14:solidFill>
                    <w14:schemeClr w14:val="tx1"/>
                  </w14:solidFill>
                </w14:textFill>
              </w:rPr>
              <w:t>碱液池</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泄漏</w:t>
            </w:r>
            <w:r>
              <w:rPr>
                <w:rFonts w:hint="eastAsia" w:cs="Times New Roman"/>
                <w:b w:val="0"/>
                <w:color w:val="000000" w:themeColor="text1"/>
                <w:kern w:val="2"/>
                <w:sz w:val="24"/>
                <w:szCs w:val="24"/>
                <w:highlight w:val="none"/>
                <w:lang w:val="en-US" w:eastAsia="zh-CN" w:bidi="ar-SA"/>
                <w14:textFill>
                  <w14:solidFill>
                    <w14:schemeClr w14:val="tx1"/>
                  </w14:solidFill>
                </w14:textFill>
              </w:rPr>
              <w:t>、醇基燃料泄漏</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与</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盐酸储罐破损导致</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盐酸泄漏。</w:t>
            </w:r>
          </w:p>
          <w:p w14:paraId="45B933FD">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left"/>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根据建设项目工程分析和建设特点，地下水污染的风险源主要是</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危险废物</w:t>
            </w:r>
            <w:r>
              <w:rPr>
                <w:rFonts w:hint="eastAsia" w:cs="Times New Roman"/>
                <w:b w:val="0"/>
                <w:color w:val="000000" w:themeColor="text1"/>
                <w:kern w:val="2"/>
                <w:sz w:val="24"/>
                <w:szCs w:val="24"/>
                <w:highlight w:val="none"/>
                <w:lang w:val="en-US" w:eastAsia="zh-CN" w:bidi="ar-SA"/>
                <w14:textFill>
                  <w14:solidFill>
                    <w14:schemeClr w14:val="tx1"/>
                  </w14:solidFill>
                </w14:textFill>
              </w:rPr>
              <w:t>贮存点</w:t>
            </w: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地面渗漏</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cs="Times New Roman"/>
                <w:b w:val="0"/>
                <w:color w:val="000000" w:themeColor="text1"/>
                <w:kern w:val="2"/>
                <w:sz w:val="24"/>
                <w:szCs w:val="24"/>
                <w:highlight w:val="none"/>
                <w:lang w:val="en-US" w:eastAsia="zh-CN" w:bidi="ar-SA"/>
                <w14:textFill>
                  <w14:solidFill>
                    <w14:schemeClr w14:val="tx1"/>
                  </w14:solidFill>
                </w14:textFill>
              </w:rPr>
              <w:t>碱液池</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泄漏、</w:t>
            </w:r>
            <w:r>
              <w:rPr>
                <w:rFonts w:hint="eastAsia" w:cs="Times New Roman"/>
                <w:b w:val="0"/>
                <w:color w:val="000000" w:themeColor="text1"/>
                <w:kern w:val="2"/>
                <w:sz w:val="24"/>
                <w:szCs w:val="24"/>
                <w:highlight w:val="none"/>
                <w:lang w:val="en-US" w:eastAsia="zh-CN" w:bidi="ar-SA"/>
                <w14:textFill>
                  <w14:solidFill>
                    <w14:schemeClr w14:val="tx1"/>
                  </w14:solidFill>
                </w14:textFill>
              </w:rPr>
              <w:t>醇基燃料泄漏、</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盐酸储罐破损</w:t>
            </w: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，在非正常工况下，泄漏的危险</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物质</w:t>
            </w: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下渗将对地下水造成污染，污染物可能下渗至包气带从而在潜水含水层中进行运移。为确保建设项目不对土壤、地下水造成污染，拟采取分区防渗污染防治措施。</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w:t>
            </w:r>
            <w:r>
              <w:rPr>
                <w:rFonts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各污染区防渗措施</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见表4-</w:t>
            </w:r>
            <w:r>
              <w:rPr>
                <w:rFonts w:hint="eastAsia" w:cs="Times New Roman"/>
                <w:b w:val="0"/>
                <w:color w:val="000000" w:themeColor="text1"/>
                <w:kern w:val="2"/>
                <w:sz w:val="24"/>
                <w:szCs w:val="24"/>
                <w:highlight w:val="none"/>
                <w:lang w:val="en-US" w:eastAsia="zh-CN" w:bidi="ar-SA"/>
                <w14:textFill>
                  <w14:solidFill>
                    <w14:schemeClr w14:val="tx1"/>
                  </w14:solidFill>
                </w14:textFill>
              </w:rPr>
              <w:t>23</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w:t>
            </w:r>
          </w:p>
          <w:p w14:paraId="57133409">
            <w:pPr>
              <w:pageBreakBefore w:val="0"/>
              <w:widowControl w:val="0"/>
              <w:kinsoku/>
              <w:wordWrap/>
              <w:overflowPunct/>
              <w:topLinePunct w:val="0"/>
              <w:autoSpaceDE/>
              <w:autoSpaceDN/>
              <w:bidi w:val="0"/>
              <w:adjustRightInd/>
              <w:spacing w:line="360" w:lineRule="auto"/>
              <w:ind w:right="0"/>
              <w:jc w:val="center"/>
              <w:textAlignment w:val="auto"/>
              <w:rPr>
                <w:rFonts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表4-</w:t>
            </w:r>
            <w:r>
              <w:rPr>
                <w:rFonts w:hint="eastAsia" w:cs="Times New Roman"/>
                <w:b/>
                <w:color w:val="000000" w:themeColor="text1"/>
                <w:kern w:val="2"/>
                <w:sz w:val="21"/>
                <w:szCs w:val="21"/>
                <w:highlight w:val="none"/>
                <w:lang w:val="en-US" w:eastAsia="zh-CN" w:bidi="ar-SA"/>
                <w14:textFill>
                  <w14:solidFill>
                    <w14:schemeClr w14:val="tx1"/>
                  </w14:solidFill>
                </w14:textFill>
              </w:rPr>
              <w:t>23</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color w:val="000000" w:themeColor="text1"/>
                <w:kern w:val="2"/>
                <w:sz w:val="21"/>
                <w:szCs w:val="21"/>
                <w:highlight w:val="none"/>
                <w:lang w:val="en-US" w:eastAsia="zh-CN" w:bidi="ar-SA"/>
                <w14:textFill>
                  <w14:solidFill>
                    <w14:schemeClr w14:val="tx1"/>
                  </w14:solidFill>
                </w14:textFill>
              </w:rPr>
              <w:t>分</w:t>
            </w:r>
            <w:r>
              <w:rPr>
                <w:rFonts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区防渗措施</w:t>
            </w:r>
          </w:p>
          <w:tbl>
            <w:tblPr>
              <w:tblStyle w:val="22"/>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915"/>
              <w:gridCol w:w="915"/>
              <w:gridCol w:w="1204"/>
              <w:gridCol w:w="1124"/>
              <w:gridCol w:w="1829"/>
            </w:tblGrid>
            <w:tr w14:paraId="5ABE2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Borders>
                    <w:bottom w:val="single" w:color="auto" w:sz="12" w:space="0"/>
                  </w:tcBorders>
                  <w:noWrap w:val="0"/>
                  <w:vAlign w:val="center"/>
                </w:tcPr>
                <w:p w14:paraId="5CD1DD99">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场区内建筑物</w:t>
                  </w:r>
                </w:p>
              </w:tc>
              <w:tc>
                <w:tcPr>
                  <w:tcW w:w="620" w:type="pct"/>
                  <w:tcBorders>
                    <w:bottom w:val="single" w:color="auto" w:sz="12" w:space="0"/>
                  </w:tcBorders>
                  <w:noWrap w:val="0"/>
                  <w:vAlign w:val="center"/>
                </w:tcPr>
                <w:p w14:paraId="7EFCAFAA">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包气带防污性能</w:t>
                  </w:r>
                </w:p>
              </w:tc>
              <w:tc>
                <w:tcPr>
                  <w:tcW w:w="620" w:type="pct"/>
                  <w:tcBorders>
                    <w:bottom w:val="single" w:color="auto" w:sz="12" w:space="0"/>
                  </w:tcBorders>
                  <w:noWrap w:val="0"/>
                  <w:vAlign w:val="center"/>
                </w:tcPr>
                <w:p w14:paraId="78CC1D3F">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污染控制难易程度</w:t>
                  </w:r>
                </w:p>
              </w:tc>
              <w:tc>
                <w:tcPr>
                  <w:tcW w:w="816" w:type="pct"/>
                  <w:tcBorders>
                    <w:bottom w:val="single" w:color="auto" w:sz="12" w:space="0"/>
                  </w:tcBorders>
                  <w:noWrap w:val="0"/>
                  <w:vAlign w:val="center"/>
                </w:tcPr>
                <w:p w14:paraId="159B6305">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污染物类型</w:t>
                  </w:r>
                </w:p>
              </w:tc>
              <w:tc>
                <w:tcPr>
                  <w:tcW w:w="762" w:type="pct"/>
                  <w:tcBorders>
                    <w:bottom w:val="single" w:color="auto" w:sz="12" w:space="0"/>
                  </w:tcBorders>
                  <w:noWrap w:val="0"/>
                  <w:vAlign w:val="center"/>
                </w:tcPr>
                <w:p w14:paraId="0C618E0C">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防渗分区</w:t>
                  </w:r>
                </w:p>
              </w:tc>
              <w:tc>
                <w:tcPr>
                  <w:tcW w:w="1240" w:type="pct"/>
                  <w:tcBorders>
                    <w:bottom w:val="single" w:color="auto" w:sz="12" w:space="0"/>
                  </w:tcBorders>
                  <w:noWrap w:val="0"/>
                  <w:vAlign w:val="center"/>
                </w:tcPr>
                <w:p w14:paraId="4E445D76">
                  <w:pPr>
                    <w:keepNext w:val="0"/>
                    <w:keepLines w:val="0"/>
                    <w:pageBreakBefore w:val="0"/>
                    <w:widowControl/>
                    <w:suppressLineNumbers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防渗处理措施</w:t>
                  </w:r>
                </w:p>
              </w:tc>
            </w:tr>
            <w:tr w14:paraId="5C6DE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Borders>
                    <w:top w:val="single" w:color="auto" w:sz="12" w:space="0"/>
                    <w:tl2br w:val="nil"/>
                    <w:tr2bl w:val="nil"/>
                  </w:tcBorders>
                  <w:noWrap w:val="0"/>
                  <w:vAlign w:val="center"/>
                </w:tcPr>
                <w:p w14:paraId="0B30AE32">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危险废物贮存点</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、盐酸储罐区</w:t>
                  </w:r>
                  <w:r>
                    <w:rPr>
                      <w:rFonts w:hint="eastAsia" w:cs="Times New Roman"/>
                      <w:b w:val="0"/>
                      <w:bCs/>
                      <w:color w:val="000000" w:themeColor="text1"/>
                      <w:kern w:val="2"/>
                      <w:sz w:val="21"/>
                      <w:szCs w:val="21"/>
                      <w:highlight w:val="none"/>
                      <w:lang w:val="en-US" w:eastAsia="zh-CN" w:bidi="ar-SA"/>
                      <w14:textFill>
                        <w14:solidFill>
                          <w14:schemeClr w14:val="tx1"/>
                        </w14:solidFill>
                      </w14:textFill>
                    </w:rPr>
                    <w:t>、碱液池、燃料储存间、酸洗沉淀池</w:t>
                  </w:r>
                </w:p>
              </w:tc>
              <w:tc>
                <w:tcPr>
                  <w:tcW w:w="620" w:type="pct"/>
                  <w:tcBorders>
                    <w:top w:val="single" w:color="auto" w:sz="12" w:space="0"/>
                    <w:tl2br w:val="nil"/>
                    <w:tr2bl w:val="nil"/>
                  </w:tcBorders>
                  <w:noWrap w:val="0"/>
                  <w:vAlign w:val="center"/>
                </w:tcPr>
                <w:p w14:paraId="3CF8E962">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强</w:t>
                  </w:r>
                </w:p>
              </w:tc>
              <w:tc>
                <w:tcPr>
                  <w:tcW w:w="620" w:type="pct"/>
                  <w:tcBorders>
                    <w:top w:val="single" w:color="auto" w:sz="12" w:space="0"/>
                    <w:tl2br w:val="nil"/>
                    <w:tr2bl w:val="nil"/>
                  </w:tcBorders>
                  <w:noWrap w:val="0"/>
                  <w:vAlign w:val="center"/>
                </w:tcPr>
                <w:p w14:paraId="0CAE4380">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难</w:t>
                  </w:r>
                </w:p>
              </w:tc>
              <w:tc>
                <w:tcPr>
                  <w:tcW w:w="816" w:type="pct"/>
                  <w:tcBorders>
                    <w:top w:val="single" w:color="auto" w:sz="12" w:space="0"/>
                    <w:tl2br w:val="nil"/>
                    <w:tr2bl w:val="nil"/>
                  </w:tcBorders>
                  <w:noWrap w:val="0"/>
                  <w:vAlign w:val="center"/>
                </w:tcPr>
                <w:p w14:paraId="2568F0E9">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废机油、酸液、碱液、甲醇</w:t>
                  </w:r>
                </w:p>
              </w:tc>
              <w:tc>
                <w:tcPr>
                  <w:tcW w:w="762" w:type="pct"/>
                  <w:tcBorders>
                    <w:top w:val="single" w:color="auto" w:sz="12" w:space="0"/>
                    <w:tl2br w:val="nil"/>
                    <w:tr2bl w:val="nil"/>
                  </w:tcBorders>
                  <w:noWrap w:val="0"/>
                  <w:vAlign w:val="center"/>
                </w:tcPr>
                <w:p w14:paraId="2D982646">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重点防渗</w:t>
                  </w:r>
                </w:p>
              </w:tc>
              <w:tc>
                <w:tcPr>
                  <w:tcW w:w="1240" w:type="pct"/>
                  <w:tcBorders>
                    <w:top w:val="single" w:color="auto" w:sz="12" w:space="0"/>
                    <w:tl2br w:val="nil"/>
                    <w:tr2bl w:val="nil"/>
                  </w:tcBorders>
                  <w:noWrap w:val="0"/>
                  <w:vAlign w:val="center"/>
                </w:tcPr>
                <w:p w14:paraId="0E7056CE">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等效黏土防渗层Mb≥6.0m，K≤1.0×10</w:t>
                  </w:r>
                  <w:r>
                    <w:rPr>
                      <w:rFonts w:hint="default" w:ascii="Times New Roman" w:hAnsi="Times New Roman" w:eastAsia="宋体" w:cs="Times New Roman"/>
                      <w:b w:val="0"/>
                      <w:bCs/>
                      <w:color w:val="000000" w:themeColor="text1"/>
                      <w:kern w:val="2"/>
                      <w:sz w:val="21"/>
                      <w:szCs w:val="21"/>
                      <w:highlight w:val="none"/>
                      <w:vertAlign w:val="superscript"/>
                      <w:lang w:val="en-US" w:eastAsia="zh-CN" w:bidi="ar-SA"/>
                      <w14:textFill>
                        <w14:solidFill>
                          <w14:schemeClr w14:val="tx1"/>
                        </w14:solidFill>
                      </w14:textFill>
                    </w:rPr>
                    <w:t>-</w:t>
                  </w:r>
                  <w:r>
                    <w:rPr>
                      <w:rFonts w:hint="eastAsia" w:cs="Times New Roman"/>
                      <w:b w:val="0"/>
                      <w:bCs/>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cm/s</w:t>
                  </w:r>
                </w:p>
              </w:tc>
            </w:tr>
            <w:tr w14:paraId="0351C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Borders>
                    <w:tl2br w:val="nil"/>
                    <w:tr2bl w:val="nil"/>
                  </w:tcBorders>
                  <w:noWrap w:val="0"/>
                  <w:vAlign w:val="center"/>
                </w:tcPr>
                <w:p w14:paraId="5E5E1CA9">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生产</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车间</w:t>
                  </w:r>
                  <w:r>
                    <w:rPr>
                      <w:rFonts w:hint="eastAsia" w:cs="Times New Roman"/>
                      <w:b w:val="0"/>
                      <w:bCs/>
                      <w:color w:val="000000" w:themeColor="text1"/>
                      <w:kern w:val="2"/>
                      <w:sz w:val="21"/>
                      <w:szCs w:val="21"/>
                      <w:highlight w:val="none"/>
                      <w:lang w:val="en-US" w:eastAsia="zh-CN" w:bidi="ar-SA"/>
                      <w14:textFill>
                        <w14:solidFill>
                          <w14:schemeClr w14:val="tx1"/>
                        </w14:solidFill>
                      </w14:textFill>
                    </w:rPr>
                    <w:t>、重选沉淀池、外沉池</w:t>
                  </w:r>
                </w:p>
              </w:tc>
              <w:tc>
                <w:tcPr>
                  <w:tcW w:w="620" w:type="pct"/>
                  <w:tcBorders>
                    <w:tl2br w:val="nil"/>
                    <w:tr2bl w:val="nil"/>
                  </w:tcBorders>
                  <w:noWrap w:val="0"/>
                  <w:vAlign w:val="center"/>
                </w:tcPr>
                <w:p w14:paraId="75EEB213">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中</w:t>
                  </w:r>
                </w:p>
              </w:tc>
              <w:tc>
                <w:tcPr>
                  <w:tcW w:w="620" w:type="pct"/>
                  <w:tcBorders>
                    <w:tl2br w:val="nil"/>
                    <w:tr2bl w:val="nil"/>
                  </w:tcBorders>
                  <w:noWrap w:val="0"/>
                  <w:vAlign w:val="center"/>
                </w:tcPr>
                <w:p w14:paraId="4A521E51">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难</w:t>
                  </w:r>
                </w:p>
              </w:tc>
              <w:tc>
                <w:tcPr>
                  <w:tcW w:w="816" w:type="pct"/>
                  <w:tcBorders>
                    <w:tl2br w:val="nil"/>
                    <w:tr2bl w:val="nil"/>
                  </w:tcBorders>
                  <w:noWrap w:val="0"/>
                  <w:vAlign w:val="center"/>
                </w:tcPr>
                <w:p w14:paraId="4624CD77">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其他类型</w:t>
                  </w:r>
                </w:p>
              </w:tc>
              <w:tc>
                <w:tcPr>
                  <w:tcW w:w="762" w:type="pct"/>
                  <w:tcBorders>
                    <w:tl2br w:val="nil"/>
                    <w:tr2bl w:val="nil"/>
                  </w:tcBorders>
                  <w:noWrap w:val="0"/>
                  <w:vAlign w:val="center"/>
                </w:tcPr>
                <w:p w14:paraId="7B3BB98F">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一般防渗</w:t>
                  </w:r>
                </w:p>
              </w:tc>
              <w:tc>
                <w:tcPr>
                  <w:tcW w:w="1240" w:type="pct"/>
                  <w:tcBorders>
                    <w:tl2br w:val="nil"/>
                    <w:tr2bl w:val="nil"/>
                  </w:tcBorders>
                  <w:noWrap w:val="0"/>
                  <w:vAlign w:val="center"/>
                </w:tcPr>
                <w:p w14:paraId="665A4482">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等效黏土防渗层Mb≥1.5m，K≤1.0×10</w:t>
                  </w:r>
                  <w:r>
                    <w:rPr>
                      <w:rFonts w:hint="default" w:ascii="Times New Roman" w:hAnsi="Times New Roman" w:eastAsia="宋体" w:cs="Times New Roman"/>
                      <w:b w:val="0"/>
                      <w:bCs/>
                      <w:color w:val="000000" w:themeColor="text1"/>
                      <w:kern w:val="2"/>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cm/s</w:t>
                  </w:r>
                </w:p>
              </w:tc>
            </w:tr>
          </w:tbl>
          <w:p w14:paraId="454B7BB7">
            <w:pPr>
              <w:pStyle w:val="53"/>
              <w:bidi w:val="0"/>
              <w:rPr>
                <w:rFonts w:hint="default"/>
                <w:color w:val="000000" w:themeColor="text1"/>
                <w:highlight w:val="none"/>
                <w:lang w:val="en-US" w:eastAsia="zh-CN"/>
                <w14:textFill>
                  <w14:solidFill>
                    <w14:schemeClr w14:val="tx1"/>
                  </w14:solidFill>
                </w14:textFill>
              </w:rPr>
            </w:pPr>
            <w:bookmarkStart w:id="32" w:name="_Toc10246"/>
            <w:bookmarkStart w:id="33" w:name="_Toc9967"/>
            <w:bookmarkStart w:id="34" w:name="_Toc16879"/>
            <w:r>
              <w:rPr>
                <w:rFonts w:hint="eastAsia"/>
                <w:color w:val="000000" w:themeColor="text1"/>
                <w:highlight w:val="none"/>
                <w:lang w:val="en-US" w:eastAsia="zh-CN"/>
                <w14:textFill>
                  <w14:solidFill>
                    <w14:schemeClr w14:val="tx1"/>
                  </w14:solidFill>
                </w14:textFill>
              </w:rPr>
              <w:t>（3）风险管理要求</w:t>
            </w:r>
          </w:p>
          <w:p w14:paraId="772D8CD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为了缓解项目对地下水环境构成的影响,建设单位必须制订全面、长期的环境管理计划。根据环评提出的主要环境问题，环保措施,提出项目的环境管理计划，供各级部门对该项目进行环境管理时参考。</w:t>
            </w:r>
          </w:p>
          <w:p w14:paraId="679FD670">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1)有关管理部门按照“三同时”的原则,加强对企业地下水各项污染防治措施建设及运行的监督。</w:t>
            </w:r>
          </w:p>
          <w:p w14:paraId="3CD5D28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2)地下水环境管理应纳入正规化和规范化的管理体制,建立和健全长效环境管理机制。</w:t>
            </w:r>
          </w:p>
          <w:p w14:paraId="6B02532E">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right="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4.9.2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土壤</w:t>
            </w:r>
            <w:bookmarkEnd w:id="32"/>
            <w:bookmarkEnd w:id="33"/>
            <w:bookmarkEnd w:id="34"/>
          </w:p>
          <w:p w14:paraId="24F5A2C3">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根据《环境影响评价技术导则 土壤环境（试行）》（</w:t>
            </w:r>
            <w:r>
              <w:rPr>
                <w:rFonts w:hint="default"/>
                <w:color w:val="000000" w:themeColor="text1"/>
                <w:sz w:val="24"/>
                <w:szCs w:val="24"/>
                <w:highlight w:val="none"/>
                <w:lang w:val="en-US" w:eastAsia="zh-CN"/>
                <w14:textFill>
                  <w14:solidFill>
                    <w14:schemeClr w14:val="tx1"/>
                  </w14:solidFill>
                </w14:textFill>
              </w:rPr>
              <w:t>HJ964-2018</w:t>
            </w:r>
            <w:r>
              <w:rPr>
                <w:rFonts w:hint="eastAsia"/>
                <w:color w:val="000000" w:themeColor="text1"/>
                <w:sz w:val="24"/>
                <w:szCs w:val="24"/>
                <w:highlight w:val="none"/>
                <w:lang w:val="en-US" w:eastAsia="zh-CN"/>
                <w14:textFill>
                  <w14:solidFill>
                    <w14:schemeClr w14:val="tx1"/>
                  </w14:solidFill>
                </w14:textFill>
              </w:rPr>
              <w:t>）中附录A，本项目类别为Ⅳ类，敏感程度为不敏感，因此本项目可不开展土壤环境影响评价。</w:t>
            </w:r>
          </w:p>
          <w:p w14:paraId="181A4910">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根据工程分析，项目主要</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废气污</w:t>
            </w:r>
            <w:r>
              <w:rPr>
                <w:rFonts w:hint="default"/>
                <w:color w:val="000000" w:themeColor="text1"/>
                <w:sz w:val="24"/>
                <w:szCs w:val="24"/>
                <w:highlight w:val="none"/>
                <w:lang w:val="en-US" w:eastAsia="zh-CN"/>
                <w14:textFill>
                  <w14:solidFill>
                    <w14:schemeClr w14:val="tx1"/>
                  </w14:solidFill>
                </w14:textFill>
              </w:rPr>
              <w:t>染物为颗粒物、二氧化硫、氮氧化物</w:t>
            </w:r>
            <w:r>
              <w:rPr>
                <w:rFonts w:hint="eastAsia"/>
                <w:color w:val="000000" w:themeColor="text1"/>
                <w:sz w:val="24"/>
                <w:szCs w:val="24"/>
                <w:highlight w:val="none"/>
                <w:lang w:val="en-US" w:eastAsia="zh-CN"/>
                <w14:textFill>
                  <w14:solidFill>
                    <w14:schemeClr w14:val="tx1"/>
                  </w14:solidFill>
                </w14:textFill>
              </w:rPr>
              <w:t>、氯化氢</w:t>
            </w:r>
            <w:r>
              <w:rPr>
                <w:rFonts w:hint="default"/>
                <w:color w:val="000000" w:themeColor="text1"/>
                <w:sz w:val="24"/>
                <w:szCs w:val="24"/>
                <w:highlight w:val="none"/>
                <w:lang w:val="en-US" w:eastAsia="zh-CN"/>
                <w14:textFill>
                  <w14:solidFill>
                    <w14:schemeClr w14:val="tx1"/>
                  </w14:solidFill>
                </w14:textFill>
              </w:rPr>
              <w:t>，经处理后排放浓度较低，在大气中将很快消解扩散，不会因降雨等因素沉降导致地表土壤环境恶化；项目运营期间</w:t>
            </w:r>
            <w:r>
              <w:rPr>
                <w:rFonts w:hint="eastAsia" w:cs="Times New Roman"/>
                <w:b w:val="0"/>
                <w:bCs w:val="0"/>
                <w:color w:val="000000" w:themeColor="text1"/>
                <w:w w:val="100"/>
                <w:position w:val="0"/>
                <w:sz w:val="24"/>
                <w:szCs w:val="24"/>
                <w:highlight w:val="none"/>
                <w:lang w:val="en-US" w:eastAsia="zh-CN" w:bidi="ar-SA"/>
                <w14:textFill>
                  <w14:solidFill>
                    <w14:schemeClr w14:val="tx1"/>
                  </w14:solidFill>
                </w14:textFill>
              </w:rPr>
              <w:t>锅炉排污水（锅炉排污水+软化处理废水）</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经园区</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污水管网排入</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昌吉高新海天污水处理厂，其余</w:t>
            </w:r>
            <w:r>
              <w:rPr>
                <w:rFonts w:hint="eastAsia"/>
                <w:color w:val="000000" w:themeColor="text1"/>
                <w:sz w:val="24"/>
                <w:szCs w:val="24"/>
                <w:highlight w:val="none"/>
                <w:lang w:val="en-US" w:eastAsia="zh-CN"/>
                <w14:textFill>
                  <w14:solidFill>
                    <w14:schemeClr w14:val="tx1"/>
                  </w14:solidFill>
                </w14:textFill>
              </w:rPr>
              <w:t>生产废水，循环使用不外排</w:t>
            </w:r>
            <w:r>
              <w:rPr>
                <w:rFonts w:hint="default"/>
                <w:color w:val="000000" w:themeColor="text1"/>
                <w:sz w:val="24"/>
                <w:szCs w:val="24"/>
                <w:highlight w:val="none"/>
                <w:lang w:val="en-US" w:eastAsia="zh-CN"/>
                <w14:textFill>
                  <w14:solidFill>
                    <w14:schemeClr w14:val="tx1"/>
                  </w14:solidFill>
                </w14:textFill>
              </w:rPr>
              <w:t>，正常状况下不会造成土壤污染。对土壤环境的影响主要为事故状态下，废气处理措施不能正常运行导致大气污染物排放浓度增高，污染物通过大气沉降造成周边土壤环境污染以及</w:t>
            </w:r>
            <w:r>
              <w:rPr>
                <w:rFonts w:hint="eastAsia"/>
                <w:color w:val="000000" w:themeColor="text1"/>
                <w:sz w:val="24"/>
                <w:szCs w:val="24"/>
                <w:highlight w:val="none"/>
                <w:lang w:val="en-US" w:eastAsia="zh-CN"/>
                <w14:textFill>
                  <w14:solidFill>
                    <w14:schemeClr w14:val="tx1"/>
                  </w14:solidFill>
                </w14:textFill>
              </w:rPr>
              <w:t>危险废物</w:t>
            </w:r>
            <w:r>
              <w:rPr>
                <w:rFonts w:hint="default"/>
                <w:color w:val="000000" w:themeColor="text1"/>
                <w:sz w:val="24"/>
                <w:szCs w:val="24"/>
                <w:highlight w:val="none"/>
                <w:lang w:val="en-US" w:eastAsia="zh-CN"/>
                <w14:textFill>
                  <w14:solidFill>
                    <w14:schemeClr w14:val="tx1"/>
                  </w14:solidFill>
                </w14:textFill>
              </w:rPr>
              <w:t>贮存设施</w:t>
            </w:r>
            <w:r>
              <w:rPr>
                <w:rFonts w:hint="eastAsia"/>
                <w:color w:val="000000" w:themeColor="text1"/>
                <w:sz w:val="24"/>
                <w:szCs w:val="24"/>
                <w:highlight w:val="none"/>
                <w:lang w:val="en-US" w:eastAsia="zh-CN"/>
                <w14:textFill>
                  <w14:solidFill>
                    <w14:schemeClr w14:val="tx1"/>
                  </w14:solidFill>
                </w14:textFill>
              </w:rPr>
              <w:t>、碱液池以及盐酸储罐</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防渗措施破损，导致污染物下渗造成土壤环境污染。但是，随着项目运行水平的提高和规范化，非正常工况的运行的可能性较低，在严格管理的情况下，非正常工况下应采取停产检修，不会造成长期不达标排放，其对土壤的影响也较小。</w:t>
            </w:r>
          </w:p>
          <w:p w14:paraId="4C8A4481">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35" w:name="_Toc24415"/>
            <w:bookmarkStart w:id="36" w:name="_Toc7414"/>
            <w:bookmarkStart w:id="37" w:name="_Toc13837"/>
            <w:r>
              <w:rPr>
                <w:rFonts w:hint="eastAsia"/>
                <w:color w:val="000000" w:themeColor="text1"/>
                <w:highlight w:val="none"/>
                <w:lang w:val="en-US" w:eastAsia="zh-CN"/>
                <w14:textFill>
                  <w14:solidFill>
                    <w14:schemeClr w14:val="tx1"/>
                  </w14:solidFill>
                </w14:textFill>
              </w:rPr>
              <w:t>4.10、运</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营期环境风险污染影响及防治措施</w:t>
            </w:r>
          </w:p>
          <w:bookmarkEnd w:id="35"/>
          <w:bookmarkEnd w:id="36"/>
          <w:bookmarkEnd w:id="37"/>
          <w:p w14:paraId="7ED4EE27">
            <w:pPr>
              <w:pStyle w:val="53"/>
              <w:bidi w:val="0"/>
              <w:rPr>
                <w:rFonts w:hint="default"/>
                <w:color w:val="000000" w:themeColor="text1"/>
                <w:highlight w:val="none"/>
                <w14:textFill>
                  <w14:solidFill>
                    <w14:schemeClr w14:val="tx1"/>
                  </w14:solidFill>
                </w14:textFill>
              </w:rPr>
            </w:pPr>
            <w:bookmarkStart w:id="38" w:name="_Toc28888"/>
            <w:bookmarkStart w:id="39" w:name="_Toc15660"/>
            <w:bookmarkStart w:id="40" w:name="_Toc26318"/>
            <w:r>
              <w:rPr>
                <w:rFonts w:hint="default"/>
                <w:color w:val="000000" w:themeColor="text1"/>
                <w:highlight w:val="none"/>
                <w14:textFill>
                  <w14:solidFill>
                    <w14:schemeClr w14:val="tx1"/>
                  </w14:solidFill>
                </w14:textFill>
              </w:rPr>
              <w:t>本评价报告在环境风险影响分析中，针对性地提出了运营管理中所采取的环境风险措施，这些措施的落实有利于进一步降低风险。建设单位必须高度重视环境污染风险，切实落实本评价提出的风险防范措施后本项目的环境风险是可以接受的。详见环境风险专章。</w:t>
            </w:r>
          </w:p>
          <w:p w14:paraId="26F18018">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4.11、</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环保投资估算</w:t>
            </w:r>
            <w:bookmarkEnd w:id="38"/>
            <w:bookmarkEnd w:id="39"/>
            <w:bookmarkEnd w:id="40"/>
          </w:p>
          <w:p w14:paraId="4B7904D3">
            <w:pPr>
              <w:pStyle w:val="53"/>
              <w:bidi w:val="0"/>
              <w:rPr>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本项目总投资</w:t>
            </w:r>
            <w:r>
              <w:rPr>
                <w:rFonts w:hint="eastAsia"/>
                <w:color w:val="000000" w:themeColor="text1"/>
                <w:highlight w:val="none"/>
                <w:lang w:val="en-US" w:eastAsia="zh-CN"/>
                <w14:textFill>
                  <w14:solidFill>
                    <w14:schemeClr w14:val="tx1"/>
                  </w14:solidFill>
                </w14:textFill>
              </w:rPr>
              <w:t>60</w:t>
            </w:r>
            <w:r>
              <w:rPr>
                <w:rFonts w:hint="default"/>
                <w:color w:val="000000" w:themeColor="text1"/>
                <w:highlight w:val="none"/>
                <w14:textFill>
                  <w14:solidFill>
                    <w14:schemeClr w14:val="tx1"/>
                  </w14:solidFill>
                </w14:textFill>
              </w:rPr>
              <w:t>万元，环保投资</w:t>
            </w:r>
            <w:r>
              <w:rPr>
                <w:rFonts w:hint="eastAsia"/>
                <w:color w:val="000000" w:themeColor="text1"/>
                <w:highlight w:val="none"/>
                <w:lang w:val="en-US" w:eastAsia="zh-CN"/>
                <w14:textFill>
                  <w14:solidFill>
                    <w14:schemeClr w14:val="tx1"/>
                  </w14:solidFill>
                </w14:textFill>
              </w:rPr>
              <w:t>14</w:t>
            </w:r>
            <w:r>
              <w:rPr>
                <w:rFonts w:hint="default"/>
                <w:color w:val="000000" w:themeColor="text1"/>
                <w:highlight w:val="none"/>
                <w14:textFill>
                  <w14:solidFill>
                    <w14:schemeClr w14:val="tx1"/>
                  </w14:solidFill>
                </w14:textFill>
              </w:rPr>
              <w:t>万元，占总投资的</w:t>
            </w:r>
            <w:r>
              <w:rPr>
                <w:rFonts w:hint="eastAsia"/>
                <w:color w:val="000000" w:themeColor="text1"/>
                <w:highlight w:val="none"/>
                <w:lang w:val="en-US" w:eastAsia="zh-CN"/>
                <w14:textFill>
                  <w14:solidFill>
                    <w14:schemeClr w14:val="tx1"/>
                  </w14:solidFill>
                </w14:textFill>
              </w:rPr>
              <w:t>23.3</w:t>
            </w:r>
            <w:r>
              <w:rPr>
                <w:rFonts w:hint="default"/>
                <w:color w:val="000000" w:themeColor="text1"/>
                <w:highlight w:val="none"/>
                <w14:textFill>
                  <w14:solidFill>
                    <w14:schemeClr w14:val="tx1"/>
                  </w14:solidFill>
                </w14:textFill>
              </w:rPr>
              <w:t>%。本项目环保工程主要包括废气治理工程、噪声治理工程，具体见表</w:t>
            </w:r>
            <w:r>
              <w:rPr>
                <w:rFonts w:hint="eastAsia"/>
                <w:color w:val="000000" w:themeColor="text1"/>
                <w:highlight w:val="none"/>
                <w:lang w:val="en-US" w:eastAsia="zh-CN"/>
                <w14:textFill>
                  <w14:solidFill>
                    <w14:schemeClr w14:val="tx1"/>
                  </w14:solidFill>
                </w14:textFill>
              </w:rPr>
              <w:t>4-24</w:t>
            </w:r>
            <w:r>
              <w:rPr>
                <w:rFonts w:hint="default"/>
                <w:color w:val="000000" w:themeColor="text1"/>
                <w:highlight w:val="none"/>
                <w14:textFill>
                  <w14:solidFill>
                    <w14:schemeClr w14:val="tx1"/>
                  </w14:solidFill>
                </w14:textFill>
              </w:rPr>
              <w:t>。</w:t>
            </w:r>
          </w:p>
          <w:p w14:paraId="5EBD2503">
            <w:pPr>
              <w:pStyle w:val="48"/>
              <w:bidi w:val="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表</w:t>
            </w:r>
            <w:r>
              <w:rPr>
                <w:rFonts w:hint="eastAsia"/>
                <w:color w:val="000000" w:themeColor="text1"/>
                <w:sz w:val="21"/>
                <w:szCs w:val="21"/>
                <w:highlight w:val="none"/>
                <w:lang w:val="en-US" w:eastAsia="zh-CN"/>
                <w14:textFill>
                  <w14:solidFill>
                    <w14:schemeClr w14:val="tx1"/>
                  </w14:solidFill>
                </w14:textFill>
              </w:rPr>
              <w:t xml:space="preserve">4-24   </w:t>
            </w:r>
            <w:r>
              <w:rPr>
                <w:rFonts w:hint="eastAsia"/>
                <w:color w:val="000000" w:themeColor="text1"/>
                <w:sz w:val="21"/>
                <w:szCs w:val="21"/>
                <w:highlight w:val="none"/>
                <w14:textFill>
                  <w14:solidFill>
                    <w14:schemeClr w14:val="tx1"/>
                  </w14:solidFill>
                </w14:textFill>
              </w:rPr>
              <w:t xml:space="preserve"> </w:t>
            </w:r>
            <w:r>
              <w:rPr>
                <w:color w:val="000000" w:themeColor="text1"/>
                <w:sz w:val="21"/>
                <w:szCs w:val="21"/>
                <w:highlight w:val="none"/>
                <w14:textFill>
                  <w14:solidFill>
                    <w14:schemeClr w14:val="tx1"/>
                  </w14:solidFill>
                </w14:textFill>
              </w:rPr>
              <w:t>环保工程项目及投资估算</w:t>
            </w:r>
          </w:p>
          <w:tbl>
            <w:tblPr>
              <w:tblStyle w:val="21"/>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122"/>
              <w:gridCol w:w="4067"/>
              <w:gridCol w:w="1420"/>
            </w:tblGrid>
            <w:tr w14:paraId="6F1A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5" w:type="pct"/>
                  <w:tcBorders>
                    <w:top w:val="single" w:color="auto" w:sz="12" w:space="0"/>
                    <w:left w:val="nil"/>
                    <w:bottom w:val="single" w:color="auto" w:sz="12" w:space="0"/>
                    <w:right w:val="single" w:color="auto" w:sz="4" w:space="0"/>
                  </w:tcBorders>
                  <w:noWrap w:val="0"/>
                  <w:vAlign w:val="center"/>
                </w:tcPr>
                <w:p w14:paraId="1A114DF9">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序号</w:t>
                  </w:r>
                </w:p>
              </w:tc>
              <w:tc>
                <w:tcPr>
                  <w:tcW w:w="775" w:type="pct"/>
                  <w:tcBorders>
                    <w:top w:val="single" w:color="auto" w:sz="12" w:space="0"/>
                    <w:left w:val="nil"/>
                    <w:bottom w:val="single" w:color="auto" w:sz="12" w:space="0"/>
                    <w:right w:val="single" w:color="auto" w:sz="4" w:space="0"/>
                  </w:tcBorders>
                  <w:noWrap w:val="0"/>
                  <w:vAlign w:val="center"/>
                </w:tcPr>
                <w:p w14:paraId="2C1377E6">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内容</w:t>
                  </w:r>
                </w:p>
              </w:tc>
              <w:tc>
                <w:tcPr>
                  <w:tcW w:w="2808" w:type="pct"/>
                  <w:tcBorders>
                    <w:top w:val="single" w:color="auto" w:sz="12" w:space="0"/>
                    <w:left w:val="nil"/>
                    <w:bottom w:val="single" w:color="auto" w:sz="12" w:space="0"/>
                    <w:right w:val="single" w:color="auto" w:sz="4" w:space="0"/>
                  </w:tcBorders>
                  <w:noWrap w:val="0"/>
                  <w:vAlign w:val="center"/>
                </w:tcPr>
                <w:p w14:paraId="68374282">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环保设施</w:t>
                  </w:r>
                </w:p>
              </w:tc>
              <w:tc>
                <w:tcPr>
                  <w:tcW w:w="980" w:type="pct"/>
                  <w:tcBorders>
                    <w:top w:val="single" w:color="auto" w:sz="12" w:space="0"/>
                    <w:left w:val="nil"/>
                    <w:bottom w:val="single" w:color="auto" w:sz="12" w:space="0"/>
                    <w:right w:val="nil"/>
                  </w:tcBorders>
                  <w:noWrap w:val="0"/>
                  <w:vAlign w:val="center"/>
                </w:tcPr>
                <w:p w14:paraId="03C4EE6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投资（万元）</w:t>
                  </w:r>
                </w:p>
              </w:tc>
            </w:tr>
            <w:tr w14:paraId="64F1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tcBorders>
                    <w:top w:val="single" w:color="auto" w:sz="4" w:space="0"/>
                    <w:left w:val="nil"/>
                    <w:bottom w:val="single" w:color="auto" w:sz="4" w:space="0"/>
                    <w:right w:val="single" w:color="auto" w:sz="4" w:space="0"/>
                  </w:tcBorders>
                  <w:noWrap w:val="0"/>
                  <w:vAlign w:val="center"/>
                </w:tcPr>
                <w:p w14:paraId="6DB1E2DA">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775" w:type="pct"/>
                  <w:tcBorders>
                    <w:top w:val="single" w:color="auto" w:sz="4" w:space="0"/>
                    <w:left w:val="nil"/>
                    <w:bottom w:val="single" w:color="auto" w:sz="4" w:space="0"/>
                    <w:right w:val="single" w:color="auto" w:sz="4" w:space="0"/>
                  </w:tcBorders>
                  <w:noWrap w:val="0"/>
                  <w:vAlign w:val="center"/>
                </w:tcPr>
                <w:p w14:paraId="30A0B60D">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噪声治理</w:t>
                  </w:r>
                </w:p>
              </w:tc>
              <w:tc>
                <w:tcPr>
                  <w:tcW w:w="2808" w:type="pct"/>
                  <w:tcBorders>
                    <w:top w:val="single" w:color="auto" w:sz="4" w:space="0"/>
                    <w:left w:val="nil"/>
                    <w:bottom w:val="single" w:color="auto" w:sz="4" w:space="0"/>
                    <w:right w:val="single" w:color="auto" w:sz="4" w:space="0"/>
                  </w:tcBorders>
                  <w:noWrap w:val="0"/>
                  <w:vAlign w:val="center"/>
                </w:tcPr>
                <w:p w14:paraId="33211AD4">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加强维修养护，基础减震，厂房隔音</w:t>
                  </w:r>
                </w:p>
              </w:tc>
              <w:tc>
                <w:tcPr>
                  <w:tcW w:w="980" w:type="pct"/>
                  <w:tcBorders>
                    <w:top w:val="single" w:color="auto" w:sz="4" w:space="0"/>
                    <w:left w:val="nil"/>
                    <w:bottom w:val="single" w:color="auto" w:sz="4" w:space="0"/>
                    <w:right w:val="nil"/>
                  </w:tcBorders>
                  <w:noWrap w:val="0"/>
                  <w:vAlign w:val="center"/>
                </w:tcPr>
                <w:p w14:paraId="1C422321">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r>
            <w:tr w14:paraId="06A4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vMerge w:val="restart"/>
                  <w:tcBorders>
                    <w:top w:val="single" w:color="auto" w:sz="4" w:space="0"/>
                    <w:left w:val="nil"/>
                    <w:right w:val="single" w:color="auto" w:sz="4" w:space="0"/>
                  </w:tcBorders>
                  <w:noWrap w:val="0"/>
                  <w:vAlign w:val="center"/>
                </w:tcPr>
                <w:p w14:paraId="60FC7D36">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775" w:type="pct"/>
                  <w:vMerge w:val="restart"/>
                  <w:tcBorders>
                    <w:top w:val="single" w:color="auto" w:sz="4" w:space="0"/>
                    <w:left w:val="nil"/>
                    <w:right w:val="single" w:color="auto" w:sz="4" w:space="0"/>
                  </w:tcBorders>
                  <w:noWrap w:val="0"/>
                  <w:vAlign w:val="center"/>
                </w:tcPr>
                <w:p w14:paraId="36FC96D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废气治理</w:t>
                  </w:r>
                </w:p>
              </w:tc>
              <w:tc>
                <w:tcPr>
                  <w:tcW w:w="2808" w:type="pct"/>
                  <w:tcBorders>
                    <w:top w:val="single" w:color="auto" w:sz="4" w:space="0"/>
                    <w:left w:val="nil"/>
                    <w:bottom w:val="single" w:color="auto" w:sz="4" w:space="0"/>
                    <w:right w:val="single" w:color="auto" w:sz="4" w:space="0"/>
                  </w:tcBorders>
                  <w:noWrap w:val="0"/>
                  <w:vAlign w:val="center"/>
                </w:tcPr>
                <w:p w14:paraId="40C9E8C0">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DA001：集气罩+碱液喷淋塔+15m排气筒</w:t>
                  </w:r>
                </w:p>
              </w:tc>
              <w:tc>
                <w:tcPr>
                  <w:tcW w:w="980" w:type="pct"/>
                  <w:vMerge w:val="restart"/>
                  <w:tcBorders>
                    <w:top w:val="single" w:color="auto" w:sz="4" w:space="0"/>
                    <w:left w:val="nil"/>
                    <w:right w:val="nil"/>
                  </w:tcBorders>
                  <w:noWrap w:val="0"/>
                  <w:vAlign w:val="center"/>
                </w:tcPr>
                <w:p w14:paraId="4A94D5E2">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12</w:t>
                  </w:r>
                </w:p>
              </w:tc>
            </w:tr>
            <w:tr w14:paraId="112F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35" w:type="pct"/>
                  <w:vMerge w:val="continue"/>
                  <w:tcBorders>
                    <w:left w:val="nil"/>
                    <w:right w:val="single" w:color="auto" w:sz="4" w:space="0"/>
                  </w:tcBorders>
                  <w:noWrap w:val="0"/>
                  <w:vAlign w:val="center"/>
                </w:tcPr>
                <w:p w14:paraId="5E5BFD4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775" w:type="pct"/>
                  <w:vMerge w:val="continue"/>
                  <w:tcBorders>
                    <w:left w:val="nil"/>
                    <w:right w:val="single" w:color="auto" w:sz="4" w:space="0"/>
                  </w:tcBorders>
                  <w:noWrap w:val="0"/>
                  <w:vAlign w:val="center"/>
                </w:tcPr>
                <w:p w14:paraId="56EFB3FF">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c>
                <w:tcPr>
                  <w:tcW w:w="2808" w:type="pct"/>
                  <w:tcBorders>
                    <w:top w:val="single" w:color="auto" w:sz="4" w:space="0"/>
                    <w:left w:val="nil"/>
                    <w:bottom w:val="single" w:color="auto" w:sz="4" w:space="0"/>
                    <w:right w:val="single" w:color="auto" w:sz="4" w:space="0"/>
                  </w:tcBorders>
                  <w:noWrap w:val="0"/>
                  <w:vAlign w:val="center"/>
                </w:tcPr>
                <w:p w14:paraId="2E6FFF75">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DA002：低氮燃烧器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+布袋除尘器</w:t>
                  </w:r>
                </w:p>
              </w:tc>
              <w:tc>
                <w:tcPr>
                  <w:tcW w:w="980" w:type="pct"/>
                  <w:vMerge w:val="continue"/>
                  <w:tcBorders>
                    <w:left w:val="nil"/>
                    <w:right w:val="nil"/>
                  </w:tcBorders>
                  <w:noWrap w:val="0"/>
                  <w:vAlign w:val="center"/>
                </w:tcPr>
                <w:p w14:paraId="0AE168F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2E2E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vMerge w:val="continue"/>
                  <w:tcBorders>
                    <w:left w:val="nil"/>
                    <w:right w:val="single" w:color="auto" w:sz="4" w:space="0"/>
                  </w:tcBorders>
                  <w:noWrap w:val="0"/>
                  <w:vAlign w:val="center"/>
                </w:tcPr>
                <w:p w14:paraId="0964332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775" w:type="pct"/>
                  <w:vMerge w:val="continue"/>
                  <w:tcBorders>
                    <w:left w:val="nil"/>
                    <w:right w:val="single" w:color="auto" w:sz="4" w:space="0"/>
                  </w:tcBorders>
                  <w:noWrap w:val="0"/>
                  <w:vAlign w:val="center"/>
                </w:tcPr>
                <w:p w14:paraId="69C4FC9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c>
                <w:tcPr>
                  <w:tcW w:w="2808" w:type="pct"/>
                  <w:tcBorders>
                    <w:top w:val="single" w:color="auto" w:sz="4" w:space="0"/>
                    <w:left w:val="nil"/>
                    <w:bottom w:val="single" w:color="auto" w:sz="4" w:space="0"/>
                    <w:right w:val="single" w:color="auto" w:sz="4" w:space="0"/>
                  </w:tcBorders>
                  <w:noWrap w:val="0"/>
                  <w:vAlign w:val="center"/>
                </w:tcPr>
                <w:p w14:paraId="6AEFFA70">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DA003集气罩+布袋除尘器+15m高排气筒</w:t>
                  </w:r>
                </w:p>
              </w:tc>
              <w:tc>
                <w:tcPr>
                  <w:tcW w:w="980" w:type="pct"/>
                  <w:vMerge w:val="continue"/>
                  <w:tcBorders>
                    <w:left w:val="nil"/>
                    <w:right w:val="nil"/>
                  </w:tcBorders>
                  <w:noWrap w:val="0"/>
                  <w:vAlign w:val="center"/>
                </w:tcPr>
                <w:p w14:paraId="0C50DF47">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1444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vMerge w:val="continue"/>
                  <w:tcBorders>
                    <w:left w:val="nil"/>
                    <w:right w:val="single" w:color="auto" w:sz="4" w:space="0"/>
                  </w:tcBorders>
                  <w:noWrap w:val="0"/>
                  <w:vAlign w:val="center"/>
                </w:tcPr>
                <w:p w14:paraId="61AD59E8">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775" w:type="pct"/>
                  <w:vMerge w:val="continue"/>
                  <w:tcBorders>
                    <w:left w:val="nil"/>
                    <w:right w:val="single" w:color="auto" w:sz="4" w:space="0"/>
                  </w:tcBorders>
                  <w:noWrap w:val="0"/>
                  <w:vAlign w:val="center"/>
                </w:tcPr>
                <w:p w14:paraId="0B61F726">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c>
                <w:tcPr>
                  <w:tcW w:w="2808" w:type="pct"/>
                  <w:tcBorders>
                    <w:top w:val="single" w:color="auto" w:sz="4" w:space="0"/>
                    <w:left w:val="nil"/>
                    <w:bottom w:val="single" w:color="auto" w:sz="4" w:space="0"/>
                    <w:right w:val="single" w:color="auto" w:sz="4" w:space="0"/>
                  </w:tcBorders>
                  <w:noWrap w:val="0"/>
                  <w:vAlign w:val="center"/>
                </w:tcPr>
                <w:p w14:paraId="6C85807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DA004集气罩+布袋除尘器+15m高排气筒</w:t>
                  </w:r>
                </w:p>
              </w:tc>
              <w:tc>
                <w:tcPr>
                  <w:tcW w:w="980" w:type="pct"/>
                  <w:vMerge w:val="continue"/>
                  <w:tcBorders>
                    <w:left w:val="nil"/>
                    <w:bottom w:val="single" w:color="auto" w:sz="4" w:space="0"/>
                    <w:right w:val="nil"/>
                  </w:tcBorders>
                  <w:noWrap w:val="0"/>
                  <w:vAlign w:val="center"/>
                </w:tcPr>
                <w:p w14:paraId="476B300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24DC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tcBorders>
                    <w:top w:val="single" w:color="auto" w:sz="4" w:space="0"/>
                    <w:left w:val="nil"/>
                    <w:bottom w:val="single" w:color="auto" w:sz="4" w:space="0"/>
                    <w:right w:val="single" w:color="auto" w:sz="4" w:space="0"/>
                  </w:tcBorders>
                  <w:noWrap w:val="0"/>
                  <w:vAlign w:val="center"/>
                </w:tcPr>
                <w:p w14:paraId="3591518A">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775" w:type="pct"/>
                  <w:tcBorders>
                    <w:top w:val="single" w:color="auto" w:sz="4" w:space="0"/>
                    <w:left w:val="nil"/>
                    <w:bottom w:val="single" w:color="auto" w:sz="4" w:space="0"/>
                    <w:right w:val="single" w:color="auto" w:sz="4" w:space="0"/>
                  </w:tcBorders>
                  <w:noWrap w:val="0"/>
                  <w:vAlign w:val="center"/>
                </w:tcPr>
                <w:p w14:paraId="2717556F">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固废治理</w:t>
                  </w:r>
                </w:p>
              </w:tc>
              <w:tc>
                <w:tcPr>
                  <w:tcW w:w="2808" w:type="pct"/>
                  <w:tcBorders>
                    <w:top w:val="single" w:color="auto" w:sz="4" w:space="0"/>
                    <w:left w:val="nil"/>
                    <w:bottom w:val="single" w:color="auto" w:sz="4" w:space="0"/>
                    <w:right w:val="single" w:color="auto" w:sz="4" w:space="0"/>
                  </w:tcBorders>
                  <w:noWrap w:val="0"/>
                  <w:vAlign w:val="center"/>
                </w:tcPr>
                <w:p w14:paraId="50CCA71F">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危险废物贮存点</w:t>
                  </w:r>
                </w:p>
              </w:tc>
              <w:tc>
                <w:tcPr>
                  <w:tcW w:w="980" w:type="pct"/>
                  <w:tcBorders>
                    <w:top w:val="single" w:color="auto" w:sz="4" w:space="0"/>
                    <w:left w:val="nil"/>
                    <w:bottom w:val="single" w:color="auto" w:sz="4" w:space="0"/>
                    <w:right w:val="nil"/>
                  </w:tcBorders>
                  <w:noWrap w:val="0"/>
                  <w:vAlign w:val="center"/>
                </w:tcPr>
                <w:p w14:paraId="75A8EBD7">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r>
            <w:tr w14:paraId="62DA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019" w:type="pct"/>
                  <w:gridSpan w:val="3"/>
                  <w:tcBorders>
                    <w:top w:val="single" w:color="auto" w:sz="4" w:space="0"/>
                    <w:left w:val="nil"/>
                    <w:bottom w:val="single" w:color="auto" w:sz="12" w:space="0"/>
                    <w:right w:val="single" w:color="auto" w:sz="4" w:space="0"/>
                  </w:tcBorders>
                  <w:noWrap w:val="0"/>
                  <w:vAlign w:val="center"/>
                </w:tcPr>
                <w:p w14:paraId="3F4B2D97">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合计</w:t>
                  </w:r>
                </w:p>
              </w:tc>
              <w:tc>
                <w:tcPr>
                  <w:tcW w:w="980" w:type="pct"/>
                  <w:tcBorders>
                    <w:top w:val="single" w:color="auto" w:sz="4" w:space="0"/>
                    <w:left w:val="nil"/>
                    <w:bottom w:val="single" w:color="auto" w:sz="12" w:space="0"/>
                    <w:right w:val="nil"/>
                  </w:tcBorders>
                  <w:noWrap w:val="0"/>
                  <w:vAlign w:val="center"/>
                </w:tcPr>
                <w:p w14:paraId="2D88A665">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14</w:t>
                  </w:r>
                </w:p>
              </w:tc>
            </w:tr>
          </w:tbl>
          <w:p w14:paraId="41B95AC9">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tc>
      </w:tr>
    </w:tbl>
    <w:p w14:paraId="56909BB1">
      <w:pPr>
        <w:widowControl/>
        <w:jc w:val="left"/>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4148AD46">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41" w:name="_Toc19222"/>
      <w:r>
        <w:rPr>
          <w:rFonts w:hint="default" w:ascii="Times New Roman" w:hAnsi="Times New Roman" w:cs="Times New Roman"/>
          <w:color w:val="000000" w:themeColor="text1"/>
          <w:w w:val="100"/>
          <w:position w:val="0"/>
          <w:highlight w:val="none"/>
          <w14:textFill>
            <w14:solidFill>
              <w14:schemeClr w14:val="tx1"/>
            </w14:solidFill>
          </w14:textFill>
        </w:rPr>
        <w:t>环境保护措施监督检查清单</w:t>
      </w:r>
      <w:bookmarkEnd w:id="41"/>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532"/>
        <w:gridCol w:w="1567"/>
        <w:gridCol w:w="1613"/>
        <w:gridCol w:w="1761"/>
        <w:gridCol w:w="2518"/>
      </w:tblGrid>
      <w:tr w14:paraId="4B84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tcBorders>
              <w:tl2br w:val="single" w:color="auto" w:sz="4" w:space="0"/>
            </w:tcBorders>
            <w:vAlign w:val="center"/>
          </w:tcPr>
          <w:p w14:paraId="562E0742">
            <w:pPr>
              <w:keepNext w:val="0"/>
              <w:keepLines w:val="0"/>
              <w:pageBreakBefore w:val="0"/>
              <w:kinsoku/>
              <w:wordWrap/>
              <w:overflowPunct/>
              <w:topLinePunct w:val="0"/>
              <w:autoSpaceDE/>
              <w:autoSpaceDN/>
              <w:bidi w:val="0"/>
              <w:spacing w:line="240" w:lineRule="auto"/>
              <w:ind w:firstLine="420" w:firstLineChars="20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内容</w:t>
            </w:r>
          </w:p>
          <w:p w14:paraId="7740A754">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要素</w:t>
            </w:r>
          </w:p>
        </w:tc>
        <w:tc>
          <w:tcPr>
            <w:tcW w:w="1567" w:type="dxa"/>
            <w:vAlign w:val="center"/>
          </w:tcPr>
          <w:p w14:paraId="10E24C73">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排放口</w:t>
            </w:r>
            <w:r>
              <w:rPr>
                <w:rStyle w:val="32"/>
                <w:rFonts w:hint="eastAsia"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编号、名称</w:t>
            </w:r>
            <w:r>
              <w:rPr>
                <w:rStyle w:val="32"/>
                <w:rFonts w:hint="eastAsia"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/污染源</w:t>
            </w:r>
          </w:p>
        </w:tc>
        <w:tc>
          <w:tcPr>
            <w:tcW w:w="1613" w:type="dxa"/>
            <w:vAlign w:val="center"/>
          </w:tcPr>
          <w:p w14:paraId="39FD3512">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污染物项目</w:t>
            </w:r>
          </w:p>
        </w:tc>
        <w:tc>
          <w:tcPr>
            <w:tcW w:w="1761" w:type="dxa"/>
            <w:vAlign w:val="center"/>
          </w:tcPr>
          <w:p w14:paraId="3A03E6BB">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环境保护措施</w:t>
            </w:r>
          </w:p>
        </w:tc>
        <w:tc>
          <w:tcPr>
            <w:tcW w:w="2518" w:type="dxa"/>
            <w:vAlign w:val="center"/>
          </w:tcPr>
          <w:p w14:paraId="1BCED79F">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执行标准</w:t>
            </w:r>
          </w:p>
        </w:tc>
      </w:tr>
      <w:tr w14:paraId="1338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531" w:type="dxa"/>
            <w:vMerge w:val="restart"/>
            <w:vAlign w:val="center"/>
          </w:tcPr>
          <w:p w14:paraId="3C5DE5E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大气环境</w:t>
            </w:r>
          </w:p>
        </w:tc>
        <w:tc>
          <w:tcPr>
            <w:tcW w:w="532" w:type="dxa"/>
            <w:vMerge w:val="restart"/>
            <w:vAlign w:val="center"/>
          </w:tcPr>
          <w:p w14:paraId="767E20D5">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一期</w:t>
            </w:r>
          </w:p>
        </w:tc>
        <w:tc>
          <w:tcPr>
            <w:tcW w:w="1567" w:type="dxa"/>
            <w:vAlign w:val="center"/>
          </w:tcPr>
          <w:p w14:paraId="61FAD8AD">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Fonts w:hint="default"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t>酸洗废气、盐酸储罐大、小呼吸废气与预搅拌工序搅拌粉尘</w:t>
            </w:r>
          </w:p>
        </w:tc>
        <w:tc>
          <w:tcPr>
            <w:tcW w:w="1613" w:type="dxa"/>
            <w:vAlign w:val="center"/>
          </w:tcPr>
          <w:p w14:paraId="4E8F25F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氯化氢</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、颗粒物</w:t>
            </w:r>
          </w:p>
        </w:tc>
        <w:tc>
          <w:tcPr>
            <w:tcW w:w="1761" w:type="dxa"/>
            <w:vAlign w:val="center"/>
          </w:tcPr>
          <w:p w14:paraId="00CB608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经集气罩收集后</w:t>
            </w:r>
            <w:r>
              <w:rPr>
                <w:rStyle w:val="32"/>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通入碱法喷淋塔经15m高排气筒（DA001）有组织排放</w:t>
            </w:r>
          </w:p>
        </w:tc>
        <w:tc>
          <w:tcPr>
            <w:tcW w:w="2518" w:type="dxa"/>
            <w:vAlign w:val="center"/>
          </w:tcPr>
          <w:p w14:paraId="0B5068AE">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eastAsia" w:ascii="Times New Roman" w:hAnsi="Times New Roman" w:eastAsia="宋体" w:cs="Times New Roman"/>
                <w:color w:val="000000" w:themeColor="text1"/>
                <w:w w:val="100"/>
                <w:kern w:val="0"/>
                <w:position w:val="0"/>
                <w:sz w:val="21"/>
                <w:szCs w:val="21"/>
                <w:highlight w:val="none"/>
                <w14:textFill>
                  <w14:solidFill>
                    <w14:schemeClr w14:val="tx1"/>
                  </w14:solidFill>
                </w14:textFill>
              </w:rPr>
              <w:t>《大气污染物综合排</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放标准》（GB</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16297</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-1996）中表2中氯化氢排放限值要求（</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100mg/m</w:t>
            </w:r>
            <w:r>
              <w:rPr>
                <w:rFonts w:hint="eastAsia"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0.26kg/h）</w:t>
            </w:r>
          </w:p>
        </w:tc>
      </w:tr>
      <w:tr w14:paraId="3CCB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17DF7E7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6B6F9822">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626B405F">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Fonts w:hint="eastAsia"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t>醇基锅炉废气</w:t>
            </w:r>
          </w:p>
        </w:tc>
        <w:tc>
          <w:tcPr>
            <w:tcW w:w="1613" w:type="dxa"/>
            <w:vAlign w:val="center"/>
          </w:tcPr>
          <w:p w14:paraId="56593E99">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颗粒物、烟气黑度、NOx、SO</w:t>
            </w:r>
            <w:r>
              <w:rPr>
                <w:rStyle w:val="32"/>
                <w:rFonts w:hint="eastAsia" w:ascii="Times New Roman" w:hAnsi="Times New Roman" w:eastAsia="宋体" w:cs="Times New Roman"/>
                <w:color w:val="000000" w:themeColor="text1"/>
                <w:szCs w:val="21"/>
                <w:highlight w:val="none"/>
                <w:vertAlign w:val="subscript"/>
                <w:lang w:val="en-US" w:eastAsia="zh-CN" w:bidi="ar-SA"/>
                <w14:textFill>
                  <w14:solidFill>
                    <w14:schemeClr w14:val="tx1"/>
                  </w14:solidFill>
                </w14:textFill>
              </w:rPr>
              <w:t>2</w:t>
            </w:r>
          </w:p>
        </w:tc>
        <w:tc>
          <w:tcPr>
            <w:tcW w:w="1761" w:type="dxa"/>
            <w:vAlign w:val="center"/>
          </w:tcPr>
          <w:p w14:paraId="2F6F1A00">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采用低氮燃烧器</w:t>
            </w:r>
            <w:r>
              <w:rPr>
                <w:rStyle w:val="32"/>
                <w:rFonts w:hint="eastAsia" w:cs="Times New Roman"/>
                <w:color w:val="000000" w:themeColor="text1"/>
                <w:szCs w:val="21"/>
                <w:highlight w:val="none"/>
                <w:lang w:val="en-US" w:eastAsia="zh-CN" w:bidi="ar-SA"/>
                <w14:textFill>
                  <w14:solidFill>
                    <w14:schemeClr w14:val="tx1"/>
                  </w14:solidFill>
                </w14:textFill>
              </w:rPr>
              <w:t>+布袋除尘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经15m高排气筒（DA00</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2</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Align w:val="center"/>
          </w:tcPr>
          <w:p w14:paraId="0F112AE1">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p>
        </w:tc>
      </w:tr>
      <w:tr w14:paraId="089E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6AFB0797">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4F208353">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6A73E633">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613" w:type="dxa"/>
            <w:vAlign w:val="center"/>
          </w:tcPr>
          <w:p w14:paraId="48A77AED">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vAlign w:val="center"/>
          </w:tcPr>
          <w:p w14:paraId="27035B9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p>
        </w:tc>
        <w:tc>
          <w:tcPr>
            <w:tcW w:w="2518" w:type="dxa"/>
            <w:vMerge w:val="restart"/>
            <w:vAlign w:val="center"/>
          </w:tcPr>
          <w:p w14:paraId="23EDE129">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1"/>
                <w:szCs w:val="21"/>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；无组织废气：1.0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p>
        </w:tc>
      </w:tr>
      <w:tr w14:paraId="68BF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284863B2">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3EC980EC">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7C44A7CE">
            <w:pPr>
              <w:pStyle w:val="37"/>
              <w:keepNext w:val="0"/>
              <w:keepLines w:val="0"/>
              <w:pageBreakBefore w:val="0"/>
              <w:kinsoku/>
              <w:wordWrap/>
              <w:overflowPunct/>
              <w:topLinePunct w:val="0"/>
              <w:autoSpaceDE/>
              <w:autoSpaceDN/>
              <w:bidi w:val="0"/>
              <w:spacing w:before="0" w:beforeLines="0" w:after="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烘干废气</w:t>
            </w:r>
          </w:p>
        </w:tc>
        <w:tc>
          <w:tcPr>
            <w:tcW w:w="1613" w:type="dxa"/>
            <w:vAlign w:val="center"/>
          </w:tcPr>
          <w:p w14:paraId="4ECDCA39">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vAlign w:val="center"/>
          </w:tcPr>
          <w:p w14:paraId="5C358132">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集气罩+袋式除尘+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15m高排气筒（DA00</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3</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Merge w:val="continue"/>
            <w:vAlign w:val="center"/>
          </w:tcPr>
          <w:p w14:paraId="568F28C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Fonts w:hint="eastAsia" w:cs="Times New Roman"/>
                <w:color w:val="000000" w:themeColor="text1"/>
                <w:w w:val="100"/>
                <w:kern w:val="0"/>
                <w:position w:val="0"/>
                <w:sz w:val="21"/>
                <w:szCs w:val="21"/>
                <w:highlight w:val="none"/>
                <w:lang w:val="en-US" w:eastAsia="zh-CN"/>
                <w14:textFill>
                  <w14:solidFill>
                    <w14:schemeClr w14:val="tx1"/>
                  </w14:solidFill>
                </w14:textFill>
              </w:rPr>
            </w:pPr>
          </w:p>
        </w:tc>
      </w:tr>
      <w:tr w14:paraId="4252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25071B4D">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restart"/>
            <w:vAlign w:val="center"/>
          </w:tcPr>
          <w:p w14:paraId="77A7847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二期</w:t>
            </w:r>
          </w:p>
        </w:tc>
        <w:tc>
          <w:tcPr>
            <w:tcW w:w="1567" w:type="dxa"/>
            <w:shd w:val="clear" w:color="auto" w:fill="auto"/>
            <w:vAlign w:val="center"/>
          </w:tcPr>
          <w:p w14:paraId="6C5E270B">
            <w:pPr>
              <w:pStyle w:val="37"/>
              <w:keepNext w:val="0"/>
              <w:keepLines w:val="0"/>
              <w:pageBreakBefore w:val="0"/>
              <w:kinsoku/>
              <w:wordWrap/>
              <w:overflowPunct/>
              <w:topLinePunct w:val="0"/>
              <w:autoSpaceDE/>
              <w:autoSpaceDN/>
              <w:bidi w:val="0"/>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613" w:type="dxa"/>
            <w:shd w:val="clear" w:color="auto" w:fill="auto"/>
            <w:vAlign w:val="center"/>
          </w:tcPr>
          <w:p w14:paraId="637A216A">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shd w:val="clear" w:color="auto" w:fill="auto"/>
            <w:vAlign w:val="center"/>
          </w:tcPr>
          <w:p w14:paraId="28044508">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p>
        </w:tc>
        <w:tc>
          <w:tcPr>
            <w:tcW w:w="2518" w:type="dxa"/>
            <w:vMerge w:val="continue"/>
            <w:vAlign w:val="center"/>
          </w:tcPr>
          <w:p w14:paraId="4DC8BC5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Fonts w:hint="eastAsia" w:cs="Times New Roman"/>
                <w:color w:val="000000" w:themeColor="text1"/>
                <w:w w:val="100"/>
                <w:kern w:val="0"/>
                <w:position w:val="0"/>
                <w:sz w:val="21"/>
                <w:szCs w:val="21"/>
                <w:highlight w:val="none"/>
                <w:lang w:val="en-US" w:eastAsia="zh-CN"/>
                <w14:textFill>
                  <w14:solidFill>
                    <w14:schemeClr w14:val="tx1"/>
                  </w14:solidFill>
                </w14:textFill>
              </w:rPr>
            </w:pPr>
          </w:p>
        </w:tc>
      </w:tr>
      <w:tr w14:paraId="4827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06A8CDED">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2BA1165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shd w:val="clear" w:color="auto" w:fill="auto"/>
            <w:vAlign w:val="center"/>
          </w:tcPr>
          <w:p w14:paraId="141C91AE">
            <w:pPr>
              <w:pStyle w:val="37"/>
              <w:keepNext w:val="0"/>
              <w:keepLines w:val="0"/>
              <w:pageBreakBefore w:val="0"/>
              <w:kinsoku/>
              <w:wordWrap/>
              <w:overflowPunct/>
              <w:topLinePunct w:val="0"/>
              <w:autoSpaceDE/>
              <w:autoSpaceDN/>
              <w:bidi w:val="0"/>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烘干废气</w:t>
            </w:r>
          </w:p>
        </w:tc>
        <w:tc>
          <w:tcPr>
            <w:tcW w:w="1613" w:type="dxa"/>
            <w:shd w:val="clear" w:color="auto" w:fill="auto"/>
            <w:vAlign w:val="center"/>
          </w:tcPr>
          <w:p w14:paraId="04CEBA4C">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shd w:val="clear" w:color="auto" w:fill="auto"/>
            <w:vAlign w:val="center"/>
          </w:tcPr>
          <w:p w14:paraId="1CD858C4">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集气罩+袋式除尘+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15m高排气筒（DA00</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3</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Merge w:val="continue"/>
            <w:vAlign w:val="center"/>
          </w:tcPr>
          <w:p w14:paraId="7F48214C">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Fonts w:hint="eastAsia" w:cs="Times New Roman"/>
                <w:color w:val="000000" w:themeColor="text1"/>
                <w:w w:val="100"/>
                <w:kern w:val="0"/>
                <w:position w:val="0"/>
                <w:sz w:val="21"/>
                <w:szCs w:val="21"/>
                <w:highlight w:val="none"/>
                <w:lang w:val="en-US" w:eastAsia="zh-CN"/>
                <w14:textFill>
                  <w14:solidFill>
                    <w14:schemeClr w14:val="tx1"/>
                  </w14:solidFill>
                </w14:textFill>
              </w:rPr>
            </w:pPr>
          </w:p>
        </w:tc>
      </w:tr>
      <w:tr w14:paraId="1A1E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63A0EF5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0D5C1B69">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4C2BB936">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破碎、球磨工序产生的</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粉尘</w:t>
            </w:r>
          </w:p>
        </w:tc>
        <w:tc>
          <w:tcPr>
            <w:tcW w:w="1613" w:type="dxa"/>
            <w:vAlign w:val="center"/>
          </w:tcPr>
          <w:p w14:paraId="448D8900">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vAlign w:val="center"/>
          </w:tcPr>
          <w:p w14:paraId="66075BC9">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集气罩+袋式除尘+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15m高排气筒（DA00</w:t>
            </w:r>
            <w:r>
              <w:rPr>
                <w:rStyle w:val="32"/>
                <w:rFonts w:hint="eastAsia" w:cs="Times New Roman"/>
                <w:color w:val="000000" w:themeColor="text1"/>
                <w:szCs w:val="21"/>
                <w:highlight w:val="none"/>
                <w:lang w:val="en-US" w:eastAsia="zh-CN" w:bidi="ar-SA"/>
                <w14:textFill>
                  <w14:solidFill>
                    <w14:schemeClr w14:val="tx1"/>
                  </w14:solidFill>
                </w14:textFill>
              </w:rPr>
              <w:t>4</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Merge w:val="continue"/>
            <w:vAlign w:val="center"/>
          </w:tcPr>
          <w:p w14:paraId="42AA91F2">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p>
        </w:tc>
      </w:tr>
      <w:tr w14:paraId="2C6E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3" w:type="dxa"/>
            <w:gridSpan w:val="2"/>
            <w:vAlign w:val="center"/>
          </w:tcPr>
          <w:p w14:paraId="209B659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地表水环境</w:t>
            </w:r>
          </w:p>
        </w:tc>
        <w:tc>
          <w:tcPr>
            <w:tcW w:w="1567" w:type="dxa"/>
            <w:vAlign w:val="center"/>
          </w:tcPr>
          <w:p w14:paraId="4938A6CE">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锅炉排污水（锅炉排污水+软化处理废水）</w:t>
            </w:r>
          </w:p>
        </w:tc>
        <w:tc>
          <w:tcPr>
            <w:tcW w:w="1613" w:type="dxa"/>
            <w:vAlign w:val="center"/>
          </w:tcPr>
          <w:p w14:paraId="00A1048D">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CODcr</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SS</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NH</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highlight w:val="none"/>
                <w14:textFill>
                  <w14:solidFill>
                    <w14:schemeClr w14:val="tx1"/>
                  </w14:solidFill>
                </w14:textFill>
              </w:rPr>
              <w:t>-N</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BOD</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5</w:t>
            </w:r>
          </w:p>
        </w:tc>
        <w:tc>
          <w:tcPr>
            <w:tcW w:w="1761" w:type="dxa"/>
            <w:vAlign w:val="center"/>
          </w:tcPr>
          <w:p w14:paraId="5D3F668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经园区下水管网，最终进入昌吉高新海天污水处理厂处理</w:t>
            </w:r>
          </w:p>
        </w:tc>
        <w:tc>
          <w:tcPr>
            <w:tcW w:w="2518" w:type="dxa"/>
            <w:vAlign w:val="center"/>
          </w:tcPr>
          <w:p w14:paraId="075E948B">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《污水综合排放标准》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GB8978-1996</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中三级标准和《污水排入城镇下水道水质标准》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GBT319622015</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中NH</w:t>
            </w:r>
            <w:r>
              <w:rPr>
                <w:rFonts w:hint="default" w:ascii="Times New Roman" w:hAnsi="Times New Roman" w:cs="Times New Roman"/>
                <w:color w:val="000000" w:themeColor="text1"/>
                <w:w w:val="100"/>
                <w:position w:val="0"/>
                <w:szCs w:val="21"/>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szCs w:val="21"/>
                <w:highlight w:val="none"/>
                <w14:textFill>
                  <w14:solidFill>
                    <w14:schemeClr w14:val="tx1"/>
                  </w14:solidFill>
                </w14:textFill>
              </w:rPr>
              <w:t>-N最高允许值中B级标准45mg/m</w:t>
            </w:r>
            <w:r>
              <w:rPr>
                <w:rFonts w:hint="default" w:ascii="Times New Roman" w:hAnsi="Times New Roman" w:cs="Times New Roman"/>
                <w:color w:val="000000" w:themeColor="text1"/>
                <w:w w:val="100"/>
                <w:position w:val="0"/>
                <w:szCs w:val="21"/>
                <w:highlight w:val="none"/>
                <w:vertAlign w:val="superscript"/>
                <w14:textFill>
                  <w14:solidFill>
                    <w14:schemeClr w14:val="tx1"/>
                  </w14:solidFill>
                </w14:textFill>
              </w:rPr>
              <w:t>3</w:t>
            </w:r>
          </w:p>
        </w:tc>
      </w:tr>
      <w:tr w14:paraId="5221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gridSpan w:val="2"/>
            <w:vAlign w:val="center"/>
          </w:tcPr>
          <w:p w14:paraId="07FBE3EB">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声环境</w:t>
            </w:r>
          </w:p>
        </w:tc>
        <w:tc>
          <w:tcPr>
            <w:tcW w:w="1567" w:type="dxa"/>
            <w:vAlign w:val="center"/>
          </w:tcPr>
          <w:p w14:paraId="65AD477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设备机械噪声</w:t>
            </w:r>
          </w:p>
        </w:tc>
        <w:tc>
          <w:tcPr>
            <w:tcW w:w="1613" w:type="dxa"/>
            <w:vAlign w:val="center"/>
          </w:tcPr>
          <w:p w14:paraId="7C5840CA">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噪声</w:t>
            </w:r>
          </w:p>
        </w:tc>
        <w:tc>
          <w:tcPr>
            <w:tcW w:w="1761" w:type="dxa"/>
            <w:vAlign w:val="center"/>
          </w:tcPr>
          <w:p w14:paraId="26A562D2">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选择低噪声设备；对高噪声设备安装减振设施；合理布置车间内各设备。</w:t>
            </w:r>
          </w:p>
        </w:tc>
        <w:tc>
          <w:tcPr>
            <w:tcW w:w="2518" w:type="dxa"/>
            <w:vAlign w:val="center"/>
          </w:tcPr>
          <w:p w14:paraId="3C6185C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厂界满足《工业企业厂界环境噪声排放标准》（</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GB12348-2008</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3</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类标准</w:t>
            </w:r>
          </w:p>
        </w:tc>
      </w:tr>
      <w:tr w14:paraId="6BD3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gridSpan w:val="2"/>
            <w:vAlign w:val="center"/>
          </w:tcPr>
          <w:p w14:paraId="3BC7BAB9">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电磁辐射</w:t>
            </w:r>
          </w:p>
        </w:tc>
        <w:tc>
          <w:tcPr>
            <w:tcW w:w="1567" w:type="dxa"/>
            <w:vAlign w:val="center"/>
          </w:tcPr>
          <w:p w14:paraId="724CAEB8">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1613" w:type="dxa"/>
            <w:vAlign w:val="center"/>
          </w:tcPr>
          <w:p w14:paraId="2CC054B3">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1761" w:type="dxa"/>
            <w:vAlign w:val="center"/>
          </w:tcPr>
          <w:p w14:paraId="5B856C1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2518" w:type="dxa"/>
            <w:vAlign w:val="center"/>
          </w:tcPr>
          <w:p w14:paraId="1A23DC14">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r>
      <w:tr w14:paraId="2C3C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56F32F4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w:t>
            </w:r>
          </w:p>
        </w:tc>
        <w:tc>
          <w:tcPr>
            <w:tcW w:w="7459" w:type="dxa"/>
            <w:gridSpan w:val="4"/>
            <w:vAlign w:val="center"/>
          </w:tcPr>
          <w:p w14:paraId="77529816">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eastAsia" w:ascii="Times New Roman" w:hAnsi="Times New Roman" w:cs="Times New Roman"/>
                <w:color w:val="000000" w:themeColor="text1"/>
                <w:kern w:val="0"/>
                <w:sz w:val="24"/>
                <w:highlight w:val="none"/>
                <w:lang w:eastAsia="zh-CN" w:bidi="ar"/>
                <w14:textFill>
                  <w14:solidFill>
                    <w14:schemeClr w14:val="tx1"/>
                  </w14:solidFill>
                </w14:textFill>
              </w:rPr>
            </w:pPr>
            <w:r>
              <w:rPr>
                <w:rFonts w:hint="eastAsia" w:ascii="Times New Roman" w:hAnsi="Times New Roman" w:cs="Times New Roman"/>
                <w:color w:val="000000" w:themeColor="text1"/>
                <w:kern w:val="0"/>
                <w:sz w:val="24"/>
                <w:highlight w:val="none"/>
                <w:lang w:bidi="ar"/>
                <w14:textFill>
                  <w14:solidFill>
                    <w14:schemeClr w14:val="tx1"/>
                  </w14:solidFill>
                </w14:textFill>
              </w:rPr>
              <w:t>本项目一期工程一般工业固废：①废包装物集中收集至厂内原有一般固废贮存间内，定期外售于废品回收站；②外沉池底泥含有硅相，经收集后回用于生产线；③</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废布袋定期由厂家更换回收处理</w:t>
            </w:r>
            <w:r>
              <w:rPr>
                <w:rFonts w:hint="eastAsia" w:ascii="Times New Roman" w:hAnsi="Times New Roman" w:cs="Times New Roman"/>
                <w:color w:val="000000" w:themeColor="text1"/>
                <w:kern w:val="0"/>
                <w:sz w:val="24"/>
                <w:highlight w:val="none"/>
                <w:lang w:bidi="ar"/>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w:t>
            </w:r>
            <w:r>
              <w:rPr>
                <w:rFonts w:hint="eastAsia" w:cs="Times New Roman"/>
                <w:color w:val="000000" w:themeColor="text1"/>
                <w:kern w:val="0"/>
                <w:sz w:val="24"/>
                <w:highlight w:val="none"/>
                <w:lang w:eastAsia="zh-CN" w:bidi="ar"/>
                <w14:textFill>
                  <w14:solidFill>
                    <w14:schemeClr w14:val="tx1"/>
                  </w14:solidFill>
                </w14:textFill>
              </w:rPr>
              <w:t>。</w:t>
            </w:r>
            <w:r>
              <w:rPr>
                <w:rFonts w:hint="eastAsia" w:ascii="Times New Roman" w:hAnsi="Times New Roman" w:cs="Times New Roman"/>
                <w:color w:val="000000" w:themeColor="text1"/>
                <w:kern w:val="0"/>
                <w:sz w:val="24"/>
                <w:highlight w:val="none"/>
                <w:lang w:bidi="ar"/>
                <w14:textFill>
                  <w14:solidFill>
                    <w14:schemeClr w14:val="tx1"/>
                  </w14:solidFill>
                </w14:textFill>
              </w:rPr>
              <w:t>危险废物：①废润滑油暂存至危险废物贮存点内，</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定期交由有资质单位</w:t>
            </w:r>
            <w:r>
              <w:rPr>
                <w:rFonts w:hint="eastAsia" w:ascii="Times New Roman" w:hAnsi="Times New Roman" w:cs="Times New Roman"/>
                <w:color w:val="000000" w:themeColor="text1"/>
                <w:kern w:val="0"/>
                <w:sz w:val="24"/>
                <w:highlight w:val="none"/>
                <w:lang w:bidi="ar"/>
                <w14:textFill>
                  <w14:solidFill>
                    <w14:schemeClr w14:val="tx1"/>
                  </w14:solidFill>
                </w14:textFill>
              </w:rPr>
              <w:t>进行处置。②废醇基燃料吨桶暂存至危险废物贮存点内，</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每日交由厂家回收</w:t>
            </w:r>
            <w:r>
              <w:rPr>
                <w:rFonts w:hint="eastAsia" w:ascii="Times New Roman" w:hAnsi="Times New Roman" w:cs="Times New Roman"/>
                <w:color w:val="000000" w:themeColor="text1"/>
                <w:kern w:val="0"/>
                <w:sz w:val="24"/>
                <w:highlight w:val="none"/>
                <w:lang w:bidi="ar"/>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处置</w:t>
            </w:r>
          </w:p>
          <w:p w14:paraId="0CBA051E">
            <w:pPr>
              <w:keepNext w:val="0"/>
              <w:keepLines w:val="0"/>
              <w:pageBreakBefore w:val="0"/>
              <w:widowControl/>
              <w:kinsoku/>
              <w:wordWrap/>
              <w:overflowPunct/>
              <w:topLinePunct w:val="0"/>
              <w:autoSpaceDE/>
              <w:autoSpaceDN/>
              <w:bidi w:val="0"/>
              <w:spacing w:line="360" w:lineRule="auto"/>
              <w:ind w:firstLine="0" w:firstLineChars="0"/>
              <w:jc w:val="both"/>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color w:val="000000" w:themeColor="text1"/>
                <w:kern w:val="0"/>
                <w:sz w:val="24"/>
                <w:highlight w:val="none"/>
                <w:lang w:bidi="ar"/>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废布袋定期由厂家更换回收处理</w:t>
            </w:r>
            <w:r>
              <w:rPr>
                <w:rFonts w:hint="eastAsia" w:ascii="Times New Roman" w:hAnsi="Times New Roman" w:cs="Times New Roman"/>
                <w:color w:val="000000" w:themeColor="text1"/>
                <w:kern w:val="0"/>
                <w:sz w:val="24"/>
                <w:highlight w:val="none"/>
                <w:lang w:bidi="ar"/>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w:t>
            </w:r>
            <w:r>
              <w:rPr>
                <w:rFonts w:hint="eastAsia" w:cs="Times New Roman"/>
                <w:color w:val="000000" w:themeColor="text1"/>
                <w:kern w:val="0"/>
                <w:sz w:val="24"/>
                <w:highlight w:val="none"/>
                <w:lang w:eastAsia="zh-CN" w:bidi="ar"/>
                <w14:textFill>
                  <w14:solidFill>
                    <w14:schemeClr w14:val="tx1"/>
                  </w14:solidFill>
                </w14:textFill>
              </w:rPr>
              <w:t>。</w:t>
            </w:r>
            <w:r>
              <w:rPr>
                <w:rFonts w:hint="eastAsia" w:ascii="Times New Roman" w:hAnsi="Times New Roman" w:cs="Times New Roman"/>
                <w:color w:val="000000" w:themeColor="text1"/>
                <w:kern w:val="0"/>
                <w:sz w:val="24"/>
                <w:highlight w:val="none"/>
                <w:lang w:bidi="ar"/>
                <w14:textFill>
                  <w14:solidFill>
                    <w14:schemeClr w14:val="tx1"/>
                  </w14:solidFill>
                </w14:textFill>
              </w:rPr>
              <w:t>危险废物：①废润滑油暂存至危险废物贮存点内，</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定期交由有资质单位</w:t>
            </w:r>
            <w:r>
              <w:rPr>
                <w:rFonts w:hint="eastAsia" w:ascii="Times New Roman" w:hAnsi="Times New Roman" w:cs="Times New Roman"/>
                <w:color w:val="000000" w:themeColor="text1"/>
                <w:kern w:val="0"/>
                <w:sz w:val="24"/>
                <w:highlight w:val="none"/>
                <w:lang w:bidi="ar"/>
                <w14:textFill>
                  <w14:solidFill>
                    <w14:schemeClr w14:val="tx1"/>
                  </w14:solidFill>
                </w14:textFill>
              </w:rPr>
              <w:t>进行处置。②废油桶暂存危废贮存点，定期委托资质单位进行处置③浮选药剂包装桶暂存危废贮存点，定期委托资质单位进行处置</w:t>
            </w:r>
            <w:r>
              <w:rPr>
                <w:rFonts w:hint="eastAsia" w:ascii="Times New Roman" w:hAnsi="Times New Roman" w:cs="Times New Roman"/>
                <w:color w:val="000000" w:themeColor="text1"/>
                <w:kern w:val="0"/>
                <w:sz w:val="24"/>
                <w:highlight w:val="none"/>
                <w:lang w:val="en-US" w:eastAsia="zh-CN" w:bidi="ar"/>
                <w14:textFill>
                  <w14:solidFill>
                    <w14:schemeClr w14:val="tx1"/>
                  </w14:solidFill>
                </w14:textFill>
              </w:rPr>
              <w:t>。</w:t>
            </w:r>
          </w:p>
        </w:tc>
      </w:tr>
      <w:tr w14:paraId="361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4003136B">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土壤及地下水污染防治措施</w:t>
            </w:r>
          </w:p>
        </w:tc>
        <w:tc>
          <w:tcPr>
            <w:tcW w:w="7459" w:type="dxa"/>
            <w:gridSpan w:val="4"/>
            <w:vAlign w:val="center"/>
          </w:tcPr>
          <w:p w14:paraId="1BE7C2D4">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b/>
                <w:bCs/>
                <w:color w:val="000000" w:themeColor="text1"/>
                <w:kern w:val="0"/>
                <w:sz w:val="24"/>
                <w:highlight w:val="none"/>
                <w:lang w:bidi="ar"/>
                <w14:textFill>
                  <w14:solidFill>
                    <w14:schemeClr w14:val="tx1"/>
                  </w14:solidFill>
                </w14:textFill>
              </w:rPr>
            </w:pPr>
            <w:r>
              <w:rPr>
                <w:rFonts w:hint="default" w:ascii="Times New Roman" w:hAnsi="Times New Roman" w:cs="Times New Roman"/>
                <w:b/>
                <w:bCs/>
                <w:color w:val="000000" w:themeColor="text1"/>
                <w:kern w:val="0"/>
                <w:sz w:val="24"/>
                <w:highlight w:val="none"/>
                <w:lang w:bidi="ar"/>
                <w14:textFill>
                  <w14:solidFill>
                    <w14:schemeClr w14:val="tx1"/>
                  </w14:solidFill>
                </w14:textFill>
              </w:rPr>
              <w:t>1.源头控制措施</w:t>
            </w:r>
          </w:p>
          <w:p w14:paraId="0CACA8C3">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①项目应根据国家现行相关规范加强环境管理，采取防止和降低污染物跑、冒、滴、漏的措施。正常生产过程中应加强巡检及时处理污染物跑、冒、滴、漏，同时应加强对防渗工程的检查，若发现防渗密封材料老化或损坏，应及时维修更换；</w:t>
            </w:r>
          </w:p>
          <w:p w14:paraId="4DE9F241">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②对工艺、设备、废水处理设施等构筑物采取控制措施，防止污染物的跑、冒、滴、漏，将污染物泄漏的环境风险事故降到最低限度。</w:t>
            </w:r>
          </w:p>
          <w:p w14:paraId="278A7E0B">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③加强管理，设备维修保养时应注意防止废润滑油滴漏。</w:t>
            </w:r>
          </w:p>
          <w:p w14:paraId="3CA2DCA4">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b/>
                <w:bCs/>
                <w:color w:val="000000" w:themeColor="text1"/>
                <w:kern w:val="0"/>
                <w:sz w:val="24"/>
                <w:highlight w:val="none"/>
                <w:lang w:bidi="ar"/>
                <w14:textFill>
                  <w14:solidFill>
                    <w14:schemeClr w14:val="tx1"/>
                  </w14:solidFill>
                </w14:textFill>
              </w:rPr>
            </w:pPr>
            <w:r>
              <w:rPr>
                <w:rFonts w:hint="default" w:ascii="Times New Roman" w:hAnsi="Times New Roman" w:cs="Times New Roman"/>
                <w:b/>
                <w:bCs/>
                <w:color w:val="000000" w:themeColor="text1"/>
                <w:kern w:val="0"/>
                <w:sz w:val="24"/>
                <w:highlight w:val="none"/>
                <w:lang w:bidi="ar"/>
                <w14:textFill>
                  <w14:solidFill>
                    <w14:schemeClr w14:val="tx1"/>
                  </w14:solidFill>
                </w14:textFill>
              </w:rPr>
              <w:t>2.分区防渗控制措施</w:t>
            </w:r>
          </w:p>
          <w:p w14:paraId="7D3AE77C">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厂区可能泄漏污染物的污染区地面进行防渗处理，并及时地将泄漏/渗漏的污染物收集起来进行处理，有效</w:t>
            </w:r>
            <w:r>
              <w:rPr>
                <w:rFonts w:hint="eastAsia" w:cs="Times New Roman"/>
                <w:color w:val="000000" w:themeColor="text1"/>
                <w:kern w:val="0"/>
                <w:sz w:val="24"/>
                <w:highlight w:val="none"/>
                <w:lang w:eastAsia="zh-CN" w:bidi="ar"/>
                <w14:textFill>
                  <w14:solidFill>
                    <w14:schemeClr w14:val="tx1"/>
                  </w14:solidFill>
                </w14:textFill>
              </w:rPr>
              <w:t>防止</w:t>
            </w:r>
            <w:r>
              <w:rPr>
                <w:rFonts w:hint="default" w:ascii="Times New Roman" w:hAnsi="Times New Roman" w:cs="Times New Roman"/>
                <w:color w:val="000000" w:themeColor="text1"/>
                <w:kern w:val="0"/>
                <w:sz w:val="24"/>
                <w:highlight w:val="none"/>
                <w:lang w:bidi="ar"/>
                <w14:textFill>
                  <w14:solidFill>
                    <w14:schemeClr w14:val="tx1"/>
                  </w14:solidFill>
                </w14:textFill>
              </w:rPr>
              <w:t>洒落地面的污染物渗入地下。根据本工程的特点，将厂区不同的区域划分为重点污染防治区和一般污染防治区。</w:t>
            </w:r>
          </w:p>
          <w:p w14:paraId="19FEAFB4">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重点防</w:t>
            </w:r>
            <w:r>
              <w:rPr>
                <w:rFonts w:hint="default" w:ascii="Times New Roman" w:hAnsi="Times New Roman" w:eastAsia="宋体" w:cs="Times New Roman"/>
                <w:color w:val="000000" w:themeColor="text1"/>
                <w:sz w:val="24"/>
                <w:highlight w:val="none"/>
                <w14:textFill>
                  <w14:solidFill>
                    <w14:schemeClr w14:val="tx1"/>
                  </w14:solidFill>
                </w14:textFill>
              </w:rPr>
              <w:t>渗区：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危险废物贮存点、盐酸储罐区、碱液池、燃料储存间、酸洗沉淀池</w:t>
            </w:r>
            <w:r>
              <w:rPr>
                <w:rFonts w:hint="default" w:ascii="Times New Roman" w:hAnsi="Times New Roman" w:eastAsia="宋体" w:cs="Times New Roman"/>
                <w:color w:val="000000" w:themeColor="text1"/>
                <w:sz w:val="24"/>
                <w:highlight w:val="none"/>
                <w14:textFill>
                  <w14:solidFill>
                    <w14:schemeClr w14:val="tx1"/>
                  </w14:solidFill>
                </w14:textFill>
              </w:rPr>
              <w:t>，防渗方</w:t>
            </w:r>
            <w:r>
              <w:rPr>
                <w:rFonts w:hint="default" w:ascii="Times New Roman" w:hAnsi="Times New Roman" w:cs="Times New Roman"/>
                <w:color w:val="000000" w:themeColor="text1"/>
                <w:sz w:val="24"/>
                <w:highlight w:val="none"/>
                <w14:textFill>
                  <w14:solidFill>
                    <w14:schemeClr w14:val="tx1"/>
                  </w14:solidFill>
                </w14:textFill>
              </w:rPr>
              <w:t>案黏土夯实+2mm厚高密度聚乙烯膜（HDPE）+水泥地面，防渗技术为：等效黏土防渗层Mb≥6.0m，K≤1×10</w:t>
            </w:r>
            <w:r>
              <w:rPr>
                <w:rFonts w:hint="default" w:ascii="Times New Roman" w:hAnsi="Times New Roman" w:cs="Times New Roman"/>
                <w:color w:val="000000" w:themeColor="text1"/>
                <w:sz w:val="24"/>
                <w:highlight w:val="none"/>
                <w:vertAlign w:val="superscript"/>
                <w14:textFill>
                  <w14:solidFill>
                    <w14:schemeClr w14:val="tx1"/>
                  </w14:solidFill>
                </w14:textFill>
              </w:rPr>
              <w:t>-10</w:t>
            </w:r>
            <w:r>
              <w:rPr>
                <w:rFonts w:hint="default" w:ascii="Times New Roman" w:hAnsi="Times New Roman" w:cs="Times New Roman"/>
                <w:color w:val="000000" w:themeColor="text1"/>
                <w:sz w:val="24"/>
                <w:highlight w:val="none"/>
                <w14:textFill>
                  <w14:solidFill>
                    <w14:schemeClr w14:val="tx1"/>
                  </w14:solidFill>
                </w14:textFill>
              </w:rPr>
              <w:t>cm/s。</w:t>
            </w:r>
          </w:p>
          <w:p w14:paraId="5CC8CE4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一般防渗区：</w:t>
            </w:r>
            <w:r>
              <w:rPr>
                <w:rFonts w:hint="eastAsia" w:cs="Times New Roman"/>
                <w:color w:val="000000" w:themeColor="text1"/>
                <w:sz w:val="24"/>
                <w:highlight w:val="none"/>
                <w:lang w:val="en-US" w:eastAsia="zh-CN"/>
                <w14:textFill>
                  <w14:solidFill>
                    <w14:schemeClr w14:val="tx1"/>
                  </w14:solidFill>
                </w14:textFill>
              </w:rPr>
              <w:t>生产车</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间、重选沉淀池、外沉池，</w:t>
            </w:r>
            <w:r>
              <w:rPr>
                <w:rFonts w:hint="default" w:ascii="Times New Roman" w:hAnsi="Times New Roman" w:eastAsia="宋体" w:cs="Times New Roman"/>
                <w:color w:val="000000" w:themeColor="text1"/>
                <w:sz w:val="24"/>
                <w:highlight w:val="none"/>
                <w14:textFill>
                  <w14:solidFill>
                    <w14:schemeClr w14:val="tx1"/>
                  </w14:solidFill>
                </w14:textFill>
              </w:rPr>
              <w:t>采</w:t>
            </w:r>
            <w:r>
              <w:rPr>
                <w:rFonts w:hint="default" w:ascii="Times New Roman" w:hAnsi="Times New Roman" w:cs="Times New Roman"/>
                <w:color w:val="000000" w:themeColor="text1"/>
                <w:sz w:val="24"/>
                <w:highlight w:val="none"/>
                <w14:textFill>
                  <w14:solidFill>
                    <w14:schemeClr w14:val="tx1"/>
                  </w14:solidFill>
                </w14:textFill>
              </w:rPr>
              <w:t>用厚度Mb=1.5m，渗透系数K≤10</w:t>
            </w:r>
            <w:r>
              <w:rPr>
                <w:rFonts w:hint="default" w:ascii="Times New Roman" w:hAnsi="Times New Roman" w:cs="Times New Roman"/>
                <w:color w:val="000000" w:themeColor="text1"/>
                <w:sz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highlight w:val="none"/>
                <w14:textFill>
                  <w14:solidFill>
                    <w14:schemeClr w14:val="tx1"/>
                  </w14:solidFill>
                </w14:textFill>
              </w:rPr>
              <w:t>cm/s防渗等效的20cm厚P4等级水泥制品进行防渗。要求防渗技术要求为：等效黏土防渗层Mb≥1.5m，K≤1×10</w:t>
            </w:r>
            <w:r>
              <w:rPr>
                <w:rFonts w:hint="default" w:ascii="Times New Roman" w:hAnsi="Times New Roman" w:cs="Times New Roman"/>
                <w:color w:val="000000" w:themeColor="text1"/>
                <w:sz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highlight w:val="none"/>
                <w14:textFill>
                  <w14:solidFill>
                    <w14:schemeClr w14:val="tx1"/>
                  </w14:solidFill>
                </w14:textFill>
              </w:rPr>
              <w:t>cm/s；或参照GB16889执行。</w:t>
            </w:r>
          </w:p>
          <w:p w14:paraId="4A80D21C">
            <w:pPr>
              <w:keepNext w:val="0"/>
              <w:keepLines w:val="0"/>
              <w:pageBreakBefore w:val="0"/>
              <w:widowControl/>
              <w:kinsoku/>
              <w:wordWrap/>
              <w:overflowPunct/>
              <w:topLinePunct w:val="0"/>
              <w:autoSpaceDE/>
              <w:autoSpaceDN/>
              <w:bidi w:val="0"/>
              <w:spacing w:line="360" w:lineRule="auto"/>
              <w:ind w:firstLine="0" w:firstLineChars="0"/>
              <w:jc w:val="both"/>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简单污染防治区：硬化地面即可，生活区以及进出</w:t>
            </w:r>
            <w:r>
              <w:rPr>
                <w:rFonts w:hint="eastAsia" w:cs="Times New Roman"/>
                <w:color w:val="000000" w:themeColor="text1"/>
                <w:sz w:val="24"/>
                <w:highlight w:val="none"/>
                <w:lang w:eastAsia="zh-CN"/>
                <w14:textFill>
                  <w14:solidFill>
                    <w14:schemeClr w14:val="tx1"/>
                  </w14:solidFill>
                </w14:textFill>
              </w:rPr>
              <w:t>厂</w:t>
            </w:r>
            <w:r>
              <w:rPr>
                <w:rFonts w:hint="default" w:ascii="Times New Roman" w:hAnsi="Times New Roman" w:cs="Times New Roman"/>
                <w:color w:val="000000" w:themeColor="text1"/>
                <w:sz w:val="24"/>
                <w:highlight w:val="none"/>
                <w14:textFill>
                  <w14:solidFill>
                    <w14:schemeClr w14:val="tx1"/>
                  </w14:solidFill>
                </w14:textFill>
              </w:rPr>
              <w:t>道路已依托现有厂区。</w:t>
            </w:r>
          </w:p>
        </w:tc>
      </w:tr>
      <w:tr w14:paraId="57B2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415B87B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生态保护措施</w:t>
            </w:r>
          </w:p>
        </w:tc>
        <w:tc>
          <w:tcPr>
            <w:tcW w:w="7459" w:type="dxa"/>
            <w:gridSpan w:val="4"/>
            <w:vAlign w:val="center"/>
          </w:tcPr>
          <w:p w14:paraId="3B595AEB">
            <w:pPr>
              <w:keepNext w:val="0"/>
              <w:keepLines w:val="0"/>
              <w:pageBreakBefore w:val="0"/>
              <w:kinsoku/>
              <w:wordWrap/>
              <w:overflowPunct/>
              <w:topLinePunct w:val="0"/>
              <w:autoSpaceDE/>
              <w:autoSpaceDN/>
              <w:bidi w:val="0"/>
              <w:spacing w:line="36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无</w:t>
            </w:r>
          </w:p>
        </w:tc>
      </w:tr>
      <w:tr w14:paraId="1174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0432A515">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环境风险</w:t>
            </w:r>
          </w:p>
          <w:p w14:paraId="57C9EC4E">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防范措施</w:t>
            </w:r>
          </w:p>
        </w:tc>
        <w:tc>
          <w:tcPr>
            <w:tcW w:w="7459" w:type="dxa"/>
            <w:gridSpan w:val="4"/>
            <w:vAlign w:val="center"/>
          </w:tcPr>
          <w:p w14:paraId="03004040">
            <w:pPr>
              <w:pStyle w:val="55"/>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严禁吸烟、严禁携带火种进入</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危险废物贮存点</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w:t>
            </w:r>
          </w:p>
          <w:p w14:paraId="5DCE75B4">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2.</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在日常收集过程中，对每个回收的废空油桶进行检查，防止废油泄漏。</w:t>
            </w:r>
          </w:p>
          <w:p w14:paraId="6C448605">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3.</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在</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危险废物</w:t>
            </w:r>
            <w:r>
              <w:rPr>
                <w:rFonts w:hint="eastAsia" w:cs="Times New Roman"/>
                <w:snapToGrid/>
                <w:color w:val="000000" w:themeColor="text1"/>
                <w:sz w:val="24"/>
                <w:szCs w:val="21"/>
                <w:highlight w:val="none"/>
                <w:lang w:val="en-US" w:eastAsia="zh-CN" w:bidi="ar-SA"/>
                <w14:textFill>
                  <w14:solidFill>
                    <w14:schemeClr w14:val="tx1"/>
                  </w14:solidFill>
                </w14:textFill>
              </w:rPr>
              <w:t>贮存点</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内设置消防栓、灭火器等设施，对可能发生的火灾能及时处理。</w:t>
            </w:r>
          </w:p>
          <w:p w14:paraId="4B79F8C8">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4.</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定期进行</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危险废物贮存点</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的安全检查，发现问题及时处理。</w:t>
            </w:r>
          </w:p>
          <w:p w14:paraId="64D8C7E2">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禁止将油桶堆放在露天场地，避免遭受雨淋水浸。</w:t>
            </w:r>
          </w:p>
          <w:p w14:paraId="3CA5A662">
            <w:pPr>
              <w:keepNext/>
              <w:keepLines/>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outlineLvl w:val="1"/>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6.</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废</w:t>
            </w:r>
            <w:r>
              <w:rPr>
                <w:rFonts w:hint="eastAsia" w:cs="Times New Roman"/>
                <w:snapToGrid/>
                <w:color w:val="000000" w:themeColor="text1"/>
                <w:sz w:val="24"/>
                <w:szCs w:val="21"/>
                <w:highlight w:val="none"/>
                <w:lang w:val="en-US" w:eastAsia="zh-CN" w:bidi="ar-SA"/>
                <w14:textFill>
                  <w14:solidFill>
                    <w14:schemeClr w14:val="tx1"/>
                  </w14:solidFill>
                </w14:textFill>
              </w:rPr>
              <w:t>润滑油</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、碱液</w:t>
            </w:r>
            <w:r>
              <w:rPr>
                <w:rFonts w:hint="eastAsia" w:cs="Times New Roman"/>
                <w:snapToGrid/>
                <w:color w:val="000000" w:themeColor="text1"/>
                <w:sz w:val="24"/>
                <w:szCs w:val="21"/>
                <w:highlight w:val="none"/>
                <w:lang w:val="en-US" w:eastAsia="zh-CN" w:bidi="ar-SA"/>
                <w14:textFill>
                  <w14:solidFill>
                    <w14:schemeClr w14:val="tx1"/>
                  </w14:solidFill>
                </w14:textFill>
              </w:rPr>
              <w:t>、醇基燃料</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或者盐酸</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发生</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泄漏</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时，有关负责人应有秩序、有计划</w:t>
            </w:r>
            <w:r>
              <w:rPr>
                <w:rFonts w:hint="eastAsia" w:cs="Times New Roman"/>
                <w:snapToGrid/>
                <w:color w:val="000000" w:themeColor="text1"/>
                <w:sz w:val="24"/>
                <w:szCs w:val="21"/>
                <w:highlight w:val="none"/>
                <w:lang w:val="en-US" w:eastAsia="zh-CN" w:bidi="ar-SA"/>
                <w14:textFill>
                  <w14:solidFill>
                    <w14:schemeClr w14:val="tx1"/>
                  </w14:solidFill>
                </w14:textFill>
              </w:rPr>
              <w:t>地</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进行处理，防止事态蔓延扩大。</w:t>
            </w:r>
          </w:p>
        </w:tc>
      </w:tr>
      <w:tr w14:paraId="40D8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2CDA180F">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其他环境管理要求</w:t>
            </w:r>
          </w:p>
        </w:tc>
        <w:tc>
          <w:tcPr>
            <w:tcW w:w="7459" w:type="dxa"/>
            <w:gridSpan w:val="4"/>
            <w:vAlign w:val="center"/>
          </w:tcPr>
          <w:p w14:paraId="0DC4AFFE">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1、排污许可管理</w:t>
            </w:r>
          </w:p>
          <w:p w14:paraId="3FF80ED5">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016年11月，国务院办公厅发布了《控制污染物排放许可制实施方案》，方案指出：“环境影响评价制度是建设项目的环境准入门槛，排污许可制是企事业单位生产运营期排污的法律依据，必须做好充分衔接，实现从污染预防到污染治理和排放控制的全过程监管。新建项目必须在发生实际排污行为之前申领排污许可证，环境影响评价文件及批复中与污染物排放相关的主要内容应当纳入排污许可证，其排污许可证执行情况应作为环境影响后评价的重要依据。”本项目在报批环评报告后、项目实际运行前，应尽快申领排污许可证，作为本项目合法运行的前提。</w:t>
            </w:r>
          </w:p>
          <w:p w14:paraId="4A4B82F4">
            <w:pPr>
              <w:pStyle w:val="5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20</w:t>
            </w:r>
            <w:r>
              <w:rPr>
                <w:rFonts w:hint="default"/>
                <w:color w:val="000000" w:themeColor="text1"/>
                <w:highlight w:val="none"/>
                <w14:textFill>
                  <w14:solidFill>
                    <w14:schemeClr w14:val="tx1"/>
                  </w14:solidFill>
                </w14:textFill>
              </w:rPr>
              <w:t>18</w:t>
            </w:r>
            <w:r>
              <w:rPr>
                <w:rFonts w:hint="eastAsia"/>
                <w:color w:val="000000" w:themeColor="text1"/>
                <w:highlight w:val="none"/>
                <w14:textFill>
                  <w14:solidFill>
                    <w14:schemeClr w14:val="tx1"/>
                  </w14:solidFill>
                </w14:textFill>
              </w:rPr>
              <w:t>年环境部发布了</w:t>
            </w:r>
            <w:r>
              <w:rPr>
                <w:rFonts w:hint="default"/>
                <w:color w:val="000000" w:themeColor="text1"/>
                <w:highlight w:val="none"/>
                <w14:textFill>
                  <w14:solidFill>
                    <w14:schemeClr w14:val="tx1"/>
                  </w14:solidFill>
                </w14:textFill>
              </w:rPr>
              <w:t>《排污许可证申请与核发技术规范 总则》（HJ942</w:t>
            </w:r>
            <w:r>
              <w:rPr>
                <w:rFonts w:hint="eastAsia"/>
                <w:color w:val="000000" w:themeColor="text1"/>
                <w:highlight w:val="none"/>
                <w14:textFill>
                  <w14:solidFill>
                    <w14:schemeClr w14:val="tx1"/>
                  </w14:solidFill>
                </w14:textFill>
              </w:rPr>
              <w:t>-20</w:t>
            </w:r>
            <w:r>
              <w:rPr>
                <w:rFonts w:hint="default"/>
                <w:color w:val="000000" w:themeColor="text1"/>
                <w:highlight w:val="none"/>
                <w14:textFill>
                  <w14:solidFill>
                    <w14:schemeClr w14:val="tx1"/>
                  </w14:solidFill>
                </w14:textFill>
              </w:rPr>
              <w:t>18）</w:t>
            </w:r>
            <w:r>
              <w:rPr>
                <w:rFonts w:hint="eastAsia"/>
                <w:color w:val="000000" w:themeColor="text1"/>
                <w:highlight w:val="none"/>
                <w14:textFill>
                  <w14:solidFill>
                    <w14:schemeClr w14:val="tx1"/>
                  </w14:solidFill>
                </w14:textFill>
              </w:rPr>
              <w:t>，该技术规范规定了排污单位排污许可证申请与核发的基本情况申报要求、许可排放限值确定，提出了污染防治可行技术要求，本项目应根据该规范申请排污许可证。</w:t>
            </w:r>
            <w:r>
              <w:rPr>
                <w:rFonts w:hint="eastAsia"/>
                <w:color w:val="000000" w:themeColor="text1"/>
                <w:highlight w:val="none"/>
                <w:lang w:val="en-US" w:eastAsia="zh-CN"/>
                <w14:textFill>
                  <w14:solidFill>
                    <w14:schemeClr w14:val="tx1"/>
                  </w14:solidFill>
                </w14:textFill>
              </w:rPr>
              <w:t>根据</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固定污染源排污许可分类管理名录</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019年版</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本项目属于简化管理。</w:t>
            </w:r>
          </w:p>
          <w:p w14:paraId="49ACC95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ascii="Times New Roman" w:hAnsi="Times New Roman" w:eastAsia="宋体" w:cs="Times New Roman"/>
                <w:b/>
                <w:bCs/>
                <w:color w:val="000000" w:themeColor="text1"/>
                <w:sz w:val="24"/>
                <w:highlight w:val="none"/>
                <w14:textFill>
                  <w14:solidFill>
                    <w14:schemeClr w14:val="tx1"/>
                  </w14:solidFill>
                </w14:textFill>
              </w:rPr>
              <w:t>2、排污口规范化</w:t>
            </w:r>
          </w:p>
          <w:p w14:paraId="3BA0F217">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根据国家原环境保护总局颁布的《排污口规范化整治技术要求（试行）》（环监</w:t>
            </w:r>
            <w:r>
              <w:rPr>
                <w:rFonts w:hint="eastAsia"/>
                <w:color w:val="000000" w:themeColor="text1"/>
                <w:highlight w:val="none"/>
                <w:lang w:eastAsia="zh-CN"/>
                <w14:textFill>
                  <w14:solidFill>
                    <w14:schemeClr w14:val="tx1"/>
                  </w14:solidFill>
                </w14:textFill>
              </w:rPr>
              <w:t>〔1996〕470号</w:t>
            </w:r>
            <w:r>
              <w:rPr>
                <w:rFonts w:hint="default"/>
                <w:color w:val="000000" w:themeColor="text1"/>
                <w:highlight w:val="none"/>
                <w14:textFill>
                  <w14:solidFill>
                    <w14:schemeClr w14:val="tx1"/>
                  </w14:solidFill>
                </w14:textFill>
              </w:rPr>
              <w:t>）的规定，按照“便于采集样品、便于计量监测、便于日常现场监督检查”的原则，固体废物贮存、堆放场的要求如下：</w:t>
            </w:r>
          </w:p>
          <w:p w14:paraId="7B8D98B1">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（1）一切排污单位的污染物排放口（源）和固体废物贮存、处置场，必须实行规范化整治，按照国家标准《环境保护图形标志--排放口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》（GB15562.1-1995）和《环境保护图形标志 固体废物贮存（处置）场》（GB15562.2-1995）</w:t>
            </w:r>
            <w:r>
              <w:rPr>
                <w:rFonts w:hint="eastAsia"/>
                <w:color w:val="000000" w:themeColor="text1"/>
                <w:highlight w:val="none"/>
                <w:lang w:val="en-US" w:eastAsia="zh-CN"/>
                <w14:textFill>
                  <w14:solidFill>
                    <w14:schemeClr w14:val="tx1"/>
                  </w14:solidFill>
                </w14:textFill>
              </w:rPr>
              <w:t>及其修改单</w:t>
            </w:r>
            <w:r>
              <w:rPr>
                <w:rFonts w:hint="default"/>
                <w:color w:val="000000" w:themeColor="text1"/>
                <w:highlight w:val="none"/>
                <w14:textFill>
                  <w14:solidFill>
                    <w14:schemeClr w14:val="tx1"/>
                  </w14:solidFill>
                </w14:textFill>
              </w:rPr>
              <w:t>的规定，设置与之相适应的环境保护图形标志牌。</w:t>
            </w:r>
          </w:p>
          <w:p w14:paraId="1B4C4D8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（2）废水排放口要求。</w:t>
            </w:r>
          </w:p>
          <w:p w14:paraId="68C2F542">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合理确定污水排放口位置，按照《污染源监测技术规范》设置采样点。如：工厂总排放口、排放一类污染物的车间排放口，污水处理设施的进水和出水口等。</w:t>
            </w:r>
          </w:p>
          <w:p w14:paraId="02B96DF0">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（3）废气排放口要求。</w:t>
            </w:r>
          </w:p>
          <w:p w14:paraId="561E670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fldChar w:fldCharType="begin"/>
            </w:r>
            <w:r>
              <w:rPr>
                <w:rFonts w:hint="default"/>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instrText xml:space="preserve">= 1 \* GB3</w:instrText>
            </w:r>
            <w:r>
              <w:rPr>
                <w:rFonts w:hint="default"/>
                <w:color w:val="000000" w:themeColor="text1"/>
                <w:highlight w:val="none"/>
                <w14:textFill>
                  <w14:solidFill>
                    <w14:schemeClr w14:val="tx1"/>
                  </w14:solidFill>
                </w14:textFill>
              </w:rPr>
              <w:instrText xml:space="preserve"> </w:instrText>
            </w:r>
            <w:r>
              <w:rPr>
                <w:rFonts w:hint="default"/>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①</w:t>
            </w:r>
            <w:r>
              <w:rPr>
                <w:rFonts w:hint="default"/>
                <w:color w:val="000000" w:themeColor="text1"/>
                <w:highlight w:val="none"/>
                <w14:textFill>
                  <w14:solidFill>
                    <w14:schemeClr w14:val="tx1"/>
                  </w14:solidFill>
                </w14:textFill>
              </w:rPr>
              <w:fldChar w:fldCharType="end"/>
            </w:r>
            <w:r>
              <w:rPr>
                <w:rFonts w:hint="default"/>
                <w:color w:val="000000" w:themeColor="text1"/>
                <w:highlight w:val="none"/>
                <w14:textFill>
                  <w14:solidFill>
                    <w14:schemeClr w14:val="tx1"/>
                  </w14:solidFill>
                </w14:textFill>
              </w:rPr>
              <w:t>有组织排放废气的排气筒（烟囱）高度应符合国家大气污染物排放标准的有关规定。</w:t>
            </w:r>
          </w:p>
          <w:p w14:paraId="11088242">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fldChar w:fldCharType="begin"/>
            </w:r>
            <w:r>
              <w:rPr>
                <w:rFonts w:hint="default"/>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instrText xml:space="preserve">= 2 \* GB3</w:instrText>
            </w:r>
            <w:r>
              <w:rPr>
                <w:rFonts w:hint="default"/>
                <w:color w:val="000000" w:themeColor="text1"/>
                <w:highlight w:val="none"/>
                <w14:textFill>
                  <w14:solidFill>
                    <w14:schemeClr w14:val="tx1"/>
                  </w14:solidFill>
                </w14:textFill>
              </w:rPr>
              <w:instrText xml:space="preserve"> </w:instrText>
            </w:r>
            <w:r>
              <w:rPr>
                <w:rFonts w:hint="default"/>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②</w:t>
            </w:r>
            <w:r>
              <w:rPr>
                <w:rFonts w:hint="default"/>
                <w:color w:val="000000" w:themeColor="text1"/>
                <w:highlight w:val="none"/>
                <w14:textFill>
                  <w14:solidFill>
                    <w14:schemeClr w14:val="tx1"/>
                  </w14:solidFill>
                </w14:textFill>
              </w:rPr>
              <w:fldChar w:fldCharType="end"/>
            </w:r>
            <w:r>
              <w:rPr>
                <w:rFonts w:hint="default"/>
                <w:color w:val="000000" w:themeColor="text1"/>
                <w:highlight w:val="none"/>
                <w14:textFill>
                  <w14:solidFill>
                    <w14:schemeClr w14:val="tx1"/>
                  </w14:solidFill>
                </w14:textFill>
              </w:rPr>
              <w:t>排气筒（烟囱）应设置便于采样、监测的采样口和采样监测平台。有净化设施的，应在其进出口分别设置采样口及采样监测平台。采样孔、点数目和位置应按《固定污染源排气中颗粒物测定与气态污染物采样方法》</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GB／T16157-1996</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和《污染源监测技术规范》的规定设置。采样口位置无法满足规定要求的，必须报生态环境主管部门认可</w:t>
            </w:r>
          </w:p>
          <w:p w14:paraId="16D35EB6">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（4）一般固体废物应设置专用贮存、堆放场地。易造成二次扬尘的贮存、堆放场地，应采取不定时喷洒等防治措施。</w:t>
            </w:r>
          </w:p>
          <w:p w14:paraId="3E0ABD7C">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（5）有毒有害固体废物等危险废物，应设置专用堆放场地，并必须有防扬散，防流失，防渗漏等防治措施。</w:t>
            </w:r>
          </w:p>
          <w:p w14:paraId="45BC9FF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（6）临时性固体废物贮存、堆放场也应根据情况，进行</w:t>
            </w:r>
            <w:r>
              <w:rPr>
                <w:rFonts w:hint="eastAsia"/>
                <w:color w:val="000000" w:themeColor="text1"/>
                <w:highlight w:val="none"/>
                <w:lang w:val="en-US" w:eastAsia="zh-CN"/>
                <w14:textFill>
                  <w14:solidFill>
                    <w14:schemeClr w14:val="tx1"/>
                  </w14:solidFill>
                </w14:textFill>
              </w:rPr>
              <w:t>相应</w:t>
            </w:r>
            <w:r>
              <w:rPr>
                <w:rFonts w:hint="default"/>
                <w:color w:val="000000" w:themeColor="text1"/>
                <w:highlight w:val="none"/>
                <w14:textFill>
                  <w14:solidFill>
                    <w14:schemeClr w14:val="tx1"/>
                  </w14:solidFill>
                </w14:textFill>
              </w:rPr>
              <w:t>整治。</w:t>
            </w:r>
          </w:p>
          <w:p w14:paraId="63C052C1">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（7）环境保护图形标志牌设置位置应距污染物排放口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及固体废物贮存</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处置</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场或采样点较近且醒目处，并能长久保留，其中：噪声排放源标志牌应设置在距选定监测点较近且醒目处。设置高度一般为：环境保护图形标志牌上缘距离地面2米。</w:t>
            </w:r>
          </w:p>
          <w:p w14:paraId="62DBA67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（8）一般排污单位的污染物排放口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或固体废物贮存、处置场，可根据情况分别选择设置立式或平面固定式标志牌。一般性污染物排放口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或固体废物贮存、处置场，设置提示性环境保护图形标志牌。</w:t>
            </w:r>
          </w:p>
          <w:p w14:paraId="306B7851">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（9）环境保护图形标志牌的辅助标志上，需要填写的栏目，应由环境保护部门统一组织填写，要求字迹工整，字的颜色，与标志牌颜色要总体协调。</w:t>
            </w:r>
          </w:p>
          <w:p w14:paraId="23E2A23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（10）规范化整治排污口的有关设施（如：计量装置、标志牌等）</w:t>
            </w:r>
            <w:r>
              <w:rPr>
                <w:rFonts w:hint="eastAsia"/>
                <w:color w:val="000000" w:themeColor="text1"/>
                <w:highlight w:val="none"/>
                <w:lang w:eastAsia="zh-CN"/>
                <w14:textFill>
                  <w14:solidFill>
                    <w14:schemeClr w14:val="tx1"/>
                  </w14:solidFill>
                </w14:textFill>
              </w:rPr>
              <w:t>属于</w:t>
            </w:r>
            <w:r>
              <w:rPr>
                <w:rFonts w:hint="default"/>
                <w:color w:val="000000" w:themeColor="text1"/>
                <w:highlight w:val="none"/>
                <w14:textFill>
                  <w14:solidFill>
                    <w14:schemeClr w14:val="tx1"/>
                  </w14:solidFill>
                </w14:textFill>
              </w:rPr>
              <w:t>环境保护设施，各地环境保护部门应按照有关环境保护设施监督管理规定，加强日常监督管理，排污单位应将环境保护设施纳入本单位设备管理，制定相应的管理办法和规章制度。</w:t>
            </w:r>
          </w:p>
          <w:p w14:paraId="0CBD541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（11）排污单位应选派责任心强</w:t>
            </w:r>
            <w:r>
              <w:rPr>
                <w:rFonts w:hint="eastAsia"/>
                <w:color w:val="000000" w:themeColor="text1"/>
                <w:highlight w:val="none"/>
                <w:lang w:eastAsia="zh-CN"/>
                <w14:textFill>
                  <w14:solidFill>
                    <w14:schemeClr w14:val="tx1"/>
                  </w14:solidFill>
                </w14:textFill>
              </w:rPr>
              <w:t>，具</w:t>
            </w:r>
            <w:r>
              <w:rPr>
                <w:rFonts w:hint="default"/>
                <w:color w:val="000000" w:themeColor="text1"/>
                <w:highlight w:val="none"/>
                <w14:textFill>
                  <w14:solidFill>
                    <w14:schemeClr w14:val="tx1"/>
                  </w14:solidFill>
                </w14:textFill>
              </w:rPr>
              <w:t>有专业知识和技能的兼、专职人员对排污口和固体废物储存场所进行管理，做到责任明确、奖罚分明。</w:t>
            </w:r>
          </w:p>
          <w:p w14:paraId="0E91FF5F">
            <w:pPr>
              <w:pStyle w:val="60"/>
              <w:bidi w:val="0"/>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本次工程</w:t>
            </w:r>
            <w:r>
              <w:rPr>
                <w:rFonts w:hint="eastAsia"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三同时</w:t>
            </w:r>
            <w:r>
              <w:rPr>
                <w:rFonts w:hint="eastAsia"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环保验收情况见表</w:t>
            </w:r>
            <w:r>
              <w:rPr>
                <w:rFonts w:hint="default"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t>5-</w:t>
            </w:r>
            <w:r>
              <w:rPr>
                <w:rFonts w:hint="eastAsia" w:cs="Times New Roman"/>
                <w:color w:val="000000" w:themeColor="text1"/>
                <w:spacing w:val="0"/>
                <w:w w:val="100"/>
                <w:position w:val="0"/>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w:t>
            </w:r>
          </w:p>
          <w:p w14:paraId="15F4759A">
            <w:pPr>
              <w:pStyle w:val="9"/>
              <w:keepNext/>
              <w:ind w:firstLine="422" w:firstLineChars="200"/>
              <w:jc w:val="cente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pPr>
            <w:bookmarkStart w:id="42" w:name="_Ref533149623"/>
            <w: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t>表</w:t>
            </w:r>
            <w:bookmarkEnd w:id="42"/>
            <w: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t>5-</w:t>
            </w:r>
            <w:r>
              <w:rPr>
                <w:rFonts w:hint="eastAsia" w:ascii="Times New Roman" w:hAnsi="Times New Roman" w:eastAsia="宋体" w:cs="Times New Roman"/>
                <w:b/>
                <w:bCs/>
                <w:color w:val="000000" w:themeColor="text1"/>
                <w:spacing w:val="0"/>
                <w:w w:val="100"/>
                <w:position w:val="0"/>
                <w:sz w:val="21"/>
                <w:szCs w:val="21"/>
                <w:highlight w:val="none"/>
                <w:lang w:val="en-US" w:eastAsia="zh-CN"/>
                <w14:textFill>
                  <w14:solidFill>
                    <w14:schemeClr w14:val="tx1"/>
                  </w14:solidFill>
                </w14:textFill>
              </w:rPr>
              <w:t xml:space="preserve">1  </w:t>
            </w:r>
            <w: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t>项目实施后“三同时”环保验收清单</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6"/>
              <w:gridCol w:w="675"/>
              <w:gridCol w:w="1065"/>
              <w:gridCol w:w="1485"/>
              <w:gridCol w:w="960"/>
              <w:gridCol w:w="2718"/>
            </w:tblGrid>
            <w:tr w14:paraId="2D12EC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tcBorders>
                    <w:tl2br w:val="nil"/>
                    <w:tr2bl w:val="nil"/>
                  </w:tcBorders>
                  <w:noWrap w:val="0"/>
                  <w:vAlign w:val="center"/>
                </w:tcPr>
                <w:p w14:paraId="62F43FF9">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类别</w:t>
                  </w:r>
                </w:p>
              </w:tc>
              <w:tc>
                <w:tcPr>
                  <w:tcW w:w="466" w:type="pct"/>
                  <w:tcBorders>
                    <w:tl2br w:val="nil"/>
                    <w:tr2bl w:val="nil"/>
                  </w:tcBorders>
                  <w:noWrap w:val="0"/>
                  <w:vAlign w:val="center"/>
                </w:tcPr>
                <w:p w14:paraId="0643D4BF">
                  <w:pPr>
                    <w:tabs>
                      <w:tab w:val="left" w:pos="567"/>
                    </w:tabs>
                    <w:adjustRightInd w:val="0"/>
                    <w:snapToGrid w:val="0"/>
                    <w:spacing w:line="240" w:lineRule="auto"/>
                    <w:ind w:firstLine="0" w:firstLineChars="0"/>
                    <w:jc w:val="center"/>
                    <w:rPr>
                      <w:rFonts w:hint="default" w:ascii="Times New Roman" w:hAnsi="Times New Roman" w:eastAsia="宋体" w:cs="Times New Roman"/>
                      <w:b/>
                      <w:bCs/>
                      <w:color w:val="000000" w:themeColor="text1"/>
                      <w:spacing w:val="0"/>
                      <w:w w:val="100"/>
                      <w:position w:val="0"/>
                      <w:szCs w:val="21"/>
                      <w:highlight w:val="none"/>
                      <w:lang w:val="en-US" w:eastAsia="zh-CN"/>
                      <w14:textFill>
                        <w14:solidFill>
                          <w14:schemeClr w14:val="tx1"/>
                        </w14:solidFill>
                      </w14:textFill>
                    </w:rPr>
                  </w:pPr>
                  <w:r>
                    <w:rPr>
                      <w:rFonts w:hint="eastAsia" w:cs="Times New Roman"/>
                      <w:b/>
                      <w:bCs/>
                      <w:color w:val="000000" w:themeColor="text1"/>
                      <w:spacing w:val="0"/>
                      <w:w w:val="100"/>
                      <w:position w:val="0"/>
                      <w:szCs w:val="21"/>
                      <w:highlight w:val="none"/>
                      <w:lang w:val="en-US" w:eastAsia="zh-CN"/>
                      <w14:textFill>
                        <w14:solidFill>
                          <w14:schemeClr w14:val="tx1"/>
                        </w14:solidFill>
                      </w14:textFill>
                    </w:rPr>
                    <w:t>工程</w:t>
                  </w:r>
                </w:p>
              </w:tc>
              <w:tc>
                <w:tcPr>
                  <w:tcW w:w="735" w:type="pct"/>
                  <w:tcBorders>
                    <w:tl2br w:val="nil"/>
                    <w:tr2bl w:val="nil"/>
                  </w:tcBorders>
                  <w:noWrap w:val="0"/>
                  <w:vAlign w:val="center"/>
                </w:tcPr>
                <w:p w14:paraId="447BF3D8">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污染源</w:t>
                  </w:r>
                </w:p>
              </w:tc>
              <w:tc>
                <w:tcPr>
                  <w:tcW w:w="1025" w:type="pct"/>
                  <w:tcBorders>
                    <w:tl2br w:val="nil"/>
                    <w:tr2bl w:val="nil"/>
                  </w:tcBorders>
                  <w:noWrap w:val="0"/>
                  <w:vAlign w:val="center"/>
                </w:tcPr>
                <w:p w14:paraId="0C362812">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环保措施及设施</w:t>
                  </w:r>
                </w:p>
              </w:tc>
              <w:tc>
                <w:tcPr>
                  <w:tcW w:w="663" w:type="pct"/>
                  <w:tcBorders>
                    <w:tl2br w:val="nil"/>
                    <w:tr2bl w:val="nil"/>
                  </w:tcBorders>
                  <w:noWrap w:val="0"/>
                  <w:vAlign w:val="center"/>
                </w:tcPr>
                <w:p w14:paraId="7978F925">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验收内容</w:t>
                  </w:r>
                </w:p>
              </w:tc>
              <w:tc>
                <w:tcPr>
                  <w:tcW w:w="1877" w:type="pct"/>
                  <w:tcBorders>
                    <w:tl2br w:val="nil"/>
                    <w:tr2bl w:val="nil"/>
                  </w:tcBorders>
                  <w:noWrap w:val="0"/>
                  <w:vAlign w:val="center"/>
                </w:tcPr>
                <w:p w14:paraId="43D32B26">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验收标准</w:t>
                  </w:r>
                </w:p>
              </w:tc>
            </w:tr>
            <w:tr w14:paraId="7B0A6B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232" w:type="pct"/>
                  <w:vMerge w:val="restart"/>
                  <w:tcBorders>
                    <w:tl2br w:val="nil"/>
                    <w:tr2bl w:val="nil"/>
                  </w:tcBorders>
                  <w:noWrap w:val="0"/>
                  <w:vAlign w:val="center"/>
                </w:tcPr>
                <w:p w14:paraId="10CBCFB8">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废气</w:t>
                  </w:r>
                </w:p>
              </w:tc>
              <w:tc>
                <w:tcPr>
                  <w:tcW w:w="466" w:type="pct"/>
                  <w:vMerge w:val="restart"/>
                  <w:tcBorders>
                    <w:tl2br w:val="nil"/>
                    <w:tr2bl w:val="nil"/>
                  </w:tcBorders>
                  <w:noWrap w:val="0"/>
                  <w:vAlign w:val="center"/>
                </w:tcPr>
                <w:p w14:paraId="39F9C6D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一期工程</w:t>
                  </w:r>
                </w:p>
              </w:tc>
              <w:tc>
                <w:tcPr>
                  <w:tcW w:w="735" w:type="pct"/>
                  <w:tcBorders>
                    <w:tl2br w:val="nil"/>
                    <w:tr2bl w:val="nil"/>
                  </w:tcBorders>
                  <w:noWrap w:val="0"/>
                  <w:vAlign w:val="center"/>
                </w:tcPr>
                <w:p w14:paraId="6962880D">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碱法喷淋塔</w:t>
                  </w:r>
                  <w: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（DA001）</w:t>
                  </w:r>
                </w:p>
              </w:tc>
              <w:tc>
                <w:tcPr>
                  <w:tcW w:w="1025" w:type="pct"/>
                  <w:tcBorders>
                    <w:tl2br w:val="nil"/>
                    <w:tr2bl w:val="nil"/>
                  </w:tcBorders>
                  <w:noWrap w:val="0"/>
                  <w:vAlign w:val="center"/>
                </w:tcPr>
                <w:p w14:paraId="08F2D31F">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碱法喷淋塔</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15m高排气筒（DA001）有组织排放</w:t>
                  </w:r>
                </w:p>
              </w:tc>
              <w:tc>
                <w:tcPr>
                  <w:tcW w:w="663" w:type="pct"/>
                  <w:tcBorders>
                    <w:tl2br w:val="nil"/>
                    <w:tr2bl w:val="nil"/>
                  </w:tcBorders>
                  <w:shd w:val="clear" w:color="auto" w:fill="auto"/>
                  <w:noWrap w:val="0"/>
                  <w:vAlign w:val="center"/>
                </w:tcPr>
                <w:p w14:paraId="602B0AF5">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eastAsia="宋体"/>
                      <w:snapToGrid w:val="0"/>
                      <w:color w:val="000000" w:themeColor="text1"/>
                      <w:kern w:val="0"/>
                      <w:sz w:val="21"/>
                      <w:szCs w:val="21"/>
                      <w:highlight w:val="none"/>
                      <w:lang w:val="en-US" w:eastAsia="zh-CN"/>
                      <w14:textFill>
                        <w14:solidFill>
                          <w14:schemeClr w14:val="tx1"/>
                        </w14:solidFill>
                      </w14:textFill>
                    </w:rPr>
                    <w:t>HCL</w:t>
                  </w: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5E6ED0BE">
                  <w:pPr>
                    <w:adjustRightInd w:val="0"/>
                    <w:snapToGrid w:val="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eastAsia" w:ascii="Times New Roman" w:hAnsi="Times New Roman" w:eastAsia="宋体" w:cs="Times New Roman"/>
                      <w:color w:val="000000" w:themeColor="text1"/>
                      <w:w w:val="100"/>
                      <w:kern w:val="0"/>
                      <w:position w:val="0"/>
                      <w:sz w:val="21"/>
                      <w:szCs w:val="21"/>
                      <w:highlight w:val="none"/>
                      <w14:textFill>
                        <w14:solidFill>
                          <w14:schemeClr w14:val="tx1"/>
                        </w14:solidFill>
                      </w14:textFill>
                    </w:rPr>
                    <w:t>《大气污染物综合排</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放标准》（GB</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16297</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-1996）中表2中氯化氢</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与颗粒物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排放限值要求（氯化氢</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排放限值</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100mg/m</w:t>
                  </w:r>
                  <w:r>
                    <w:rPr>
                      <w:rFonts w:hint="eastAsia"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0.26kg/h</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排放限值</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无组织废气排放限值1.0mg/m</w:t>
                  </w:r>
                  <w:r>
                    <w:rPr>
                      <w:rFonts w:hint="eastAsia"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p>
              </w:tc>
            </w:tr>
            <w:tr w14:paraId="455B96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63338162">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150E4EF">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restart"/>
                  <w:tcBorders>
                    <w:tl2br w:val="nil"/>
                    <w:tr2bl w:val="nil"/>
                  </w:tcBorders>
                  <w:shd w:val="clear" w:color="auto" w:fill="auto"/>
                  <w:noWrap w:val="0"/>
                  <w:vAlign w:val="center"/>
                </w:tcPr>
                <w:p w14:paraId="3D70F658">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醇基锅炉</w:t>
                  </w:r>
                  <w: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（DA002）</w:t>
                  </w:r>
                </w:p>
              </w:tc>
              <w:tc>
                <w:tcPr>
                  <w:tcW w:w="1025" w:type="pct"/>
                  <w:vMerge w:val="restart"/>
                  <w:tcBorders>
                    <w:tl2br w:val="nil"/>
                    <w:tr2bl w:val="nil"/>
                  </w:tcBorders>
                  <w:noWrap w:val="0"/>
                  <w:vAlign w:val="center"/>
                </w:tcPr>
                <w:p w14:paraId="0E498BD1">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低氮燃烧器</w:t>
                  </w:r>
                  <w:r>
                    <w:rPr>
                      <w:rFonts w:hint="eastAsia" w:cs="Times New Roman"/>
                      <w:color w:val="000000" w:themeColor="text1"/>
                      <w:w w:val="100"/>
                      <w:position w:val="0"/>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55F1E473">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颗粒物</w:t>
                  </w:r>
                </w:p>
              </w:tc>
              <w:tc>
                <w:tcPr>
                  <w:tcW w:w="1877" w:type="pct"/>
                  <w:vMerge w:val="restart"/>
                  <w:tcBorders>
                    <w:tl2br w:val="nil"/>
                    <w:tr2bl w:val="nil"/>
                  </w:tcBorders>
                  <w:shd w:val="clear" w:color="auto" w:fill="auto"/>
                  <w:noWrap w:val="0"/>
                  <w:vAlign w:val="center"/>
                </w:tcPr>
                <w:p w14:paraId="1855E90F">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；烟气黑度≤1级）</w:t>
                  </w:r>
                </w:p>
              </w:tc>
            </w:tr>
            <w:tr w14:paraId="0EF02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01C1E494">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F0823A9">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continue"/>
                  <w:tcBorders>
                    <w:tl2br w:val="nil"/>
                    <w:tr2bl w:val="nil"/>
                  </w:tcBorders>
                  <w:shd w:val="clear" w:color="auto" w:fill="auto"/>
                  <w:noWrap w:val="0"/>
                  <w:vAlign w:val="center"/>
                </w:tcPr>
                <w:p w14:paraId="597663A0">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p>
              </w:tc>
              <w:tc>
                <w:tcPr>
                  <w:tcW w:w="1025" w:type="pct"/>
                  <w:vMerge w:val="continue"/>
                  <w:tcBorders>
                    <w:tl2br w:val="nil"/>
                    <w:tr2bl w:val="nil"/>
                  </w:tcBorders>
                  <w:noWrap w:val="0"/>
                  <w:vAlign w:val="center"/>
                </w:tcPr>
                <w:p w14:paraId="17291056">
                  <w:pPr>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p>
              </w:tc>
              <w:tc>
                <w:tcPr>
                  <w:tcW w:w="663" w:type="pct"/>
                  <w:tcBorders>
                    <w:tl2br w:val="nil"/>
                    <w:tr2bl w:val="nil"/>
                  </w:tcBorders>
                  <w:shd w:val="clear" w:color="auto" w:fill="auto"/>
                  <w:noWrap w:val="0"/>
                  <w:vAlign w:val="center"/>
                </w:tcPr>
                <w:p w14:paraId="70B1CF9B">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SO</w:t>
                  </w:r>
                  <w:r>
                    <w:rPr>
                      <w:rFonts w:hint="eastAsia" w:cs="Times New Roman"/>
                      <w:b w:val="0"/>
                      <w:bCs w:val="0"/>
                      <w:color w:val="000000" w:themeColor="text1"/>
                      <w:spacing w:val="0"/>
                      <w:w w:val="100"/>
                      <w:kern w:val="2"/>
                      <w:position w:val="0"/>
                      <w:sz w:val="21"/>
                      <w:szCs w:val="21"/>
                      <w:highlight w:val="none"/>
                      <w:vertAlign w:val="subscript"/>
                      <w:lang w:val="en-US" w:eastAsia="zh-CN" w:bidi="ar-SA"/>
                      <w14:textFill>
                        <w14:solidFill>
                          <w14:schemeClr w14:val="tx1"/>
                        </w14:solidFill>
                      </w14:textFill>
                    </w:rPr>
                    <w:t>2</w:t>
                  </w:r>
                </w:p>
              </w:tc>
              <w:tc>
                <w:tcPr>
                  <w:tcW w:w="1877" w:type="pct"/>
                  <w:vMerge w:val="continue"/>
                  <w:tcBorders>
                    <w:tl2br w:val="nil"/>
                    <w:tr2bl w:val="nil"/>
                  </w:tcBorders>
                  <w:shd w:val="clear" w:color="auto" w:fill="auto"/>
                  <w:noWrap w:val="0"/>
                  <w:vAlign w:val="center"/>
                </w:tcPr>
                <w:p w14:paraId="1AD4C32B">
                  <w:pPr>
                    <w:jc w:val="center"/>
                    <w:rPr>
                      <w:rFonts w:hint="default"/>
                      <w:color w:val="000000" w:themeColor="text1"/>
                      <w:spacing w:val="0"/>
                      <w:w w:val="100"/>
                      <w:position w:val="0"/>
                      <w:sz w:val="21"/>
                      <w:szCs w:val="21"/>
                      <w:highlight w:val="none"/>
                      <w:lang w:val="en-US" w:eastAsia="zh-CN"/>
                      <w14:textFill>
                        <w14:solidFill>
                          <w14:schemeClr w14:val="tx1"/>
                        </w14:solidFill>
                      </w14:textFill>
                    </w:rPr>
                  </w:pPr>
                </w:p>
              </w:tc>
            </w:tr>
            <w:tr w14:paraId="7277A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7988A2FB">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B28A92C">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continue"/>
                  <w:tcBorders>
                    <w:tl2br w:val="nil"/>
                    <w:tr2bl w:val="nil"/>
                  </w:tcBorders>
                  <w:shd w:val="clear" w:color="auto" w:fill="auto"/>
                  <w:noWrap w:val="0"/>
                  <w:vAlign w:val="center"/>
                </w:tcPr>
                <w:p w14:paraId="2213E953">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p>
              </w:tc>
              <w:tc>
                <w:tcPr>
                  <w:tcW w:w="1025" w:type="pct"/>
                  <w:vMerge w:val="continue"/>
                  <w:tcBorders>
                    <w:tl2br w:val="nil"/>
                    <w:tr2bl w:val="nil"/>
                  </w:tcBorders>
                  <w:noWrap w:val="0"/>
                  <w:vAlign w:val="center"/>
                </w:tcPr>
                <w:p w14:paraId="62BC4142">
                  <w:pPr>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p>
              </w:tc>
              <w:tc>
                <w:tcPr>
                  <w:tcW w:w="663" w:type="pct"/>
                  <w:tcBorders>
                    <w:tl2br w:val="nil"/>
                    <w:tr2bl w:val="nil"/>
                  </w:tcBorders>
                  <w:shd w:val="clear" w:color="auto" w:fill="auto"/>
                  <w:noWrap w:val="0"/>
                  <w:vAlign w:val="center"/>
                </w:tcPr>
                <w:p w14:paraId="647D1838">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NO</w:t>
                  </w:r>
                  <w:r>
                    <w:rPr>
                      <w:rFonts w:hint="eastAsia" w:cs="Times New Roman"/>
                      <w:b w:val="0"/>
                      <w:bCs w:val="0"/>
                      <w:color w:val="000000" w:themeColor="text1"/>
                      <w:spacing w:val="0"/>
                      <w:w w:val="100"/>
                      <w:kern w:val="2"/>
                      <w:position w:val="0"/>
                      <w:sz w:val="21"/>
                      <w:szCs w:val="21"/>
                      <w:highlight w:val="none"/>
                      <w:vertAlign w:val="subscript"/>
                      <w:lang w:val="en-US" w:eastAsia="zh-CN" w:bidi="ar-SA"/>
                      <w14:textFill>
                        <w14:solidFill>
                          <w14:schemeClr w14:val="tx1"/>
                        </w14:solidFill>
                      </w14:textFill>
                    </w:rPr>
                    <w:t>X</w:t>
                  </w:r>
                </w:p>
              </w:tc>
              <w:tc>
                <w:tcPr>
                  <w:tcW w:w="1877" w:type="pct"/>
                  <w:vMerge w:val="continue"/>
                  <w:tcBorders>
                    <w:tl2br w:val="nil"/>
                    <w:tr2bl w:val="nil"/>
                  </w:tcBorders>
                  <w:shd w:val="clear" w:color="auto" w:fill="auto"/>
                  <w:noWrap w:val="0"/>
                  <w:vAlign w:val="center"/>
                </w:tcPr>
                <w:p w14:paraId="7EA3D0C3">
                  <w:pPr>
                    <w:jc w:val="center"/>
                    <w:rPr>
                      <w:rFonts w:hint="default"/>
                      <w:color w:val="000000" w:themeColor="text1"/>
                      <w:spacing w:val="0"/>
                      <w:w w:val="100"/>
                      <w:position w:val="0"/>
                      <w:sz w:val="21"/>
                      <w:szCs w:val="21"/>
                      <w:highlight w:val="none"/>
                      <w:lang w:val="en-US" w:eastAsia="zh-CN"/>
                      <w14:textFill>
                        <w14:solidFill>
                          <w14:schemeClr w14:val="tx1"/>
                        </w14:solidFill>
                      </w14:textFill>
                    </w:rPr>
                  </w:pPr>
                </w:p>
              </w:tc>
            </w:tr>
            <w:tr w14:paraId="5ECD8A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5C3BBDF4">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17D48E6C">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continue"/>
                  <w:tcBorders>
                    <w:tl2br w:val="nil"/>
                    <w:tr2bl w:val="nil"/>
                  </w:tcBorders>
                  <w:shd w:val="clear" w:color="auto" w:fill="auto"/>
                  <w:noWrap w:val="0"/>
                  <w:vAlign w:val="center"/>
                </w:tcPr>
                <w:p w14:paraId="7D2E3584">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p>
              </w:tc>
              <w:tc>
                <w:tcPr>
                  <w:tcW w:w="1025" w:type="pct"/>
                  <w:vMerge w:val="continue"/>
                  <w:tcBorders>
                    <w:tl2br w:val="nil"/>
                    <w:tr2bl w:val="nil"/>
                  </w:tcBorders>
                  <w:noWrap w:val="0"/>
                  <w:vAlign w:val="center"/>
                </w:tcPr>
                <w:p w14:paraId="7DD1F8BD">
                  <w:pPr>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p>
              </w:tc>
              <w:tc>
                <w:tcPr>
                  <w:tcW w:w="663" w:type="pct"/>
                  <w:tcBorders>
                    <w:tl2br w:val="nil"/>
                    <w:tr2bl w:val="nil"/>
                  </w:tcBorders>
                  <w:shd w:val="clear" w:color="auto" w:fill="auto"/>
                  <w:noWrap w:val="0"/>
                  <w:vAlign w:val="center"/>
                </w:tcPr>
                <w:p w14:paraId="3891C4A8">
                  <w:pPr>
                    <w:pStyle w:val="10"/>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烟气黑度（林格曼黑度）</w:t>
                  </w:r>
                </w:p>
              </w:tc>
              <w:tc>
                <w:tcPr>
                  <w:tcW w:w="1877" w:type="pct"/>
                  <w:vMerge w:val="continue"/>
                  <w:tcBorders>
                    <w:tl2br w:val="nil"/>
                    <w:tr2bl w:val="nil"/>
                  </w:tcBorders>
                  <w:shd w:val="clear" w:color="auto" w:fill="auto"/>
                  <w:noWrap w:val="0"/>
                  <w:vAlign w:val="center"/>
                </w:tcPr>
                <w:p w14:paraId="2BA41FE3">
                  <w:pPr>
                    <w:jc w:val="center"/>
                    <w:rPr>
                      <w:rFonts w:hint="default"/>
                      <w:color w:val="000000" w:themeColor="text1"/>
                      <w:spacing w:val="0"/>
                      <w:w w:val="100"/>
                      <w:position w:val="0"/>
                      <w:sz w:val="21"/>
                      <w:szCs w:val="21"/>
                      <w:highlight w:val="none"/>
                      <w:lang w:val="en-US" w:eastAsia="zh-CN"/>
                      <w14:textFill>
                        <w14:solidFill>
                          <w14:schemeClr w14:val="tx1"/>
                        </w14:solidFill>
                      </w14:textFill>
                    </w:rPr>
                  </w:pPr>
                </w:p>
              </w:tc>
            </w:tr>
            <w:tr w14:paraId="7917B2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4BBA4467">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ABFC528">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597A79B7">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w:t>
                  </w:r>
                </w:p>
              </w:tc>
              <w:tc>
                <w:tcPr>
                  <w:tcW w:w="1025" w:type="pct"/>
                  <w:tcBorders>
                    <w:tl2br w:val="nil"/>
                    <w:tr2bl w:val="nil"/>
                  </w:tcBorders>
                  <w:noWrap w:val="0"/>
                  <w:vAlign w:val="center"/>
                </w:tcPr>
                <w:p w14:paraId="393543CD">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089254E8">
                  <w:pPr>
                    <w:spacing w:line="240" w:lineRule="atLeast"/>
                    <w:jc w:val="center"/>
                    <w:rPr>
                      <w:rFonts w:hint="eastAsia" w:ascii="Times New Roman" w:hAnsi="Times New Roman"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10777484">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与</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颗粒物无组织排放限值1.0mg/m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147EE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4C05635C">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F2923ED">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55036C7">
                  <w:pPr>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025" w:type="pct"/>
                  <w:tcBorders>
                    <w:tl2br w:val="nil"/>
                    <w:tr2bl w:val="nil"/>
                  </w:tcBorders>
                  <w:noWrap w:val="0"/>
                  <w:vAlign w:val="center"/>
                </w:tcPr>
                <w:p w14:paraId="6691716B">
                  <w:pPr>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r>
                    <w:rPr>
                      <w:rStyle w:val="32"/>
                      <w:rFonts w:hint="eastAsia" w:cs="Times New Roman"/>
                      <w:color w:val="000000" w:themeColor="text1"/>
                      <w:szCs w:val="21"/>
                      <w:highlight w:val="none"/>
                      <w:lang w:val="en-US" w:eastAsia="zh-CN" w:bidi="ar-SA"/>
                      <w14:textFill>
                        <w14:solidFill>
                          <w14:schemeClr w14:val="tx1"/>
                        </w14:solidFill>
                      </w14:textFill>
                    </w:rPr>
                    <w:t>，装卸处进行洒水降尘</w:t>
                  </w:r>
                </w:p>
              </w:tc>
              <w:tc>
                <w:tcPr>
                  <w:tcW w:w="663" w:type="pct"/>
                  <w:tcBorders>
                    <w:tl2br w:val="nil"/>
                    <w:tr2bl w:val="nil"/>
                  </w:tcBorders>
                  <w:shd w:val="clear" w:color="auto" w:fill="auto"/>
                  <w:noWrap w:val="0"/>
                  <w:vAlign w:val="center"/>
                </w:tcPr>
                <w:p w14:paraId="07B6D556">
                  <w:pPr>
                    <w:spacing w:line="240" w:lineRule="atLeast"/>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112FB311">
                  <w:pPr>
                    <w:jc w:val="cente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70773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626EFA05">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restart"/>
                  <w:tcBorders>
                    <w:tl2br w:val="nil"/>
                    <w:tr2bl w:val="nil"/>
                  </w:tcBorders>
                  <w:shd w:val="clear" w:color="auto" w:fill="auto"/>
                  <w:noWrap w:val="0"/>
                  <w:vAlign w:val="center"/>
                </w:tcPr>
                <w:p w14:paraId="796477C8">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二期工程</w:t>
                  </w:r>
                </w:p>
              </w:tc>
              <w:tc>
                <w:tcPr>
                  <w:tcW w:w="735" w:type="pct"/>
                  <w:tcBorders>
                    <w:tl2br w:val="nil"/>
                    <w:tr2bl w:val="nil"/>
                  </w:tcBorders>
                  <w:shd w:val="clear" w:color="auto" w:fill="auto"/>
                  <w:noWrap w:val="0"/>
                  <w:vAlign w:val="center"/>
                </w:tcPr>
                <w:p w14:paraId="0E58DE40">
                  <w:pPr>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w:t>
                  </w:r>
                </w:p>
              </w:tc>
              <w:tc>
                <w:tcPr>
                  <w:tcW w:w="1025" w:type="pct"/>
                  <w:tcBorders>
                    <w:tl2br w:val="nil"/>
                    <w:tr2bl w:val="nil"/>
                  </w:tcBorders>
                  <w:noWrap w:val="0"/>
                  <w:vAlign w:val="center"/>
                </w:tcPr>
                <w:p w14:paraId="097C4275">
                  <w:pPr>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386C4268">
                  <w:pPr>
                    <w:spacing w:line="240" w:lineRule="atLeast"/>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03335289">
                  <w:pPr>
                    <w:jc w:val="cente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与</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颗粒物无组织排放限值1.0mg/m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36A76C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63272A45">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28CAE6F5">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9F4ED1C">
                  <w:pPr>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025" w:type="pct"/>
                  <w:tcBorders>
                    <w:tl2br w:val="nil"/>
                    <w:tr2bl w:val="nil"/>
                  </w:tcBorders>
                  <w:noWrap w:val="0"/>
                  <w:vAlign w:val="center"/>
                </w:tcPr>
                <w:p w14:paraId="5B6BD41D">
                  <w:pPr>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r>
                    <w:rPr>
                      <w:rStyle w:val="32"/>
                      <w:rFonts w:hint="eastAsia" w:cs="Times New Roman"/>
                      <w:color w:val="000000" w:themeColor="text1"/>
                      <w:szCs w:val="21"/>
                      <w:highlight w:val="none"/>
                      <w:lang w:val="en-US" w:eastAsia="zh-CN" w:bidi="ar-SA"/>
                      <w14:textFill>
                        <w14:solidFill>
                          <w14:schemeClr w14:val="tx1"/>
                        </w14:solidFill>
                      </w14:textFill>
                    </w:rPr>
                    <w:t>，装卸处进行洒水降尘</w:t>
                  </w:r>
                </w:p>
              </w:tc>
              <w:tc>
                <w:tcPr>
                  <w:tcW w:w="663" w:type="pct"/>
                  <w:tcBorders>
                    <w:tl2br w:val="nil"/>
                    <w:tr2bl w:val="nil"/>
                  </w:tcBorders>
                  <w:shd w:val="clear" w:color="auto" w:fill="auto"/>
                  <w:noWrap w:val="0"/>
                  <w:vAlign w:val="center"/>
                </w:tcPr>
                <w:p w14:paraId="0D7AA95F">
                  <w:pPr>
                    <w:spacing w:line="240" w:lineRule="atLeast"/>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755D551F">
                  <w:pPr>
                    <w:jc w:val="cente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02BF86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44124E9E">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0B92BC4">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053BD0F9">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破碎、球磨工序除尘器（DA004）</w:t>
                  </w:r>
                </w:p>
              </w:tc>
              <w:tc>
                <w:tcPr>
                  <w:tcW w:w="1025" w:type="pct"/>
                  <w:tcBorders>
                    <w:tl2br w:val="nil"/>
                    <w:tr2bl w:val="nil"/>
                  </w:tcBorders>
                  <w:shd w:val="clear" w:color="auto" w:fill="auto"/>
                  <w:noWrap w:val="0"/>
                  <w:vAlign w:val="center"/>
                </w:tcPr>
                <w:p w14:paraId="5106DF88">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457EB02A">
                  <w:pPr>
                    <w:spacing w:line="240" w:lineRule="atLeast"/>
                    <w:jc w:val="cente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5141684C">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与</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颗粒物无组织排放限值1.0mg/m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7C1ABC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98" w:type="pct"/>
                  <w:gridSpan w:val="2"/>
                  <w:tcBorders>
                    <w:tl2br w:val="nil"/>
                    <w:tr2bl w:val="nil"/>
                  </w:tcBorders>
                  <w:noWrap w:val="0"/>
                  <w:vAlign w:val="center"/>
                </w:tcPr>
                <w:p w14:paraId="66D2D58D">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废水</w:t>
                  </w:r>
                </w:p>
              </w:tc>
              <w:tc>
                <w:tcPr>
                  <w:tcW w:w="735" w:type="pct"/>
                  <w:tcBorders>
                    <w:tl2br w:val="nil"/>
                    <w:tr2bl w:val="nil"/>
                  </w:tcBorders>
                  <w:noWrap w:val="0"/>
                  <w:vAlign w:val="center"/>
                </w:tcPr>
                <w:p w14:paraId="0FD29556">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锅炉排污水（锅炉排污水+软化处理废水）</w:t>
                  </w:r>
                </w:p>
              </w:tc>
              <w:tc>
                <w:tcPr>
                  <w:tcW w:w="1025" w:type="pct"/>
                  <w:tcBorders>
                    <w:tl2br w:val="nil"/>
                    <w:tr2bl w:val="nil"/>
                  </w:tcBorders>
                  <w:noWrap w:val="0"/>
                  <w:vAlign w:val="center"/>
                </w:tcPr>
                <w:p w14:paraId="25D413B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经园区下水管网，最终进入昌吉高新海天污水处理厂处理</w:t>
                  </w:r>
                </w:p>
              </w:tc>
              <w:tc>
                <w:tcPr>
                  <w:tcW w:w="663" w:type="pct"/>
                  <w:tcBorders>
                    <w:tl2br w:val="nil"/>
                    <w:tr2bl w:val="nil"/>
                  </w:tcBorders>
                  <w:noWrap w:val="0"/>
                  <w:vAlign w:val="center"/>
                </w:tcPr>
                <w:p w14:paraId="49C40143">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CODcr</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SS</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NH</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highlight w:val="none"/>
                      <w14:textFill>
                        <w14:solidFill>
                          <w14:schemeClr w14:val="tx1"/>
                        </w14:solidFill>
                      </w14:textFill>
                    </w:rPr>
                    <w:t>-N</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BOD</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5</w:t>
                  </w:r>
                </w:p>
              </w:tc>
              <w:tc>
                <w:tcPr>
                  <w:tcW w:w="1877" w:type="pct"/>
                  <w:tcBorders>
                    <w:tl2br w:val="nil"/>
                    <w:tr2bl w:val="nil"/>
                  </w:tcBorders>
                  <w:noWrap w:val="0"/>
                  <w:vAlign w:val="center"/>
                </w:tcPr>
                <w:p w14:paraId="65E727B8">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《污水综合排放标准》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GB8978-1996</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中三级标准</w:t>
                  </w:r>
                </w:p>
              </w:tc>
            </w:tr>
            <w:tr w14:paraId="645A4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698" w:type="pct"/>
                  <w:gridSpan w:val="2"/>
                  <w:tcBorders>
                    <w:tl2br w:val="nil"/>
                    <w:tr2bl w:val="nil"/>
                  </w:tcBorders>
                  <w:noWrap w:val="0"/>
                  <w:vAlign w:val="center"/>
                </w:tcPr>
                <w:p w14:paraId="7710FBA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噪声</w:t>
                  </w:r>
                </w:p>
              </w:tc>
              <w:tc>
                <w:tcPr>
                  <w:tcW w:w="735" w:type="pct"/>
                  <w:tcBorders>
                    <w:tl2br w:val="nil"/>
                    <w:tr2bl w:val="nil"/>
                  </w:tcBorders>
                  <w:noWrap w:val="0"/>
                  <w:vAlign w:val="center"/>
                </w:tcPr>
                <w:p w14:paraId="267CFBE0">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生产设备运行</w:t>
                  </w:r>
                </w:p>
              </w:tc>
              <w:tc>
                <w:tcPr>
                  <w:tcW w:w="1025" w:type="pct"/>
                  <w:tcBorders>
                    <w:tl2br w:val="nil"/>
                    <w:tr2bl w:val="nil"/>
                  </w:tcBorders>
                  <w:noWrap w:val="0"/>
                  <w:vAlign w:val="center"/>
                </w:tcPr>
                <w:p w14:paraId="3CB21D5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选用低噪声设备，基础减振</w:t>
                  </w:r>
                </w:p>
              </w:tc>
              <w:tc>
                <w:tcPr>
                  <w:tcW w:w="663" w:type="pct"/>
                  <w:tcBorders>
                    <w:tl2br w:val="nil"/>
                    <w:tr2bl w:val="nil"/>
                  </w:tcBorders>
                  <w:noWrap w:val="0"/>
                  <w:vAlign w:val="center"/>
                </w:tcPr>
                <w:p w14:paraId="2B1E7E4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厂界噪声</w:t>
                  </w:r>
                </w:p>
              </w:tc>
              <w:tc>
                <w:tcPr>
                  <w:tcW w:w="1877" w:type="pct"/>
                  <w:tcBorders>
                    <w:tl2br w:val="nil"/>
                    <w:tr2bl w:val="nil"/>
                  </w:tcBorders>
                  <w:noWrap w:val="0"/>
                  <w:vAlign w:val="center"/>
                </w:tcPr>
                <w:p w14:paraId="1C40480F">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《工业企业厂界环境噪声排放标准》（GB12348-2008）</w:t>
                  </w:r>
                  <w:r>
                    <w:rPr>
                      <w:rFonts w:hint="eastAsia" w:cs="Times New Roman"/>
                      <w:color w:val="000000" w:themeColor="text1"/>
                      <w:spacing w:val="0"/>
                      <w:w w:val="100"/>
                      <w:position w:val="0"/>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类标准</w:t>
                  </w:r>
                </w:p>
              </w:tc>
            </w:tr>
            <w:tr w14:paraId="10E1F3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32" w:type="pct"/>
                  <w:vMerge w:val="restart"/>
                  <w:tcBorders>
                    <w:tl2br w:val="nil"/>
                    <w:tr2bl w:val="nil"/>
                  </w:tcBorders>
                  <w:noWrap w:val="0"/>
                  <w:vAlign w:val="center"/>
                </w:tcPr>
                <w:p w14:paraId="7252AF18">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固废</w:t>
                  </w:r>
                </w:p>
              </w:tc>
              <w:tc>
                <w:tcPr>
                  <w:tcW w:w="466" w:type="pct"/>
                  <w:vMerge w:val="restart"/>
                  <w:tcBorders>
                    <w:tl2br w:val="nil"/>
                    <w:tr2bl w:val="nil"/>
                  </w:tcBorders>
                  <w:shd w:val="clear" w:color="auto" w:fill="auto"/>
                  <w:noWrap w:val="0"/>
                  <w:vAlign w:val="center"/>
                </w:tcPr>
                <w:p w14:paraId="4BBE4601">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一期</w:t>
                  </w:r>
                </w:p>
              </w:tc>
              <w:tc>
                <w:tcPr>
                  <w:tcW w:w="735" w:type="pct"/>
                  <w:tcBorders>
                    <w:tl2br w:val="nil"/>
                    <w:tr2bl w:val="nil"/>
                  </w:tcBorders>
                  <w:shd w:val="clear" w:color="auto" w:fill="auto"/>
                  <w:noWrap w:val="0"/>
                  <w:vAlign w:val="center"/>
                </w:tcPr>
                <w:p w14:paraId="4571B26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688" w:type="pct"/>
                  <w:gridSpan w:val="2"/>
                  <w:tcBorders>
                    <w:tl2br w:val="nil"/>
                    <w:tr2bl w:val="nil"/>
                  </w:tcBorders>
                  <w:shd w:val="clear" w:color="auto" w:fill="auto"/>
                  <w:noWrap w:val="0"/>
                  <w:vAlign w:val="center"/>
                </w:tcPr>
                <w:p w14:paraId="1D80D67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集中收集至厂内原有一般固废贮存间内，定期交由有资质单位处理</w:t>
                  </w:r>
                </w:p>
              </w:tc>
              <w:tc>
                <w:tcPr>
                  <w:tcW w:w="1877" w:type="pct"/>
                  <w:vMerge w:val="restart"/>
                  <w:tcBorders>
                    <w:tl2br w:val="nil"/>
                    <w:tr2bl w:val="nil"/>
                  </w:tcBorders>
                  <w:noWrap w:val="0"/>
                  <w:vAlign w:val="center"/>
                </w:tcPr>
                <w:p w14:paraId="2444F8AA">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w w:val="100"/>
                      <w:position w:val="0"/>
                      <w:szCs w:val="21"/>
                      <w:highlight w:val="none"/>
                      <w14:textFill>
                        <w14:solidFill>
                          <w14:schemeClr w14:val="tx1"/>
                        </w14:solidFill>
                      </w14:textFill>
                    </w:rPr>
                    <w:t>100%合理处置</w:t>
                  </w:r>
                </w:p>
              </w:tc>
            </w:tr>
            <w:tr w14:paraId="2FA48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32" w:type="pct"/>
                  <w:vMerge w:val="continue"/>
                  <w:tcBorders>
                    <w:tl2br w:val="nil"/>
                    <w:tr2bl w:val="nil"/>
                  </w:tcBorders>
                  <w:noWrap w:val="0"/>
                  <w:vAlign w:val="center"/>
                </w:tcPr>
                <w:p w14:paraId="48F39508">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B4DD685">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7F22EB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688" w:type="pct"/>
                  <w:gridSpan w:val="2"/>
                  <w:tcBorders>
                    <w:tl2br w:val="nil"/>
                    <w:tr2bl w:val="nil"/>
                  </w:tcBorders>
                  <w:shd w:val="clear" w:color="auto" w:fill="auto"/>
                  <w:noWrap w:val="0"/>
                  <w:vAlign w:val="center"/>
                </w:tcPr>
                <w:p w14:paraId="258C711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2ED72A5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4B1818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32" w:type="pct"/>
                  <w:vMerge w:val="continue"/>
                  <w:tcBorders>
                    <w:tl2br w:val="nil"/>
                    <w:tr2bl w:val="nil"/>
                  </w:tcBorders>
                  <w:noWrap w:val="0"/>
                  <w:vAlign w:val="center"/>
                </w:tcPr>
                <w:p w14:paraId="38D29F40">
                  <w:pPr>
                    <w:adjustRightInd w:val="0"/>
                    <w:snapToGrid w:val="0"/>
                    <w:spacing w:line="240" w:lineRule="auto"/>
                    <w:ind w:firstLine="0" w:firstLineChars="0"/>
                    <w:jc w:val="center"/>
                    <w:rPr>
                      <w:color w:val="000000" w:themeColor="text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FF70974">
                  <w:pPr>
                    <w:adjustRightInd w:val="0"/>
                    <w:snapToGrid w:val="0"/>
                    <w:spacing w:line="240" w:lineRule="auto"/>
                    <w:ind w:firstLine="0" w:firstLineChars="0"/>
                    <w:jc w:val="center"/>
                    <w:rPr>
                      <w:color w:val="000000" w:themeColor="text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8630AB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688" w:type="pct"/>
                  <w:gridSpan w:val="2"/>
                  <w:tcBorders>
                    <w:tl2br w:val="nil"/>
                    <w:tr2bl w:val="nil"/>
                  </w:tcBorders>
                  <w:shd w:val="clear" w:color="auto" w:fill="auto"/>
                  <w:noWrap w:val="0"/>
                  <w:vAlign w:val="center"/>
                </w:tcPr>
                <w:p w14:paraId="106D18F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c>
                <w:tcPr>
                  <w:tcW w:w="1877" w:type="pct"/>
                  <w:vMerge w:val="continue"/>
                  <w:tcBorders>
                    <w:tl2br w:val="nil"/>
                    <w:tr2bl w:val="nil"/>
                  </w:tcBorders>
                  <w:noWrap w:val="0"/>
                  <w:vAlign w:val="center"/>
                </w:tcPr>
                <w:p w14:paraId="6C6F0C7C">
                  <w:pPr>
                    <w:adjustRightInd w:val="0"/>
                    <w:snapToGrid w:val="0"/>
                    <w:spacing w:line="240" w:lineRule="auto"/>
                    <w:ind w:firstLine="0" w:firstLineChars="0"/>
                    <w:jc w:val="center"/>
                    <w:rPr>
                      <w:rFonts w:hint="eastAsia" w:cs="Times New Roman"/>
                      <w:snapToGrid w:val="0"/>
                      <w:color w:val="000000" w:themeColor="text1"/>
                      <w:spacing w:val="0"/>
                      <w:w w:val="100"/>
                      <w:position w:val="0"/>
                      <w:sz w:val="21"/>
                      <w:szCs w:val="21"/>
                      <w:highlight w:val="none"/>
                      <w:lang w:val="en-US" w:eastAsia="zh-CN"/>
                      <w14:textFill>
                        <w14:solidFill>
                          <w14:schemeClr w14:val="tx1"/>
                        </w14:solidFill>
                      </w14:textFill>
                    </w:rPr>
                  </w:pPr>
                </w:p>
              </w:tc>
            </w:tr>
            <w:tr w14:paraId="702FA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0600EAC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3052B0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1ABECA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688" w:type="pct"/>
                  <w:gridSpan w:val="2"/>
                  <w:tcBorders>
                    <w:tl2br w:val="nil"/>
                    <w:tr2bl w:val="nil"/>
                  </w:tcBorders>
                  <w:shd w:val="clear" w:color="auto" w:fill="auto"/>
                  <w:noWrap w:val="0"/>
                  <w:vAlign w:val="center"/>
                </w:tcPr>
                <w:p w14:paraId="271640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0B18D43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0AB00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560BA54">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5E1F83B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21B687A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w:t>
                  </w:r>
                </w:p>
              </w:tc>
              <w:tc>
                <w:tcPr>
                  <w:tcW w:w="1688" w:type="pct"/>
                  <w:gridSpan w:val="2"/>
                  <w:tcBorders>
                    <w:tl2br w:val="nil"/>
                    <w:tr2bl w:val="nil"/>
                  </w:tcBorders>
                  <w:shd w:val="clear" w:color="auto" w:fill="auto"/>
                  <w:noWrap w:val="0"/>
                  <w:vAlign w:val="center"/>
                </w:tcPr>
                <w:p w14:paraId="698E43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c>
                <w:tcPr>
                  <w:tcW w:w="1877" w:type="pct"/>
                  <w:vMerge w:val="continue"/>
                  <w:tcBorders>
                    <w:tl2br w:val="nil"/>
                    <w:tr2bl w:val="nil"/>
                  </w:tcBorders>
                  <w:noWrap w:val="0"/>
                  <w:vAlign w:val="center"/>
                </w:tcPr>
                <w:p w14:paraId="4DBDDDB8">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577D0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2D8724BD">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3D199A6">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5FF3578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离子交换树脂</w:t>
                  </w:r>
                </w:p>
              </w:tc>
              <w:tc>
                <w:tcPr>
                  <w:tcW w:w="1688" w:type="pct"/>
                  <w:gridSpan w:val="2"/>
                  <w:tcBorders>
                    <w:tl2br w:val="nil"/>
                    <w:tr2bl w:val="nil"/>
                  </w:tcBorders>
                  <w:shd w:val="clear" w:color="auto" w:fill="auto"/>
                  <w:noWrap w:val="0"/>
                  <w:vAlign w:val="center"/>
                </w:tcPr>
                <w:p w14:paraId="1878CE0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由厂家定期更换回收处理</w:t>
                  </w:r>
                </w:p>
              </w:tc>
              <w:tc>
                <w:tcPr>
                  <w:tcW w:w="1877" w:type="pct"/>
                  <w:vMerge w:val="continue"/>
                  <w:tcBorders>
                    <w:tl2br w:val="nil"/>
                    <w:tr2bl w:val="nil"/>
                  </w:tcBorders>
                  <w:noWrap w:val="0"/>
                  <w:vAlign w:val="center"/>
                </w:tcPr>
                <w:p w14:paraId="5A94ACC2">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715553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6793DB9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AD0F8B1">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4A98657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688" w:type="pct"/>
                  <w:gridSpan w:val="2"/>
                  <w:tcBorders>
                    <w:tl2br w:val="nil"/>
                    <w:tr2bl w:val="nil"/>
                  </w:tcBorders>
                  <w:shd w:val="clear" w:color="auto" w:fill="auto"/>
                  <w:noWrap w:val="0"/>
                  <w:vAlign w:val="center"/>
                </w:tcPr>
                <w:p w14:paraId="68B647D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c>
                <w:tcPr>
                  <w:tcW w:w="1877" w:type="pct"/>
                  <w:vMerge w:val="continue"/>
                  <w:tcBorders>
                    <w:tl2br w:val="nil"/>
                    <w:tr2bl w:val="nil"/>
                  </w:tcBorders>
                  <w:noWrap w:val="0"/>
                  <w:vAlign w:val="center"/>
                </w:tcPr>
                <w:p w14:paraId="4D1058AD">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7C82F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18A01A8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restart"/>
                  <w:tcBorders>
                    <w:tl2br w:val="nil"/>
                    <w:tr2bl w:val="nil"/>
                  </w:tcBorders>
                  <w:shd w:val="clear" w:color="auto" w:fill="auto"/>
                  <w:noWrap w:val="0"/>
                  <w:vAlign w:val="center"/>
                </w:tcPr>
                <w:p w14:paraId="3B178113">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二期</w:t>
                  </w:r>
                </w:p>
              </w:tc>
              <w:tc>
                <w:tcPr>
                  <w:tcW w:w="735" w:type="pct"/>
                  <w:tcBorders>
                    <w:tl2br w:val="nil"/>
                    <w:tr2bl w:val="nil"/>
                  </w:tcBorders>
                  <w:shd w:val="clear" w:color="auto" w:fill="auto"/>
                  <w:noWrap w:val="0"/>
                  <w:vAlign w:val="center"/>
                </w:tcPr>
                <w:p w14:paraId="44BBA6B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688" w:type="pct"/>
                  <w:gridSpan w:val="2"/>
                  <w:tcBorders>
                    <w:tl2br w:val="nil"/>
                    <w:tr2bl w:val="nil"/>
                  </w:tcBorders>
                  <w:shd w:val="clear" w:color="auto" w:fill="auto"/>
                  <w:noWrap w:val="0"/>
                  <w:vAlign w:val="center"/>
                </w:tcPr>
                <w:p w14:paraId="1F828A6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集中收集至厂内原有一般固废贮存间内，定期交由有资质单位处理</w:t>
                  </w:r>
                </w:p>
              </w:tc>
              <w:tc>
                <w:tcPr>
                  <w:tcW w:w="1877" w:type="pct"/>
                  <w:vMerge w:val="restart"/>
                  <w:tcBorders>
                    <w:tl2br w:val="nil"/>
                    <w:tr2bl w:val="nil"/>
                  </w:tcBorders>
                  <w:noWrap w:val="0"/>
                  <w:vAlign w:val="center"/>
                </w:tcPr>
                <w:p w14:paraId="44320E8C">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t>100%合理处置</w:t>
                  </w:r>
                </w:p>
              </w:tc>
            </w:tr>
            <w:tr w14:paraId="3B3FE7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4715BFF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70CECA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4E9FD81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688" w:type="pct"/>
                  <w:gridSpan w:val="2"/>
                  <w:tcBorders>
                    <w:tl2br w:val="nil"/>
                    <w:tr2bl w:val="nil"/>
                  </w:tcBorders>
                  <w:shd w:val="clear" w:color="auto" w:fill="auto"/>
                  <w:noWrap w:val="0"/>
                  <w:vAlign w:val="center"/>
                </w:tcPr>
                <w:p w14:paraId="7677E5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631F2488">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37A5D3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702E0DB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A6FFC5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C1727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688" w:type="pct"/>
                  <w:gridSpan w:val="2"/>
                  <w:tcBorders>
                    <w:tl2br w:val="nil"/>
                    <w:tr2bl w:val="nil"/>
                  </w:tcBorders>
                  <w:shd w:val="clear" w:color="auto" w:fill="auto"/>
                  <w:noWrap w:val="0"/>
                  <w:vAlign w:val="center"/>
                </w:tcPr>
                <w:p w14:paraId="5BE5C3F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c>
                <w:tcPr>
                  <w:tcW w:w="1877" w:type="pct"/>
                  <w:vMerge w:val="continue"/>
                  <w:tcBorders>
                    <w:tl2br w:val="nil"/>
                    <w:tr2bl w:val="nil"/>
                  </w:tcBorders>
                  <w:noWrap w:val="0"/>
                  <w:vAlign w:val="center"/>
                </w:tcPr>
                <w:p w14:paraId="19E27AC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4A0872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44023424">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42FE9A0">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B9B7FF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688" w:type="pct"/>
                  <w:gridSpan w:val="2"/>
                  <w:tcBorders>
                    <w:tl2br w:val="nil"/>
                    <w:tr2bl w:val="nil"/>
                  </w:tcBorders>
                  <w:shd w:val="clear" w:color="auto" w:fill="auto"/>
                  <w:noWrap w:val="0"/>
                  <w:vAlign w:val="center"/>
                </w:tcPr>
                <w:p w14:paraId="0BF20DA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16DFE7D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1CFC91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7BF2D250">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79C782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4754EC0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生产工序尾渣（分级工序与浮选、压滤、重选工序）</w:t>
                  </w:r>
                </w:p>
              </w:tc>
              <w:tc>
                <w:tcPr>
                  <w:tcW w:w="1688" w:type="pct"/>
                  <w:gridSpan w:val="2"/>
                  <w:tcBorders>
                    <w:tl2br w:val="nil"/>
                    <w:tr2bl w:val="nil"/>
                  </w:tcBorders>
                  <w:shd w:val="clear" w:color="auto" w:fill="auto"/>
                  <w:noWrap w:val="0"/>
                  <w:vAlign w:val="center"/>
                </w:tcPr>
                <w:p w14:paraId="436DD4A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c>
                <w:tcPr>
                  <w:tcW w:w="1877" w:type="pct"/>
                  <w:vMerge w:val="continue"/>
                  <w:tcBorders>
                    <w:tl2br w:val="nil"/>
                    <w:tr2bl w:val="nil"/>
                  </w:tcBorders>
                  <w:noWrap w:val="0"/>
                  <w:vAlign w:val="center"/>
                </w:tcPr>
                <w:p w14:paraId="3939500E">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02BAB7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49F2171">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7DF725A">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136CB9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688" w:type="pct"/>
                  <w:gridSpan w:val="2"/>
                  <w:tcBorders>
                    <w:tl2br w:val="nil"/>
                    <w:tr2bl w:val="nil"/>
                  </w:tcBorders>
                  <w:shd w:val="clear" w:color="auto" w:fill="auto"/>
                  <w:noWrap w:val="0"/>
                  <w:vAlign w:val="center"/>
                </w:tcPr>
                <w:p w14:paraId="4E2B812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c>
                <w:tcPr>
                  <w:tcW w:w="1877" w:type="pct"/>
                  <w:vMerge w:val="continue"/>
                  <w:tcBorders>
                    <w:tl2br w:val="nil"/>
                    <w:tr2bl w:val="nil"/>
                  </w:tcBorders>
                  <w:noWrap w:val="0"/>
                  <w:vAlign w:val="center"/>
                </w:tcPr>
                <w:p w14:paraId="03FC2282">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0E2CA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restart"/>
                  <w:tcBorders>
                    <w:tl2br w:val="nil"/>
                    <w:tr2bl w:val="nil"/>
                  </w:tcBorders>
                  <w:noWrap w:val="0"/>
                  <w:vAlign w:val="center"/>
                </w:tcPr>
                <w:p w14:paraId="2387D3BD">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危废</w:t>
                  </w:r>
                </w:p>
              </w:tc>
              <w:tc>
                <w:tcPr>
                  <w:tcW w:w="466" w:type="pct"/>
                  <w:vMerge w:val="restart"/>
                  <w:tcBorders>
                    <w:tl2br w:val="nil"/>
                    <w:tr2bl w:val="nil"/>
                  </w:tcBorders>
                  <w:shd w:val="clear" w:color="auto" w:fill="auto"/>
                  <w:noWrap w:val="0"/>
                  <w:vAlign w:val="center"/>
                </w:tcPr>
                <w:p w14:paraId="724CDF6C">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一期</w:t>
                  </w:r>
                </w:p>
              </w:tc>
              <w:tc>
                <w:tcPr>
                  <w:tcW w:w="735" w:type="pct"/>
                  <w:tcBorders>
                    <w:tl2br w:val="nil"/>
                    <w:tr2bl w:val="nil"/>
                  </w:tcBorders>
                  <w:shd w:val="clear" w:color="auto" w:fill="auto"/>
                  <w:noWrap w:val="0"/>
                  <w:vAlign w:val="center"/>
                </w:tcPr>
                <w:p w14:paraId="14936DF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688" w:type="pct"/>
                  <w:gridSpan w:val="2"/>
                  <w:tcBorders>
                    <w:tl2br w:val="nil"/>
                    <w:tr2bl w:val="nil"/>
                  </w:tcBorders>
                  <w:shd w:val="clear" w:color="auto" w:fill="auto"/>
                  <w:noWrap w:val="0"/>
                  <w:vAlign w:val="center"/>
                </w:tcPr>
                <w:p w14:paraId="23FF202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restart"/>
                  <w:tcBorders>
                    <w:tl2br w:val="nil"/>
                    <w:tr2bl w:val="nil"/>
                  </w:tcBorders>
                  <w:noWrap w:val="0"/>
                  <w:vAlign w:val="center"/>
                </w:tcPr>
                <w:p w14:paraId="5A6F9ED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t>100%合理处置</w:t>
                  </w:r>
                </w:p>
              </w:tc>
            </w:tr>
            <w:tr w14:paraId="05F9B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3ADAD3D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19C15333">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6CCED4B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废醇基燃料吨桶</w:t>
                  </w:r>
                </w:p>
              </w:tc>
              <w:tc>
                <w:tcPr>
                  <w:tcW w:w="1688" w:type="pct"/>
                  <w:gridSpan w:val="2"/>
                  <w:tcBorders>
                    <w:tl2br w:val="nil"/>
                    <w:tr2bl w:val="nil"/>
                  </w:tcBorders>
                  <w:shd w:val="clear" w:color="auto" w:fill="auto"/>
                  <w:noWrap w:val="0"/>
                  <w:vAlign w:val="center"/>
                </w:tcPr>
                <w:p w14:paraId="6445D15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每日由厂家回收</w:t>
                  </w:r>
                </w:p>
              </w:tc>
              <w:tc>
                <w:tcPr>
                  <w:tcW w:w="1877" w:type="pct"/>
                  <w:vMerge w:val="continue"/>
                  <w:tcBorders>
                    <w:tl2br w:val="nil"/>
                    <w:tr2bl w:val="nil"/>
                  </w:tcBorders>
                  <w:noWrap w:val="0"/>
                  <w:vAlign w:val="center"/>
                </w:tcPr>
                <w:p w14:paraId="31247AD7">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1989F3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90CEAA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214CCADD">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2A5D958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688" w:type="pct"/>
                  <w:gridSpan w:val="2"/>
                  <w:tcBorders>
                    <w:tl2br w:val="nil"/>
                    <w:tr2bl w:val="nil"/>
                  </w:tcBorders>
                  <w:shd w:val="clear" w:color="auto" w:fill="auto"/>
                  <w:noWrap w:val="0"/>
                  <w:vAlign w:val="center"/>
                </w:tcPr>
                <w:p w14:paraId="66E1F8C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noWrap w:val="0"/>
                  <w:vAlign w:val="center"/>
                </w:tcPr>
                <w:p w14:paraId="45FA7CD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54D4D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6949365A">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5422CC3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CA39C6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宋体" w:hAnsi="宋体" w:eastAsia="宋体" w:cs="Times New Roman"/>
                      <w:color w:val="000000" w:themeColor="text1"/>
                      <w:sz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废金属盐</w:t>
                  </w:r>
                </w:p>
              </w:tc>
              <w:tc>
                <w:tcPr>
                  <w:tcW w:w="1688" w:type="pct"/>
                  <w:gridSpan w:val="2"/>
                  <w:tcBorders>
                    <w:tl2br w:val="nil"/>
                    <w:tr2bl w:val="nil"/>
                  </w:tcBorders>
                  <w:shd w:val="clear" w:color="auto" w:fill="auto"/>
                  <w:noWrap w:val="0"/>
                  <w:vAlign w:val="center"/>
                </w:tcPr>
                <w:p w14:paraId="45FDE45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noWrap w:val="0"/>
                  <w:vAlign w:val="center"/>
                </w:tcPr>
                <w:p w14:paraId="7E2E32E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39EA3B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7AED18E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1C6A39D">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29BCB62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废碱液</w:t>
                  </w:r>
                </w:p>
              </w:tc>
              <w:tc>
                <w:tcPr>
                  <w:tcW w:w="1688" w:type="pct"/>
                  <w:gridSpan w:val="2"/>
                  <w:tcBorders>
                    <w:tl2br w:val="nil"/>
                    <w:tr2bl w:val="nil"/>
                  </w:tcBorders>
                  <w:shd w:val="clear" w:color="auto" w:fill="auto"/>
                  <w:noWrap w:val="0"/>
                  <w:vAlign w:val="center"/>
                </w:tcPr>
                <w:p w14:paraId="42BE909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用专用收集桶收集后暂存于危废贮存点，收集桶下方设置托盘，托盘容积需大于废碱液容积，定期交由有资质的单位进行处置</w:t>
                  </w:r>
                </w:p>
              </w:tc>
              <w:tc>
                <w:tcPr>
                  <w:tcW w:w="1877" w:type="pct"/>
                  <w:vMerge w:val="continue"/>
                  <w:tcBorders>
                    <w:tl2br w:val="nil"/>
                    <w:tr2bl w:val="nil"/>
                  </w:tcBorders>
                  <w:noWrap w:val="0"/>
                  <w:vAlign w:val="center"/>
                </w:tcPr>
                <w:p w14:paraId="3BC759C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1F5D3E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60B140BA">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466" w:type="pct"/>
                  <w:vMerge w:val="restart"/>
                  <w:tcBorders>
                    <w:tl2br w:val="nil"/>
                    <w:tr2bl w:val="nil"/>
                  </w:tcBorders>
                  <w:shd w:val="clear" w:color="auto" w:fill="auto"/>
                  <w:noWrap w:val="0"/>
                  <w:vAlign w:val="center"/>
                </w:tcPr>
                <w:p w14:paraId="012A151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二期</w:t>
                  </w:r>
                </w:p>
              </w:tc>
              <w:tc>
                <w:tcPr>
                  <w:tcW w:w="735" w:type="pct"/>
                  <w:tcBorders>
                    <w:tl2br w:val="nil"/>
                    <w:tr2bl w:val="nil"/>
                  </w:tcBorders>
                  <w:shd w:val="clear" w:color="auto" w:fill="auto"/>
                  <w:noWrap w:val="0"/>
                  <w:vAlign w:val="center"/>
                </w:tcPr>
                <w:p w14:paraId="27E1181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688" w:type="pct"/>
                  <w:gridSpan w:val="2"/>
                  <w:tcBorders>
                    <w:tl2br w:val="nil"/>
                    <w:tr2bl w:val="nil"/>
                  </w:tcBorders>
                  <w:shd w:val="clear" w:color="auto" w:fill="auto"/>
                  <w:noWrap w:val="0"/>
                  <w:vAlign w:val="center"/>
                </w:tcPr>
                <w:p w14:paraId="43D1A33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restart"/>
                  <w:tcBorders>
                    <w:tl2br w:val="nil"/>
                    <w:tr2bl w:val="nil"/>
                  </w:tcBorders>
                  <w:shd w:val="clear" w:color="auto" w:fill="auto"/>
                  <w:noWrap w:val="0"/>
                  <w:vAlign w:val="center"/>
                </w:tcPr>
                <w:p w14:paraId="04E131B1">
                  <w:pPr>
                    <w:adjustRightInd w:val="0"/>
                    <w:snapToGrid w:val="0"/>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t>100%合理处置</w:t>
                  </w:r>
                </w:p>
              </w:tc>
            </w:tr>
            <w:tr w14:paraId="13DF5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48A8A10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5A06D75A">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735" w:type="pct"/>
                  <w:tcBorders>
                    <w:tl2br w:val="nil"/>
                    <w:tr2bl w:val="nil"/>
                  </w:tcBorders>
                  <w:shd w:val="clear" w:color="auto" w:fill="auto"/>
                  <w:noWrap w:val="0"/>
                  <w:vAlign w:val="center"/>
                </w:tcPr>
                <w:p w14:paraId="35A6BB6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688" w:type="pct"/>
                  <w:gridSpan w:val="2"/>
                  <w:tcBorders>
                    <w:tl2br w:val="nil"/>
                    <w:tr2bl w:val="nil"/>
                  </w:tcBorders>
                  <w:shd w:val="clear" w:color="auto" w:fill="auto"/>
                  <w:noWrap w:val="0"/>
                  <w:vAlign w:val="center"/>
                </w:tcPr>
                <w:p w14:paraId="1C8ADB8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shd w:val="clear" w:color="auto" w:fill="auto"/>
                  <w:noWrap w:val="0"/>
                  <w:vAlign w:val="center"/>
                </w:tcPr>
                <w:p w14:paraId="23552556">
                  <w:pPr>
                    <w:adjustRightInd w:val="0"/>
                    <w:snapToGrid w:val="0"/>
                    <w:spacing w:line="240" w:lineRule="auto"/>
                    <w:ind w:firstLine="0" w:firstLine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r>
            <w:tr w14:paraId="6A6C4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26A4F61">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3023802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735" w:type="pct"/>
                  <w:tcBorders>
                    <w:tl2br w:val="nil"/>
                    <w:tr2bl w:val="nil"/>
                  </w:tcBorders>
                  <w:shd w:val="clear" w:color="auto" w:fill="auto"/>
                  <w:noWrap w:val="0"/>
                  <w:vAlign w:val="center"/>
                </w:tcPr>
                <w:p w14:paraId="68214AB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浮选药剂包装桶</w:t>
                  </w:r>
                </w:p>
              </w:tc>
              <w:tc>
                <w:tcPr>
                  <w:tcW w:w="1688" w:type="pct"/>
                  <w:gridSpan w:val="2"/>
                  <w:tcBorders>
                    <w:tl2br w:val="nil"/>
                    <w:tr2bl w:val="nil"/>
                  </w:tcBorders>
                  <w:shd w:val="clear" w:color="auto" w:fill="auto"/>
                  <w:noWrap w:val="0"/>
                  <w:vAlign w:val="center"/>
                </w:tcPr>
                <w:p w14:paraId="317E7BC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shd w:val="clear" w:color="auto" w:fill="auto"/>
                  <w:noWrap w:val="0"/>
                  <w:vAlign w:val="center"/>
                </w:tcPr>
                <w:p w14:paraId="5213EE1F">
                  <w:pPr>
                    <w:adjustRightInd w:val="0"/>
                    <w:snapToGrid w:val="0"/>
                    <w:spacing w:line="240" w:lineRule="auto"/>
                    <w:ind w:firstLine="0" w:firstLine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r>
          </w:tbl>
          <w:p w14:paraId="788BCD44">
            <w:pPr>
              <w:pStyle w:val="53"/>
              <w:bidi w:val="0"/>
              <w:rPr>
                <w:rFonts w:hint="default"/>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14:textFill>
                  <w14:solidFill>
                    <w14:schemeClr w14:val="tx1"/>
                  </w14:solidFill>
                </w14:textFill>
              </w:rPr>
              <w:t>本项目建成后，建设单位需进行排污许可</w:t>
            </w:r>
            <w:r>
              <w:rPr>
                <w:rFonts w:hint="eastAsia" w:ascii="Times New Roman" w:hAnsi="Times New Roman" w:eastAsia="宋体" w:cs="Times New Roman"/>
                <w:color w:val="000000" w:themeColor="text1"/>
                <w:spacing w:val="0"/>
                <w:w w:val="100"/>
                <w:position w:val="0"/>
                <w:sz w:val="24"/>
                <w:szCs w:val="24"/>
                <w:highlight w:val="none"/>
                <w:lang w:val="en-US" w:eastAsia="zh-CN"/>
                <w14:textFill>
                  <w14:solidFill>
                    <w14:schemeClr w14:val="tx1"/>
                  </w14:solidFill>
                </w14:textFill>
              </w:rPr>
              <w:t>填报申领</w:t>
            </w:r>
            <w:r>
              <w:rPr>
                <w:rFonts w:hint="default" w:ascii="Times New Roman" w:hAnsi="Times New Roman" w:eastAsia="宋体" w:cs="Times New Roman"/>
                <w:color w:val="000000" w:themeColor="text1"/>
                <w:spacing w:val="0"/>
                <w:w w:val="100"/>
                <w:position w:val="0"/>
                <w:sz w:val="24"/>
                <w:szCs w:val="24"/>
                <w:highlight w:val="none"/>
                <w:lang w:val="en-US" w:eastAsia="zh-CN"/>
                <w14:textFill>
                  <w14:solidFill>
                    <w14:schemeClr w14:val="tx1"/>
                  </w14:solidFill>
                </w14:textFill>
              </w:rPr>
              <w:t>；定期进行自行监测，定期提交排污许可执行季报、年报。</w:t>
            </w:r>
          </w:p>
          <w:p w14:paraId="4900367B">
            <w:pPr>
              <w:pStyle w:val="53"/>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76BB5052">
            <w:pPr>
              <w:pStyle w:val="53"/>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FD1D917">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5D26A3D4">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7E89E64F">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0118727">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6E61FB14">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1A23E66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F561E62">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741DE06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62D7208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3F43D897">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92FB27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5271A35A">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2682CFE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22C57A5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5E02EBF3">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47D9492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3ADCEC8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tc>
      </w:tr>
    </w:tbl>
    <w:p w14:paraId="5B4F23C6">
      <w:pPr>
        <w:widowControl/>
        <w:jc w:val="left"/>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02775097">
      <w:pPr>
        <w:pStyle w:val="2"/>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bookmarkStart w:id="43" w:name="_Toc22867"/>
      <w:r>
        <w:rPr>
          <w:rFonts w:hint="default" w:ascii="Times New Roman" w:hAnsi="Times New Roman" w:cs="Times New Roman"/>
          <w:color w:val="000000" w:themeColor="text1"/>
          <w:w w:val="100"/>
          <w:position w:val="0"/>
          <w:highlight w:val="none"/>
          <w14:textFill>
            <w14:solidFill>
              <w14:schemeClr w14:val="tx1"/>
            </w14:solidFill>
          </w14:textFill>
        </w:rPr>
        <w:t>结论</w:t>
      </w:r>
      <w:bookmarkEnd w:id="43"/>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970"/>
      </w:tblGrid>
      <w:tr w14:paraId="15F2FB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5000" w:type="pct"/>
            <w:tcBorders>
              <w:tl2br w:val="nil"/>
              <w:tr2bl w:val="nil"/>
            </w:tcBorders>
          </w:tcPr>
          <w:p w14:paraId="28AB128A">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的建设符合国家产业政策、选址基本合理、污染物的防治措施可行。环境影响评价的结果表明，项目在正常生产和污染防治设施正常运行的情况下，项目的污染物排放对环境的影响较小，基本不改变当地环境质量现状和功能要求。</w:t>
            </w:r>
          </w:p>
          <w:p w14:paraId="23681A55">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评价认为，项目在严格执行我国建设项目环境保护“三同时”制度，并切实落实本报告表所提出的各项污染物防治措施和风险防范措施，保证环保设施达到设计要求并正常运转，将环境管理纳入日常生产管理的前提下，从环境保护的角度上看，本项目的建设是可行的。</w:t>
            </w:r>
          </w:p>
          <w:p w14:paraId="75D1C86E">
            <w:pPr>
              <w:pStyle w:val="29"/>
              <w:spacing w:line="360" w:lineRule="auto"/>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71439070">
            <w:pPr>
              <w:pStyle w:val="29"/>
              <w:spacing w:line="360" w:lineRule="auto"/>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0C80EFF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3916E741">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00867EE4">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18256E7">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2638F61">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6A70DA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7384E4D0">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62DA23A7">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4F332E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6EC0810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72FE4B2D">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10C0F4F9">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F4DC94A">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19067D36">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6BA5215">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tc>
      </w:tr>
    </w:tbl>
    <w:p w14:paraId="1E740785">
      <w:pPr>
        <w:rPr>
          <w:rFonts w:hint="default" w:ascii="Times New Roman" w:hAnsi="Times New Roman" w:cs="Times New Roman"/>
          <w:color w:val="000000" w:themeColor="text1"/>
          <w:w w:val="100"/>
          <w:position w:val="0"/>
          <w:highlight w:val="none"/>
          <w14:textFill>
            <w14:solidFill>
              <w14:schemeClr w14:val="tx1"/>
            </w14:solidFill>
          </w14:textFill>
        </w:rPr>
      </w:pPr>
    </w:p>
    <w:p w14:paraId="5A8BFAC3">
      <w:pPr>
        <w:rPr>
          <w:rFonts w:hint="default" w:ascii="Times New Roman" w:hAnsi="Times New Roman" w:cs="Times New Roman"/>
          <w:color w:val="000000" w:themeColor="text1"/>
          <w:w w:val="100"/>
          <w:position w:val="0"/>
          <w:highlight w:val="none"/>
          <w14:textFill>
            <w14:solidFill>
              <w14:schemeClr w14:val="tx1"/>
            </w14:solidFill>
          </w14:textFill>
        </w:rPr>
        <w:sectPr>
          <w:footerReference r:id="rId4" w:type="default"/>
          <w:pgSz w:w="11906" w:h="16838"/>
          <w:pgMar w:top="1440" w:right="1576" w:bottom="1440" w:left="1576"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F7B0F44">
      <w:pPr>
        <w:outlineLvl w:val="0"/>
        <w:rPr>
          <w:rFonts w:hint="eastAsia" w:ascii="宋体" w:hAnsi="宋体" w:eastAsia="宋体" w:cs="宋体"/>
          <w:color w:val="000000" w:themeColor="text1"/>
          <w:w w:val="100"/>
          <w:position w:val="0"/>
          <w:sz w:val="28"/>
          <w:szCs w:val="28"/>
          <w:highlight w:val="none"/>
          <w14:textFill>
            <w14:solidFill>
              <w14:schemeClr w14:val="tx1"/>
            </w14:solidFill>
          </w14:textFill>
        </w:rPr>
      </w:pPr>
      <w:bookmarkStart w:id="44" w:name="_Toc7724"/>
      <w:r>
        <w:rPr>
          <w:rFonts w:hint="eastAsia" w:ascii="宋体" w:hAnsi="宋体" w:eastAsia="宋体" w:cs="宋体"/>
          <w:color w:val="000000" w:themeColor="text1"/>
          <w:w w:val="100"/>
          <w:position w:val="0"/>
          <w:sz w:val="28"/>
          <w:szCs w:val="28"/>
          <w:highlight w:val="none"/>
          <w14:textFill>
            <w14:solidFill>
              <w14:schemeClr w14:val="tx1"/>
            </w14:solidFill>
          </w14:textFill>
        </w:rPr>
        <w:t>附表</w:t>
      </w:r>
      <w:bookmarkEnd w:id="44"/>
    </w:p>
    <w:p w14:paraId="514A1ED0">
      <w:pPr>
        <w:jc w:val="center"/>
        <w:rPr>
          <w:rFonts w:hint="default" w:ascii="Times New Roman" w:hAnsi="Times New Roman" w:eastAsia="黑体" w:cs="Times New Roman"/>
          <w:color w:val="000000" w:themeColor="text1"/>
          <w:w w:val="100"/>
          <w:position w:val="0"/>
          <w:sz w:val="28"/>
          <w:szCs w:val="28"/>
          <w:highlight w:val="none"/>
          <w14:textFill>
            <w14:solidFill>
              <w14:schemeClr w14:val="tx1"/>
            </w14:solidFill>
          </w14:textFill>
        </w:rPr>
      </w:pPr>
      <w:r>
        <w:rPr>
          <w:rFonts w:hint="default" w:ascii="Times New Roman" w:hAnsi="Times New Roman" w:eastAsia="黑体" w:cs="Times New Roman"/>
          <w:color w:val="000000" w:themeColor="text1"/>
          <w:w w:val="100"/>
          <w:position w:val="0"/>
          <w:sz w:val="28"/>
          <w:szCs w:val="28"/>
          <w:highlight w:val="none"/>
          <w14:textFill>
            <w14:solidFill>
              <w14:schemeClr w14:val="tx1"/>
            </w14:solidFill>
          </w14:textFill>
        </w:rPr>
        <w:t>建设项目污染物排放量汇总表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97"/>
        <w:gridCol w:w="598"/>
        <w:gridCol w:w="1097"/>
        <w:gridCol w:w="1812"/>
        <w:gridCol w:w="1097"/>
        <w:gridCol w:w="1669"/>
        <w:gridCol w:w="1669"/>
        <w:gridCol w:w="1956"/>
        <w:gridCol w:w="2242"/>
        <w:gridCol w:w="1277"/>
      </w:tblGrid>
      <w:tr w14:paraId="1B05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26" w:type="pct"/>
            <w:gridSpan w:val="2"/>
            <w:tcBorders>
              <w:tl2br w:val="single" w:color="auto" w:sz="4" w:space="0"/>
            </w:tcBorders>
            <w:vAlign w:val="center"/>
          </w:tcPr>
          <w:p w14:paraId="6986D2B5">
            <w:pPr>
              <w:pStyle w:val="34"/>
              <w:jc w:val="right"/>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项目</w:t>
            </w:r>
          </w:p>
          <w:p w14:paraId="3C94CB31">
            <w:pPr>
              <w:pStyle w:val="34"/>
              <w:jc w:val="left"/>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分类</w:t>
            </w:r>
          </w:p>
        </w:tc>
        <w:tc>
          <w:tcPr>
            <w:tcW w:w="391" w:type="pct"/>
            <w:vAlign w:val="center"/>
          </w:tcPr>
          <w:p w14:paraId="397D9B77">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污染物名称</w:t>
            </w:r>
          </w:p>
        </w:tc>
        <w:tc>
          <w:tcPr>
            <w:tcW w:w="646" w:type="pct"/>
            <w:vAlign w:val="center"/>
          </w:tcPr>
          <w:p w14:paraId="12B68BC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现有工程排放量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①</w:t>
            </w:r>
          </w:p>
        </w:tc>
        <w:tc>
          <w:tcPr>
            <w:tcW w:w="391" w:type="pct"/>
            <w:vAlign w:val="center"/>
          </w:tcPr>
          <w:p w14:paraId="2F7C54C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现有工程许可排放量②</w:t>
            </w:r>
          </w:p>
        </w:tc>
        <w:tc>
          <w:tcPr>
            <w:tcW w:w="595" w:type="pct"/>
            <w:vAlign w:val="center"/>
          </w:tcPr>
          <w:p w14:paraId="383138D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 xml:space="preserve">在建工程排放量 </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③</w:t>
            </w:r>
          </w:p>
        </w:tc>
        <w:tc>
          <w:tcPr>
            <w:tcW w:w="595" w:type="pct"/>
            <w:vAlign w:val="center"/>
          </w:tcPr>
          <w:p w14:paraId="1CF91FC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本项目排放量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④</w:t>
            </w:r>
          </w:p>
        </w:tc>
        <w:tc>
          <w:tcPr>
            <w:tcW w:w="697" w:type="pct"/>
            <w:vAlign w:val="center"/>
          </w:tcPr>
          <w:p w14:paraId="157C3676">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以新带老削减量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新建项目不填</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⑤</w:t>
            </w:r>
          </w:p>
        </w:tc>
        <w:tc>
          <w:tcPr>
            <w:tcW w:w="799" w:type="pct"/>
            <w:vAlign w:val="center"/>
          </w:tcPr>
          <w:p w14:paraId="5ABBCE4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本项目建成后全厂排放量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⑥</w:t>
            </w:r>
          </w:p>
        </w:tc>
        <w:tc>
          <w:tcPr>
            <w:tcW w:w="455" w:type="pct"/>
            <w:vAlign w:val="center"/>
          </w:tcPr>
          <w:p w14:paraId="38C2143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变化量⑦</w:t>
            </w:r>
          </w:p>
        </w:tc>
      </w:tr>
      <w:tr w14:paraId="3929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restart"/>
            <w:vAlign w:val="center"/>
          </w:tcPr>
          <w:p w14:paraId="61C0020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废气</w:t>
            </w:r>
          </w:p>
        </w:tc>
        <w:tc>
          <w:tcPr>
            <w:tcW w:w="391" w:type="pct"/>
            <w:vAlign w:val="center"/>
          </w:tcPr>
          <w:p w14:paraId="7A9C9D5B">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颗粒物</w:t>
            </w:r>
          </w:p>
        </w:tc>
        <w:tc>
          <w:tcPr>
            <w:tcW w:w="646" w:type="pct"/>
            <w:vAlign w:val="center"/>
          </w:tcPr>
          <w:p w14:paraId="73F6FB0A">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1.09</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center"/>
          </w:tcPr>
          <w:p w14:paraId="739E31F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1C68ADD">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39F15BA">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7.233/a</w:t>
            </w:r>
          </w:p>
        </w:tc>
        <w:tc>
          <w:tcPr>
            <w:tcW w:w="697" w:type="pct"/>
            <w:vAlign w:val="center"/>
          </w:tcPr>
          <w:p w14:paraId="3943490B">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4E2A3D7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7.233/a</w:t>
            </w:r>
          </w:p>
        </w:tc>
        <w:tc>
          <w:tcPr>
            <w:tcW w:w="455" w:type="pct"/>
            <w:vAlign w:val="center"/>
          </w:tcPr>
          <w:p w14:paraId="68C4428F">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+7.233/a</w:t>
            </w:r>
          </w:p>
        </w:tc>
      </w:tr>
      <w:tr w14:paraId="3622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continue"/>
            <w:vAlign w:val="center"/>
          </w:tcPr>
          <w:p w14:paraId="5D122C1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vAlign w:val="center"/>
          </w:tcPr>
          <w:p w14:paraId="574FBF9C">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二氧化硫</w:t>
            </w:r>
          </w:p>
        </w:tc>
        <w:tc>
          <w:tcPr>
            <w:tcW w:w="646" w:type="pct"/>
            <w:vAlign w:val="center"/>
          </w:tcPr>
          <w:p w14:paraId="0E8D23A8">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B8826E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C83B437">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CE1FAEB">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0.12t/a</w:t>
            </w:r>
          </w:p>
        </w:tc>
        <w:tc>
          <w:tcPr>
            <w:tcW w:w="697" w:type="pct"/>
            <w:vAlign w:val="center"/>
          </w:tcPr>
          <w:p w14:paraId="79C4F20F">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3A3BA4D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0.12t/a</w:t>
            </w:r>
          </w:p>
        </w:tc>
        <w:tc>
          <w:tcPr>
            <w:tcW w:w="455" w:type="pct"/>
            <w:vAlign w:val="center"/>
          </w:tcPr>
          <w:p w14:paraId="3FEFCAB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+0.12t/a</w:t>
            </w:r>
          </w:p>
        </w:tc>
      </w:tr>
      <w:tr w14:paraId="4040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continue"/>
            <w:vAlign w:val="center"/>
          </w:tcPr>
          <w:p w14:paraId="092DCAD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vAlign w:val="center"/>
          </w:tcPr>
          <w:p w14:paraId="23FB953A">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氮氧化物</w:t>
            </w:r>
          </w:p>
        </w:tc>
        <w:tc>
          <w:tcPr>
            <w:tcW w:w="646" w:type="pct"/>
            <w:vAlign w:val="center"/>
          </w:tcPr>
          <w:p w14:paraId="09579A5B">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19A70E8">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54455FE">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3F22541">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0.248t/a</w:t>
            </w:r>
          </w:p>
        </w:tc>
        <w:tc>
          <w:tcPr>
            <w:tcW w:w="697" w:type="pct"/>
            <w:vAlign w:val="center"/>
          </w:tcPr>
          <w:p w14:paraId="7506E3A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626C3449">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0.248t/a</w:t>
            </w:r>
          </w:p>
        </w:tc>
        <w:tc>
          <w:tcPr>
            <w:tcW w:w="455" w:type="pct"/>
            <w:vAlign w:val="center"/>
          </w:tcPr>
          <w:p w14:paraId="7531B02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+0.248t/a</w:t>
            </w:r>
          </w:p>
        </w:tc>
      </w:tr>
      <w:tr w14:paraId="0481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continue"/>
            <w:vAlign w:val="center"/>
          </w:tcPr>
          <w:p w14:paraId="6684441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vAlign w:val="center"/>
          </w:tcPr>
          <w:p w14:paraId="7F04F28E">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氯化氢</w:t>
            </w:r>
          </w:p>
        </w:tc>
        <w:tc>
          <w:tcPr>
            <w:tcW w:w="646" w:type="pct"/>
            <w:vAlign w:val="center"/>
          </w:tcPr>
          <w:p w14:paraId="05EE8F6B">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38A06A1F">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EB33739">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CCBDC23">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0.123t/a</w:t>
            </w:r>
          </w:p>
        </w:tc>
        <w:tc>
          <w:tcPr>
            <w:tcW w:w="697" w:type="pct"/>
            <w:vAlign w:val="center"/>
          </w:tcPr>
          <w:p w14:paraId="1F50267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78B6ED1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0.123t/a</w:t>
            </w:r>
          </w:p>
        </w:tc>
        <w:tc>
          <w:tcPr>
            <w:tcW w:w="455" w:type="pct"/>
            <w:vAlign w:val="center"/>
          </w:tcPr>
          <w:p w14:paraId="49341447">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+0.123t/a</w:t>
            </w:r>
          </w:p>
        </w:tc>
      </w:tr>
      <w:tr w14:paraId="3BBF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Align w:val="center"/>
          </w:tcPr>
          <w:p w14:paraId="4CEDFC2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废水</w:t>
            </w:r>
          </w:p>
        </w:tc>
        <w:tc>
          <w:tcPr>
            <w:tcW w:w="391" w:type="pct"/>
            <w:vAlign w:val="center"/>
          </w:tcPr>
          <w:p w14:paraId="076E1DA0">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锅炉排污水＋软化处理废水</w:t>
            </w:r>
          </w:p>
        </w:tc>
        <w:tc>
          <w:tcPr>
            <w:tcW w:w="646" w:type="pct"/>
            <w:vAlign w:val="center"/>
          </w:tcPr>
          <w:p w14:paraId="68E4BB95">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0EAC115">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900EA21">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5278B39C">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798m</w:t>
            </w:r>
            <w:r>
              <w:rPr>
                <w:rStyle w:val="32"/>
                <w:rFonts w:hint="eastAsia" w:ascii="Times New Roman" w:hAnsi="Times New Roman" w:eastAsia="宋体" w:cs="Times New Roman"/>
                <w:color w:val="000000" w:themeColor="text1"/>
                <w:w w:val="100"/>
                <w:position w:val="0"/>
                <w:highlight w:val="none"/>
                <w:vertAlign w:val="superscript"/>
                <w:lang w:val="en-US" w:eastAsia="zh-CN"/>
                <w14:textFill>
                  <w14:solidFill>
                    <w14:schemeClr w14:val="tx1"/>
                  </w14:solidFill>
                </w14:textFill>
              </w:rPr>
              <w:t>3</w:t>
            </w: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/a</w:t>
            </w:r>
          </w:p>
        </w:tc>
        <w:tc>
          <w:tcPr>
            <w:tcW w:w="697" w:type="pct"/>
            <w:vAlign w:val="center"/>
          </w:tcPr>
          <w:p w14:paraId="0C50A94D">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3CD8A37D">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798m</w:t>
            </w:r>
            <w:r>
              <w:rPr>
                <w:rStyle w:val="32"/>
                <w:rFonts w:hint="eastAsia" w:ascii="Times New Roman" w:hAnsi="Times New Roman" w:eastAsia="宋体" w:cs="Times New Roman"/>
                <w:color w:val="000000" w:themeColor="text1"/>
                <w:w w:val="100"/>
                <w:position w:val="0"/>
                <w:highlight w:val="none"/>
                <w:vertAlign w:val="superscript"/>
                <w:lang w:val="en-US" w:eastAsia="zh-CN"/>
                <w14:textFill>
                  <w14:solidFill>
                    <w14:schemeClr w14:val="tx1"/>
                  </w14:solidFill>
                </w14:textFill>
              </w:rPr>
              <w:t>3</w:t>
            </w: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/a</w:t>
            </w:r>
          </w:p>
        </w:tc>
        <w:tc>
          <w:tcPr>
            <w:tcW w:w="455" w:type="pct"/>
            <w:vAlign w:val="center"/>
          </w:tcPr>
          <w:p w14:paraId="5162AF8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+798m</w:t>
            </w:r>
            <w:r>
              <w:rPr>
                <w:rStyle w:val="32"/>
                <w:rFonts w:hint="eastAsia" w:ascii="Times New Roman" w:hAnsi="Times New Roman" w:eastAsia="宋体" w:cs="Times New Roman"/>
                <w:color w:val="000000" w:themeColor="text1"/>
                <w:w w:val="100"/>
                <w:position w:val="0"/>
                <w:highlight w:val="none"/>
                <w:vertAlign w:val="superscript"/>
                <w:lang w:val="en-US" w:eastAsia="zh-CN"/>
                <w14:textFill>
                  <w14:solidFill>
                    <w14:schemeClr w14:val="tx1"/>
                  </w14:solidFill>
                </w14:textFill>
              </w:rPr>
              <w:t>3</w:t>
            </w: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/a</w:t>
            </w:r>
          </w:p>
        </w:tc>
      </w:tr>
      <w:tr w14:paraId="0165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restart"/>
            <w:vAlign w:val="center"/>
          </w:tcPr>
          <w:p w14:paraId="714461DA">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一般工业</w:t>
            </w:r>
            <w:r>
              <w:rPr>
                <w:rFonts w:hint="default" w:ascii="Times New Roman" w:hAnsi="Times New Roman" w:cs="Times New Roman"/>
                <w:color w:val="000000" w:themeColor="text1"/>
                <w:w w:val="100"/>
                <w:position w:val="0"/>
                <w:highlight w:val="none"/>
                <w14:textFill>
                  <w14:solidFill>
                    <w14:schemeClr w14:val="tx1"/>
                  </w14:solidFill>
                </w14:textFill>
              </w:rPr>
              <w:t>固体废物</w:t>
            </w:r>
          </w:p>
        </w:tc>
        <w:tc>
          <w:tcPr>
            <w:tcW w:w="213" w:type="pct"/>
            <w:vMerge w:val="restart"/>
            <w:vAlign w:val="center"/>
          </w:tcPr>
          <w:p w14:paraId="16900042">
            <w:pPr>
              <w:pStyle w:val="34"/>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一期工程</w:t>
            </w:r>
          </w:p>
        </w:tc>
        <w:tc>
          <w:tcPr>
            <w:tcW w:w="391" w:type="pct"/>
            <w:shd w:val="clear" w:color="auto" w:fill="auto"/>
            <w:vAlign w:val="center"/>
          </w:tcPr>
          <w:p w14:paraId="55DD886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646" w:type="pct"/>
            <w:vAlign w:val="center"/>
          </w:tcPr>
          <w:p w14:paraId="7BB045B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E05A107">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2173F4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9EBA15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34244E92">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0E8FF79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5D642E1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98F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101D166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34325A9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2C2CBA6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沉淀池底泥</w:t>
            </w:r>
          </w:p>
        </w:tc>
        <w:tc>
          <w:tcPr>
            <w:tcW w:w="646" w:type="pct"/>
            <w:vAlign w:val="center"/>
          </w:tcPr>
          <w:p w14:paraId="15A614AE">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4C500B0">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14D2D9D5">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2850779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2ED9483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7EBAD4F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262F4D8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25D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C07C6C6">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4BC7CEC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5E31849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646" w:type="pct"/>
            <w:vAlign w:val="center"/>
          </w:tcPr>
          <w:p w14:paraId="1A4BA6F7">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575CE85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8A0B72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7B58BE7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6083011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40B7C4C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4A86434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E0A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25D06F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3B868741">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7F86C22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646" w:type="pct"/>
            <w:vAlign w:val="center"/>
          </w:tcPr>
          <w:p w14:paraId="202FE3C5">
            <w:pPr>
              <w:jc w:val="center"/>
              <w:rPr>
                <w:rStyle w:val="32"/>
                <w:rFonts w:hint="default" w:ascii="Times New Roman" w:hAnsi="Times New Roman" w:cs="Times New Roman"/>
                <w:color w:val="000000" w:themeColor="text1"/>
                <w:w w:val="100"/>
                <w:position w:val="0"/>
                <w:highlight w:val="none"/>
                <w:lang w:val="en-US"/>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6.37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center"/>
          </w:tcPr>
          <w:p w14:paraId="12B9EDA2">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AB5E610">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17A301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2.294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31F1A30F">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10710EA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8.66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305717C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+2.294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E2C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3709B67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3B2C4359">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632693A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w:t>
            </w:r>
          </w:p>
        </w:tc>
        <w:tc>
          <w:tcPr>
            <w:tcW w:w="646" w:type="pct"/>
            <w:vAlign w:val="center"/>
          </w:tcPr>
          <w:p w14:paraId="5873BD3E">
            <w:pPr>
              <w:jc w:val="center"/>
              <w:rPr>
                <w:rStyle w:val="32"/>
                <w:rFonts w:hint="default"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890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center"/>
          </w:tcPr>
          <w:p w14:paraId="3E4B0F94">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306DCFA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27BEAB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197.346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60AB02A8">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890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799" w:type="pct"/>
            <w:shd w:val="clear" w:color="auto" w:fill="auto"/>
            <w:vAlign w:val="center"/>
          </w:tcPr>
          <w:p w14:paraId="4FFD76F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1933.6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2CF939E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+197.346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102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1E4D27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6CA23EF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3C958BE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离子交换树脂</w:t>
            </w:r>
          </w:p>
        </w:tc>
        <w:tc>
          <w:tcPr>
            <w:tcW w:w="646" w:type="pct"/>
            <w:vAlign w:val="center"/>
          </w:tcPr>
          <w:p w14:paraId="24F21916">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D78BA9F">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3425DB14">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3F7F9B5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4B745521">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5ACE43B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6B026E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7DAF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76EF0249">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21C98866">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5068A1A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646" w:type="pct"/>
            <w:vAlign w:val="center"/>
          </w:tcPr>
          <w:p w14:paraId="051C82A9">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78A4D9A">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46EB0A6">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018E66D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66FEF19C">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1A638C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7B2B60D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2C5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294C08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restart"/>
            <w:vAlign w:val="center"/>
          </w:tcPr>
          <w:p w14:paraId="3EA74111">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二期</w:t>
            </w:r>
          </w:p>
        </w:tc>
        <w:tc>
          <w:tcPr>
            <w:tcW w:w="391" w:type="pct"/>
            <w:shd w:val="clear" w:color="auto" w:fill="auto"/>
            <w:vAlign w:val="center"/>
          </w:tcPr>
          <w:p w14:paraId="41150A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646" w:type="pct"/>
            <w:vAlign w:val="center"/>
          </w:tcPr>
          <w:p w14:paraId="17EA227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1FC5EF3">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34E287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27E4B17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5F49A39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4F5F49F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324A200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2241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31A9B6F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616EC83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0237659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646" w:type="pct"/>
            <w:vAlign w:val="center"/>
          </w:tcPr>
          <w:p w14:paraId="413D9F7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2E2C43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54828A1F">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119B3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327816B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2276D30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745136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71F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F09DCB5">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16E3C6B2">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115E255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646" w:type="pct"/>
            <w:vAlign w:val="center"/>
          </w:tcPr>
          <w:p w14:paraId="15FA5594">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2EFC08EC">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CFB4AA0">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078F214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7AFDDE4B">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6F499AC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31CA7AD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0F1F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97CC76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5F22C9A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68AFF9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646" w:type="pct"/>
            <w:vAlign w:val="center"/>
          </w:tcPr>
          <w:p w14:paraId="1FDFF995">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一期已叠加</w:t>
            </w:r>
          </w:p>
        </w:tc>
        <w:tc>
          <w:tcPr>
            <w:tcW w:w="391" w:type="pct"/>
            <w:vAlign w:val="center"/>
          </w:tcPr>
          <w:p w14:paraId="27BE732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10BD388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1431AD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1B1F2FB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4D25100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41D4B3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752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7D1EFD04">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13CDF05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358126E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生产工序尾渣（分级工序与浮选、压滤、重选工序）</w:t>
            </w:r>
          </w:p>
        </w:tc>
        <w:tc>
          <w:tcPr>
            <w:tcW w:w="646" w:type="pct"/>
            <w:vAlign w:val="center"/>
          </w:tcPr>
          <w:p w14:paraId="71CCE88F">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3B72F0F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625747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01503A5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1F3553C4">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43F6387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7DA95A8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C49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6B797FF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10D5B621">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7BDD45C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646" w:type="pct"/>
            <w:vAlign w:val="center"/>
          </w:tcPr>
          <w:p w14:paraId="69C9752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631E14F">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324121D">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5ADD0EB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50E8ADF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72FE0CE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A5BE3C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22FF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restart"/>
            <w:vAlign w:val="center"/>
          </w:tcPr>
          <w:p w14:paraId="58ECB613">
            <w:pPr>
              <w:pStyle w:val="9"/>
              <w:jc w:val="cente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危险废物</w:t>
            </w:r>
          </w:p>
        </w:tc>
        <w:tc>
          <w:tcPr>
            <w:tcW w:w="213" w:type="pct"/>
            <w:vMerge w:val="restart"/>
            <w:vAlign w:val="center"/>
          </w:tcPr>
          <w:p w14:paraId="16889BEE">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一期</w:t>
            </w:r>
          </w:p>
        </w:tc>
        <w:tc>
          <w:tcPr>
            <w:tcW w:w="391" w:type="pct"/>
            <w:shd w:val="clear" w:color="auto" w:fill="auto"/>
            <w:vAlign w:val="center"/>
          </w:tcPr>
          <w:p w14:paraId="38144AA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646" w:type="pct"/>
            <w:vAlign w:val="center"/>
          </w:tcPr>
          <w:p w14:paraId="31AFBB91">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217536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11BC3C2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64B4BD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c>
          <w:tcPr>
            <w:tcW w:w="697" w:type="pct"/>
            <w:vAlign w:val="center"/>
          </w:tcPr>
          <w:p w14:paraId="11A4E81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347FE1E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B4BD2C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4B03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1995A51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4D3C3D6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2C8AC17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废醇基燃料吨桶</w:t>
            </w:r>
          </w:p>
        </w:tc>
        <w:tc>
          <w:tcPr>
            <w:tcW w:w="646" w:type="pct"/>
            <w:vAlign w:val="center"/>
          </w:tcPr>
          <w:p w14:paraId="7BD6A8FE">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3D8C63C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4CF232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7B5FE55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c>
          <w:tcPr>
            <w:tcW w:w="697" w:type="pct"/>
            <w:vAlign w:val="center"/>
          </w:tcPr>
          <w:p w14:paraId="1FF5D17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74430E2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c>
          <w:tcPr>
            <w:tcW w:w="455" w:type="pct"/>
            <w:shd w:val="clear" w:color="auto" w:fill="auto"/>
            <w:vAlign w:val="center"/>
          </w:tcPr>
          <w:p w14:paraId="72B0399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r>
      <w:tr w14:paraId="15CC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2E3653D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04C159D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7B7D780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646" w:type="pct"/>
            <w:vAlign w:val="center"/>
          </w:tcPr>
          <w:p w14:paraId="3EDCECC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EB9704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137B1D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6925C1C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697" w:type="pct"/>
            <w:vAlign w:val="center"/>
          </w:tcPr>
          <w:p w14:paraId="09E13F18">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33FC18A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455" w:type="pct"/>
            <w:shd w:val="clear" w:color="auto" w:fill="auto"/>
            <w:vAlign w:val="center"/>
          </w:tcPr>
          <w:p w14:paraId="7551BF3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r>
      <w:tr w14:paraId="6AA1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5E11C8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7BD62B51">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5C066E0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宋体" w:hAnsi="宋体" w:eastAsia="宋体" w:cs="Times New Roman"/>
                <w:color w:val="000000" w:themeColor="text1"/>
                <w:sz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废金属盐</w:t>
            </w:r>
          </w:p>
        </w:tc>
        <w:tc>
          <w:tcPr>
            <w:tcW w:w="646" w:type="pct"/>
            <w:vAlign w:val="center"/>
          </w:tcPr>
          <w:p w14:paraId="5BC6E6D0">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610191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2505A8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10D5C35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1560t</w:t>
            </w:r>
          </w:p>
        </w:tc>
        <w:tc>
          <w:tcPr>
            <w:tcW w:w="697" w:type="pct"/>
            <w:vAlign w:val="center"/>
          </w:tcPr>
          <w:p w14:paraId="0F700271">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7E246D3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1560t</w:t>
            </w:r>
          </w:p>
        </w:tc>
        <w:tc>
          <w:tcPr>
            <w:tcW w:w="455" w:type="pct"/>
            <w:shd w:val="clear" w:color="auto" w:fill="auto"/>
            <w:vAlign w:val="center"/>
          </w:tcPr>
          <w:p w14:paraId="00A69B0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+1560t</w:t>
            </w:r>
          </w:p>
        </w:tc>
      </w:tr>
      <w:tr w14:paraId="1D30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07D000B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48634F1F">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42521E8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废碱液</w:t>
            </w:r>
          </w:p>
        </w:tc>
        <w:tc>
          <w:tcPr>
            <w:tcW w:w="646" w:type="pct"/>
            <w:vAlign w:val="center"/>
          </w:tcPr>
          <w:p w14:paraId="614211A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89DCA0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8D8B9D3">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6492557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697" w:type="pct"/>
            <w:vAlign w:val="center"/>
          </w:tcPr>
          <w:p w14:paraId="48D6DA8E">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5F342CE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455" w:type="pct"/>
            <w:shd w:val="clear" w:color="auto" w:fill="auto"/>
            <w:vAlign w:val="center"/>
          </w:tcPr>
          <w:p w14:paraId="635F3E7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r>
      <w:tr w14:paraId="225F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1E8F2E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restart"/>
            <w:vAlign w:val="center"/>
          </w:tcPr>
          <w:p w14:paraId="2CC1A1C4">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二期</w:t>
            </w:r>
          </w:p>
        </w:tc>
        <w:tc>
          <w:tcPr>
            <w:tcW w:w="391" w:type="pct"/>
            <w:shd w:val="clear" w:color="auto" w:fill="auto"/>
            <w:vAlign w:val="center"/>
          </w:tcPr>
          <w:p w14:paraId="181A661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646" w:type="pct"/>
            <w:vAlign w:val="center"/>
          </w:tcPr>
          <w:p w14:paraId="68BF7F48">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5D66E6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6107CF3">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3EE8CD2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c>
          <w:tcPr>
            <w:tcW w:w="697" w:type="pct"/>
            <w:vAlign w:val="center"/>
          </w:tcPr>
          <w:p w14:paraId="25433298">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20C5D4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c>
          <w:tcPr>
            <w:tcW w:w="455" w:type="pct"/>
            <w:shd w:val="clear" w:color="auto" w:fill="auto"/>
            <w:vAlign w:val="center"/>
          </w:tcPr>
          <w:p w14:paraId="4FA08C3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r>
      <w:tr w14:paraId="409F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10EA377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5100FE4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3CCADB4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646" w:type="pct"/>
            <w:vAlign w:val="center"/>
          </w:tcPr>
          <w:p w14:paraId="42764F5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18F42E5E">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5BB8BA0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5D2641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697" w:type="pct"/>
            <w:vAlign w:val="center"/>
          </w:tcPr>
          <w:p w14:paraId="580EAB7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0F5C8F5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455" w:type="pct"/>
            <w:shd w:val="clear" w:color="auto" w:fill="auto"/>
            <w:vAlign w:val="center"/>
          </w:tcPr>
          <w:p w14:paraId="3C40492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r>
      <w:tr w14:paraId="39A3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7A7EA54">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0AD48DD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0C4BA4A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浮选药剂包装桶</w:t>
            </w:r>
          </w:p>
        </w:tc>
        <w:tc>
          <w:tcPr>
            <w:tcW w:w="646" w:type="pct"/>
            <w:vAlign w:val="center"/>
          </w:tcPr>
          <w:p w14:paraId="71B57F2B">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1AF4CE9">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A8ED42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33095E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5t</w:t>
            </w:r>
          </w:p>
        </w:tc>
        <w:tc>
          <w:tcPr>
            <w:tcW w:w="697" w:type="pct"/>
            <w:vAlign w:val="center"/>
          </w:tcPr>
          <w:p w14:paraId="63F8D1B1">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577A8A6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5t</w:t>
            </w:r>
          </w:p>
        </w:tc>
        <w:tc>
          <w:tcPr>
            <w:tcW w:w="455" w:type="pct"/>
            <w:shd w:val="clear" w:color="auto" w:fill="auto"/>
            <w:vAlign w:val="center"/>
          </w:tcPr>
          <w:p w14:paraId="324D02D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+5t</w:t>
            </w:r>
          </w:p>
        </w:tc>
      </w:tr>
      <w:tr w14:paraId="64B8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817" w:type="pct"/>
            <w:gridSpan w:val="3"/>
          </w:tcPr>
          <w:p w14:paraId="6525887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b w:val="0"/>
                <w:bCs w:val="0"/>
                <w:color w:val="000000" w:themeColor="text1"/>
                <w:szCs w:val="20"/>
                <w:highlight w:val="none"/>
                <w:lang w:val="en-US" w:eastAsia="zh-CN" w:bidi="ar-SA"/>
                <w14:textFill>
                  <w14:solidFill>
                    <w14:schemeClr w14:val="tx1"/>
                  </w14:solidFill>
                </w14:textFill>
              </w:rPr>
            </w:pPr>
            <w:r>
              <w:rPr>
                <w:rStyle w:val="32"/>
                <w:rFonts w:hint="eastAsia" w:ascii="Times New Roman" w:hAnsi="Times New Roman" w:eastAsia="宋体" w:cs="Times New Roman"/>
                <w:b w:val="0"/>
                <w:bCs w:val="0"/>
                <w:color w:val="000000" w:themeColor="text1"/>
                <w:szCs w:val="20"/>
                <w:highlight w:val="none"/>
                <w:lang w:val="en-US" w:eastAsia="zh-CN" w:bidi="ar-SA"/>
                <w14:textFill>
                  <w14:solidFill>
                    <w14:schemeClr w14:val="tx1"/>
                  </w14:solidFill>
                </w14:textFill>
              </w:rPr>
              <w:t>生活垃圾</w:t>
            </w:r>
          </w:p>
        </w:tc>
        <w:tc>
          <w:tcPr>
            <w:tcW w:w="0" w:type="auto"/>
          </w:tcPr>
          <w:p w14:paraId="3C0A959D">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5.28</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top"/>
          </w:tcPr>
          <w:p w14:paraId="73B1E259">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top"/>
          </w:tcPr>
          <w:p w14:paraId="7D2C9F2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top"/>
          </w:tcPr>
          <w:p w14:paraId="0FAA8ED2">
            <w:pPr>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697" w:type="pct"/>
            <w:vAlign w:val="top"/>
          </w:tcPr>
          <w:p w14:paraId="7509F59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top"/>
          </w:tcPr>
          <w:p w14:paraId="1EC492A9">
            <w:pPr>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455" w:type="pct"/>
            <w:vAlign w:val="top"/>
          </w:tcPr>
          <w:p w14:paraId="292DE95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r>
    </w:tbl>
    <w:p w14:paraId="3BB15A79">
      <w:pPr>
        <w:pStyle w:val="9"/>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注：⑥=①+③+④-⑤；⑦=⑥-①</w:t>
      </w:r>
    </w:p>
    <w:p w14:paraId="6E0B1252">
      <w:pPr>
        <w:rPr>
          <w:rStyle w:val="32"/>
          <w:rFonts w:hint="default" w:ascii="Times New Roman" w:hAnsi="Times New Roman" w:cs="Times New Roman"/>
          <w:color w:val="000000" w:themeColor="text1"/>
          <w:w w:val="100"/>
          <w:position w:val="0"/>
          <w:highlight w:val="none"/>
          <w14:textFill>
            <w14:solidFill>
              <w14:schemeClr w14:val="tx1"/>
            </w14:solidFill>
          </w14:textFill>
        </w:rPr>
        <w:sectPr>
          <w:pgSz w:w="16838" w:h="11906" w:orient="landscape"/>
          <w:pgMar w:top="1797" w:right="1440" w:bottom="1797" w:left="1440" w:header="851" w:footer="992" w:gutter="0"/>
          <w:pgBorders>
            <w:top w:val="none" w:sz="0" w:space="0"/>
            <w:left w:val="none" w:sz="0" w:space="0"/>
            <w:bottom w:val="none" w:sz="0" w:space="0"/>
            <w:right w:val="none" w:sz="0" w:space="0"/>
          </w:pgBorders>
          <w:cols w:space="0" w:num="1"/>
          <w:rtlGutter w:val="0"/>
          <w:docGrid w:type="lines" w:linePitch="319" w:charSpace="0"/>
        </w:sectPr>
      </w:pPr>
    </w:p>
    <w:p w14:paraId="034D8C6A">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7434BFAE">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42877EE8">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6893FEBD">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6458420F">
      <w:pPr>
        <w:pStyle w:val="53"/>
        <w:bidi w:val="0"/>
        <w:ind w:left="0" w:leftChars="0" w:firstLine="0" w:firstLineChars="0"/>
        <w:jc w:val="center"/>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p>
    <w:p w14:paraId="53C9B30C">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r>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t>振宏机械废硅粉加工前预处理项目环境影响报告表</w:t>
      </w:r>
    </w:p>
    <w:p w14:paraId="5D9AE59F">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p>
    <w:p w14:paraId="2AA48218">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p>
    <w:p w14:paraId="4C311336">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0"/>
        <w:rPr>
          <w:rFonts w:hint="eastAsia" w:ascii="宋体" w:hAnsi="宋体" w:eastAsia="宋体" w:cs="宋体"/>
          <w:b/>
          <w:bCs/>
          <w:color w:val="000000" w:themeColor="text1"/>
          <w:sz w:val="48"/>
          <w:szCs w:val="48"/>
          <w:highlight w:val="none"/>
          <w:u w:val="none"/>
          <w:lang w:val="en-US"/>
          <w14:textFill>
            <w14:solidFill>
              <w14:schemeClr w14:val="tx1"/>
            </w14:solidFill>
          </w14:textFill>
        </w:rPr>
      </w:pPr>
      <w:bookmarkStart w:id="45" w:name="_Toc32673"/>
      <w:r>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t>环境风险专项评价</w:t>
      </w:r>
      <w:bookmarkEnd w:id="45"/>
    </w:p>
    <w:p w14:paraId="507B5F9A">
      <w:pPr>
        <w:pStyle w:val="53"/>
        <w:bidi w:val="0"/>
        <w:rPr>
          <w:rFonts w:hint="default"/>
          <w:color w:val="000000" w:themeColor="text1"/>
          <w:highlight w:val="none"/>
          <w14:textFill>
            <w14:solidFill>
              <w14:schemeClr w14:val="tx1"/>
            </w14:solidFill>
          </w14:textFill>
        </w:rPr>
      </w:pPr>
    </w:p>
    <w:p w14:paraId="6B6F72AD">
      <w:pPr>
        <w:pStyle w:val="53"/>
        <w:bidi w:val="0"/>
        <w:rPr>
          <w:rFonts w:hint="default"/>
          <w:color w:val="000000" w:themeColor="text1"/>
          <w:highlight w:val="none"/>
          <w14:textFill>
            <w14:solidFill>
              <w14:schemeClr w14:val="tx1"/>
            </w14:solidFill>
          </w14:textFill>
        </w:rPr>
      </w:pPr>
    </w:p>
    <w:p w14:paraId="3AC78B49">
      <w:pPr>
        <w:pStyle w:val="53"/>
        <w:bidi w:val="0"/>
        <w:rPr>
          <w:rFonts w:hint="default"/>
          <w:color w:val="000000" w:themeColor="text1"/>
          <w:highlight w:val="none"/>
          <w14:textFill>
            <w14:solidFill>
              <w14:schemeClr w14:val="tx1"/>
            </w14:solidFill>
          </w14:textFill>
        </w:rPr>
      </w:pPr>
    </w:p>
    <w:p w14:paraId="43E95984">
      <w:pPr>
        <w:pStyle w:val="53"/>
        <w:bidi w:val="0"/>
        <w:rPr>
          <w:rFonts w:hint="default"/>
          <w:color w:val="000000" w:themeColor="text1"/>
          <w:highlight w:val="none"/>
          <w14:textFill>
            <w14:solidFill>
              <w14:schemeClr w14:val="tx1"/>
            </w14:solidFill>
          </w14:textFill>
        </w:rPr>
      </w:pPr>
    </w:p>
    <w:p w14:paraId="5175F209">
      <w:pPr>
        <w:pStyle w:val="53"/>
        <w:bidi w:val="0"/>
        <w:rPr>
          <w:rFonts w:hint="default"/>
          <w:color w:val="000000" w:themeColor="text1"/>
          <w:highlight w:val="none"/>
          <w14:textFill>
            <w14:solidFill>
              <w14:schemeClr w14:val="tx1"/>
            </w14:solidFill>
          </w14:textFill>
        </w:rPr>
      </w:pPr>
    </w:p>
    <w:p w14:paraId="1C8F4F14">
      <w:pPr>
        <w:pStyle w:val="53"/>
        <w:bidi w:val="0"/>
        <w:rPr>
          <w:rFonts w:hint="default"/>
          <w:color w:val="000000" w:themeColor="text1"/>
          <w:highlight w:val="none"/>
          <w14:textFill>
            <w14:solidFill>
              <w14:schemeClr w14:val="tx1"/>
            </w14:solidFill>
          </w14:textFill>
        </w:rPr>
      </w:pPr>
    </w:p>
    <w:p w14:paraId="44794E79">
      <w:pPr>
        <w:pStyle w:val="53"/>
        <w:bidi w:val="0"/>
        <w:rPr>
          <w:rFonts w:hint="default"/>
          <w:color w:val="000000" w:themeColor="text1"/>
          <w:highlight w:val="none"/>
          <w14:textFill>
            <w14:solidFill>
              <w14:schemeClr w14:val="tx1"/>
            </w14:solidFill>
          </w14:textFill>
        </w:rPr>
      </w:pPr>
    </w:p>
    <w:p w14:paraId="6DF5C934">
      <w:pPr>
        <w:pStyle w:val="53"/>
        <w:bidi w:val="0"/>
        <w:rPr>
          <w:rFonts w:hint="default"/>
          <w:color w:val="000000" w:themeColor="text1"/>
          <w:highlight w:val="none"/>
          <w14:textFill>
            <w14:solidFill>
              <w14:schemeClr w14:val="tx1"/>
            </w14:solidFill>
          </w14:textFill>
        </w:rPr>
        <w:sectPr>
          <w:pgSz w:w="11906" w:h="16838"/>
          <w:pgMar w:top="1440" w:right="1797" w:bottom="1440" w:left="1797" w:header="851" w:footer="992" w:gutter="0"/>
          <w:pgBorders>
            <w:top w:val="none" w:sz="0" w:space="0"/>
            <w:left w:val="none" w:sz="0" w:space="0"/>
            <w:bottom w:val="none" w:sz="0" w:space="0"/>
            <w:right w:val="none" w:sz="0" w:space="0"/>
          </w:pgBorders>
          <w:cols w:space="0" w:num="1"/>
          <w:rtlGutter w:val="0"/>
          <w:docGrid w:type="lines" w:linePitch="319" w:charSpace="0"/>
        </w:sectPr>
      </w:pPr>
    </w:p>
    <w:p w14:paraId="5370DB90">
      <w:pPr>
        <w:spacing w:line="560" w:lineRule="exact"/>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环境风险评价的目的是分析和预测建设项目存在的潜在危险、有害因素，建设项目</w:t>
      </w:r>
      <w:r>
        <w:rPr>
          <w:color w:val="000000" w:themeColor="text1"/>
          <w:kern w:val="0"/>
          <w:sz w:val="24"/>
          <w:highlight w:val="none"/>
          <w14:textFill>
            <w14:solidFill>
              <w14:schemeClr w14:val="tx1"/>
            </w14:solidFill>
          </w14:textFill>
        </w:rPr>
        <w:t>建设和运行期间可能发生的突发性事件或事故，引起有毒有害易燃易爆等物质泄漏，所造成的人身安全与环境影响和损害程度，提出合理可行的防范、应急与减缓措施，以使建设项目事故率、损失和环境影响达到可接受水平。</w:t>
      </w:r>
    </w:p>
    <w:p w14:paraId="053C24F6">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1、评价依据</w:t>
      </w:r>
    </w:p>
    <w:p w14:paraId="5C785679">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风险调查</w:t>
      </w:r>
    </w:p>
    <w:p w14:paraId="5A2B651B">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lang w:val="en-US" w:eastAsia="zh-CN"/>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按照《建设项目环境风险评价技术导则》（HJ169-2018）中的附录B及《危险化学品重大危险源辨识》（GB18218-2018），项目生产和存储过程中原料、中间产品涉及的危险化学品主要为</w:t>
      </w:r>
      <w:r>
        <w:rPr>
          <w:rFonts w:hint="eastAsia"/>
          <w:color w:val="000000" w:themeColor="text1"/>
          <w:highlight w:val="none"/>
          <w:lang w:val="en-US" w:eastAsia="zh-CN"/>
          <w14:textFill>
            <w14:solidFill>
              <w14:schemeClr w14:val="tx1"/>
            </w14:solidFill>
          </w14:textFill>
        </w:rPr>
        <w:t>废润滑油、废碱液、甲醇以及盐酸</w:t>
      </w:r>
      <w:r>
        <w:rPr>
          <w:rFonts w:hint="eastAsia" w:cs="Times New Roman"/>
          <w:color w:val="000000" w:themeColor="text1"/>
          <w:spacing w:val="0"/>
          <w:position w:val="0"/>
          <w:highlight w:val="none"/>
          <w:u w:val="none"/>
          <w:lang w:val="en-US" w:eastAsia="zh-CN"/>
          <w14:textFill>
            <w14:solidFill>
              <w14:schemeClr w14:val="tx1"/>
            </w14:solidFill>
          </w14:textFill>
        </w:rPr>
        <w:t>，本项目最大储存31%盐酸量为36.72t，折算成37%盐酸量为25.7t。</w:t>
      </w:r>
      <w:r>
        <w:rPr>
          <w:rFonts w:hint="eastAsia"/>
          <w:color w:val="000000" w:themeColor="text1"/>
          <w:highlight w:val="none"/>
          <w:lang w:val="en-US" w:eastAsia="zh-CN"/>
          <w14:textFill>
            <w14:solidFill>
              <w14:schemeClr w14:val="tx1"/>
            </w14:solidFill>
          </w14:textFill>
        </w:rPr>
        <w:t>酸洗搅拌过程中盐酸与金属反应会产生氢气，氢气大量释放遇明火容易发生爆炸事件，本项目酸洗搅拌过程中产生氢气量较小。</w:t>
      </w:r>
    </w:p>
    <w:p w14:paraId="24E9C9C0">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2</w:t>
      </w:r>
      <w:r>
        <w:rPr>
          <w:rFonts w:hint="default" w:ascii="Times New Roman" w:hAnsi="Times New Roman" w:cs="Times New Roman"/>
          <w:color w:val="000000" w:themeColor="text1"/>
          <w:spacing w:val="0"/>
          <w:position w:val="0"/>
          <w:highlight w:val="none"/>
          <w:u w:val="none"/>
          <w14:textFill>
            <w14:solidFill>
              <w14:schemeClr w14:val="tx1"/>
            </w14:solidFill>
          </w14:textFill>
        </w:rPr>
        <w:t>）</w:t>
      </w:r>
      <w:r>
        <w:rPr>
          <w:b w:val="0"/>
          <w:color w:val="000000" w:themeColor="text1"/>
          <w:sz w:val="24"/>
          <w:highlight w:val="none"/>
          <w14:textFill>
            <w14:solidFill>
              <w14:schemeClr w14:val="tx1"/>
            </w14:solidFill>
          </w14:textFill>
        </w:rPr>
        <w:t>风险潜势初判及风险评价等级</w:t>
      </w:r>
    </w:p>
    <w:p w14:paraId="73F060DD">
      <w:pPr>
        <w:pStyle w:val="53"/>
        <w:shd w:val="clear" w:color="auto" w:fill="auto"/>
        <w:bidi w:val="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根据建设项目涉及的物质和工艺系统的危险性及其所在地的环境敏感程度，结合事故情形下环境影响途径，对建设项目潜在环境危害程度进行概化分析，建设项目环境风险潜势划分表见表</w:t>
      </w:r>
      <w:r>
        <w:rPr>
          <w:rFonts w:hint="eastAsia" w:cs="Times New Roman"/>
          <w:color w:val="000000" w:themeColor="text1"/>
          <w:highlight w:val="none"/>
          <w:lang w:val="en-US" w:eastAsia="zh-CN"/>
          <w14:textFill>
            <w14:solidFill>
              <w14:schemeClr w14:val="tx1"/>
            </w14:solidFill>
          </w14:textFill>
        </w:rPr>
        <w:t>1</w:t>
      </w:r>
      <w:r>
        <w:rPr>
          <w:rFonts w:ascii="Times New Roman" w:hAnsi="Times New Roman" w:eastAsia="宋体" w:cs="Times New Roman"/>
          <w:color w:val="000000" w:themeColor="text1"/>
          <w:highlight w:val="none"/>
          <w14:textFill>
            <w14:solidFill>
              <w14:schemeClr w14:val="tx1"/>
            </w14:solidFill>
          </w14:textFill>
        </w:rPr>
        <w:t>。</w:t>
      </w:r>
    </w:p>
    <w:p w14:paraId="1545CDD7">
      <w:pPr>
        <w:pStyle w:val="35"/>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1   </w:t>
      </w:r>
      <w:r>
        <w:rPr>
          <w:color w:val="000000" w:themeColor="text1"/>
          <w:highlight w:val="none"/>
          <w14:textFill>
            <w14:solidFill>
              <w14:schemeClr w14:val="tx1"/>
            </w14:solidFill>
          </w14:textFill>
        </w:rPr>
        <w:t>建设项目环境风险潜势划分表</w:t>
      </w:r>
    </w:p>
    <w:tbl>
      <w:tblPr>
        <w:tblStyle w:val="21"/>
        <w:tblW w:w="4999"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03"/>
        <w:gridCol w:w="1703"/>
        <w:gridCol w:w="1705"/>
        <w:gridCol w:w="1705"/>
        <w:gridCol w:w="1709"/>
      </w:tblGrid>
      <w:tr w14:paraId="21ACAE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vMerge w:val="restart"/>
            <w:noWrap w:val="0"/>
            <w:vAlign w:val="center"/>
          </w:tcPr>
          <w:p w14:paraId="29095B75">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b/>
                <w:color w:val="000000" w:themeColor="text1"/>
                <w:kern w:val="0"/>
                <w:sz w:val="21"/>
                <w:szCs w:val="21"/>
                <w:highlight w:val="none"/>
                <w14:textFill>
                  <w14:solidFill>
                    <w14:schemeClr w14:val="tx1"/>
                  </w14:solidFill>
                </w14:textFill>
              </w:rPr>
              <w:t>环境敏感程度（E）</w:t>
            </w:r>
          </w:p>
        </w:tc>
        <w:tc>
          <w:tcPr>
            <w:tcW w:w="4000" w:type="pct"/>
            <w:gridSpan w:val="4"/>
            <w:noWrap w:val="0"/>
            <w:vAlign w:val="center"/>
          </w:tcPr>
          <w:p w14:paraId="47767842">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b/>
                <w:color w:val="000000" w:themeColor="text1"/>
                <w:kern w:val="0"/>
                <w:sz w:val="21"/>
                <w:szCs w:val="21"/>
                <w:highlight w:val="none"/>
                <w14:textFill>
                  <w14:solidFill>
                    <w14:schemeClr w14:val="tx1"/>
                  </w14:solidFill>
                </w14:textFill>
              </w:rPr>
              <w:t>危险物质及工艺系统危险性（P）</w:t>
            </w:r>
          </w:p>
        </w:tc>
      </w:tr>
      <w:tr w14:paraId="3DF00B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vMerge w:val="continue"/>
            <w:noWrap w:val="0"/>
            <w:vAlign w:val="center"/>
          </w:tcPr>
          <w:p w14:paraId="3BBCF39D">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p>
        </w:tc>
        <w:tc>
          <w:tcPr>
            <w:tcW w:w="999" w:type="pct"/>
            <w:noWrap w:val="0"/>
            <w:vAlign w:val="center"/>
          </w:tcPr>
          <w:p w14:paraId="41A79AAD">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极高危害（P1）</w:t>
            </w:r>
          </w:p>
        </w:tc>
        <w:tc>
          <w:tcPr>
            <w:tcW w:w="1000" w:type="pct"/>
            <w:noWrap w:val="0"/>
            <w:vAlign w:val="center"/>
          </w:tcPr>
          <w:p w14:paraId="37E0F430">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高度危害（P2）</w:t>
            </w:r>
          </w:p>
        </w:tc>
        <w:tc>
          <w:tcPr>
            <w:tcW w:w="1000" w:type="pct"/>
            <w:noWrap w:val="0"/>
            <w:vAlign w:val="center"/>
          </w:tcPr>
          <w:p w14:paraId="3DE46F81">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中度危害（P3）</w:t>
            </w:r>
          </w:p>
        </w:tc>
        <w:tc>
          <w:tcPr>
            <w:tcW w:w="1000" w:type="pct"/>
            <w:noWrap w:val="0"/>
            <w:vAlign w:val="center"/>
          </w:tcPr>
          <w:p w14:paraId="68F970D0">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轻度危害（P4）</w:t>
            </w:r>
          </w:p>
        </w:tc>
      </w:tr>
      <w:tr w14:paraId="19DA2D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noWrap w:val="0"/>
            <w:vAlign w:val="center"/>
          </w:tcPr>
          <w:p w14:paraId="513B1DCF">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环境高度敏感区（E1）</w:t>
            </w:r>
          </w:p>
        </w:tc>
        <w:tc>
          <w:tcPr>
            <w:tcW w:w="999" w:type="pct"/>
            <w:noWrap w:val="0"/>
            <w:vAlign w:val="center"/>
          </w:tcPr>
          <w:p w14:paraId="2D605BCB">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Ⅳ</w:t>
            </w:r>
            <w:r>
              <w:rPr>
                <w:color w:val="000000" w:themeColor="text1"/>
                <w:kern w:val="0"/>
                <w:sz w:val="21"/>
                <w:szCs w:val="21"/>
                <w:highlight w:val="none"/>
                <w:vertAlign w:val="superscript"/>
                <w14:textFill>
                  <w14:solidFill>
                    <w14:schemeClr w14:val="tx1"/>
                  </w14:solidFill>
                </w14:textFill>
              </w:rPr>
              <w:t>+</w:t>
            </w:r>
          </w:p>
        </w:tc>
        <w:tc>
          <w:tcPr>
            <w:tcW w:w="1000" w:type="pct"/>
            <w:noWrap w:val="0"/>
            <w:vAlign w:val="center"/>
          </w:tcPr>
          <w:p w14:paraId="662FF3BC">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Ⅳ</w:t>
            </w:r>
          </w:p>
        </w:tc>
        <w:tc>
          <w:tcPr>
            <w:tcW w:w="1000" w:type="pct"/>
            <w:noWrap w:val="0"/>
            <w:vAlign w:val="center"/>
          </w:tcPr>
          <w:p w14:paraId="7BB447E9">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74032768">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r>
      <w:tr w14:paraId="396BA6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noWrap w:val="0"/>
            <w:vAlign w:val="center"/>
          </w:tcPr>
          <w:p w14:paraId="279FEC4B">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环境中度敏感区（E2）</w:t>
            </w:r>
          </w:p>
        </w:tc>
        <w:tc>
          <w:tcPr>
            <w:tcW w:w="999" w:type="pct"/>
            <w:noWrap w:val="0"/>
            <w:vAlign w:val="center"/>
          </w:tcPr>
          <w:p w14:paraId="15536771">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Ⅳ</w:t>
            </w:r>
          </w:p>
        </w:tc>
        <w:tc>
          <w:tcPr>
            <w:tcW w:w="1000" w:type="pct"/>
            <w:noWrap w:val="0"/>
            <w:vAlign w:val="center"/>
          </w:tcPr>
          <w:p w14:paraId="17C5ED4A">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63B4EA22">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4D989AE9">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Ⅱ</w:t>
            </w:r>
          </w:p>
        </w:tc>
      </w:tr>
      <w:tr w14:paraId="2F74FF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noWrap w:val="0"/>
            <w:vAlign w:val="center"/>
          </w:tcPr>
          <w:p w14:paraId="55ECC8A4">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环境低度敏感区（E3）</w:t>
            </w:r>
          </w:p>
        </w:tc>
        <w:tc>
          <w:tcPr>
            <w:tcW w:w="999" w:type="pct"/>
            <w:noWrap w:val="0"/>
            <w:vAlign w:val="center"/>
          </w:tcPr>
          <w:p w14:paraId="0EE51691">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0417F378">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0A1FCEEC">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Ⅱ</w:t>
            </w:r>
          </w:p>
        </w:tc>
        <w:tc>
          <w:tcPr>
            <w:tcW w:w="1000" w:type="pct"/>
            <w:noWrap w:val="0"/>
            <w:vAlign w:val="center"/>
          </w:tcPr>
          <w:p w14:paraId="0E67466F">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Ⅰ</w:t>
            </w:r>
          </w:p>
        </w:tc>
      </w:tr>
      <w:tr w14:paraId="70FD6C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000" w:type="pct"/>
            <w:gridSpan w:val="5"/>
            <w:noWrap w:val="0"/>
            <w:vAlign w:val="center"/>
          </w:tcPr>
          <w:p w14:paraId="65F1F566">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注：Ⅳ</w:t>
            </w:r>
            <w:r>
              <w:rPr>
                <w:color w:val="000000" w:themeColor="text1"/>
                <w:kern w:val="0"/>
                <w:sz w:val="21"/>
                <w:szCs w:val="21"/>
                <w:highlight w:val="none"/>
                <w:vertAlign w:val="superscript"/>
                <w14:textFill>
                  <w14:solidFill>
                    <w14:schemeClr w14:val="tx1"/>
                  </w14:solidFill>
                </w14:textFill>
              </w:rPr>
              <w:t>+</w:t>
            </w:r>
            <w:r>
              <w:rPr>
                <w:color w:val="000000" w:themeColor="text1"/>
                <w:kern w:val="0"/>
                <w:sz w:val="21"/>
                <w:szCs w:val="21"/>
                <w:highlight w:val="none"/>
                <w14:textFill>
                  <w14:solidFill>
                    <w14:schemeClr w14:val="tx1"/>
                  </w14:solidFill>
                </w14:textFill>
              </w:rPr>
              <w:t>为极高环境风险</w:t>
            </w:r>
          </w:p>
        </w:tc>
      </w:tr>
    </w:tbl>
    <w:p w14:paraId="07626BCA">
      <w:pPr>
        <w:pStyle w:val="49"/>
        <w:pageBreakBefore w:val="0"/>
        <w:kinsoku/>
        <w:wordWrap/>
        <w:bidi w:val="0"/>
        <w:spacing w:beforeAutospacing="0" w:afterAutospacing="0" w:line="360" w:lineRule="auto"/>
        <w:ind w:left="0" w:leftChars="0" w:right="0" w:rightChars="0" w:firstLine="480"/>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pP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3</w:t>
      </w: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Q值确定</w:t>
      </w:r>
    </w:p>
    <w:p w14:paraId="2E252809">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计算所涉及的每种危险物质在厂界内的最大存在总量与其附录B中对应临界量的比值Q。在不同厂区的同一种物质，按其在厂界内的最大存在总量计算。</w:t>
      </w:r>
    </w:p>
    <w:p w14:paraId="03F3D23B">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当只涉及一种危险物质时，计算该物质的总量与其临界量比值，即为Q。当存在多种危险物质时，则按式（C.1）计算物质总量与其临界量比值（Q）：</w:t>
      </w:r>
    </w:p>
    <w:p w14:paraId="73072CC6">
      <w:pPr>
        <w:pStyle w:val="49"/>
        <w:pageBreakBefore w:val="0"/>
        <w:kinsoku/>
        <w:wordWrap/>
        <w:bidi w:val="0"/>
        <w:spacing w:beforeAutospacing="0" w:afterAutospacing="0" w:line="360" w:lineRule="auto"/>
        <w:ind w:left="0" w:leftChars="0" w:right="0" w:rightChars="0" w:firstLine="0" w:firstLineChars="0"/>
        <w:jc w:val="center"/>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object>
          <v:shape id="_x0000_i1029" o:spt="75" type="#_x0000_t75" style="height:50.6pt;width:159pt;" o:ole="t" filled="f" o:preferrelative="t" stroked="f" coordsize="21600,21600">
            <v:path/>
            <v:fill on="f" focussize="0,0"/>
            <v:stroke on="f"/>
            <v:imagedata r:id="rId23" o:title=""/>
            <o:lock v:ext="edit" aspectratio="t"/>
            <w10:wrap type="none"/>
            <w10:anchorlock/>
          </v:shape>
          <o:OLEObject Type="Embed" ProgID="" ShapeID="_x0000_i1029" DrawAspect="Content" ObjectID="_1468075729" r:id="rId22">
            <o:LockedField>false</o:LockedField>
          </o:OLEObject>
        </w:object>
      </w:r>
    </w:p>
    <w:p w14:paraId="5C0286F0">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式中：q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1</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2</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n</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——每种危险物质的最大存在总量，t；</w:t>
      </w:r>
    </w:p>
    <w:p w14:paraId="2DF38FC7">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1</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2</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n</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——每种危险物质相对应的临界量，t。</w:t>
      </w:r>
    </w:p>
    <w:p w14:paraId="5C10BD9F">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计算出Q值后，当Q＜1时，该项目环境风险潜势为Ⅰ。</w:t>
      </w:r>
    </w:p>
    <w:p w14:paraId="49F0C2BE">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当Q≥1时，将Q值划分为：（1）1≤Q＜10；（2）10≤Q＜100；（3）Q≥100。分别以Q</w:t>
      </w:r>
      <w:r>
        <w:rPr>
          <w:rFonts w:hint="default" w:ascii="Times New Roman" w:hAnsi="Times New Roman" w:cs="Times New Roman"/>
          <w:color w:val="000000" w:themeColor="text1"/>
          <w:spacing w:val="0"/>
          <w:position w:val="0"/>
          <w:highlight w:val="none"/>
          <w:u w:val="none"/>
          <w:vertAlign w:val="subscript"/>
          <w14:textFill>
            <w14:solidFill>
              <w14:schemeClr w14:val="tx1"/>
            </w14:solidFill>
          </w14:textFill>
        </w:rPr>
        <w:t>1</w:t>
      </w:r>
      <w:r>
        <w:rPr>
          <w:rFonts w:hint="default" w:ascii="Times New Roman" w:hAnsi="Times New Roman" w:cs="Times New Roman"/>
          <w:color w:val="000000" w:themeColor="text1"/>
          <w:spacing w:val="0"/>
          <w:position w:val="0"/>
          <w:highlight w:val="none"/>
          <w:u w:val="none"/>
          <w14:textFill>
            <w14:solidFill>
              <w14:schemeClr w14:val="tx1"/>
            </w14:solidFill>
          </w14:textFill>
        </w:rPr>
        <w:t>、Q</w:t>
      </w:r>
      <w:r>
        <w:rPr>
          <w:rFonts w:hint="default" w:ascii="Times New Roman" w:hAnsi="Times New Roman" w:cs="Times New Roman"/>
          <w:color w:val="000000" w:themeColor="text1"/>
          <w:spacing w:val="0"/>
          <w:position w:val="0"/>
          <w:highlight w:val="none"/>
          <w:u w:val="none"/>
          <w:vertAlign w:val="subscript"/>
          <w14:textFill>
            <w14:solidFill>
              <w14:schemeClr w14:val="tx1"/>
            </w14:solidFill>
          </w14:textFill>
        </w:rPr>
        <w:t>2</w:t>
      </w:r>
      <w:r>
        <w:rPr>
          <w:rFonts w:hint="default" w:ascii="Times New Roman" w:hAnsi="Times New Roman" w:cs="Times New Roman"/>
          <w:color w:val="000000" w:themeColor="text1"/>
          <w:spacing w:val="0"/>
          <w:position w:val="0"/>
          <w:highlight w:val="none"/>
          <w:u w:val="none"/>
          <w14:textFill>
            <w14:solidFill>
              <w14:schemeClr w14:val="tx1"/>
            </w14:solidFill>
          </w14:textFill>
        </w:rPr>
        <w:t>和Q</w:t>
      </w:r>
      <w:r>
        <w:rPr>
          <w:rFonts w:hint="default" w:ascii="Times New Roman" w:hAnsi="Times New Roman" w:cs="Times New Roman"/>
          <w:color w:val="000000" w:themeColor="text1"/>
          <w:spacing w:val="0"/>
          <w:position w:val="0"/>
          <w:highlight w:val="none"/>
          <w:u w:val="none"/>
          <w:vertAlign w:val="subscript"/>
          <w14:textFill>
            <w14:solidFill>
              <w14:schemeClr w14:val="tx1"/>
            </w14:solidFill>
          </w14:textFill>
        </w:rPr>
        <w:t>3</w:t>
      </w:r>
      <w:r>
        <w:rPr>
          <w:rFonts w:hint="default" w:ascii="Times New Roman" w:hAnsi="Times New Roman" w:cs="Times New Roman"/>
          <w:color w:val="000000" w:themeColor="text1"/>
          <w:spacing w:val="0"/>
          <w:position w:val="0"/>
          <w:highlight w:val="none"/>
          <w:u w:val="none"/>
          <w14:textFill>
            <w14:solidFill>
              <w14:schemeClr w14:val="tx1"/>
            </w14:solidFill>
          </w14:textFill>
        </w:rPr>
        <w:t>表示。</w:t>
      </w:r>
    </w:p>
    <w:p w14:paraId="558B6D4D">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本项目厂区危险物质最大存在量与其在附录B中的对应临界量的比值为Q，其计算结果见表</w:t>
      </w:r>
      <w:r>
        <w:rPr>
          <w:rFonts w:hint="eastAsia" w:cs="Times New Roman"/>
          <w:color w:val="000000" w:themeColor="text1"/>
          <w:spacing w:val="0"/>
          <w:position w:val="0"/>
          <w:highlight w:val="none"/>
          <w:u w:val="none"/>
          <w:lang w:val="en-US" w:eastAsia="zh-CN"/>
          <w14:textFill>
            <w14:solidFill>
              <w14:schemeClr w14:val="tx1"/>
            </w14:solidFill>
          </w14:textFill>
        </w:rPr>
        <w:t>2</w:t>
      </w:r>
      <w:r>
        <w:rPr>
          <w:rFonts w:hint="default" w:ascii="Times New Roman" w:hAnsi="Times New Roman" w:cs="Times New Roman"/>
          <w:color w:val="000000" w:themeColor="text1"/>
          <w:spacing w:val="0"/>
          <w:position w:val="0"/>
          <w:highlight w:val="none"/>
          <w:u w:val="none"/>
          <w14:textFill>
            <w14:solidFill>
              <w14:schemeClr w14:val="tx1"/>
            </w14:solidFill>
          </w14:textFill>
        </w:rPr>
        <w:t>。</w:t>
      </w:r>
    </w:p>
    <w:p w14:paraId="5F01D71E">
      <w:pPr>
        <w:pStyle w:val="36"/>
        <w:pageBreakBefore w:val="0"/>
        <w:widowControl/>
        <w:kinsoku/>
        <w:wordWrap/>
        <w:bidi w:val="0"/>
        <w:spacing w:beforeAutospacing="0" w:afterAutospacing="0"/>
        <w:ind w:left="0" w:leftChars="0" w:right="0" w:rightChars="0" w:firstLine="0" w:firstLineChars="0"/>
        <w:jc w:val="cente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表</w:t>
      </w:r>
      <w:r>
        <w:rPr>
          <w:rFonts w:hint="eastAsia" w:ascii="Times New Roman" w:cs="Times New Roman"/>
          <w:color w:val="000000" w:themeColor="text1"/>
          <w:spacing w:val="0"/>
          <w:position w:val="0"/>
          <w:sz w:val="21"/>
          <w:szCs w:val="21"/>
          <w:highlight w:val="none"/>
          <w:u w:val="none"/>
          <w:lang w:val="en-US" w:eastAsia="zh-CN"/>
          <w14:textFill>
            <w14:solidFill>
              <w14:schemeClr w14:val="tx1"/>
            </w14:solidFill>
          </w14:textFill>
        </w:rPr>
        <w:t>2</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 xml:space="preserve">    </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危险物质数量与临界量比值（Q）计算结果一览表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2458"/>
        <w:gridCol w:w="2677"/>
        <w:gridCol w:w="2012"/>
      </w:tblGrid>
      <w:tr w14:paraId="08BBA2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809" w:type="pct"/>
            <w:tcBorders>
              <w:bottom w:val="single" w:color="auto" w:sz="12" w:space="0"/>
              <w:tl2br w:val="nil"/>
              <w:tr2bl w:val="nil"/>
            </w:tcBorders>
            <w:noWrap w:val="0"/>
            <w:vAlign w:val="center"/>
          </w:tcPr>
          <w:p w14:paraId="5FA1C13F">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物质名称</w:t>
            </w:r>
          </w:p>
        </w:tc>
        <w:tc>
          <w:tcPr>
            <w:tcW w:w="1441" w:type="pct"/>
            <w:tcBorders>
              <w:bottom w:val="single" w:color="auto" w:sz="12" w:space="0"/>
              <w:tl2br w:val="nil"/>
              <w:tr2bl w:val="nil"/>
            </w:tcBorders>
            <w:noWrap w:val="0"/>
            <w:vAlign w:val="center"/>
          </w:tcPr>
          <w:p w14:paraId="73FF392A">
            <w:pPr>
              <w:pStyle w:val="39"/>
              <w:pageBreakBefore w:val="0"/>
              <w:kinsoku/>
              <w:wordWrap/>
              <w:bidi w:val="0"/>
              <w:spacing w:beforeAutospacing="0" w:afterAutospacing="0" w:line="240" w:lineRule="auto"/>
              <w:ind w:left="0" w:leftChars="0" w:right="0" w:rightChars="0"/>
              <w:jc w:val="center"/>
              <w:rPr>
                <w:rFonts w:hint="eastAsia"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每种危险物质的最大存在量q</w:t>
            </w:r>
            <w:r>
              <w:rPr>
                <w:rFonts w:hint="default" w:ascii="Times New Roman" w:hAnsi="Times New Roman" w:cs="Times New Roman"/>
                <w:color w:val="000000" w:themeColor="text1"/>
                <w:spacing w:val="0"/>
                <w:position w:val="0"/>
                <w:sz w:val="21"/>
                <w:szCs w:val="21"/>
                <w:highlight w:val="none"/>
                <w:u w:val="none"/>
                <w:vertAlign w:val="subscript"/>
                <w14:textFill>
                  <w14:solidFill>
                    <w14:schemeClr w14:val="tx1"/>
                  </w14:solidFill>
                </w14:textFill>
              </w:rPr>
              <w:t>n</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r>
              <w:rPr>
                <w:rFonts w:hint="eastAsia" w:ascii="Times New Roman" w:hAnsi="Times New Roman" w:cs="Times New Roman"/>
                <w:b/>
                <w:bCs/>
                <w:color w:val="000000" w:themeColor="text1"/>
                <w:spacing w:val="0"/>
                <w:position w:val="0"/>
                <w:sz w:val="21"/>
                <w:szCs w:val="21"/>
                <w:highlight w:val="none"/>
                <w:u w:val="none"/>
                <w:lang w:val="en-US" w:eastAsia="zh-CN"/>
                <w14:textFill>
                  <w14:solidFill>
                    <w14:schemeClr w14:val="tx1"/>
                  </w14:solidFill>
                </w14:textFill>
              </w:rPr>
              <w:t>t</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p>
        </w:tc>
        <w:tc>
          <w:tcPr>
            <w:tcW w:w="1569" w:type="pct"/>
            <w:tcBorders>
              <w:bottom w:val="single" w:color="auto" w:sz="12" w:space="0"/>
              <w:tl2br w:val="nil"/>
              <w:tr2bl w:val="nil"/>
            </w:tcBorders>
            <w:noWrap w:val="0"/>
            <w:vAlign w:val="center"/>
          </w:tcPr>
          <w:p w14:paraId="79A63443">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每种危险物质的临界量Qn</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r>
              <w:rPr>
                <w:rFonts w:hint="eastAsia" w:ascii="Times New Roman" w:hAnsi="Times New Roman" w:cs="Times New Roman"/>
                <w:b/>
                <w:bCs/>
                <w:color w:val="000000" w:themeColor="text1"/>
                <w:spacing w:val="0"/>
                <w:position w:val="0"/>
                <w:sz w:val="21"/>
                <w:szCs w:val="21"/>
                <w:highlight w:val="none"/>
                <w:u w:val="none"/>
                <w:lang w:val="en-US" w:eastAsia="zh-CN"/>
                <w14:textFill>
                  <w14:solidFill>
                    <w14:schemeClr w14:val="tx1"/>
                  </w14:solidFill>
                </w14:textFill>
              </w:rPr>
              <w:t>t</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p>
        </w:tc>
        <w:tc>
          <w:tcPr>
            <w:tcW w:w="1179" w:type="pct"/>
            <w:tcBorders>
              <w:bottom w:val="single" w:color="auto" w:sz="12" w:space="0"/>
              <w:tl2br w:val="nil"/>
              <w:tr2bl w:val="nil"/>
            </w:tcBorders>
            <w:noWrap w:val="0"/>
            <w:vAlign w:val="center"/>
          </w:tcPr>
          <w:p w14:paraId="3BCBDEE4">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1"/>
                <w:szCs w:val="21"/>
                <w:highlight w:val="none"/>
                <w:u w:val="none"/>
                <w:vertAlign w:val="subscript"/>
                <w14:textFill>
                  <w14:solidFill>
                    <w14:schemeClr w14:val="tx1"/>
                  </w14:solidFill>
                </w14:textFill>
              </w:rPr>
              <w:t>n</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/Qn</w:t>
            </w:r>
          </w:p>
        </w:tc>
      </w:tr>
      <w:tr w14:paraId="388332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1F9D4B22">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废</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润滑油</w:t>
            </w:r>
          </w:p>
        </w:tc>
        <w:tc>
          <w:tcPr>
            <w:tcW w:w="1441" w:type="pct"/>
            <w:noWrap w:val="0"/>
            <w:vAlign w:val="center"/>
          </w:tcPr>
          <w:p w14:paraId="619BE8FC">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03</w:t>
            </w:r>
          </w:p>
        </w:tc>
        <w:tc>
          <w:tcPr>
            <w:tcW w:w="1569" w:type="pct"/>
            <w:noWrap w:val="0"/>
            <w:vAlign w:val="center"/>
          </w:tcPr>
          <w:p w14:paraId="788F1C76">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2500</w:t>
            </w:r>
          </w:p>
        </w:tc>
        <w:tc>
          <w:tcPr>
            <w:tcW w:w="1179" w:type="pct"/>
            <w:noWrap w:val="0"/>
            <w:vAlign w:val="center"/>
          </w:tcPr>
          <w:p w14:paraId="4F166373">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0.0000</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12</w:t>
            </w:r>
          </w:p>
        </w:tc>
      </w:tr>
      <w:tr w14:paraId="13A29E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000547D4">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甲醇</w:t>
            </w:r>
          </w:p>
        </w:tc>
        <w:tc>
          <w:tcPr>
            <w:tcW w:w="1441" w:type="pct"/>
            <w:noWrap w:val="0"/>
            <w:vAlign w:val="center"/>
          </w:tcPr>
          <w:p w14:paraId="749739E3">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569" w:type="pct"/>
            <w:noWrap w:val="0"/>
            <w:vAlign w:val="center"/>
          </w:tcPr>
          <w:p w14:paraId="133FE320">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10</w:t>
            </w:r>
          </w:p>
        </w:tc>
        <w:tc>
          <w:tcPr>
            <w:tcW w:w="1179" w:type="pct"/>
            <w:noWrap w:val="0"/>
            <w:vAlign w:val="center"/>
          </w:tcPr>
          <w:p w14:paraId="156CDEED">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0.2</w:t>
            </w:r>
          </w:p>
        </w:tc>
      </w:tr>
      <w:tr w14:paraId="7BB52B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39ECE4AA">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盐酸</w:t>
            </w:r>
          </w:p>
        </w:tc>
        <w:tc>
          <w:tcPr>
            <w:tcW w:w="1441" w:type="pct"/>
            <w:noWrap w:val="0"/>
            <w:vAlign w:val="center"/>
          </w:tcPr>
          <w:p w14:paraId="4AA6813D">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25.7</w:t>
            </w:r>
          </w:p>
        </w:tc>
        <w:tc>
          <w:tcPr>
            <w:tcW w:w="1569" w:type="pct"/>
            <w:noWrap w:val="0"/>
            <w:vAlign w:val="center"/>
          </w:tcPr>
          <w:p w14:paraId="3D50634C">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7.5</w:t>
            </w:r>
          </w:p>
        </w:tc>
        <w:tc>
          <w:tcPr>
            <w:tcW w:w="1179" w:type="pct"/>
            <w:noWrap w:val="0"/>
            <w:vAlign w:val="center"/>
          </w:tcPr>
          <w:p w14:paraId="6F4E8A17">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3.43</w:t>
            </w:r>
          </w:p>
        </w:tc>
      </w:tr>
      <w:tr w14:paraId="1F54CE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4"/>
            <w:noWrap w:val="0"/>
            <w:vAlign w:val="center"/>
          </w:tcPr>
          <w:p w14:paraId="4FF55A23">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14:textFill>
                  <w14:solidFill>
                    <w14:schemeClr w14:val="tx1"/>
                  </w14:solidFill>
                </w14:textFill>
              </w:rPr>
              <w:t>Q=</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3.63</w:t>
            </w:r>
          </w:p>
        </w:tc>
      </w:tr>
    </w:tbl>
    <w:p w14:paraId="2B915263">
      <w:pPr>
        <w:pStyle w:val="49"/>
        <w:pageBreakBefore w:val="0"/>
        <w:kinsoku/>
        <w:wordWrap/>
        <w:bidi w:val="0"/>
        <w:spacing w:beforeAutospacing="0" w:afterAutospacing="0" w:line="360" w:lineRule="auto"/>
        <w:ind w:left="0" w:leftChars="0" w:right="0" w:rightChars="0" w:firstLine="480"/>
        <w:rPr>
          <w:rFonts w:hint="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由上表可知，</w:t>
      </w:r>
      <w:bookmarkStart w:id="46" w:name="OLE_LINK5"/>
      <w:r>
        <w:rPr>
          <w:rFonts w:hint="default" w:ascii="Times New Roman" w:hAnsi="Times New Roman" w:cs="Times New Roman"/>
          <w:color w:val="000000" w:themeColor="text1"/>
          <w:spacing w:val="0"/>
          <w:position w:val="0"/>
          <w:highlight w:val="none"/>
          <w:u w:val="none"/>
          <w14:textFill>
            <w14:solidFill>
              <w14:schemeClr w14:val="tx1"/>
            </w14:solidFill>
          </w14:textFill>
        </w:rPr>
        <w:t>本项目</w:t>
      </w:r>
      <w:r>
        <w:rPr>
          <w:rFonts w:hint="eastAsia" w:cs="Times New Roman"/>
          <w:color w:val="000000" w:themeColor="text1"/>
          <w:spacing w:val="0"/>
          <w:position w:val="0"/>
          <w:highlight w:val="none"/>
          <w:u w:val="none"/>
          <w:lang w:val="en-US" w:eastAsia="zh-CN"/>
          <w14:textFill>
            <w14:solidFill>
              <w14:schemeClr w14:val="tx1"/>
            </w14:solidFill>
          </w14:textFill>
        </w:rPr>
        <w:t>Q=3.63，1≤</w:t>
      </w:r>
      <w:r>
        <w:rPr>
          <w:rFonts w:hint="default" w:ascii="Times New Roman" w:hAnsi="Times New Roman" w:cs="Times New Roman"/>
          <w:color w:val="000000" w:themeColor="text1"/>
          <w:spacing w:val="0"/>
          <w:position w:val="0"/>
          <w:highlight w:val="none"/>
          <w:u w:val="none"/>
          <w14:textFill>
            <w14:solidFill>
              <w14:schemeClr w14:val="tx1"/>
            </w14:solidFill>
          </w14:textFill>
        </w:rPr>
        <w:t>Q</w:t>
      </w:r>
      <w:r>
        <w:rPr>
          <w:rFonts w:hint="eastAsia"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cs="Times New Roman"/>
          <w:color w:val="000000" w:themeColor="text1"/>
          <w:spacing w:val="0"/>
          <w:position w:val="0"/>
          <w:highlight w:val="none"/>
          <w:u w:val="none"/>
          <w14:textFill>
            <w14:solidFill>
              <w14:schemeClr w14:val="tx1"/>
            </w14:solidFill>
          </w14:textFill>
        </w:rPr>
        <w:t>1</w:t>
      </w:r>
      <w:r>
        <w:rPr>
          <w:rFonts w:hint="eastAsia" w:cs="Times New Roman"/>
          <w:color w:val="000000" w:themeColor="text1"/>
          <w:spacing w:val="0"/>
          <w:position w:val="0"/>
          <w:highlight w:val="none"/>
          <w:u w:val="none"/>
          <w:lang w:val="en-US" w:eastAsia="zh-CN"/>
          <w14:textFill>
            <w14:solidFill>
              <w14:schemeClr w14:val="tx1"/>
            </w14:solidFill>
          </w14:textFill>
        </w:rPr>
        <w:t>0</w:t>
      </w:r>
      <w:bookmarkEnd w:id="46"/>
      <w:r>
        <w:rPr>
          <w:rFonts w:hint="eastAsia" w:cs="Times New Roman"/>
          <w:color w:val="000000" w:themeColor="text1"/>
          <w:spacing w:val="0"/>
          <w:position w:val="0"/>
          <w:highlight w:val="none"/>
          <w:u w:val="none"/>
          <w:lang w:val="en-US" w:eastAsia="zh-CN"/>
          <w14:textFill>
            <w14:solidFill>
              <w14:schemeClr w14:val="tx1"/>
            </w14:solidFill>
          </w14:textFill>
        </w:rPr>
        <w:t>，</w:t>
      </w:r>
      <w:r>
        <w:rPr>
          <w:color w:val="000000" w:themeColor="text1"/>
          <w:sz w:val="24"/>
          <w:szCs w:val="24"/>
          <w:highlight w:val="none"/>
          <w14:textFill>
            <w14:solidFill>
              <w14:schemeClr w14:val="tx1"/>
            </w14:solidFill>
          </w14:textFill>
        </w:rPr>
        <w:t>需要进一步根据行业及生产工艺（M）及环境敏感程度（E）进行判定</w:t>
      </w:r>
      <w:r>
        <w:rPr>
          <w:rFonts w:hint="eastAsia"/>
          <w:color w:val="000000" w:themeColor="text1"/>
          <w:sz w:val="24"/>
          <w:szCs w:val="24"/>
          <w:highlight w:val="none"/>
          <w:lang w:val="en-US" w:eastAsia="zh-CN"/>
          <w14:textFill>
            <w14:solidFill>
              <w14:schemeClr w14:val="tx1"/>
            </w14:solidFill>
          </w14:textFill>
        </w:rPr>
        <w:t>。</w:t>
      </w:r>
    </w:p>
    <w:p w14:paraId="213D37A8">
      <w:pPr>
        <w:pStyle w:val="49"/>
        <w:pageBreakBefore w:val="0"/>
        <w:kinsoku/>
        <w:wordWrap/>
        <w:bidi w:val="0"/>
        <w:spacing w:beforeAutospacing="0" w:afterAutospacing="0" w:line="360" w:lineRule="auto"/>
        <w:ind w:left="0" w:leftChars="0" w:right="0" w:rightChars="0"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4</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M值确定</w:t>
      </w:r>
    </w:p>
    <w:p w14:paraId="41E6A67A">
      <w:pPr>
        <w:pStyle w:val="49"/>
        <w:pageBreakBefore w:val="0"/>
        <w:kinsoku/>
        <w:wordWrap/>
        <w:bidi w:val="0"/>
        <w:spacing w:beforeAutospacing="0" w:afterAutospacing="0" w:line="360" w:lineRule="auto"/>
        <w:ind w:left="0" w:leftChars="0" w:right="0" w:rightChars="0" w:firstLine="48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根据《建设项目环境风险评价技术导则》(HJ169-2018)附录C中表C.1的规定，</w:t>
      </w:r>
      <w:r>
        <w:rPr>
          <w:rFonts w:hint="eastAsia"/>
          <w:color w:val="000000" w:themeColor="text1"/>
          <w:sz w:val="24"/>
          <w:szCs w:val="24"/>
          <w:highlight w:val="none"/>
          <w:lang w:val="en-US" w:eastAsia="zh-CN"/>
          <w14:textFill>
            <w14:solidFill>
              <w14:schemeClr w14:val="tx1"/>
            </w14:solidFill>
          </w14:textFill>
        </w:rPr>
        <w:t>本</w:t>
      </w:r>
      <w:r>
        <w:rPr>
          <w:color w:val="000000" w:themeColor="text1"/>
          <w:sz w:val="24"/>
          <w:szCs w:val="24"/>
          <w:highlight w:val="none"/>
          <w14:textFill>
            <w14:solidFill>
              <w14:schemeClr w14:val="tx1"/>
            </w14:solidFill>
          </w14:textFill>
        </w:rPr>
        <w:t>项目属于其他涉及危险物质使用、贮存的项目，M值为5，用M4表示，具体见表</w:t>
      </w:r>
      <w:r>
        <w:rPr>
          <w:rFonts w:hint="eastAsia"/>
          <w:color w:val="000000" w:themeColor="text1"/>
          <w:sz w:val="24"/>
          <w:szCs w:val="24"/>
          <w:highlight w:val="none"/>
          <w:lang w:val="en-US" w:eastAsia="zh-CN"/>
          <w14:textFill>
            <w14:solidFill>
              <w14:schemeClr w14:val="tx1"/>
            </w14:solidFill>
          </w14:textFill>
        </w:rPr>
        <w:t>3</w:t>
      </w:r>
      <w:r>
        <w:rPr>
          <w:color w:val="000000" w:themeColor="text1"/>
          <w:sz w:val="24"/>
          <w:szCs w:val="24"/>
          <w:highlight w:val="none"/>
          <w14:textFill>
            <w14:solidFill>
              <w14:schemeClr w14:val="tx1"/>
            </w14:solidFill>
          </w14:textFill>
        </w:rPr>
        <w:t>。</w:t>
      </w:r>
    </w:p>
    <w:p w14:paraId="3FEC00F0">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3</w:t>
      </w:r>
      <w:r>
        <w:rPr>
          <w:b/>
          <w:color w:val="000000" w:themeColor="text1"/>
          <w:highlight w:val="none"/>
          <w:lang w:val="zh-CN"/>
          <w14:textFill>
            <w14:solidFill>
              <w14:schemeClr w14:val="tx1"/>
            </w14:solidFill>
          </w14:textFill>
        </w:rPr>
        <w:t xml:space="preserve">      建设项目 M 值确定一览表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Layout w:type="fixed"/>
        <w:tblCellMar>
          <w:top w:w="0" w:type="dxa"/>
          <w:left w:w="0" w:type="dxa"/>
          <w:bottom w:w="0" w:type="dxa"/>
          <w:right w:w="0" w:type="dxa"/>
        </w:tblCellMar>
      </w:tblPr>
      <w:tblGrid>
        <w:gridCol w:w="1363"/>
        <w:gridCol w:w="3019"/>
        <w:gridCol w:w="1501"/>
        <w:gridCol w:w="2054"/>
      </w:tblGrid>
      <w:tr w14:paraId="6EBFD2BF">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0" w:type="dxa"/>
            <w:bottom w:w="0" w:type="dxa"/>
            <w:right w:w="0" w:type="dxa"/>
          </w:tblCellMar>
        </w:tblPrEx>
        <w:trPr>
          <w:trHeight w:val="329" w:hRule="atLeast"/>
          <w:jc w:val="center"/>
        </w:trPr>
        <w:tc>
          <w:tcPr>
            <w:tcW w:w="1363" w:type="dxa"/>
            <w:noWrap w:val="0"/>
            <w:vAlign w:val="center"/>
          </w:tcPr>
          <w:p w14:paraId="76BF0A70">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行业</w:t>
            </w:r>
          </w:p>
        </w:tc>
        <w:tc>
          <w:tcPr>
            <w:tcW w:w="3019" w:type="dxa"/>
            <w:noWrap w:val="0"/>
            <w:vAlign w:val="center"/>
          </w:tcPr>
          <w:p w14:paraId="57FF1751">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评估依据</w:t>
            </w:r>
          </w:p>
        </w:tc>
        <w:tc>
          <w:tcPr>
            <w:tcW w:w="1501" w:type="dxa"/>
            <w:noWrap w:val="0"/>
            <w:vAlign w:val="center"/>
          </w:tcPr>
          <w:p w14:paraId="5784AFC3">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本项目涉及工艺</w:t>
            </w:r>
          </w:p>
        </w:tc>
        <w:tc>
          <w:tcPr>
            <w:tcW w:w="2054" w:type="dxa"/>
            <w:noWrap w:val="0"/>
            <w:vAlign w:val="center"/>
          </w:tcPr>
          <w:p w14:paraId="737B27A7">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项目分值</w:t>
            </w:r>
          </w:p>
        </w:tc>
      </w:tr>
      <w:tr w14:paraId="649AC332">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0" w:type="dxa"/>
            <w:bottom w:w="0" w:type="dxa"/>
            <w:right w:w="0" w:type="dxa"/>
          </w:tblCellMar>
        </w:tblPrEx>
        <w:trPr>
          <w:trHeight w:val="329" w:hRule="atLeast"/>
          <w:jc w:val="center"/>
        </w:trPr>
        <w:tc>
          <w:tcPr>
            <w:tcW w:w="1363" w:type="dxa"/>
            <w:noWrap w:val="0"/>
            <w:vAlign w:val="center"/>
          </w:tcPr>
          <w:p w14:paraId="69BBAF5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hint="eastAsia" w:ascii="Times New Roman" w:hAnsi="Times New Roman"/>
                <w:color w:val="000000" w:themeColor="text1"/>
                <w:kern w:val="21"/>
                <w:sz w:val="21"/>
                <w:szCs w:val="21"/>
                <w:highlight w:val="none"/>
                <w:lang w:eastAsia="zh-CN"/>
                <w14:textFill>
                  <w14:solidFill>
                    <w14:schemeClr w14:val="tx1"/>
                  </w14:solidFill>
                </w14:textFill>
              </w:rPr>
              <w:t>化学品仓储</w:t>
            </w:r>
          </w:p>
        </w:tc>
        <w:tc>
          <w:tcPr>
            <w:tcW w:w="3019" w:type="dxa"/>
            <w:noWrap w:val="0"/>
            <w:vAlign w:val="center"/>
          </w:tcPr>
          <w:p w14:paraId="4D63A29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涉及危险物质使用、贮存的项目</w:t>
            </w:r>
          </w:p>
        </w:tc>
        <w:tc>
          <w:tcPr>
            <w:tcW w:w="1501" w:type="dxa"/>
            <w:noWrap w:val="0"/>
            <w:vAlign w:val="center"/>
          </w:tcPr>
          <w:p w14:paraId="6F712BBD">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其他</w:t>
            </w:r>
          </w:p>
        </w:tc>
        <w:tc>
          <w:tcPr>
            <w:tcW w:w="2054" w:type="dxa"/>
            <w:noWrap w:val="0"/>
            <w:vAlign w:val="center"/>
          </w:tcPr>
          <w:p w14:paraId="2F64ADFF">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5</w:t>
            </w:r>
          </w:p>
        </w:tc>
      </w:tr>
      <w:tr w14:paraId="271C6103">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0" w:type="dxa"/>
            <w:bottom w:w="0" w:type="dxa"/>
            <w:right w:w="0" w:type="dxa"/>
          </w:tblCellMar>
        </w:tblPrEx>
        <w:trPr>
          <w:trHeight w:val="329" w:hRule="atLeast"/>
          <w:jc w:val="center"/>
        </w:trPr>
        <w:tc>
          <w:tcPr>
            <w:tcW w:w="5883" w:type="dxa"/>
            <w:gridSpan w:val="3"/>
            <w:noWrap w:val="0"/>
            <w:vAlign w:val="center"/>
          </w:tcPr>
          <w:p w14:paraId="7016E3C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项目M值</w:t>
            </w:r>
            <w:r>
              <w:rPr>
                <w:rFonts w:ascii="Times New Roman" w:hAnsi="Times New Roman"/>
                <w:color w:val="000000" w:themeColor="text1"/>
                <w:kern w:val="21"/>
                <w:sz w:val="21"/>
                <w:szCs w:val="21"/>
                <w:highlight w:val="none"/>
                <w14:textFill>
                  <w14:solidFill>
                    <w14:schemeClr w14:val="tx1"/>
                  </w14:solidFill>
                </w14:textFill>
              </w:rPr>
              <w:t>Σ</w:t>
            </w:r>
          </w:p>
        </w:tc>
        <w:tc>
          <w:tcPr>
            <w:tcW w:w="2054" w:type="dxa"/>
            <w:noWrap w:val="0"/>
            <w:vAlign w:val="center"/>
          </w:tcPr>
          <w:p w14:paraId="24BB8E3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5</w:t>
            </w:r>
          </w:p>
        </w:tc>
      </w:tr>
    </w:tbl>
    <w:p w14:paraId="7256CCF0">
      <w:pPr>
        <w:pStyle w:val="53"/>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危险物质及工艺系统危险性(P)确定</w:t>
      </w:r>
    </w:p>
    <w:p w14:paraId="2789CE2B">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根据危险物质数量与临界量比值(Q)和行业及生产工艺(M)确定危险物质及工艺系统危险性等级(P)判断，分别以P1、P2、P3、P4表示，其判断依据见表</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p>
    <w:p w14:paraId="0CEB5386">
      <w:pPr>
        <w:pStyle w:val="36"/>
        <w:pageBreakBefore w:val="0"/>
        <w:widowControl/>
        <w:kinsoku/>
        <w:wordWrap/>
        <w:bidi w:val="0"/>
        <w:spacing w:beforeAutospacing="0" w:afterAutospacing="0"/>
        <w:ind w:left="0" w:leftChars="0" w:right="0" w:rightChars="0" w:firstLine="0" w:firstLineChars="0"/>
        <w:jc w:val="center"/>
        <w:rPr>
          <w:rFonts w:hint="eastAsia" w:ascii="Times New Roman" w:hAnsi="Times New Roman" w:eastAsia="宋体" w:cs="Times New Roman"/>
          <w:b/>
          <w:bCs/>
          <w:color w:val="000000" w:themeColor="text1"/>
          <w:spacing w:val="0"/>
          <w:position w:val="0"/>
          <w:sz w:val="21"/>
          <w:szCs w:val="21"/>
          <w:highlight w:val="none"/>
          <w:u w:val="none"/>
          <w:lang w:eastAsia="zh-CN"/>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表</w:t>
      </w:r>
      <w:r>
        <w:rPr>
          <w:rFonts w:hint="eastAsia" w:ascii="Times New Roman" w:cs="Times New Roman"/>
          <w:color w:val="000000" w:themeColor="text1"/>
          <w:spacing w:val="0"/>
          <w:position w:val="0"/>
          <w:sz w:val="21"/>
          <w:szCs w:val="21"/>
          <w:highlight w:val="none"/>
          <w:u w:val="none"/>
          <w:lang w:val="en-US" w:eastAsia="zh-CN"/>
          <w14:textFill>
            <w14:solidFill>
              <w14:schemeClr w14:val="tx1"/>
            </w14:solidFill>
          </w14:textFill>
        </w:rPr>
        <w:t>4</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 xml:space="preserve">    </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危险物质及工艺系统危险性等级判断</w:t>
      </w:r>
      <w:r>
        <w:rPr>
          <w:rFonts w:hint="eastAsia" w:ascii="Times New Roman" w:cs="Times New Roman"/>
          <w:b/>
          <w:bCs/>
          <w:color w:val="000000" w:themeColor="text1"/>
          <w:spacing w:val="0"/>
          <w:position w:val="0"/>
          <w:sz w:val="21"/>
          <w:szCs w:val="21"/>
          <w:highlight w:val="none"/>
          <w:u w:val="none"/>
          <w:lang w:eastAsia="zh-CN"/>
          <w14:textFill>
            <w14:solidFill>
              <w14:schemeClr w14:val="tx1"/>
            </w14:solidFill>
          </w14:textFill>
        </w:rPr>
        <w:t>（</w:t>
      </w:r>
      <w:r>
        <w:rPr>
          <w:rFonts w:hint="eastAsia" w:ascii="Times New Roman" w:cs="Times New Roman"/>
          <w:b/>
          <w:bCs/>
          <w:color w:val="000000" w:themeColor="text1"/>
          <w:spacing w:val="0"/>
          <w:position w:val="0"/>
          <w:sz w:val="21"/>
          <w:szCs w:val="21"/>
          <w:highlight w:val="none"/>
          <w:u w:val="none"/>
          <w:lang w:val="en-US" w:eastAsia="zh-CN"/>
          <w14:textFill>
            <w14:solidFill>
              <w14:schemeClr w14:val="tx1"/>
            </w14:solidFill>
          </w14:textFill>
        </w:rPr>
        <w:t>P</w:t>
      </w:r>
      <w:r>
        <w:rPr>
          <w:rFonts w:hint="eastAsia" w:ascii="Times New Roman" w:cs="Times New Roman"/>
          <w:b/>
          <w:bCs/>
          <w:color w:val="000000" w:themeColor="text1"/>
          <w:spacing w:val="0"/>
          <w:position w:val="0"/>
          <w:sz w:val="21"/>
          <w:szCs w:val="21"/>
          <w:highlight w:val="none"/>
          <w:u w:val="none"/>
          <w:lang w:eastAsia="zh-CN"/>
          <w14:textFill>
            <w14:solidFill>
              <w14:schemeClr w14:val="tx1"/>
            </w14:solidFill>
          </w14:textFill>
        </w:rPr>
        <w:t>）</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1786"/>
        <w:gridCol w:w="1786"/>
        <w:gridCol w:w="1786"/>
        <w:gridCol w:w="1789"/>
      </w:tblGrid>
      <w:tr w14:paraId="09ACAE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66" w:hRule="atLeast"/>
          <w:tblHeader/>
          <w:jc w:val="center"/>
        </w:trPr>
        <w:tc>
          <w:tcPr>
            <w:tcW w:w="809" w:type="pct"/>
            <w:vMerge w:val="restart"/>
            <w:tcBorders>
              <w:tl2br w:val="nil"/>
              <w:tr2bl w:val="nil"/>
            </w:tcBorders>
            <w:noWrap w:val="0"/>
            <w:vAlign w:val="center"/>
          </w:tcPr>
          <w:p w14:paraId="435B621A">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u w:val="none"/>
                <w14:textFill>
                  <w14:solidFill>
                    <w14:schemeClr w14:val="tx1"/>
                  </w14:solidFill>
                </w14:textFill>
              </w:rPr>
              <w:t>危险物质数量与临界量比值</w:t>
            </w: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Q</w:t>
            </w: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w:t>
            </w:r>
          </w:p>
        </w:tc>
        <w:tc>
          <w:tcPr>
            <w:tcW w:w="4190" w:type="pct"/>
            <w:gridSpan w:val="4"/>
            <w:tcBorders>
              <w:bottom w:val="single" w:color="auto" w:sz="12" w:space="0"/>
              <w:tl2br w:val="nil"/>
              <w:tr2bl w:val="nil"/>
            </w:tcBorders>
            <w:noWrap w:val="0"/>
            <w:vAlign w:val="center"/>
          </w:tcPr>
          <w:p w14:paraId="43B0F23A">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行业及生产工艺（</w:t>
            </w:r>
            <w: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w:t>
            </w:r>
          </w:p>
        </w:tc>
      </w:tr>
      <w:tr w14:paraId="2C3702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3" w:hRule="atLeast"/>
          <w:tblHeader/>
          <w:jc w:val="center"/>
        </w:trPr>
        <w:tc>
          <w:tcPr>
            <w:tcW w:w="809" w:type="pct"/>
            <w:vMerge w:val="continue"/>
            <w:tcBorders>
              <w:bottom w:val="single" w:color="auto" w:sz="12" w:space="0"/>
              <w:tl2br w:val="nil"/>
              <w:tr2bl w:val="nil"/>
            </w:tcBorders>
            <w:noWrap w:val="0"/>
            <w:vAlign w:val="center"/>
          </w:tcPr>
          <w:p w14:paraId="5361629E">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1047" w:type="pct"/>
            <w:tcBorders>
              <w:bottom w:val="single" w:color="auto" w:sz="12" w:space="0"/>
              <w:tl2br w:val="nil"/>
              <w:tr2bl w:val="nil"/>
            </w:tcBorders>
            <w:noWrap w:val="0"/>
            <w:vAlign w:val="center"/>
          </w:tcPr>
          <w:p w14:paraId="7118326B">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M1</w:t>
            </w:r>
          </w:p>
        </w:tc>
        <w:tc>
          <w:tcPr>
            <w:tcW w:w="1047" w:type="pct"/>
            <w:tcBorders>
              <w:bottom w:val="single" w:color="auto" w:sz="12" w:space="0"/>
              <w:tl2br w:val="nil"/>
              <w:tr2bl w:val="nil"/>
            </w:tcBorders>
            <w:noWrap w:val="0"/>
            <w:vAlign w:val="center"/>
          </w:tcPr>
          <w:p w14:paraId="7AC2B865">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M2</w:t>
            </w:r>
          </w:p>
        </w:tc>
        <w:tc>
          <w:tcPr>
            <w:tcW w:w="1047" w:type="pct"/>
            <w:tcBorders>
              <w:bottom w:val="single" w:color="auto" w:sz="12" w:space="0"/>
              <w:tl2br w:val="nil"/>
              <w:tr2bl w:val="nil"/>
            </w:tcBorders>
            <w:noWrap w:val="0"/>
            <w:vAlign w:val="center"/>
          </w:tcPr>
          <w:p w14:paraId="6B7C24C4">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M3</w:t>
            </w:r>
          </w:p>
        </w:tc>
        <w:tc>
          <w:tcPr>
            <w:tcW w:w="1048" w:type="pct"/>
            <w:tcBorders>
              <w:bottom w:val="single" w:color="auto" w:sz="12" w:space="0"/>
              <w:tl2br w:val="nil"/>
              <w:tr2bl w:val="nil"/>
            </w:tcBorders>
            <w:noWrap w:val="0"/>
            <w:vAlign w:val="center"/>
          </w:tcPr>
          <w:p w14:paraId="0C04B107">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M4</w:t>
            </w:r>
          </w:p>
        </w:tc>
      </w:tr>
      <w:tr w14:paraId="378605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0282C922">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Q</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0</w:t>
            </w:r>
          </w:p>
        </w:tc>
        <w:tc>
          <w:tcPr>
            <w:tcW w:w="1047" w:type="pct"/>
            <w:noWrap w:val="0"/>
            <w:vAlign w:val="center"/>
          </w:tcPr>
          <w:p w14:paraId="15808681">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P1</w:t>
            </w:r>
          </w:p>
        </w:tc>
        <w:tc>
          <w:tcPr>
            <w:tcW w:w="1047" w:type="pct"/>
            <w:noWrap w:val="0"/>
            <w:vAlign w:val="center"/>
          </w:tcPr>
          <w:p w14:paraId="0B142F8B">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1</w:t>
            </w:r>
          </w:p>
        </w:tc>
        <w:tc>
          <w:tcPr>
            <w:tcW w:w="1047" w:type="pct"/>
            <w:noWrap w:val="0"/>
            <w:vAlign w:val="center"/>
          </w:tcPr>
          <w:p w14:paraId="5CB411EA">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048" w:type="pct"/>
            <w:noWrap w:val="0"/>
            <w:vAlign w:val="center"/>
          </w:tcPr>
          <w:p w14:paraId="59F3CE81">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3</w:t>
            </w:r>
          </w:p>
        </w:tc>
      </w:tr>
      <w:tr w14:paraId="30ADA7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65ACFE1F">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Q</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0</w:t>
            </w:r>
          </w:p>
        </w:tc>
        <w:tc>
          <w:tcPr>
            <w:tcW w:w="1047" w:type="pct"/>
            <w:noWrap w:val="0"/>
            <w:vAlign w:val="center"/>
          </w:tcPr>
          <w:p w14:paraId="286C7B3A">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1</w:t>
            </w:r>
          </w:p>
        </w:tc>
        <w:tc>
          <w:tcPr>
            <w:tcW w:w="1047" w:type="pct"/>
            <w:noWrap w:val="0"/>
            <w:vAlign w:val="center"/>
          </w:tcPr>
          <w:p w14:paraId="3B06A6D3">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047" w:type="pct"/>
            <w:noWrap w:val="0"/>
            <w:vAlign w:val="center"/>
          </w:tcPr>
          <w:p w14:paraId="40BF08CB">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3</w:t>
            </w:r>
          </w:p>
        </w:tc>
        <w:tc>
          <w:tcPr>
            <w:tcW w:w="1048" w:type="pct"/>
            <w:noWrap w:val="0"/>
            <w:vAlign w:val="center"/>
          </w:tcPr>
          <w:p w14:paraId="00AED384">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4</w:t>
            </w:r>
          </w:p>
        </w:tc>
      </w:tr>
      <w:tr w14:paraId="211796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2DA7DC1E">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Q</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0</w:t>
            </w:r>
          </w:p>
        </w:tc>
        <w:tc>
          <w:tcPr>
            <w:tcW w:w="1047" w:type="pct"/>
            <w:noWrap w:val="0"/>
            <w:vAlign w:val="center"/>
          </w:tcPr>
          <w:p w14:paraId="4F0EAE48">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047" w:type="pct"/>
            <w:noWrap w:val="0"/>
            <w:vAlign w:val="center"/>
          </w:tcPr>
          <w:p w14:paraId="422B18C0">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3</w:t>
            </w:r>
          </w:p>
        </w:tc>
        <w:tc>
          <w:tcPr>
            <w:tcW w:w="1047" w:type="pct"/>
            <w:noWrap w:val="0"/>
            <w:vAlign w:val="center"/>
          </w:tcPr>
          <w:p w14:paraId="151D76BE">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4</w:t>
            </w:r>
          </w:p>
        </w:tc>
        <w:tc>
          <w:tcPr>
            <w:tcW w:w="1048" w:type="pct"/>
            <w:noWrap w:val="0"/>
            <w:vAlign w:val="center"/>
          </w:tcPr>
          <w:p w14:paraId="41B36620">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4</w:t>
            </w:r>
          </w:p>
        </w:tc>
      </w:tr>
    </w:tbl>
    <w:p w14:paraId="5ECB1BE0">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lang w:bidi="ar"/>
          <w14:textFill>
            <w14:solidFill>
              <w14:schemeClr w14:val="tx1"/>
            </w14:solidFill>
          </w14:textFill>
        </w:rPr>
      </w:pPr>
      <w:r>
        <w:rPr>
          <w:rFonts w:hint="eastAsia" w:cs="Times New Roman"/>
          <w:color w:val="000000" w:themeColor="text1"/>
          <w:spacing w:val="0"/>
          <w:position w:val="0"/>
          <w:highlight w:val="none"/>
          <w:u w:val="none"/>
          <w:lang w:val="en-US" w:eastAsia="zh-CN"/>
          <w14:textFill>
            <w14:solidFill>
              <w14:schemeClr w14:val="tx1"/>
            </w14:solidFill>
          </w14:textFill>
        </w:rPr>
        <w:t>根据本项目危险物质数量与临界量比值（Q）与行业及生产工艺（M）可判断本项目危险性等级判断为P4</w:t>
      </w:r>
      <w:r>
        <w:rPr>
          <w:rFonts w:hint="default" w:ascii="Times New Roman" w:hAnsi="Times New Roman" w:cs="Times New Roman"/>
          <w:color w:val="000000" w:themeColor="text1"/>
          <w:spacing w:val="0"/>
          <w:position w:val="0"/>
          <w:highlight w:val="none"/>
          <w:u w:val="none"/>
          <w:lang w:bidi="ar"/>
          <w14:textFill>
            <w14:solidFill>
              <w14:schemeClr w14:val="tx1"/>
            </w14:solidFill>
          </w14:textFill>
        </w:rPr>
        <w:t>。</w:t>
      </w:r>
    </w:p>
    <w:p w14:paraId="26C99406">
      <w:pPr>
        <w:pStyle w:val="53"/>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环境敏感程度(E)确定</w:t>
      </w:r>
    </w:p>
    <w:p w14:paraId="15782E5C">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①大气环境敏感程度</w:t>
      </w:r>
    </w:p>
    <w:p w14:paraId="251B283D">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根据《建设项目环境风险评价技术导则》(HJ169-2018)附录D的规定</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所在区域大气环境敏感程度是依据环境敏感目标环境敏感性及人口密度划分环境风险受体的敏感性来确定。大气环境敏感程度共分为三种类型：E1为环境高度敏感区，E2为环境中度敏感区，E3为环境低度敏感区，分级原则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p>
    <w:p w14:paraId="4EC72913">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5</w:t>
      </w:r>
      <w:r>
        <w:rPr>
          <w:b/>
          <w:color w:val="000000" w:themeColor="text1"/>
          <w:highlight w:val="none"/>
          <w:lang w:val="zh-CN"/>
          <w14:textFill>
            <w14:solidFill>
              <w14:schemeClr w14:val="tx1"/>
            </w14:solidFill>
          </w14:textFill>
        </w:rPr>
        <w:t xml:space="preserve">   大气环境敏感程度分级原则一览表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49"/>
        <w:gridCol w:w="7288"/>
      </w:tblGrid>
      <w:tr w14:paraId="32D526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767" w:type="dxa"/>
            <w:noWrap w:val="0"/>
            <w:vAlign w:val="center"/>
          </w:tcPr>
          <w:p w14:paraId="70C4C62C">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分级</w:t>
            </w:r>
          </w:p>
        </w:tc>
        <w:tc>
          <w:tcPr>
            <w:tcW w:w="8654" w:type="dxa"/>
            <w:noWrap w:val="0"/>
            <w:vAlign w:val="center"/>
          </w:tcPr>
          <w:p w14:paraId="5BC44039">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大气环境敏感性</w:t>
            </w:r>
          </w:p>
        </w:tc>
      </w:tr>
      <w:tr w14:paraId="1E5FF2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767" w:type="dxa"/>
            <w:noWrap w:val="0"/>
            <w:vAlign w:val="center"/>
          </w:tcPr>
          <w:p w14:paraId="3F5B047A">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E1</w:t>
            </w:r>
          </w:p>
        </w:tc>
        <w:tc>
          <w:tcPr>
            <w:tcW w:w="8654" w:type="dxa"/>
            <w:noWrap w:val="0"/>
            <w:vAlign w:val="center"/>
          </w:tcPr>
          <w:p w14:paraId="6D7AB13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周边5km范围内居住区、医疗卫生、文化教育、科研、行政办公等机构人口总数大于5万人，或其他需要特殊保护区域；或周边500m范围内人口总数大于1000人；油气、化学品输送管线管段周边200m范围内，每千米管段人口数大于200人</w:t>
            </w:r>
          </w:p>
        </w:tc>
      </w:tr>
      <w:tr w14:paraId="348C06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767" w:type="dxa"/>
            <w:noWrap w:val="0"/>
            <w:vAlign w:val="center"/>
          </w:tcPr>
          <w:p w14:paraId="1923E642">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E2</w:t>
            </w:r>
          </w:p>
        </w:tc>
        <w:tc>
          <w:tcPr>
            <w:tcW w:w="8654" w:type="dxa"/>
            <w:noWrap w:val="0"/>
            <w:vAlign w:val="center"/>
          </w:tcPr>
          <w:p w14:paraId="4F0369B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周边5km范围内居住区、医疗卫生、文化教育、科研、行政办公等机构人口总数大于1万人，小于5万人；或周边500m范围内人口总数大于500人，小于1000人；油气、化学品输送管线管段周边200m范围内，每千米管段人口数大于100人，小于200人</w:t>
            </w:r>
          </w:p>
        </w:tc>
      </w:tr>
      <w:tr w14:paraId="294B32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767" w:type="dxa"/>
            <w:noWrap w:val="0"/>
            <w:vAlign w:val="center"/>
          </w:tcPr>
          <w:p w14:paraId="464A32B0">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E3</w:t>
            </w:r>
          </w:p>
        </w:tc>
        <w:tc>
          <w:tcPr>
            <w:tcW w:w="8654" w:type="dxa"/>
            <w:noWrap w:val="0"/>
            <w:vAlign w:val="center"/>
          </w:tcPr>
          <w:p w14:paraId="668F8E2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周边5km范围内居住区、医疗卫生、文化教育、科研、行政办公等机构人口总数小于1万人；或周边500m范围内人口总数小于500人；油气、化学品输送管线管段周边200m范围内，每千米管段人口数小于100人</w:t>
            </w:r>
          </w:p>
        </w:tc>
      </w:tr>
    </w:tbl>
    <w:p w14:paraId="034E769C">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本项目位于新疆维吾尔自治区昌吉回族自治州昌吉国家高新技术产业开发区建材工业园昌吉市先导工程材料有限责任公司院内1#厂房</w:t>
      </w:r>
      <w:r>
        <w:rPr>
          <w:rFonts w:hint="eastAsia"/>
          <w:color w:val="000000" w:themeColor="text1"/>
          <w:highlight w:val="none"/>
          <w:lang w:val="en-US" w:eastAsia="zh-CN"/>
          <w14:textFill>
            <w14:solidFill>
              <w14:schemeClr w14:val="tx1"/>
            </w14:solidFill>
          </w14:textFill>
        </w:rPr>
        <w:t>已建车间</w:t>
      </w:r>
      <w:r>
        <w:rPr>
          <w:rFonts w:hint="default"/>
          <w:color w:val="000000" w:themeColor="text1"/>
          <w:highlight w:val="none"/>
          <w:lang w:val="en-US" w:eastAsia="zh-CN"/>
          <w14:textFill>
            <w14:solidFill>
              <w14:schemeClr w14:val="tx1"/>
            </w14:solidFill>
          </w14:textFill>
        </w:rPr>
        <w:t>。根据现场调查，周边500m范围内人口总数小于500人；项目周边无地表水体，无集中式饮用水水源等环境敏感目标，根据导则-附录D-环境敏感程度（E）的分级，本项目属于E</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为环境</w:t>
      </w:r>
      <w:r>
        <w:rPr>
          <w:rFonts w:hint="eastAsia"/>
          <w:color w:val="000000" w:themeColor="text1"/>
          <w:highlight w:val="none"/>
          <w:lang w:val="en-US" w:eastAsia="zh-CN"/>
          <w14:textFill>
            <w14:solidFill>
              <w14:schemeClr w14:val="tx1"/>
            </w14:solidFill>
          </w14:textFill>
        </w:rPr>
        <w:t>低度</w:t>
      </w:r>
      <w:r>
        <w:rPr>
          <w:rFonts w:hint="default"/>
          <w:color w:val="000000" w:themeColor="text1"/>
          <w:highlight w:val="none"/>
          <w:lang w:val="en-US" w:eastAsia="zh-CN"/>
          <w14:textFill>
            <w14:solidFill>
              <w14:schemeClr w14:val="tx1"/>
            </w14:solidFill>
          </w14:textFill>
        </w:rPr>
        <w:t>敏感区。</w:t>
      </w:r>
    </w:p>
    <w:p w14:paraId="610A6415">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②地表水环境敏感程度</w:t>
      </w:r>
    </w:p>
    <w:p w14:paraId="604C103D">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根据项目工程分析，本项目发生事故时含泄漏危险物质的事故水输送到废水池，不排入地表水体。因此，本项目不考虑风险事故泄露危险物质对地表水体的影响。</w:t>
      </w:r>
    </w:p>
    <w:p w14:paraId="0C2A7FEE">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③地下水环境敏感程度</w:t>
      </w:r>
    </w:p>
    <w:p w14:paraId="5AB6215E">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HJ169-2018)附录D的规定：项目所在区域地下水环境敏感程度依据地下水功能敏感性与包气带防污性能确定。区域地下水环境敏感程度共分为三种类型，E1为环境高度敏感区，E2为环境中度敏感区，E3为环境低度敏感区，其分级原则见表</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。其中地下水功能敏感性分区和包气带防污性能分级分别见表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和表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。当同一建设项目涉及两个G分区或D分级及以上时，取相对高值。</w:t>
      </w:r>
    </w:p>
    <w:p w14:paraId="25C76B71">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 xml:space="preserve">6   </w:t>
      </w:r>
      <w:r>
        <w:rPr>
          <w:b/>
          <w:color w:val="000000" w:themeColor="text1"/>
          <w:highlight w:val="none"/>
          <w:lang w:val="zh-CN"/>
          <w14:textFill>
            <w14:solidFill>
              <w14:schemeClr w14:val="tx1"/>
            </w14:solidFill>
          </w14:textFill>
        </w:rPr>
        <w:t>地下水环境敏感程度分级原则一览表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817"/>
        <w:gridCol w:w="2149"/>
        <w:gridCol w:w="1985"/>
        <w:gridCol w:w="1986"/>
      </w:tblGrid>
      <w:tr w14:paraId="4EBCF6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7" w:hRule="atLeast"/>
          <w:jc w:val="center"/>
        </w:trPr>
        <w:tc>
          <w:tcPr>
            <w:tcW w:w="2150" w:type="dxa"/>
            <w:vMerge w:val="restart"/>
            <w:noWrap w:val="0"/>
            <w:vAlign w:val="center"/>
          </w:tcPr>
          <w:p w14:paraId="64D30356">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包气带防污性能</w:t>
            </w:r>
          </w:p>
        </w:tc>
        <w:tc>
          <w:tcPr>
            <w:tcW w:w="7241" w:type="dxa"/>
            <w:gridSpan w:val="3"/>
            <w:noWrap w:val="0"/>
            <w:vAlign w:val="center"/>
          </w:tcPr>
          <w:p w14:paraId="0B8E695C">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地下水功能敏感性</w:t>
            </w:r>
          </w:p>
        </w:tc>
      </w:tr>
      <w:tr w14:paraId="5FA10A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2" w:hRule="atLeast"/>
          <w:jc w:val="center"/>
        </w:trPr>
        <w:tc>
          <w:tcPr>
            <w:tcW w:w="2150" w:type="dxa"/>
            <w:vMerge w:val="continue"/>
            <w:noWrap w:val="0"/>
            <w:vAlign w:val="center"/>
          </w:tcPr>
          <w:p w14:paraId="7A4EB36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p>
        </w:tc>
        <w:tc>
          <w:tcPr>
            <w:tcW w:w="2543" w:type="dxa"/>
            <w:noWrap w:val="0"/>
            <w:vAlign w:val="center"/>
          </w:tcPr>
          <w:p w14:paraId="4DE31182">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G1</w:t>
            </w:r>
          </w:p>
        </w:tc>
        <w:tc>
          <w:tcPr>
            <w:tcW w:w="2348" w:type="dxa"/>
            <w:noWrap w:val="0"/>
            <w:vAlign w:val="center"/>
          </w:tcPr>
          <w:p w14:paraId="4BA701D3">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G2</w:t>
            </w:r>
          </w:p>
        </w:tc>
        <w:tc>
          <w:tcPr>
            <w:tcW w:w="2350" w:type="dxa"/>
            <w:noWrap w:val="0"/>
            <w:vAlign w:val="center"/>
          </w:tcPr>
          <w:p w14:paraId="52B62CD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G3</w:t>
            </w:r>
          </w:p>
        </w:tc>
      </w:tr>
      <w:tr w14:paraId="569019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2150" w:type="dxa"/>
            <w:noWrap w:val="0"/>
            <w:vAlign w:val="center"/>
          </w:tcPr>
          <w:p w14:paraId="6FBF184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D1</w:t>
            </w:r>
          </w:p>
        </w:tc>
        <w:tc>
          <w:tcPr>
            <w:tcW w:w="2543" w:type="dxa"/>
            <w:noWrap w:val="0"/>
            <w:vAlign w:val="center"/>
          </w:tcPr>
          <w:p w14:paraId="5D591B0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E1</w:t>
            </w:r>
          </w:p>
        </w:tc>
        <w:tc>
          <w:tcPr>
            <w:tcW w:w="2348" w:type="dxa"/>
            <w:noWrap w:val="0"/>
            <w:vAlign w:val="center"/>
          </w:tcPr>
          <w:p w14:paraId="21F0A22B">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E1</w:t>
            </w:r>
          </w:p>
        </w:tc>
        <w:tc>
          <w:tcPr>
            <w:tcW w:w="2350" w:type="dxa"/>
            <w:noWrap w:val="0"/>
            <w:vAlign w:val="center"/>
          </w:tcPr>
          <w:p w14:paraId="08D442F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E2</w:t>
            </w:r>
          </w:p>
        </w:tc>
      </w:tr>
      <w:tr w14:paraId="6AB4EB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2150" w:type="dxa"/>
            <w:noWrap w:val="0"/>
            <w:vAlign w:val="center"/>
          </w:tcPr>
          <w:p w14:paraId="63E0309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D2</w:t>
            </w:r>
          </w:p>
        </w:tc>
        <w:tc>
          <w:tcPr>
            <w:tcW w:w="2543" w:type="dxa"/>
            <w:noWrap w:val="0"/>
            <w:vAlign w:val="center"/>
          </w:tcPr>
          <w:p w14:paraId="4E53466B">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E1</w:t>
            </w:r>
          </w:p>
        </w:tc>
        <w:tc>
          <w:tcPr>
            <w:tcW w:w="2348" w:type="dxa"/>
            <w:noWrap w:val="0"/>
            <w:vAlign w:val="center"/>
          </w:tcPr>
          <w:p w14:paraId="6A17E73E">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E2</w:t>
            </w:r>
          </w:p>
        </w:tc>
        <w:tc>
          <w:tcPr>
            <w:tcW w:w="2350" w:type="dxa"/>
            <w:noWrap w:val="0"/>
            <w:vAlign w:val="center"/>
          </w:tcPr>
          <w:p w14:paraId="2880AE79">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E3</w:t>
            </w:r>
          </w:p>
        </w:tc>
      </w:tr>
      <w:tr w14:paraId="14C147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2150" w:type="dxa"/>
            <w:noWrap w:val="0"/>
            <w:vAlign w:val="center"/>
          </w:tcPr>
          <w:p w14:paraId="4F6FA812">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D3</w:t>
            </w:r>
          </w:p>
        </w:tc>
        <w:tc>
          <w:tcPr>
            <w:tcW w:w="2543" w:type="dxa"/>
            <w:noWrap w:val="0"/>
            <w:vAlign w:val="center"/>
          </w:tcPr>
          <w:p w14:paraId="5B8728C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E2</w:t>
            </w:r>
          </w:p>
        </w:tc>
        <w:tc>
          <w:tcPr>
            <w:tcW w:w="2348" w:type="dxa"/>
            <w:noWrap w:val="0"/>
            <w:vAlign w:val="center"/>
          </w:tcPr>
          <w:p w14:paraId="0D5A9F39">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E3</w:t>
            </w:r>
          </w:p>
        </w:tc>
        <w:tc>
          <w:tcPr>
            <w:tcW w:w="2350" w:type="dxa"/>
            <w:noWrap w:val="0"/>
            <w:vAlign w:val="center"/>
          </w:tcPr>
          <w:p w14:paraId="28C53811">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E3</w:t>
            </w:r>
          </w:p>
        </w:tc>
      </w:tr>
    </w:tbl>
    <w:p w14:paraId="6ECCEB0F">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7</w:t>
      </w:r>
      <w:r>
        <w:rPr>
          <w:b/>
          <w:color w:val="000000" w:themeColor="text1"/>
          <w:highlight w:val="none"/>
          <w:lang w:val="zh-CN"/>
          <w14:textFill>
            <w14:solidFill>
              <w14:schemeClr w14:val="tx1"/>
            </w14:solidFill>
          </w14:textFill>
        </w:rPr>
        <w:t xml:space="preserve">   地下水功能敏感性分区原则一览表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907"/>
        <w:gridCol w:w="7030"/>
      </w:tblGrid>
      <w:tr w14:paraId="0A4A15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3" w:hRule="atLeast"/>
          <w:jc w:val="center"/>
        </w:trPr>
        <w:tc>
          <w:tcPr>
            <w:tcW w:w="1073" w:type="dxa"/>
            <w:noWrap w:val="0"/>
            <w:vAlign w:val="center"/>
          </w:tcPr>
          <w:p w14:paraId="05441A68">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分级</w:t>
            </w:r>
          </w:p>
        </w:tc>
        <w:tc>
          <w:tcPr>
            <w:tcW w:w="8348" w:type="dxa"/>
            <w:noWrap w:val="0"/>
            <w:vAlign w:val="center"/>
          </w:tcPr>
          <w:p w14:paraId="7382287C">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地下水环境敏感特征</w:t>
            </w:r>
          </w:p>
        </w:tc>
      </w:tr>
      <w:tr w14:paraId="662458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1073" w:type="dxa"/>
            <w:noWrap w:val="0"/>
            <w:vAlign w:val="center"/>
          </w:tcPr>
          <w:p w14:paraId="3D29033D">
            <w:pPr>
              <w:pStyle w:val="43"/>
              <w:ind w:left="115" w:right="101"/>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敏感G1</w:t>
            </w:r>
          </w:p>
        </w:tc>
        <w:tc>
          <w:tcPr>
            <w:tcW w:w="8348" w:type="dxa"/>
            <w:noWrap w:val="0"/>
            <w:vAlign w:val="center"/>
          </w:tcPr>
          <w:p w14:paraId="262829F2">
            <w:pPr>
              <w:pStyle w:val="43"/>
              <w:spacing w:line="230" w:lineRule="auto"/>
              <w:ind w:left="117" w:right="78"/>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14:paraId="5DBD7C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07" w:hRule="atLeast"/>
          <w:jc w:val="center"/>
        </w:trPr>
        <w:tc>
          <w:tcPr>
            <w:tcW w:w="1073" w:type="dxa"/>
            <w:noWrap w:val="0"/>
            <w:vAlign w:val="center"/>
          </w:tcPr>
          <w:p w14:paraId="3EFB9FF3">
            <w:pPr>
              <w:pStyle w:val="43"/>
              <w:ind w:left="115" w:right="99"/>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较敏感G2</w:t>
            </w:r>
          </w:p>
        </w:tc>
        <w:tc>
          <w:tcPr>
            <w:tcW w:w="8348" w:type="dxa"/>
            <w:noWrap w:val="0"/>
            <w:vAlign w:val="center"/>
          </w:tcPr>
          <w:p w14:paraId="5DC00E31">
            <w:pPr>
              <w:pStyle w:val="43"/>
              <w:spacing w:line="230" w:lineRule="auto"/>
              <w:ind w:left="117" w:right="76"/>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集中式饮用水水源(包括已建成的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p>
        </w:tc>
      </w:tr>
      <w:tr w14:paraId="7479B5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4" w:hRule="atLeast"/>
          <w:jc w:val="center"/>
        </w:trPr>
        <w:tc>
          <w:tcPr>
            <w:tcW w:w="1073" w:type="dxa"/>
            <w:noWrap w:val="0"/>
            <w:vAlign w:val="center"/>
          </w:tcPr>
          <w:p w14:paraId="5A175925">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不敏感G3</w:t>
            </w:r>
          </w:p>
        </w:tc>
        <w:tc>
          <w:tcPr>
            <w:tcW w:w="8348" w:type="dxa"/>
            <w:noWrap w:val="0"/>
            <w:vAlign w:val="center"/>
          </w:tcPr>
          <w:p w14:paraId="2669CAA4">
            <w:pPr>
              <w:pStyle w:val="43"/>
              <w:spacing w:before="105"/>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上述地区之外的其他地区</w:t>
            </w:r>
          </w:p>
        </w:tc>
      </w:tr>
      <w:tr w14:paraId="5775B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2" w:hRule="atLeast"/>
          <w:jc w:val="center"/>
        </w:trPr>
        <w:tc>
          <w:tcPr>
            <w:tcW w:w="9421" w:type="dxa"/>
            <w:gridSpan w:val="2"/>
            <w:noWrap w:val="0"/>
            <w:vAlign w:val="center"/>
          </w:tcPr>
          <w:p w14:paraId="5841521E">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环境敏感区”是指《建设项目环境影响评价分类管理名录》中所界定涉及地下水的环境敏感区</w:t>
            </w:r>
          </w:p>
        </w:tc>
      </w:tr>
    </w:tbl>
    <w:p w14:paraId="18E1CC3F">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8</w:t>
      </w:r>
      <w:r>
        <w:rPr>
          <w:b/>
          <w:color w:val="000000" w:themeColor="text1"/>
          <w:highlight w:val="none"/>
          <w:lang w:val="zh-CN"/>
          <w14:textFill>
            <w14:solidFill>
              <w14:schemeClr w14:val="tx1"/>
            </w14:solidFill>
          </w14:textFill>
        </w:rPr>
        <w:t xml:space="preserve">  包气带防污性能分级原则一览表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97"/>
        <w:gridCol w:w="7040"/>
      </w:tblGrid>
      <w:tr w14:paraId="18D4B4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8" w:hRule="atLeast"/>
          <w:jc w:val="center"/>
        </w:trPr>
        <w:tc>
          <w:tcPr>
            <w:tcW w:w="1061" w:type="dxa"/>
            <w:noWrap w:val="0"/>
            <w:vAlign w:val="center"/>
          </w:tcPr>
          <w:p w14:paraId="49D56BF7">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分级</w:t>
            </w:r>
          </w:p>
        </w:tc>
        <w:tc>
          <w:tcPr>
            <w:tcW w:w="8360" w:type="dxa"/>
            <w:noWrap w:val="0"/>
            <w:vAlign w:val="center"/>
          </w:tcPr>
          <w:p w14:paraId="32E91CFE">
            <w:pPr>
              <w:pStyle w:val="43"/>
              <w:jc w:val="center"/>
              <w:rPr>
                <w:rFonts w:ascii="Times New Roman" w:hAnsi="Times New Roman"/>
                <w:color w:val="000000" w:themeColor="text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包气带岩土的渗透性能</w:t>
            </w:r>
          </w:p>
        </w:tc>
      </w:tr>
      <w:tr w14:paraId="7145CD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1061" w:type="dxa"/>
            <w:noWrap w:val="0"/>
            <w:vAlign w:val="center"/>
          </w:tcPr>
          <w:p w14:paraId="0E2AD632">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D3</w:t>
            </w:r>
          </w:p>
        </w:tc>
        <w:tc>
          <w:tcPr>
            <w:tcW w:w="8360" w:type="dxa"/>
            <w:noWrap w:val="0"/>
            <w:vAlign w:val="center"/>
          </w:tcPr>
          <w:p w14:paraId="1E2DD587">
            <w:pPr>
              <w:pStyle w:val="43"/>
              <w:jc w:val="center"/>
              <w:rPr>
                <w:rFonts w:ascii="Times New Roman" w:hAnsi="Times New Roman"/>
                <w:color w:val="000000" w:themeColor="text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Mb≥1.0m，K≤1.0×10</w:t>
            </w:r>
            <w:r>
              <w:rPr>
                <w:rFonts w:ascii="Times New Roman" w:hAnsi="Times New Roman"/>
                <w:color w:val="000000" w:themeColor="text1"/>
                <w:sz w:val="21"/>
                <w:szCs w:val="21"/>
                <w:highlight w:val="none"/>
                <w:vertAlign w:val="superscript"/>
                <w:lang w:eastAsia="zh-CN"/>
                <w14:textFill>
                  <w14:solidFill>
                    <w14:schemeClr w14:val="tx1"/>
                  </w14:solidFill>
                </w14:textFill>
              </w:rPr>
              <w:t>-6</w:t>
            </w:r>
            <w:r>
              <w:rPr>
                <w:rFonts w:ascii="Times New Roman" w:hAnsi="Times New Roman"/>
                <w:color w:val="000000" w:themeColor="text1"/>
                <w:sz w:val="21"/>
                <w:szCs w:val="21"/>
                <w:highlight w:val="none"/>
                <w:lang w:eastAsia="zh-CN"/>
                <w14:textFill>
                  <w14:solidFill>
                    <w14:schemeClr w14:val="tx1"/>
                  </w14:solidFill>
                </w14:textFill>
              </w:rPr>
              <w:t>cm/s，且分布连续、稳定</w:t>
            </w:r>
          </w:p>
        </w:tc>
      </w:tr>
      <w:tr w14:paraId="282F15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1061" w:type="dxa"/>
            <w:noWrap w:val="0"/>
            <w:vAlign w:val="center"/>
          </w:tcPr>
          <w:p w14:paraId="2516D645">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D2</w:t>
            </w:r>
          </w:p>
        </w:tc>
        <w:tc>
          <w:tcPr>
            <w:tcW w:w="8360" w:type="dxa"/>
            <w:noWrap w:val="0"/>
            <w:vAlign w:val="center"/>
          </w:tcPr>
          <w:p w14:paraId="4F3765CB">
            <w:pPr>
              <w:pStyle w:val="43"/>
              <w:jc w:val="center"/>
              <w:rPr>
                <w:rFonts w:ascii="Times New Roman" w:hAnsi="Times New Roman"/>
                <w:color w:val="000000" w:themeColor="text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0.5m≤Mb&lt;1.0m，K≤1.0×10</w:t>
            </w:r>
            <w:r>
              <w:rPr>
                <w:rFonts w:ascii="Times New Roman" w:hAnsi="Times New Roman"/>
                <w:color w:val="000000" w:themeColor="text1"/>
                <w:sz w:val="21"/>
                <w:szCs w:val="21"/>
                <w:highlight w:val="none"/>
                <w:vertAlign w:val="superscript"/>
                <w:lang w:eastAsia="zh-CN"/>
                <w14:textFill>
                  <w14:solidFill>
                    <w14:schemeClr w14:val="tx1"/>
                  </w14:solidFill>
                </w14:textFill>
              </w:rPr>
              <w:t>-6</w:t>
            </w:r>
            <w:r>
              <w:rPr>
                <w:rFonts w:ascii="Times New Roman" w:hAnsi="Times New Roman"/>
                <w:color w:val="000000" w:themeColor="text1"/>
                <w:sz w:val="21"/>
                <w:szCs w:val="21"/>
                <w:highlight w:val="none"/>
                <w:lang w:eastAsia="zh-CN"/>
                <w14:textFill>
                  <w14:solidFill>
                    <w14:schemeClr w14:val="tx1"/>
                  </w14:solidFill>
                </w14:textFill>
              </w:rPr>
              <w:t>cm/s，且分布连续、稳定Mb≥1.0m，1.0×10</w:t>
            </w:r>
            <w:r>
              <w:rPr>
                <w:rFonts w:ascii="Times New Roman" w:hAnsi="Times New Roman"/>
                <w:color w:val="000000" w:themeColor="text1"/>
                <w:sz w:val="21"/>
                <w:szCs w:val="21"/>
                <w:highlight w:val="none"/>
                <w:vertAlign w:val="superscript"/>
                <w:lang w:eastAsia="zh-CN"/>
                <w14:textFill>
                  <w14:solidFill>
                    <w14:schemeClr w14:val="tx1"/>
                  </w14:solidFill>
                </w14:textFill>
              </w:rPr>
              <w:t>-6</w:t>
            </w:r>
            <w:r>
              <w:rPr>
                <w:rFonts w:ascii="Times New Roman" w:hAnsi="Times New Roman"/>
                <w:color w:val="000000" w:themeColor="text1"/>
                <w:sz w:val="21"/>
                <w:szCs w:val="21"/>
                <w:highlight w:val="none"/>
                <w:lang w:eastAsia="zh-CN"/>
                <w14:textFill>
                  <w14:solidFill>
                    <w14:schemeClr w14:val="tx1"/>
                  </w14:solidFill>
                </w14:textFill>
              </w:rPr>
              <w:t>cm/s＜K≤1.0×10</w:t>
            </w:r>
            <w:r>
              <w:rPr>
                <w:rFonts w:ascii="Times New Roman" w:hAnsi="Times New Roman"/>
                <w:color w:val="000000" w:themeColor="text1"/>
                <w:sz w:val="21"/>
                <w:szCs w:val="21"/>
                <w:highlight w:val="none"/>
                <w:vertAlign w:val="superscript"/>
                <w:lang w:eastAsia="zh-CN"/>
                <w14:textFill>
                  <w14:solidFill>
                    <w14:schemeClr w14:val="tx1"/>
                  </w14:solidFill>
                </w14:textFill>
              </w:rPr>
              <w:t>-4</w:t>
            </w:r>
            <w:r>
              <w:rPr>
                <w:rFonts w:ascii="Times New Roman" w:hAnsi="Times New Roman"/>
                <w:color w:val="000000" w:themeColor="text1"/>
                <w:sz w:val="21"/>
                <w:szCs w:val="21"/>
                <w:highlight w:val="none"/>
                <w:lang w:eastAsia="zh-CN"/>
                <w14:textFill>
                  <w14:solidFill>
                    <w14:schemeClr w14:val="tx1"/>
                  </w14:solidFill>
                </w14:textFill>
              </w:rPr>
              <w:t>cm/s，且分布连续、稳定</w:t>
            </w:r>
          </w:p>
        </w:tc>
      </w:tr>
      <w:tr w14:paraId="628EDE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7" w:hRule="atLeast"/>
          <w:jc w:val="center"/>
        </w:trPr>
        <w:tc>
          <w:tcPr>
            <w:tcW w:w="1061" w:type="dxa"/>
            <w:noWrap w:val="0"/>
            <w:vAlign w:val="center"/>
          </w:tcPr>
          <w:p w14:paraId="0063E1A3">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D1</w:t>
            </w:r>
          </w:p>
        </w:tc>
        <w:tc>
          <w:tcPr>
            <w:tcW w:w="8360" w:type="dxa"/>
            <w:noWrap w:val="0"/>
            <w:vAlign w:val="center"/>
          </w:tcPr>
          <w:p w14:paraId="51D18800">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岩(土)层不满足上述“D2”和“D3”条件</w:t>
            </w:r>
          </w:p>
        </w:tc>
      </w:tr>
      <w:tr w14:paraId="76839B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6" w:hRule="atLeast"/>
          <w:jc w:val="center"/>
        </w:trPr>
        <w:tc>
          <w:tcPr>
            <w:tcW w:w="9421" w:type="dxa"/>
            <w:gridSpan w:val="2"/>
            <w:noWrap w:val="0"/>
            <w:vAlign w:val="center"/>
          </w:tcPr>
          <w:p w14:paraId="2726119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Mb：岩土层单层厚度。K：渗透系数。</w:t>
            </w:r>
          </w:p>
        </w:tc>
      </w:tr>
    </w:tbl>
    <w:p w14:paraId="0C02B037">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本项目位于</w:t>
      </w:r>
      <w:r>
        <w:rPr>
          <w:rFonts w:hint="default"/>
          <w:color w:val="000000" w:themeColor="text1"/>
          <w:highlight w:val="none"/>
          <w:lang w:val="en-US" w:eastAsia="zh-CN"/>
          <w14:textFill>
            <w14:solidFill>
              <w14:schemeClr w14:val="tx1"/>
            </w14:solidFill>
          </w14:textFill>
        </w:rPr>
        <w:t>新疆维吾尔自治区昌吉回族自治州昌吉国家高新技术产业开发区建材工业园昌吉市先导工程材料有限责任公司院内1#厂房</w:t>
      </w:r>
      <w:r>
        <w:rPr>
          <w:rFonts w:hint="eastAsia"/>
          <w:color w:val="000000" w:themeColor="text1"/>
          <w:highlight w:val="none"/>
          <w:lang w:val="en-US" w:eastAsia="zh-CN"/>
          <w14:textFill>
            <w14:solidFill>
              <w14:schemeClr w14:val="tx1"/>
            </w14:solidFill>
          </w14:textFill>
        </w:rPr>
        <w:t>已建车间</w:t>
      </w:r>
      <w:r>
        <w:rPr>
          <w:color w:val="000000" w:themeColor="text1"/>
          <w:highlight w:val="none"/>
          <w14:textFill>
            <w14:solidFill>
              <w14:schemeClr w14:val="tx1"/>
            </w14:solidFill>
          </w14:textFill>
        </w:rPr>
        <w:t>，项目所在区域既不属于集中式地下水饮用水水源(包括已建成的在用、备用、应急水源，在建和规划的饮用水源)准保护区和准保护区以外的补给径流区，也不属于除集中式饮用水水源以外的国家或地方政府设定的与地下水环境相关的其他保护区，如热水、矿泉水、温泉等特殊地下水资源保护区和其他保护区的补给径流区；同时也不属于未划定准保护区的集中式饮用水水源、分散式饮用水水源地，根据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的判定依据，本项目所在区域地下水功能敏感性为不敏感“G3”。</w:t>
      </w:r>
    </w:p>
    <w:p w14:paraId="0F202A9C">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根据区域地质资料，</w:t>
      </w:r>
      <w:r>
        <w:rPr>
          <w:color w:val="000000" w:themeColor="text1"/>
          <w:highlight w:val="none"/>
          <w14:textFill>
            <w14:solidFill>
              <w14:schemeClr w14:val="tx1"/>
            </w14:solidFill>
          </w14:textFill>
        </w:rPr>
        <w:t>本项目所在区域包气带防污性能分级</w:t>
      </w:r>
      <w:r>
        <w:rPr>
          <w:rFonts w:hint="eastAsia"/>
          <w:color w:val="000000" w:themeColor="text1"/>
          <w:highlight w:val="none"/>
          <w:lang w:eastAsia="zh-CN"/>
          <w14:textFill>
            <w14:solidFill>
              <w14:schemeClr w14:val="tx1"/>
            </w14:solidFill>
          </w14:textFill>
        </w:rPr>
        <w:t>满足</w:t>
      </w:r>
      <w:r>
        <w:rPr>
          <w:color w:val="000000" w:themeColor="text1"/>
          <w:highlight w:val="none"/>
          <w14:textFill>
            <w14:solidFill>
              <w14:schemeClr w14:val="tx1"/>
            </w14:solidFill>
          </w14:textFill>
        </w:rPr>
        <w:t>“D2”。</w:t>
      </w:r>
    </w:p>
    <w:p w14:paraId="7E4BD878">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w:t>
      </w:r>
      <w:r>
        <w:rPr>
          <w:rFonts w:hint="eastAsia"/>
          <w:color w:val="000000" w:themeColor="text1"/>
          <w:highlight w:val="none"/>
          <w:lang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的判定依据，项目所在区域的地下水环境敏感程度分级为低敏感区“E3”。</w:t>
      </w:r>
    </w:p>
    <w:p w14:paraId="6AD9DEE4">
      <w:pPr>
        <w:pStyle w:val="53"/>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环境风险潜势判定</w:t>
      </w:r>
    </w:p>
    <w:p w14:paraId="0AC28539">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经分析得知，本项目不考虑风险事故泄露危险物质对地表水体的影响，项目的所在区域大气环境敏感程度为</w:t>
      </w:r>
      <w:r>
        <w:rPr>
          <w:rFonts w:hint="eastAsia"/>
          <w:color w:val="000000" w:themeColor="text1"/>
          <w:highlight w:val="none"/>
          <w:lang w:eastAsia="zh-CN"/>
          <w14:textFill>
            <w14:solidFill>
              <w14:schemeClr w14:val="tx1"/>
            </w14:solidFill>
          </w14:textFill>
        </w:rPr>
        <w:t>低</w:t>
      </w:r>
      <w:r>
        <w:rPr>
          <w:color w:val="000000" w:themeColor="text1"/>
          <w:highlight w:val="none"/>
          <w14:textFill>
            <w14:solidFill>
              <w14:schemeClr w14:val="tx1"/>
            </w14:solidFill>
          </w14:textFill>
        </w:rPr>
        <w:t>度敏感区“E</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”，项目所在区域的地下水环境敏感程度分级为</w:t>
      </w:r>
      <w:r>
        <w:rPr>
          <w:rFonts w:hint="eastAsia"/>
          <w:color w:val="000000" w:themeColor="text1"/>
          <w:highlight w:val="none"/>
          <w:lang w:eastAsia="zh-CN"/>
          <w14:textFill>
            <w14:solidFill>
              <w14:schemeClr w14:val="tx1"/>
            </w14:solidFill>
          </w14:textFill>
        </w:rPr>
        <w:t>低</w:t>
      </w:r>
      <w:r>
        <w:rPr>
          <w:color w:val="000000" w:themeColor="text1"/>
          <w:highlight w:val="none"/>
          <w14:textFill>
            <w14:solidFill>
              <w14:schemeClr w14:val="tx1"/>
            </w14:solidFill>
          </w14:textFill>
        </w:rPr>
        <w:t>度敏感区“E</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”，其环境风险潜势判定结果具体见表</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w:t>
      </w:r>
    </w:p>
    <w:p w14:paraId="2B77134E">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9</w:t>
      </w:r>
      <w:r>
        <w:rPr>
          <w:b/>
          <w:color w:val="000000" w:themeColor="text1"/>
          <w:highlight w:val="none"/>
          <w:lang w:val="zh-CN"/>
          <w14:textFill>
            <w14:solidFill>
              <w14:schemeClr w14:val="tx1"/>
            </w14:solidFill>
          </w14:textFill>
        </w:rPr>
        <w:t xml:space="preserve">    项目环境风险潜势判定结果一览表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2611"/>
        <w:gridCol w:w="5326"/>
      </w:tblGrid>
      <w:tr w14:paraId="4022420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9" w:hRule="atLeast"/>
          <w:jc w:val="center"/>
        </w:trPr>
        <w:tc>
          <w:tcPr>
            <w:tcW w:w="3088" w:type="dxa"/>
            <w:vMerge w:val="restart"/>
            <w:noWrap w:val="0"/>
            <w:vAlign w:val="center"/>
          </w:tcPr>
          <w:p w14:paraId="78398179">
            <w:pPr>
              <w:pStyle w:val="43"/>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项目环境敏感程度</w:t>
            </w:r>
          </w:p>
        </w:tc>
        <w:tc>
          <w:tcPr>
            <w:tcW w:w="6303" w:type="dxa"/>
            <w:noWrap w:val="0"/>
            <w:vAlign w:val="center"/>
          </w:tcPr>
          <w:p w14:paraId="7D6A786A">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r>
              <w:rPr>
                <w:rFonts w:ascii="Times New Roman" w:hAnsi="Times New Roman"/>
                <w:bCs/>
                <w:color w:val="000000" w:themeColor="text1"/>
                <w:sz w:val="21"/>
                <w:szCs w:val="21"/>
                <w:highlight w:val="none"/>
                <w:lang w:eastAsia="zh-CN"/>
                <w14:textFill>
                  <w14:solidFill>
                    <w14:schemeClr w14:val="tx1"/>
                  </w14:solidFill>
                </w14:textFill>
              </w:rPr>
              <w:t>项目危险物质及工艺系统危险性P</w:t>
            </w:r>
          </w:p>
        </w:tc>
      </w:tr>
      <w:tr w14:paraId="65F1D7C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6" w:hRule="atLeast"/>
          <w:jc w:val="center"/>
        </w:trPr>
        <w:tc>
          <w:tcPr>
            <w:tcW w:w="3088" w:type="dxa"/>
            <w:vMerge w:val="continue"/>
            <w:noWrap w:val="0"/>
            <w:vAlign w:val="center"/>
          </w:tcPr>
          <w:p w14:paraId="19DB16ED">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p>
        </w:tc>
        <w:tc>
          <w:tcPr>
            <w:tcW w:w="6303" w:type="dxa"/>
            <w:noWrap w:val="0"/>
            <w:vAlign w:val="center"/>
          </w:tcPr>
          <w:p w14:paraId="3597A11B">
            <w:pPr>
              <w:pStyle w:val="43"/>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eastAsia="宋体"/>
                <w:bCs/>
                <w:color w:val="000000" w:themeColor="text1"/>
                <w:sz w:val="21"/>
                <w:szCs w:val="21"/>
                <w:highlight w:val="none"/>
                <w:lang w:val="en-US" w:eastAsia="zh-CN"/>
                <w14:textFill>
                  <w14:solidFill>
                    <w14:schemeClr w14:val="tx1"/>
                  </w14:solidFill>
                </w14:textFill>
              </w:rPr>
              <w:t>轻度危害（P4）</w:t>
            </w:r>
          </w:p>
        </w:tc>
      </w:tr>
      <w:tr w14:paraId="2023EF4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71" w:hRule="atLeast"/>
          <w:jc w:val="center"/>
        </w:trPr>
        <w:tc>
          <w:tcPr>
            <w:tcW w:w="3088" w:type="dxa"/>
            <w:noWrap w:val="0"/>
            <w:vAlign w:val="center"/>
          </w:tcPr>
          <w:p w14:paraId="7C2466FF">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r>
              <w:rPr>
                <w:rFonts w:ascii="Times New Roman" w:hAnsi="Times New Roman"/>
                <w:bCs/>
                <w:color w:val="000000" w:themeColor="text1"/>
                <w:sz w:val="21"/>
                <w:szCs w:val="21"/>
                <w:highlight w:val="none"/>
                <w:lang w:eastAsia="zh-CN"/>
                <w14:textFill>
                  <w14:solidFill>
                    <w14:schemeClr w14:val="tx1"/>
                  </w14:solidFill>
                </w14:textFill>
              </w:rPr>
              <w:t>大气环境</w:t>
            </w:r>
            <w:r>
              <w:rPr>
                <w:rFonts w:hint="eastAsia" w:ascii="Times New Roman" w:hAnsi="Times New Roman"/>
                <w:bCs/>
                <w:color w:val="000000" w:themeColor="text1"/>
                <w:sz w:val="21"/>
                <w:szCs w:val="21"/>
                <w:highlight w:val="none"/>
                <w:lang w:eastAsia="zh-CN"/>
                <w14:textFill>
                  <w14:solidFill>
                    <w14:schemeClr w14:val="tx1"/>
                  </w14:solidFill>
                </w14:textFill>
              </w:rPr>
              <w:t>低度</w:t>
            </w:r>
            <w:r>
              <w:rPr>
                <w:rFonts w:ascii="Times New Roman" w:hAnsi="Times New Roman"/>
                <w:bCs/>
                <w:color w:val="000000" w:themeColor="text1"/>
                <w:sz w:val="21"/>
                <w:szCs w:val="21"/>
                <w:highlight w:val="none"/>
                <w:lang w:eastAsia="zh-CN"/>
                <w14:textFill>
                  <w14:solidFill>
                    <w14:schemeClr w14:val="tx1"/>
                  </w14:solidFill>
                </w14:textFill>
              </w:rPr>
              <w:t>敏感区(E3)</w:t>
            </w:r>
          </w:p>
        </w:tc>
        <w:tc>
          <w:tcPr>
            <w:tcW w:w="6303" w:type="dxa"/>
            <w:noWrap w:val="0"/>
            <w:vAlign w:val="center"/>
          </w:tcPr>
          <w:p w14:paraId="7B7DE8C2">
            <w:pPr>
              <w:pStyle w:val="43"/>
              <w:jc w:val="center"/>
              <w:rPr>
                <w:rFonts w:hint="eastAsia" w:ascii="Times New Roman" w:hAnsi="Times New Roman" w:eastAsia="宋体"/>
                <w:bCs/>
                <w:color w:val="000000" w:themeColor="text1"/>
                <w:sz w:val="21"/>
                <w:szCs w:val="21"/>
                <w:highlight w:val="none"/>
                <w:lang w:eastAsia="zh-CN"/>
                <w14:textFill>
                  <w14:solidFill>
                    <w14:schemeClr w14:val="tx1"/>
                  </w14:solidFill>
                </w14:textFill>
              </w:rPr>
            </w:pPr>
            <w:r>
              <w:rPr>
                <w:rFonts w:hint="eastAsia" w:ascii="Times New Roman" w:hAnsi="Times New Roman"/>
                <w:bCs/>
                <w:color w:val="000000" w:themeColor="text1"/>
                <w:kern w:val="2"/>
                <w:sz w:val="21"/>
                <w:szCs w:val="20"/>
                <w:highlight w:val="none"/>
                <w:lang w:eastAsia="zh-CN"/>
                <w14:textFill>
                  <w14:solidFill>
                    <w14:schemeClr w14:val="tx1"/>
                  </w14:solidFill>
                </w14:textFill>
              </w:rPr>
              <w:t>Ⅰ</w:t>
            </w:r>
          </w:p>
        </w:tc>
      </w:tr>
      <w:tr w14:paraId="39E823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7" w:hRule="atLeast"/>
          <w:jc w:val="center"/>
        </w:trPr>
        <w:tc>
          <w:tcPr>
            <w:tcW w:w="3088" w:type="dxa"/>
            <w:noWrap w:val="0"/>
            <w:vAlign w:val="center"/>
          </w:tcPr>
          <w:p w14:paraId="2AF3E916">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r>
              <w:rPr>
                <w:rFonts w:ascii="Times New Roman" w:hAnsi="Times New Roman"/>
                <w:bCs/>
                <w:color w:val="000000" w:themeColor="text1"/>
                <w:sz w:val="21"/>
                <w:szCs w:val="21"/>
                <w:highlight w:val="none"/>
                <w:lang w:eastAsia="zh-CN"/>
                <w14:textFill>
                  <w14:solidFill>
                    <w14:schemeClr w14:val="tx1"/>
                  </w14:solidFill>
                </w14:textFill>
              </w:rPr>
              <w:t>地下水环境</w:t>
            </w:r>
            <w:r>
              <w:rPr>
                <w:rFonts w:hint="eastAsia" w:ascii="Times New Roman" w:hAnsi="Times New Roman"/>
                <w:bCs/>
                <w:color w:val="000000" w:themeColor="text1"/>
                <w:sz w:val="21"/>
                <w:szCs w:val="21"/>
                <w:highlight w:val="none"/>
                <w:lang w:eastAsia="zh-CN"/>
                <w14:textFill>
                  <w14:solidFill>
                    <w14:schemeClr w14:val="tx1"/>
                  </w14:solidFill>
                </w14:textFill>
              </w:rPr>
              <w:t>低度</w:t>
            </w:r>
            <w:r>
              <w:rPr>
                <w:rFonts w:ascii="Times New Roman" w:hAnsi="Times New Roman"/>
                <w:bCs/>
                <w:color w:val="000000" w:themeColor="text1"/>
                <w:sz w:val="21"/>
                <w:szCs w:val="21"/>
                <w:highlight w:val="none"/>
                <w:lang w:eastAsia="zh-CN"/>
                <w14:textFill>
                  <w14:solidFill>
                    <w14:schemeClr w14:val="tx1"/>
                  </w14:solidFill>
                </w14:textFill>
              </w:rPr>
              <w:t>敏感区(E3)</w:t>
            </w:r>
          </w:p>
        </w:tc>
        <w:tc>
          <w:tcPr>
            <w:tcW w:w="6303" w:type="dxa"/>
            <w:noWrap w:val="0"/>
            <w:vAlign w:val="center"/>
          </w:tcPr>
          <w:p w14:paraId="56FAD7A5">
            <w:pPr>
              <w:pStyle w:val="43"/>
              <w:jc w:val="center"/>
              <w:rPr>
                <w:rFonts w:ascii="Times New Roman" w:hAnsi="Times New Roman"/>
                <w:bCs/>
                <w:color w:val="000000" w:themeColor="text1"/>
                <w:kern w:val="21"/>
                <w:sz w:val="21"/>
                <w:szCs w:val="21"/>
                <w:highlight w:val="none"/>
                <w:lang w:eastAsia="zh-CN"/>
                <w14:textFill>
                  <w14:solidFill>
                    <w14:schemeClr w14:val="tx1"/>
                  </w14:solidFill>
                </w14:textFill>
              </w:rPr>
            </w:pPr>
            <w:r>
              <w:rPr>
                <w:rFonts w:hint="eastAsia" w:ascii="Times New Roman" w:hAnsi="Times New Roman"/>
                <w:bCs/>
                <w:color w:val="000000" w:themeColor="text1"/>
                <w:kern w:val="2"/>
                <w:sz w:val="21"/>
                <w:szCs w:val="20"/>
                <w:highlight w:val="none"/>
                <w:lang w:eastAsia="zh-CN"/>
                <w14:textFill>
                  <w14:solidFill>
                    <w14:schemeClr w14:val="tx1"/>
                  </w14:solidFill>
                </w14:textFill>
              </w:rPr>
              <w:t>Ⅰ</w:t>
            </w:r>
          </w:p>
        </w:tc>
      </w:tr>
    </w:tbl>
    <w:p w14:paraId="1B618CF1">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从表</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中可知，本项目的大气环境风险潜势</w:t>
      </w:r>
      <w:r>
        <w:rPr>
          <w:rFonts w:hint="eastAsia"/>
          <w:color w:val="000000" w:themeColor="text1"/>
          <w:highlight w:val="none"/>
          <w:lang w:eastAsia="zh-CN"/>
          <w14:textFill>
            <w14:solidFill>
              <w14:schemeClr w14:val="tx1"/>
            </w14:solidFill>
          </w14:textFill>
        </w:rPr>
        <w:t>为Ⅰ，</w:t>
      </w:r>
      <w:r>
        <w:rPr>
          <w:color w:val="000000" w:themeColor="text1"/>
          <w:highlight w:val="none"/>
          <w14:textFill>
            <w14:solidFill>
              <w14:schemeClr w14:val="tx1"/>
            </w14:solidFill>
          </w14:textFill>
        </w:rPr>
        <w:t>地下水环境风险潜势均为</w:t>
      </w:r>
      <w:r>
        <w:rPr>
          <w:rFonts w:hint="eastAsia"/>
          <w:color w:val="000000" w:themeColor="text1"/>
          <w:highlight w:val="none"/>
          <w:lang w:eastAsia="zh-CN"/>
          <w14:textFill>
            <w14:solidFill>
              <w14:schemeClr w14:val="tx1"/>
            </w14:solidFill>
          </w14:textFill>
        </w:rPr>
        <w:t>Ⅰ</w:t>
      </w:r>
      <w:r>
        <w:rPr>
          <w:color w:val="000000" w:themeColor="text1"/>
          <w:highlight w:val="none"/>
          <w14:textFill>
            <w14:solidFill>
              <w14:schemeClr w14:val="tx1"/>
            </w14:solidFill>
          </w14:textFill>
        </w:rPr>
        <w:t>级，因此，本项目的环境风险潜势为</w:t>
      </w:r>
      <w:r>
        <w:rPr>
          <w:rFonts w:hint="eastAsia"/>
          <w:color w:val="000000" w:themeColor="text1"/>
          <w:highlight w:val="none"/>
          <w:lang w:eastAsia="zh-CN"/>
          <w14:textFill>
            <w14:solidFill>
              <w14:schemeClr w14:val="tx1"/>
            </w14:solidFill>
          </w14:textFill>
        </w:rPr>
        <w:t>Ⅰ</w:t>
      </w:r>
      <w:r>
        <w:rPr>
          <w:color w:val="000000" w:themeColor="text1"/>
          <w:highlight w:val="none"/>
          <w14:textFill>
            <w14:solidFill>
              <w14:schemeClr w14:val="tx1"/>
            </w14:solidFill>
          </w14:textFill>
        </w:rPr>
        <w:t>级。</w:t>
      </w:r>
    </w:p>
    <w:p w14:paraId="4903355F">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2、</w:t>
      </w:r>
      <w:r>
        <w:rPr>
          <w:b/>
          <w:bCs/>
          <w:color w:val="000000" w:themeColor="text1"/>
          <w:highlight w:val="none"/>
          <w14:textFill>
            <w14:solidFill>
              <w14:schemeClr w14:val="tx1"/>
            </w14:solidFill>
          </w14:textFill>
        </w:rPr>
        <w:t>风险评价等级</w:t>
      </w:r>
      <w:r>
        <w:rPr>
          <w:rFonts w:hint="eastAsia"/>
          <w:b/>
          <w:bCs/>
          <w:color w:val="000000" w:themeColor="text1"/>
          <w:highlight w:val="none"/>
          <w:lang w:val="en-US" w:eastAsia="zh-CN"/>
          <w14:textFill>
            <w14:solidFill>
              <w14:schemeClr w14:val="tx1"/>
            </w14:solidFill>
          </w14:textFill>
        </w:rPr>
        <w:t>及评价范围</w:t>
      </w:r>
    </w:p>
    <w:p w14:paraId="3A071756">
      <w:pPr>
        <w:pStyle w:val="49"/>
        <w:pageBreakBefore w:val="0"/>
        <w:kinsoku/>
        <w:wordWrap/>
        <w:bidi w:val="0"/>
        <w:spacing w:beforeAutospacing="0" w:afterAutospacing="0" w:line="360" w:lineRule="auto"/>
        <w:ind w:left="0" w:leftChars="0" w:right="0" w:rightChars="0" w:firstLine="480"/>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pP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1</w:t>
      </w: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评价等级</w:t>
      </w:r>
    </w:p>
    <w:p w14:paraId="77CB296E">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本次评价依据《建设项目环境风险评价技术导则》（HJ169-2018），按照涉及的物质及工艺系统危险性和所在地的环境敏感性确定环境风险潜势，确定环境风险评价工作等级，工作等级划分见表</w:t>
      </w:r>
      <w:r>
        <w:rPr>
          <w:rFonts w:hint="eastAsia" w:cs="Times New Roman"/>
          <w:color w:val="000000" w:themeColor="text1"/>
          <w:spacing w:val="0"/>
          <w:position w:val="0"/>
          <w:highlight w:val="none"/>
          <w:u w:val="none"/>
          <w:lang w:val="en-US" w:eastAsia="zh-CN"/>
          <w14:textFill>
            <w14:solidFill>
              <w14:schemeClr w14:val="tx1"/>
            </w14:solidFill>
          </w14:textFill>
        </w:rPr>
        <w:t>10</w:t>
      </w:r>
      <w:r>
        <w:rPr>
          <w:rFonts w:hint="default" w:ascii="Times New Roman" w:hAnsi="Times New Roman" w:cs="Times New Roman"/>
          <w:color w:val="000000" w:themeColor="text1"/>
          <w:spacing w:val="0"/>
          <w:position w:val="0"/>
          <w:highlight w:val="none"/>
          <w:u w:val="none"/>
          <w14:textFill>
            <w14:solidFill>
              <w14:schemeClr w14:val="tx1"/>
            </w14:solidFill>
          </w14:textFill>
        </w:rPr>
        <w:t>。</w:t>
      </w:r>
    </w:p>
    <w:p w14:paraId="774B6067">
      <w:pPr>
        <w:pStyle w:val="36"/>
        <w:pageBreakBefore w:val="0"/>
        <w:widowControl/>
        <w:kinsoku/>
        <w:wordWrap/>
        <w:bidi w:val="0"/>
        <w:spacing w:beforeAutospacing="0" w:afterAutospacing="0"/>
        <w:ind w:left="0" w:leftChars="0" w:right="0" w:rightChars="0" w:firstLine="0" w:firstLine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表</w:t>
      </w:r>
      <w:r>
        <w:rPr>
          <w:rFonts w:hint="eastAsia" w:ascii="Times New Roman" w:cs="Times New Roman"/>
          <w:color w:val="000000" w:themeColor="text1"/>
          <w:spacing w:val="0"/>
          <w:position w:val="0"/>
          <w:sz w:val="21"/>
          <w:szCs w:val="21"/>
          <w:highlight w:val="none"/>
          <w:u w:val="none"/>
          <w:lang w:val="en-US" w:eastAsia="zh-CN"/>
          <w14:textFill>
            <w14:solidFill>
              <w14:schemeClr w14:val="tx1"/>
            </w14:solidFill>
          </w14:textFill>
        </w:rPr>
        <w:t>10</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 xml:space="preserve">    评价工作等级划分</w:t>
      </w:r>
    </w:p>
    <w:tbl>
      <w:tblPr>
        <w:tblStyle w:val="21"/>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864"/>
        <w:gridCol w:w="1813"/>
        <w:gridCol w:w="856"/>
        <w:gridCol w:w="856"/>
        <w:gridCol w:w="2054"/>
      </w:tblGrid>
      <w:tr w14:paraId="5B5EE9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922" w:type="dxa"/>
            <w:noWrap w:val="0"/>
            <w:vAlign w:val="center"/>
          </w:tcPr>
          <w:p w14:paraId="02025000">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环境风险潜势</w:t>
            </w:r>
          </w:p>
        </w:tc>
        <w:tc>
          <w:tcPr>
            <w:tcW w:w="1833" w:type="dxa"/>
            <w:noWrap w:val="0"/>
            <w:vAlign w:val="center"/>
          </w:tcPr>
          <w:p w14:paraId="2FF97175">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Ⅳ、Ⅳ+</w:t>
            </w:r>
          </w:p>
        </w:tc>
        <w:tc>
          <w:tcPr>
            <w:tcW w:w="842" w:type="dxa"/>
            <w:noWrap w:val="0"/>
            <w:vAlign w:val="center"/>
          </w:tcPr>
          <w:p w14:paraId="330C22F6">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Ⅲ</w:t>
            </w:r>
          </w:p>
        </w:tc>
        <w:tc>
          <w:tcPr>
            <w:tcW w:w="842" w:type="dxa"/>
            <w:noWrap w:val="0"/>
            <w:vAlign w:val="top"/>
          </w:tcPr>
          <w:p w14:paraId="68C58689">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Ⅱ</w:t>
            </w:r>
          </w:p>
        </w:tc>
        <w:tc>
          <w:tcPr>
            <w:tcW w:w="2083" w:type="dxa"/>
            <w:noWrap w:val="0"/>
            <w:vAlign w:val="top"/>
          </w:tcPr>
          <w:p w14:paraId="40EFB959">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Ⅰ</w:t>
            </w:r>
          </w:p>
        </w:tc>
      </w:tr>
      <w:tr w14:paraId="2CFF95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922" w:type="dxa"/>
            <w:noWrap w:val="0"/>
            <w:vAlign w:val="center"/>
          </w:tcPr>
          <w:p w14:paraId="5723C383">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评价工作等级</w:t>
            </w:r>
          </w:p>
        </w:tc>
        <w:tc>
          <w:tcPr>
            <w:tcW w:w="1833" w:type="dxa"/>
            <w:noWrap w:val="0"/>
            <w:vAlign w:val="center"/>
          </w:tcPr>
          <w:p w14:paraId="111BE87B">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一</w:t>
            </w:r>
          </w:p>
        </w:tc>
        <w:tc>
          <w:tcPr>
            <w:tcW w:w="842" w:type="dxa"/>
            <w:noWrap w:val="0"/>
            <w:vAlign w:val="center"/>
          </w:tcPr>
          <w:p w14:paraId="3310BE94">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二</w:t>
            </w:r>
          </w:p>
        </w:tc>
        <w:tc>
          <w:tcPr>
            <w:tcW w:w="842" w:type="dxa"/>
            <w:noWrap w:val="0"/>
            <w:vAlign w:val="top"/>
          </w:tcPr>
          <w:p w14:paraId="7D6734D3">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三</w:t>
            </w:r>
          </w:p>
        </w:tc>
        <w:tc>
          <w:tcPr>
            <w:tcW w:w="2083" w:type="dxa"/>
            <w:noWrap w:val="0"/>
            <w:vAlign w:val="top"/>
          </w:tcPr>
          <w:p w14:paraId="6A9DA884">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简单分析</w:t>
            </w:r>
            <w:r>
              <w:rPr>
                <w:rFonts w:hint="default" w:ascii="Times New Roman" w:hAnsi="Times New Roman" w:cs="Times New Roman"/>
                <w:color w:val="000000" w:themeColor="text1"/>
                <w:spacing w:val="0"/>
                <w:position w:val="0"/>
                <w:sz w:val="21"/>
                <w:szCs w:val="21"/>
                <w:highlight w:val="none"/>
                <w:u w:val="none"/>
                <w:vertAlign w:val="superscript"/>
                <w14:textFill>
                  <w14:solidFill>
                    <w14:schemeClr w14:val="tx1"/>
                  </w14:solidFill>
                </w14:textFill>
              </w:rPr>
              <w:t>a</w:t>
            </w:r>
          </w:p>
        </w:tc>
      </w:tr>
      <w:tr w14:paraId="32918E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522" w:type="dxa"/>
            <w:gridSpan w:val="5"/>
            <w:noWrap w:val="0"/>
            <w:vAlign w:val="center"/>
          </w:tcPr>
          <w:p w14:paraId="1BE6AD8E">
            <w:pPr>
              <w:pStyle w:val="39"/>
              <w:pageBreakBefore w:val="0"/>
              <w:kinsoku/>
              <w:wordWrap/>
              <w:bidi w:val="0"/>
              <w:spacing w:beforeAutospacing="0" w:afterAutospacing="0"/>
              <w:ind w:left="0" w:leftChars="0" w:right="0" w:rightChars="0"/>
              <w:jc w:val="left"/>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vertAlign w:val="superscript"/>
                <w:lang w:bidi="ar"/>
                <w14:textFill>
                  <w14:solidFill>
                    <w14:schemeClr w14:val="tx1"/>
                  </w14:solidFill>
                </w14:textFill>
              </w:rPr>
              <w:t>a</w:t>
            </w:r>
            <w:r>
              <w:rPr>
                <w:rFonts w:hint="default" w:ascii="Times New Roman" w:hAnsi="Times New Roman" w:cs="Times New Roman"/>
                <w:color w:val="000000" w:themeColor="text1"/>
                <w:spacing w:val="0"/>
                <w:position w:val="0"/>
                <w:sz w:val="21"/>
                <w:szCs w:val="21"/>
                <w:highlight w:val="none"/>
                <w:u w:val="none"/>
                <w:lang w:bidi="ar"/>
                <w14:textFill>
                  <w14:solidFill>
                    <w14:schemeClr w14:val="tx1"/>
                  </w14:solidFill>
                </w14:textFill>
              </w:rPr>
              <w:t>是相对于详细评价工作内容而言，在描述危险物质、环境影响途径、环境危害后果、风险防范措施等方面给出定性的说明。</w:t>
            </w:r>
          </w:p>
        </w:tc>
      </w:tr>
    </w:tbl>
    <w:p w14:paraId="16BB52C3">
      <w:pPr>
        <w:pStyle w:val="53"/>
        <w:bidi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根据表4可知本</w:t>
      </w:r>
      <w:r>
        <w:rPr>
          <w:rFonts w:hint="default"/>
          <w:color w:val="000000" w:themeColor="text1"/>
          <w:highlight w:val="none"/>
          <w14:textFill>
            <w14:solidFill>
              <w14:schemeClr w14:val="tx1"/>
            </w14:solidFill>
          </w14:textFill>
        </w:rPr>
        <w:t>项目环境风险潜势为Ⅰ。因此，本项目环境风险评价等级确定为简单分析</w:t>
      </w:r>
      <w:r>
        <w:rPr>
          <w:rFonts w:hint="eastAsia"/>
          <w:color w:val="000000" w:themeColor="text1"/>
          <w:highlight w:val="none"/>
          <w:lang w:eastAsia="zh-CN"/>
          <w14:textFill>
            <w14:solidFill>
              <w14:schemeClr w14:val="tx1"/>
            </w14:solidFill>
          </w14:textFill>
        </w:rPr>
        <w:t>。</w:t>
      </w:r>
    </w:p>
    <w:p w14:paraId="2178F289">
      <w:pPr>
        <w:keepNext/>
        <w:keepLines/>
        <w:pageBreakBefore w:val="0"/>
        <w:kinsoku/>
        <w:wordWrap/>
        <w:bidi w:val="0"/>
        <w:spacing w:beforeAutospacing="0" w:afterAutospacing="0" w:line="360" w:lineRule="auto"/>
        <w:ind w:left="0" w:leftChars="0" w:right="0" w:rightChars="0" w:firstLine="480" w:firstLineChars="200"/>
        <w:outlineLvl w:val="2"/>
        <w:rPr>
          <w:rFonts w:hint="default" w:ascii="Times New Roman" w:hAnsi="Times New Roman" w:cs="Times New Roman"/>
          <w:color w:val="000000" w:themeColor="text1"/>
          <w:spacing w:val="0"/>
          <w:position w:val="0"/>
          <w:sz w:val="24"/>
          <w:szCs w:val="28"/>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8"/>
          <w:highlight w:val="none"/>
          <w:u w:val="none"/>
          <w14:textFill>
            <w14:solidFill>
              <w14:schemeClr w14:val="tx1"/>
            </w14:solidFill>
          </w14:textFill>
        </w:rPr>
        <w:t>（2）评价范围</w:t>
      </w:r>
    </w:p>
    <w:p w14:paraId="1F8F3B8F">
      <w:pPr>
        <w:pStyle w:val="53"/>
        <w:bidi w:val="0"/>
        <w:rPr>
          <w:rFonts w:hint="default"/>
          <w:color w:val="000000" w:themeColor="text1"/>
          <w:highlight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lang w:bidi="ar"/>
          <w14:textFill>
            <w14:solidFill>
              <w14:schemeClr w14:val="tx1"/>
            </w14:solidFill>
          </w14:textFill>
        </w:rPr>
        <w:t>本项目环境风险评价等级为</w:t>
      </w:r>
      <w:r>
        <w:rPr>
          <w:rFonts w:hint="default" w:ascii="Times New Roman" w:hAnsi="Times New Roman" w:cs="Times New Roman"/>
          <w:color w:val="000000" w:themeColor="text1"/>
          <w:spacing w:val="0"/>
          <w:position w:val="0"/>
          <w:highlight w:val="none"/>
          <w:u w:val="none"/>
          <w14:textFill>
            <w14:solidFill>
              <w14:schemeClr w14:val="tx1"/>
            </w14:solidFill>
          </w14:textFill>
        </w:rPr>
        <w:t>简单分析，根据《建设项目环境风险评价技术导则》（HJ169-2018），本次评价不设环境风险评价范围。</w:t>
      </w:r>
    </w:p>
    <w:p w14:paraId="073CDD6D">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3、理化及危险性识别</w:t>
      </w:r>
    </w:p>
    <w:p w14:paraId="56F02059">
      <w:pPr>
        <w:pageBreakBefore w:val="0"/>
        <w:tabs>
          <w:tab w:val="center" w:pos="3780"/>
        </w:tabs>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pPr>
      <w:r>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t>按《建设项目环境风险评价技术导则》（HJ169-2018）中“物质危险性标准”，对本工程涉及的物质进行危险性识别，筛选环境风险评价因子。本工程主要涉及的风险评价因子为</w:t>
      </w:r>
      <w:r>
        <w:rPr>
          <w:rFonts w:hint="eastAsia" w:cs="Times New Roman"/>
          <w:color w:val="000000" w:themeColor="text1"/>
          <w:spacing w:val="0"/>
          <w:kern w:val="0"/>
          <w:position w:val="0"/>
          <w:sz w:val="24"/>
          <w:szCs w:val="21"/>
          <w:highlight w:val="none"/>
          <w:u w:val="none"/>
          <w:lang w:val="en-US" w:eastAsia="zh-CN"/>
          <w14:textFill>
            <w14:solidFill>
              <w14:schemeClr w14:val="tx1"/>
            </w14:solidFill>
          </w14:textFill>
        </w:rPr>
        <w:t>废润滑油、甲醇、盐酸</w:t>
      </w:r>
      <w:r>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t>。</w:t>
      </w:r>
    </w:p>
    <w:p w14:paraId="4EF71D42">
      <w:pPr>
        <w:pageBreakBefore w:val="0"/>
        <w:tabs>
          <w:tab w:val="center" w:pos="3780"/>
        </w:tabs>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pPr>
      <w:r>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t>物质危险特性见下表。</w:t>
      </w:r>
    </w:p>
    <w:p w14:paraId="28FC7B2A">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11</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废</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润滑油</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理化</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性质一览表</w:t>
      </w:r>
    </w:p>
    <w:tbl>
      <w:tblPr>
        <w:tblStyle w:val="22"/>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1"/>
        <w:gridCol w:w="2131"/>
        <w:gridCol w:w="2137"/>
      </w:tblGrid>
      <w:tr w14:paraId="5B04F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4D9B2ED8">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bookmarkStart w:id="47" w:name="_Toc8521"/>
            <w:bookmarkStart w:id="48" w:name="_Toc441744940"/>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危险性概述</w:t>
            </w:r>
          </w:p>
        </w:tc>
      </w:tr>
      <w:tr w14:paraId="676C17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51C7776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中文名称</w:t>
            </w:r>
          </w:p>
        </w:tc>
        <w:tc>
          <w:tcPr>
            <w:tcW w:w="1249" w:type="pct"/>
            <w:tcBorders>
              <w:tl2br w:val="nil"/>
              <w:tr2bl w:val="nil"/>
            </w:tcBorders>
            <w:noWrap w:val="0"/>
            <w:vAlign w:val="center"/>
          </w:tcPr>
          <w:p w14:paraId="13C06A8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机油；润滑油</w:t>
            </w:r>
          </w:p>
        </w:tc>
        <w:tc>
          <w:tcPr>
            <w:tcW w:w="1249" w:type="pct"/>
            <w:tcBorders>
              <w:tl2br w:val="nil"/>
              <w:tr2bl w:val="nil"/>
            </w:tcBorders>
            <w:noWrap w:val="0"/>
            <w:vAlign w:val="center"/>
          </w:tcPr>
          <w:p w14:paraId="3E527B2C">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外观与性质</w:t>
            </w:r>
          </w:p>
        </w:tc>
        <w:tc>
          <w:tcPr>
            <w:tcW w:w="1250" w:type="pct"/>
            <w:tcBorders>
              <w:tl2br w:val="nil"/>
              <w:tr2bl w:val="nil"/>
            </w:tcBorders>
            <w:noWrap w:val="0"/>
            <w:vAlign w:val="center"/>
          </w:tcPr>
          <w:p w14:paraId="624BEBA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无色液体</w:t>
            </w:r>
          </w:p>
        </w:tc>
      </w:tr>
      <w:tr w14:paraId="619C9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03B0592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闪点（℃）</w:t>
            </w:r>
          </w:p>
        </w:tc>
        <w:tc>
          <w:tcPr>
            <w:tcW w:w="1249" w:type="pct"/>
            <w:tcBorders>
              <w:tl2br w:val="nil"/>
              <w:tr2bl w:val="nil"/>
            </w:tcBorders>
            <w:noWrap w:val="0"/>
            <w:vAlign w:val="center"/>
          </w:tcPr>
          <w:p w14:paraId="126CCCD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-22</w:t>
            </w:r>
          </w:p>
        </w:tc>
        <w:tc>
          <w:tcPr>
            <w:tcW w:w="1249" w:type="pct"/>
            <w:tcBorders>
              <w:tl2br w:val="nil"/>
              <w:tr2bl w:val="nil"/>
            </w:tcBorders>
            <w:noWrap w:val="0"/>
            <w:vAlign w:val="center"/>
          </w:tcPr>
          <w:p w14:paraId="765B5EE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沸点（℃）</w:t>
            </w:r>
          </w:p>
        </w:tc>
        <w:tc>
          <w:tcPr>
            <w:tcW w:w="1250" w:type="pct"/>
            <w:tcBorders>
              <w:tl2br w:val="nil"/>
              <w:tr2bl w:val="nil"/>
            </w:tcBorders>
            <w:noWrap w:val="0"/>
            <w:vAlign w:val="center"/>
          </w:tcPr>
          <w:p w14:paraId="5ED6FAF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69</w:t>
            </w:r>
          </w:p>
        </w:tc>
      </w:tr>
      <w:tr w14:paraId="0AF1FA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4C1AADB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密度</w:t>
            </w:r>
          </w:p>
        </w:tc>
        <w:tc>
          <w:tcPr>
            <w:tcW w:w="1249" w:type="pct"/>
            <w:tcBorders>
              <w:tl2br w:val="nil"/>
              <w:tr2bl w:val="nil"/>
            </w:tcBorders>
            <w:noWrap w:val="0"/>
            <w:vAlign w:val="center"/>
          </w:tcPr>
          <w:p w14:paraId="339407E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相对密度（水＝1）0.66</w:t>
            </w:r>
          </w:p>
        </w:tc>
        <w:tc>
          <w:tcPr>
            <w:tcW w:w="1249" w:type="pct"/>
            <w:tcBorders>
              <w:tl2br w:val="nil"/>
              <w:tr2bl w:val="nil"/>
            </w:tcBorders>
            <w:noWrap w:val="0"/>
            <w:vAlign w:val="center"/>
          </w:tcPr>
          <w:p w14:paraId="325E2D9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稳定性</w:t>
            </w:r>
          </w:p>
        </w:tc>
        <w:tc>
          <w:tcPr>
            <w:tcW w:w="1250" w:type="pct"/>
            <w:tcBorders>
              <w:tl2br w:val="nil"/>
              <w:tr2bl w:val="nil"/>
            </w:tcBorders>
            <w:noWrap w:val="0"/>
            <w:vAlign w:val="center"/>
          </w:tcPr>
          <w:p w14:paraId="702A41C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稳定</w:t>
            </w:r>
          </w:p>
        </w:tc>
      </w:tr>
      <w:tr w14:paraId="1DA2FB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3F844B6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健康危害</w:t>
            </w:r>
          </w:p>
        </w:tc>
        <w:tc>
          <w:tcPr>
            <w:tcW w:w="3750" w:type="pct"/>
            <w:gridSpan w:val="3"/>
            <w:tcBorders>
              <w:tl2br w:val="nil"/>
              <w:tr2bl w:val="nil"/>
            </w:tcBorders>
            <w:noWrap w:val="0"/>
            <w:vAlign w:val="center"/>
          </w:tcPr>
          <w:p w14:paraId="0C95507D">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本品有麻醉和刺激作用，长期接触可致周围神经炎。吸入高浓度本品出现头痛、头晕、恶心、共济失调等；</w:t>
            </w:r>
          </w:p>
        </w:tc>
      </w:tr>
      <w:tr w14:paraId="69329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63955BE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安全危害</w:t>
            </w:r>
          </w:p>
        </w:tc>
        <w:tc>
          <w:tcPr>
            <w:tcW w:w="3750" w:type="pct"/>
            <w:gridSpan w:val="3"/>
            <w:tcBorders>
              <w:tl2br w:val="nil"/>
              <w:tr2bl w:val="nil"/>
            </w:tcBorders>
            <w:noWrap w:val="0"/>
            <w:vAlign w:val="center"/>
          </w:tcPr>
          <w:p w14:paraId="5E53EB8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可燃，并具有腐蚀性，属于危险废物；</w:t>
            </w:r>
          </w:p>
        </w:tc>
      </w:tr>
      <w:tr w14:paraId="3315A4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2C06067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吸入</w:t>
            </w:r>
          </w:p>
        </w:tc>
        <w:tc>
          <w:tcPr>
            <w:tcW w:w="3750" w:type="pct"/>
            <w:gridSpan w:val="3"/>
            <w:tcBorders>
              <w:tl2br w:val="nil"/>
              <w:tr2bl w:val="nil"/>
            </w:tcBorders>
            <w:noWrap w:val="0"/>
            <w:vAlign w:val="center"/>
          </w:tcPr>
          <w:p w14:paraId="04BC55ED">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眩晕或反胃不太可能出现，如果发生，将患者移到有新鲜空气的地方、若症状持续则要求求助医生；</w:t>
            </w:r>
          </w:p>
        </w:tc>
      </w:tr>
      <w:tr w14:paraId="413594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17267B7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危险性类别</w:t>
            </w:r>
          </w:p>
        </w:tc>
        <w:tc>
          <w:tcPr>
            <w:tcW w:w="3750" w:type="pct"/>
            <w:gridSpan w:val="3"/>
            <w:tcBorders>
              <w:tl2br w:val="nil"/>
              <w:tr2bl w:val="nil"/>
            </w:tcBorders>
            <w:noWrap w:val="0"/>
            <w:vAlign w:val="center"/>
          </w:tcPr>
          <w:p w14:paraId="4A3D20E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易燃，其蒸气与空气可形成爆炸性混合物，遇明火、高热能引起燃烧爆炸。与氧化剂接触发生化学反应，甚至引起燃烧。</w:t>
            </w:r>
          </w:p>
        </w:tc>
      </w:tr>
      <w:bookmarkEnd w:id="47"/>
      <w:bookmarkEnd w:id="48"/>
    </w:tbl>
    <w:p w14:paraId="0E4DED69">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12</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甲醇</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理化</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性质一览表</w:t>
      </w:r>
    </w:p>
    <w:tbl>
      <w:tblPr>
        <w:tblStyle w:val="22"/>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1"/>
        <w:gridCol w:w="2131"/>
        <w:gridCol w:w="2137"/>
      </w:tblGrid>
      <w:tr w14:paraId="09E544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035BBD4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危险性概述</w:t>
            </w:r>
          </w:p>
        </w:tc>
      </w:tr>
      <w:tr w14:paraId="33FEF5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093F2B1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中文名称</w:t>
            </w:r>
          </w:p>
        </w:tc>
        <w:tc>
          <w:tcPr>
            <w:tcW w:w="1249" w:type="pct"/>
            <w:tcBorders>
              <w:tl2br w:val="nil"/>
              <w:tr2bl w:val="nil"/>
            </w:tcBorders>
            <w:noWrap w:val="0"/>
            <w:vAlign w:val="center"/>
          </w:tcPr>
          <w:p w14:paraId="0DD98C4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甲醇、木精</w:t>
            </w:r>
          </w:p>
        </w:tc>
        <w:tc>
          <w:tcPr>
            <w:tcW w:w="1249" w:type="pct"/>
            <w:tcBorders>
              <w:tl2br w:val="nil"/>
              <w:tr2bl w:val="nil"/>
            </w:tcBorders>
            <w:noWrap w:val="0"/>
            <w:vAlign w:val="center"/>
          </w:tcPr>
          <w:p w14:paraId="1136860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外观与性质</w:t>
            </w:r>
          </w:p>
        </w:tc>
        <w:tc>
          <w:tcPr>
            <w:tcW w:w="1250" w:type="pct"/>
            <w:tcBorders>
              <w:tl2br w:val="nil"/>
              <w:tr2bl w:val="nil"/>
            </w:tcBorders>
            <w:noWrap w:val="0"/>
            <w:vAlign w:val="center"/>
          </w:tcPr>
          <w:p w14:paraId="27A4EDF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无色透明液体，有刺激性气味</w:t>
            </w:r>
          </w:p>
        </w:tc>
      </w:tr>
      <w:tr w14:paraId="5CD2B2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1F0FCDED">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熔</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点（℃）</w:t>
            </w:r>
          </w:p>
        </w:tc>
        <w:tc>
          <w:tcPr>
            <w:tcW w:w="1249" w:type="pct"/>
            <w:tcBorders>
              <w:tl2br w:val="nil"/>
              <w:tr2bl w:val="nil"/>
            </w:tcBorders>
            <w:noWrap w:val="0"/>
            <w:vAlign w:val="center"/>
          </w:tcPr>
          <w:p w14:paraId="440834A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97.8</w:t>
            </w:r>
          </w:p>
        </w:tc>
        <w:tc>
          <w:tcPr>
            <w:tcW w:w="1249" w:type="pct"/>
            <w:tcBorders>
              <w:tl2br w:val="nil"/>
              <w:tr2bl w:val="nil"/>
            </w:tcBorders>
            <w:noWrap w:val="0"/>
            <w:vAlign w:val="center"/>
          </w:tcPr>
          <w:p w14:paraId="04A8D42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沸点（℃）</w:t>
            </w:r>
          </w:p>
        </w:tc>
        <w:tc>
          <w:tcPr>
            <w:tcW w:w="1250" w:type="pct"/>
            <w:tcBorders>
              <w:tl2br w:val="nil"/>
              <w:tr2bl w:val="nil"/>
            </w:tcBorders>
            <w:noWrap w:val="0"/>
            <w:vAlign w:val="center"/>
          </w:tcPr>
          <w:p w14:paraId="4C7C70F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64.7</w:t>
            </w:r>
          </w:p>
        </w:tc>
      </w:tr>
      <w:tr w14:paraId="4C647C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C095E7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相对密度（水＝1）0.</w:t>
            </w:r>
            <w:r>
              <w:rPr>
                <w:rFonts w:hint="eastAsia" w:cs="Times New Roman"/>
                <w:color w:val="000000" w:themeColor="text1"/>
                <w:sz w:val="21"/>
                <w:szCs w:val="21"/>
                <w:highlight w:val="none"/>
                <w:lang w:val="en-US" w:eastAsia="zh-CN"/>
                <w14:textFill>
                  <w14:solidFill>
                    <w14:schemeClr w14:val="tx1"/>
                  </w14:solidFill>
                </w14:textFill>
              </w:rPr>
              <w:t>79</w:t>
            </w:r>
          </w:p>
        </w:tc>
        <w:tc>
          <w:tcPr>
            <w:tcW w:w="1249" w:type="pct"/>
            <w:tcBorders>
              <w:tl2br w:val="nil"/>
              <w:tr2bl w:val="nil"/>
            </w:tcBorders>
            <w:noWrap w:val="0"/>
            <w:vAlign w:val="center"/>
          </w:tcPr>
          <w:p w14:paraId="727D451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79</w:t>
            </w:r>
          </w:p>
        </w:tc>
        <w:tc>
          <w:tcPr>
            <w:tcW w:w="1249" w:type="pct"/>
            <w:tcBorders>
              <w:tl2br w:val="nil"/>
              <w:tr2bl w:val="nil"/>
            </w:tcBorders>
            <w:noWrap w:val="0"/>
            <w:vAlign w:val="center"/>
          </w:tcPr>
          <w:p w14:paraId="423C219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w:t>
            </w:r>
            <w:r>
              <w:rPr>
                <w:rFonts w:hint="eastAsia" w:cs="Times New Roman"/>
                <w:color w:val="000000" w:themeColor="text1"/>
                <w:sz w:val="21"/>
                <w:szCs w:val="21"/>
                <w:highlight w:val="none"/>
                <w:lang w:val="en-US" w:eastAsia="zh-CN"/>
                <w14:textFill>
                  <w14:solidFill>
                    <w14:schemeClr w14:val="tx1"/>
                  </w14:solidFill>
                </w14:textFill>
              </w:rPr>
              <w:t>空气</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250" w:type="pct"/>
            <w:tcBorders>
              <w:tl2br w:val="nil"/>
              <w:tr2bl w:val="nil"/>
            </w:tcBorders>
            <w:noWrap w:val="0"/>
            <w:vAlign w:val="center"/>
          </w:tcPr>
          <w:p w14:paraId="2AE08E7E">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1.1</w:t>
            </w:r>
          </w:p>
        </w:tc>
      </w:tr>
      <w:tr w14:paraId="19383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01FF9A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健康危害</w:t>
            </w:r>
          </w:p>
        </w:tc>
        <w:tc>
          <w:tcPr>
            <w:tcW w:w="3750" w:type="pct"/>
            <w:gridSpan w:val="3"/>
            <w:tcBorders>
              <w:tl2br w:val="nil"/>
              <w:tr2bl w:val="nil"/>
            </w:tcBorders>
            <w:noWrap w:val="0"/>
            <w:vAlign w:val="center"/>
          </w:tcPr>
          <w:p w14:paraId="05AA7624">
            <w:pPr>
              <w:keepNext w:val="0"/>
              <w:keepLines w:val="0"/>
              <w:widowControl/>
              <w:suppressLineNumbers w:val="0"/>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易经胃肠道、呼吸道和皮肤吸收。</w:t>
            </w:r>
          </w:p>
          <w:p w14:paraId="005DC7B3">
            <w:pPr>
              <w:keepNext w:val="0"/>
              <w:keepLines w:val="0"/>
              <w:widowControl/>
              <w:suppressLineNumbers w:val="0"/>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急性中毒</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表现为头痛、眩晕、乏力、嗜睡和轻度意识障碍等，重者出现昏迷和癫痫样抽搐,直至死亡。引起代谢性酸中毒。甲醇可致视神经损害，重者引起失明。</w:t>
            </w:r>
          </w:p>
          <w:p w14:paraId="06ADC2F1">
            <w:pPr>
              <w:keepNext w:val="0"/>
              <w:keepLines w:val="0"/>
              <w:widowControl/>
              <w:suppressLineNumbers w:val="0"/>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慢性影响</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主要为神经系统症状，有头晕、无力、眩晕、震颤性麻痹及视觉损害。皮肤反复接触甲醇溶液，可引起局部脱脂和皮炎。</w:t>
            </w:r>
          </w:p>
          <w:p w14:paraId="1F27249B">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解毒剂</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口服乙醇或静脉输乙醇、碳酸氢钠、叶酸、4-甲基吡唑。</w:t>
            </w:r>
          </w:p>
        </w:tc>
      </w:tr>
      <w:tr w14:paraId="5F799E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2031D053">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特别警示</w:t>
            </w:r>
          </w:p>
        </w:tc>
        <w:tc>
          <w:tcPr>
            <w:tcW w:w="3750" w:type="pct"/>
            <w:gridSpan w:val="3"/>
            <w:tcBorders>
              <w:tl2br w:val="nil"/>
              <w:tr2bl w:val="nil"/>
            </w:tcBorders>
            <w:noWrap w:val="0"/>
            <w:vAlign w:val="center"/>
          </w:tcPr>
          <w:p w14:paraId="12A09C2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有毒液体，可引起失明、死亡。</w:t>
            </w:r>
          </w:p>
        </w:tc>
      </w:tr>
      <w:tr w14:paraId="10C63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26A5B1C">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安全措施</w:t>
            </w:r>
          </w:p>
        </w:tc>
        <w:tc>
          <w:tcPr>
            <w:tcW w:w="3750" w:type="pct"/>
            <w:gridSpan w:val="3"/>
            <w:tcBorders>
              <w:tl2br w:val="nil"/>
              <w:tr2bl w:val="nil"/>
            </w:tcBorders>
            <w:noWrap w:val="0"/>
            <w:vAlign w:val="center"/>
          </w:tcPr>
          <w:p w14:paraId="017A907F">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一般要求</w:t>
            </w:r>
            <w:r>
              <w:rPr>
                <w:rFonts w:hint="eastAsia" w:cs="Times New Roman"/>
                <w:color w:val="000000" w:themeColor="text1"/>
                <w:sz w:val="21"/>
                <w:szCs w:val="21"/>
                <w:highlight w:val="none"/>
                <w:lang w:val="en-US" w:eastAsia="zh-CN"/>
                <w14:textFill>
                  <w14:solidFill>
                    <w14:schemeClr w14:val="tx1"/>
                  </w14:solidFill>
                </w14:textFill>
              </w:rPr>
              <w:t>：</w:t>
            </w:r>
          </w:p>
          <w:p w14:paraId="66F4586A">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操作人员必须经过专门培训，严格遵守操作规程，熟练掌握操作技能，具备应急处置知识。</w:t>
            </w:r>
          </w:p>
          <w:p w14:paraId="16324FAC">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密闭操作，防止泄漏，加强通风。远离火种、热源，工作场所严禁吸烟。使用防爆型的通风系统和设备。戴化学安全防护眼镜，穿防静电工作服，戴橡胶手套，建议操作人员佩戴过滤式防毒面具(半面罩)。</w:t>
            </w:r>
          </w:p>
          <w:p w14:paraId="33DB70DA">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储罐等压力设备应设置压力表、液位计、温度计，并应装有带压力、液位、温度远传记录和报警功能的安全装置，</w:t>
            </w:r>
          </w:p>
          <w:p w14:paraId="43F08E53">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避免与氧化剂、酸类、碱金属接触。</w:t>
            </w:r>
          </w:p>
          <w:p w14:paraId="4DE74FF4">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生产、储存区域应设置安全警示标志。灌装时应控制流速，且有接地装置，防止静电积聚。配备相应品种和数量的消防器材及泄漏应急处理设备:</w:t>
            </w:r>
          </w:p>
        </w:tc>
      </w:tr>
      <w:tr w14:paraId="128BB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32F9678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急救措施</w:t>
            </w:r>
          </w:p>
        </w:tc>
        <w:tc>
          <w:tcPr>
            <w:tcW w:w="3750" w:type="pct"/>
            <w:gridSpan w:val="3"/>
            <w:tcBorders>
              <w:tl2br w:val="nil"/>
              <w:tr2bl w:val="nil"/>
            </w:tcBorders>
            <w:noWrap w:val="0"/>
            <w:vAlign w:val="center"/>
          </w:tcPr>
          <w:p w14:paraId="03924A80">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吸入</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迅速脱离现场至空气新鲜处。保持呼吸道通畅。如呼吸困难，给。如呼吸停止，立即进行人工呼吸。就医。</w:t>
            </w:r>
          </w:p>
          <w:p w14:paraId="0D6F4E18">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食入</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饮足量温水，催吐。用清水或1%硫代硫酸钠溶液洗胃。就医。</w:t>
            </w:r>
          </w:p>
          <w:p w14:paraId="073F3528">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皮肤接触</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脱去污染的衣着，用肥皂水和清水彻底冲洗皮肤。</w:t>
            </w:r>
          </w:p>
          <w:p w14:paraId="3019888A">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眼睛接触</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提起</w:t>
            </w:r>
            <w:r>
              <w:rPr>
                <w:rFonts w:hint="eastAsia" w:cs="Times New Roman"/>
                <w:color w:val="000000" w:themeColor="text1"/>
                <w:sz w:val="21"/>
                <w:szCs w:val="21"/>
                <w:highlight w:val="none"/>
                <w:lang w:val="en-US" w:eastAsia="zh-CN"/>
                <w14:textFill>
                  <w14:solidFill>
                    <w14:schemeClr w14:val="tx1"/>
                  </w14:solidFill>
                </w14:textFill>
              </w:rPr>
              <w:t>眼睑</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，用流动清水或生理盐水冲洗。就医。</w:t>
            </w:r>
          </w:p>
        </w:tc>
      </w:tr>
    </w:tbl>
    <w:p w14:paraId="307A5E7D">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13</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盐酸</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理化</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性质一览表</w:t>
      </w:r>
    </w:p>
    <w:tbl>
      <w:tblPr>
        <w:tblStyle w:val="46"/>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29"/>
        <w:gridCol w:w="1405"/>
        <w:gridCol w:w="1089"/>
        <w:gridCol w:w="238"/>
        <w:gridCol w:w="143"/>
        <w:gridCol w:w="1278"/>
        <w:gridCol w:w="146"/>
        <w:gridCol w:w="874"/>
        <w:gridCol w:w="141"/>
        <w:gridCol w:w="1323"/>
        <w:gridCol w:w="431"/>
        <w:gridCol w:w="813"/>
      </w:tblGrid>
      <w:tr w14:paraId="2250E9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trPr>
        <w:tc>
          <w:tcPr>
            <w:tcW w:w="258" w:type="pct"/>
            <w:vMerge w:val="restart"/>
            <w:tcBorders>
              <w:tl2br w:val="nil"/>
              <w:tr2bl w:val="nil"/>
            </w:tcBorders>
            <w:noWrap w:val="0"/>
            <w:vAlign w:val="center"/>
          </w:tcPr>
          <w:p w14:paraId="0DD31A1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标识</w:t>
            </w:r>
          </w:p>
        </w:tc>
        <w:tc>
          <w:tcPr>
            <w:tcW w:w="3112" w:type="pct"/>
            <w:gridSpan w:val="7"/>
            <w:tcBorders>
              <w:tl2br w:val="nil"/>
              <w:tr2bl w:val="nil"/>
            </w:tcBorders>
            <w:noWrap w:val="0"/>
            <w:vAlign w:val="center"/>
          </w:tcPr>
          <w:p w14:paraId="61F2E57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中文名：盐酸；氢氯酸</w:t>
            </w:r>
          </w:p>
        </w:tc>
        <w:tc>
          <w:tcPr>
            <w:tcW w:w="1629" w:type="pct"/>
            <w:gridSpan w:val="4"/>
            <w:tcBorders>
              <w:tl2br w:val="nil"/>
              <w:tr2bl w:val="nil"/>
            </w:tcBorders>
            <w:noWrap w:val="0"/>
            <w:vAlign w:val="center"/>
          </w:tcPr>
          <w:p w14:paraId="68EEE24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危险货物编号：81013</w:t>
            </w:r>
          </w:p>
        </w:tc>
      </w:tr>
      <w:tr w14:paraId="5CD3B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0" w:hRule="atLeast"/>
        </w:trPr>
        <w:tc>
          <w:tcPr>
            <w:tcW w:w="258" w:type="pct"/>
            <w:vMerge w:val="continue"/>
            <w:tcBorders>
              <w:tl2br w:val="nil"/>
              <w:tr2bl w:val="nil"/>
            </w:tcBorders>
            <w:noWrap w:val="0"/>
            <w:vAlign w:val="center"/>
          </w:tcPr>
          <w:p w14:paraId="744867F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112" w:type="pct"/>
            <w:gridSpan w:val="7"/>
            <w:tcBorders>
              <w:tl2br w:val="nil"/>
              <w:tr2bl w:val="nil"/>
            </w:tcBorders>
            <w:noWrap w:val="0"/>
            <w:vAlign w:val="center"/>
          </w:tcPr>
          <w:p w14:paraId="1B9F723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英文名：Hydrochloricacid;Chlorohyd</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ricacid</w:t>
            </w:r>
          </w:p>
        </w:tc>
        <w:tc>
          <w:tcPr>
            <w:tcW w:w="1629" w:type="pct"/>
            <w:gridSpan w:val="4"/>
            <w:tcBorders>
              <w:tl2br w:val="nil"/>
              <w:tr2bl w:val="nil"/>
            </w:tcBorders>
            <w:noWrap w:val="0"/>
            <w:vAlign w:val="center"/>
          </w:tcPr>
          <w:p w14:paraId="01EEB91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UN</w:t>
            </w:r>
            <w:r>
              <w:rPr>
                <w:rFonts w:hint="default" w:ascii="Times New Roman" w:hAnsi="Times New Roman" w:eastAsia="宋体" w:cs="Times New Roman"/>
                <w:color w:val="000000" w:themeColor="text1"/>
                <w:spacing w:val="38"/>
                <w:sz w:val="21"/>
                <w:szCs w:val="21"/>
                <w:highlight w:val="none"/>
                <w14:textFill>
                  <w14:solidFill>
                    <w14:schemeClr w14:val="tx1"/>
                  </w14:solidFill>
                </w14:textFill>
              </w:rPr>
              <w:t>编号：1789</w:t>
            </w:r>
          </w:p>
        </w:tc>
      </w:tr>
      <w:tr w14:paraId="162FF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258" w:type="pct"/>
            <w:vMerge w:val="continue"/>
            <w:tcBorders>
              <w:tl2br w:val="nil"/>
              <w:tr2bl w:val="nil"/>
            </w:tcBorders>
            <w:noWrap w:val="0"/>
            <w:vAlign w:val="center"/>
          </w:tcPr>
          <w:p w14:paraId="0FCDE67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643" w:type="pct"/>
            <w:gridSpan w:val="3"/>
            <w:tcBorders>
              <w:tl2br w:val="nil"/>
              <w:tr2bl w:val="nil"/>
            </w:tcBorders>
            <w:noWrap w:val="0"/>
            <w:vAlign w:val="center"/>
          </w:tcPr>
          <w:p w14:paraId="24245DE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分子式：</w:t>
            </w:r>
            <w:r>
              <w:rPr>
                <w:rFonts w:hint="default" w:ascii="Times New Roman" w:hAnsi="Times New Roman" w:eastAsia="宋体" w:cs="Times New Roman"/>
                <w:color w:val="000000" w:themeColor="text1"/>
                <w:sz w:val="21"/>
                <w:szCs w:val="21"/>
                <w:highlight w:val="none"/>
                <w14:textFill>
                  <w14:solidFill>
                    <w14:schemeClr w14:val="tx1"/>
                  </w14:solidFill>
                </w14:textFill>
              </w:rPr>
              <w:t>HCl</w:t>
            </w:r>
          </w:p>
        </w:tc>
        <w:tc>
          <w:tcPr>
            <w:tcW w:w="1469" w:type="pct"/>
            <w:gridSpan w:val="4"/>
            <w:tcBorders>
              <w:tl2br w:val="nil"/>
              <w:tr2bl w:val="nil"/>
            </w:tcBorders>
            <w:noWrap w:val="0"/>
            <w:vAlign w:val="center"/>
          </w:tcPr>
          <w:p w14:paraId="3117600E">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分子量：36.46</w:t>
            </w:r>
          </w:p>
        </w:tc>
        <w:tc>
          <w:tcPr>
            <w:tcW w:w="1629" w:type="pct"/>
            <w:gridSpan w:val="4"/>
            <w:tcBorders>
              <w:tl2br w:val="nil"/>
              <w:tr2bl w:val="nil"/>
            </w:tcBorders>
            <w:noWrap w:val="0"/>
            <w:vAlign w:val="center"/>
          </w:tcPr>
          <w:p w14:paraId="3633ADD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CAS号：7647-01-0</w:t>
            </w:r>
          </w:p>
        </w:tc>
      </w:tr>
      <w:tr w14:paraId="53E543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0" w:hRule="atLeast"/>
        </w:trPr>
        <w:tc>
          <w:tcPr>
            <w:tcW w:w="258" w:type="pct"/>
            <w:vMerge w:val="restart"/>
            <w:tcBorders>
              <w:tl2br w:val="nil"/>
              <w:tr2bl w:val="nil"/>
            </w:tcBorders>
            <w:noWrap w:val="0"/>
            <w:vAlign w:val="center"/>
          </w:tcPr>
          <w:p w14:paraId="6FB12C2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理化性质</w:t>
            </w:r>
          </w:p>
        </w:tc>
        <w:tc>
          <w:tcPr>
            <w:tcW w:w="845" w:type="pct"/>
            <w:tcBorders>
              <w:tl2br w:val="nil"/>
              <w:tr2bl w:val="nil"/>
            </w:tcBorders>
            <w:noWrap w:val="0"/>
            <w:vAlign w:val="center"/>
          </w:tcPr>
          <w:p w14:paraId="7E88217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外观与性状</w:t>
            </w:r>
          </w:p>
        </w:tc>
        <w:tc>
          <w:tcPr>
            <w:tcW w:w="3895" w:type="pct"/>
            <w:gridSpan w:val="10"/>
            <w:tcBorders>
              <w:tl2br w:val="nil"/>
              <w:tr2bl w:val="nil"/>
            </w:tcBorders>
            <w:noWrap w:val="0"/>
            <w:vAlign w:val="center"/>
          </w:tcPr>
          <w:p w14:paraId="5D0E0E61">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无色或微黄色发烟液体，有刺鼻的酸味。</w:t>
            </w:r>
          </w:p>
        </w:tc>
      </w:tr>
      <w:tr w14:paraId="6F720E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258" w:type="pct"/>
            <w:vMerge w:val="continue"/>
            <w:tcBorders>
              <w:tl2br w:val="nil"/>
              <w:tr2bl w:val="nil"/>
            </w:tcBorders>
            <w:noWrap w:val="0"/>
            <w:vAlign w:val="center"/>
          </w:tcPr>
          <w:p w14:paraId="1B1CD0A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0A056D04">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0"/>
                <w:sz w:val="21"/>
                <w:szCs w:val="21"/>
                <w:highlight w:val="none"/>
                <w14:textFill>
                  <w14:solidFill>
                    <w14:schemeClr w14:val="tx1"/>
                  </w14:solidFill>
                </w14:textFill>
              </w:rPr>
              <w:t>熔点(℃)</w:t>
            </w:r>
          </w:p>
        </w:tc>
        <w:tc>
          <w:tcPr>
            <w:tcW w:w="655" w:type="pct"/>
            <w:tcBorders>
              <w:tl2br w:val="nil"/>
              <w:tr2bl w:val="nil"/>
            </w:tcBorders>
            <w:noWrap w:val="0"/>
            <w:vAlign w:val="center"/>
          </w:tcPr>
          <w:p w14:paraId="6F18BFC6">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-114.8</w:t>
            </w:r>
          </w:p>
        </w:tc>
        <w:tc>
          <w:tcPr>
            <w:tcW w:w="1086" w:type="pct"/>
            <w:gridSpan w:val="4"/>
            <w:tcBorders>
              <w:tl2br w:val="nil"/>
              <w:tr2bl w:val="nil"/>
            </w:tcBorders>
            <w:noWrap w:val="0"/>
            <w:vAlign w:val="center"/>
          </w:tcPr>
          <w:p w14:paraId="4B6778D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相对密度(水=1)</w:t>
            </w:r>
          </w:p>
        </w:tc>
        <w:tc>
          <w:tcPr>
            <w:tcW w:w="524" w:type="pct"/>
            <w:tcBorders>
              <w:tl2br w:val="nil"/>
              <w:tr2bl w:val="nil"/>
            </w:tcBorders>
            <w:noWrap w:val="0"/>
            <w:vAlign w:val="center"/>
          </w:tcPr>
          <w:p w14:paraId="72AA03E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1.20</w:t>
            </w:r>
          </w:p>
        </w:tc>
        <w:tc>
          <w:tcPr>
            <w:tcW w:w="1140" w:type="pct"/>
            <w:gridSpan w:val="3"/>
            <w:tcBorders>
              <w:tl2br w:val="nil"/>
              <w:tr2bl w:val="nil"/>
            </w:tcBorders>
            <w:noWrap w:val="0"/>
            <w:vAlign w:val="center"/>
          </w:tcPr>
          <w:p w14:paraId="411ABEB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相对密度(空气=1)</w:t>
            </w:r>
          </w:p>
        </w:tc>
        <w:tc>
          <w:tcPr>
            <w:tcW w:w="488" w:type="pct"/>
            <w:tcBorders>
              <w:tl2br w:val="nil"/>
              <w:tr2bl w:val="nil"/>
            </w:tcBorders>
            <w:noWrap w:val="0"/>
            <w:vAlign w:val="center"/>
          </w:tcPr>
          <w:p w14:paraId="4B33FFF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1.26</w:t>
            </w:r>
          </w:p>
        </w:tc>
      </w:tr>
      <w:tr w14:paraId="7C8D2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258" w:type="pct"/>
            <w:vMerge w:val="continue"/>
            <w:tcBorders>
              <w:tl2br w:val="nil"/>
              <w:tr2bl w:val="nil"/>
            </w:tcBorders>
            <w:noWrap w:val="0"/>
            <w:vAlign w:val="center"/>
          </w:tcPr>
          <w:p w14:paraId="7BE4F2A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6560935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0"/>
                <w:sz w:val="21"/>
                <w:szCs w:val="21"/>
                <w:highlight w:val="none"/>
                <w14:textFill>
                  <w14:solidFill>
                    <w14:schemeClr w14:val="tx1"/>
                  </w14:solidFill>
                </w14:textFill>
              </w:rPr>
              <w:t>沸点(℃)</w:t>
            </w:r>
          </w:p>
        </w:tc>
        <w:tc>
          <w:tcPr>
            <w:tcW w:w="655" w:type="pct"/>
            <w:tcBorders>
              <w:tl2br w:val="nil"/>
              <w:tr2bl w:val="nil"/>
            </w:tcBorders>
            <w:noWrap w:val="0"/>
            <w:vAlign w:val="center"/>
          </w:tcPr>
          <w:p w14:paraId="7542C26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108.6</w:t>
            </w:r>
          </w:p>
        </w:tc>
        <w:tc>
          <w:tcPr>
            <w:tcW w:w="1611" w:type="pct"/>
            <w:gridSpan w:val="5"/>
            <w:tcBorders>
              <w:tl2br w:val="nil"/>
              <w:tr2bl w:val="nil"/>
            </w:tcBorders>
            <w:noWrap w:val="0"/>
            <w:vAlign w:val="center"/>
          </w:tcPr>
          <w:p w14:paraId="44D8240F">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饱和蒸气压(</w:t>
            </w:r>
            <w:r>
              <w:rPr>
                <w:rFonts w:hint="default" w:ascii="Times New Roman" w:hAnsi="Times New Roman" w:eastAsia="宋体" w:cs="Times New Roman"/>
                <w:color w:val="000000" w:themeColor="text1"/>
                <w:sz w:val="21"/>
                <w:szCs w:val="21"/>
                <w:highlight w:val="none"/>
                <w14:textFill>
                  <w14:solidFill>
                    <w14:schemeClr w14:val="tx1"/>
                  </w14:solidFill>
                </w14:textFill>
              </w:rPr>
              <w:t>kPa</w:t>
            </w: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w:t>
            </w:r>
          </w:p>
        </w:tc>
        <w:tc>
          <w:tcPr>
            <w:tcW w:w="1629" w:type="pct"/>
            <w:gridSpan w:val="4"/>
            <w:tcBorders>
              <w:tl2br w:val="nil"/>
              <w:tr2bl w:val="nil"/>
            </w:tcBorders>
            <w:noWrap w:val="0"/>
            <w:vAlign w:val="center"/>
          </w:tcPr>
          <w:p w14:paraId="17E038E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30.6621℃</w:t>
            </w:r>
          </w:p>
        </w:tc>
      </w:tr>
      <w:tr w14:paraId="11EC3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258" w:type="pct"/>
            <w:vMerge w:val="continue"/>
            <w:tcBorders>
              <w:tl2br w:val="nil"/>
              <w:tr2bl w:val="nil"/>
            </w:tcBorders>
            <w:noWrap w:val="0"/>
            <w:vAlign w:val="center"/>
          </w:tcPr>
          <w:p w14:paraId="47C3CCA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7120B3A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溶解性</w:t>
            </w:r>
          </w:p>
        </w:tc>
        <w:tc>
          <w:tcPr>
            <w:tcW w:w="3895" w:type="pct"/>
            <w:gridSpan w:val="10"/>
            <w:tcBorders>
              <w:tl2br w:val="nil"/>
              <w:tr2bl w:val="nil"/>
            </w:tcBorders>
            <w:noWrap w:val="0"/>
            <w:vAlign w:val="center"/>
          </w:tcPr>
          <w:p w14:paraId="2C63663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与水混溶，溶于碱液。</w:t>
            </w:r>
          </w:p>
        </w:tc>
      </w:tr>
      <w:tr w14:paraId="5FCB62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258" w:type="pct"/>
            <w:vMerge w:val="restart"/>
            <w:tcBorders>
              <w:tl2br w:val="nil"/>
              <w:tr2bl w:val="nil"/>
            </w:tcBorders>
            <w:noWrap w:val="0"/>
            <w:vAlign w:val="center"/>
          </w:tcPr>
          <w:p w14:paraId="7C59940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毒性及健康危害</w:t>
            </w:r>
          </w:p>
        </w:tc>
        <w:tc>
          <w:tcPr>
            <w:tcW w:w="845" w:type="pct"/>
            <w:tcBorders>
              <w:tl2br w:val="nil"/>
              <w:tr2bl w:val="nil"/>
            </w:tcBorders>
            <w:noWrap w:val="0"/>
            <w:vAlign w:val="center"/>
          </w:tcPr>
          <w:p w14:paraId="2E39861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侵入途径</w:t>
            </w:r>
          </w:p>
        </w:tc>
        <w:tc>
          <w:tcPr>
            <w:tcW w:w="3895" w:type="pct"/>
            <w:gridSpan w:val="10"/>
            <w:tcBorders>
              <w:tl2br w:val="nil"/>
              <w:tr2bl w:val="nil"/>
            </w:tcBorders>
            <w:noWrap w:val="0"/>
            <w:vAlign w:val="center"/>
          </w:tcPr>
          <w:p w14:paraId="21DE7A3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吸入、食入、经皮吸收。</w:t>
            </w:r>
          </w:p>
        </w:tc>
      </w:tr>
      <w:tr w14:paraId="3B806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49" w:hRule="atLeast"/>
        </w:trPr>
        <w:tc>
          <w:tcPr>
            <w:tcW w:w="258" w:type="pct"/>
            <w:vMerge w:val="continue"/>
            <w:tcBorders>
              <w:tl2br w:val="nil"/>
              <w:tr2bl w:val="nil"/>
            </w:tcBorders>
            <w:noWrap w:val="0"/>
            <w:textDirection w:val="tbRlV"/>
            <w:vAlign w:val="center"/>
          </w:tcPr>
          <w:p w14:paraId="33BBD7E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1390FFC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毒性</w:t>
            </w:r>
          </w:p>
        </w:tc>
        <w:tc>
          <w:tcPr>
            <w:tcW w:w="3895" w:type="pct"/>
            <w:gridSpan w:val="10"/>
            <w:tcBorders>
              <w:tl2br w:val="nil"/>
              <w:tr2bl w:val="nil"/>
            </w:tcBorders>
            <w:noWrap w:val="0"/>
            <w:vAlign w:val="center"/>
          </w:tcPr>
          <w:p w14:paraId="49FD376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LD</w:t>
            </w:r>
            <w:r>
              <w:rPr>
                <w:rFonts w:hint="default" w:ascii="Times New Roman" w:hAnsi="Times New Roman" w:eastAsia="宋体" w:cs="Times New Roman"/>
                <w:color w:val="000000" w:themeColor="text1"/>
                <w:spacing w:val="18"/>
                <w:sz w:val="21"/>
                <w:szCs w:val="21"/>
                <w:highlight w:val="none"/>
                <w14:textFill>
                  <w14:solidFill>
                    <w14:schemeClr w14:val="tx1"/>
                  </w14:solidFill>
                </w14:textFill>
              </w:rPr>
              <w:t>₅₀:900</w:t>
            </w:r>
            <w:r>
              <w:rPr>
                <w:rFonts w:hint="default" w:ascii="Times New Roman" w:hAnsi="Times New Roman" w:eastAsia="宋体" w:cs="Times New Roman"/>
                <w:color w:val="000000" w:themeColor="text1"/>
                <w:sz w:val="21"/>
                <w:szCs w:val="21"/>
                <w:highlight w:val="none"/>
                <w14:textFill>
                  <w14:solidFill>
                    <w14:schemeClr w14:val="tx1"/>
                  </w14:solidFill>
                </w14:textFill>
              </w:rPr>
              <w:t>mg</w:t>
            </w:r>
            <w:r>
              <w:rPr>
                <w:rFonts w:hint="default" w:ascii="Times New Roman" w:hAnsi="Times New Roman" w:eastAsia="宋体" w:cs="Times New Roman"/>
                <w:color w:val="000000" w:themeColor="text1"/>
                <w:spacing w:val="18"/>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kg</w:t>
            </w:r>
            <w:r>
              <w:rPr>
                <w:rFonts w:hint="default" w:ascii="Times New Roman" w:hAnsi="Times New Roman" w:eastAsia="宋体" w:cs="Times New Roman"/>
                <w:color w:val="000000" w:themeColor="text1"/>
                <w:spacing w:val="18"/>
                <w:sz w:val="21"/>
                <w:szCs w:val="21"/>
                <w:highlight w:val="none"/>
                <w14:textFill>
                  <w14:solidFill>
                    <w14:schemeClr w14:val="tx1"/>
                  </w14:solidFill>
                </w14:textFill>
              </w:rPr>
              <w:t>(兔经口);</w:t>
            </w:r>
            <w:r>
              <w:rPr>
                <w:rFonts w:hint="default" w:ascii="Times New Roman" w:hAnsi="Times New Roman" w:eastAsia="宋体" w:cs="Times New Roman"/>
                <w:color w:val="000000" w:themeColor="text1"/>
                <w:sz w:val="21"/>
                <w:szCs w:val="21"/>
                <w:highlight w:val="none"/>
                <w14:textFill>
                  <w14:solidFill>
                    <w14:schemeClr w14:val="tx1"/>
                  </w14:solidFill>
                </w14:textFill>
              </w:rPr>
              <w:t>LC</w:t>
            </w:r>
            <w:r>
              <w:rPr>
                <w:rFonts w:hint="default" w:ascii="Times New Roman" w:hAnsi="Times New Roman" w:eastAsia="宋体" w:cs="Times New Roman"/>
                <w:color w:val="000000" w:themeColor="text1"/>
                <w:spacing w:val="14"/>
                <w:sz w:val="21"/>
                <w:szCs w:val="21"/>
                <w:highlight w:val="none"/>
                <w14:textFill>
                  <w14:solidFill>
                    <w14:schemeClr w14:val="tx1"/>
                  </w14:solidFill>
                </w14:textFill>
              </w:rPr>
              <w:t>₅₀:3124</w:t>
            </w:r>
            <w:r>
              <w:rPr>
                <w:rFonts w:hint="default" w:ascii="Times New Roman" w:hAnsi="Times New Roman" w:eastAsia="宋体" w:cs="Times New Roman"/>
                <w:color w:val="000000" w:themeColor="text1"/>
                <w:sz w:val="21"/>
                <w:szCs w:val="21"/>
                <w:highlight w:val="none"/>
                <w14:textFill>
                  <w14:solidFill>
                    <w14:schemeClr w14:val="tx1"/>
                  </w14:solidFill>
                </w14:textFill>
              </w:rPr>
              <w:t>ppm</w:t>
            </w:r>
            <w:r>
              <w:rPr>
                <w:rFonts w:hint="default" w:ascii="Times New Roman" w:hAnsi="Times New Roman" w:eastAsia="宋体" w:cs="Times New Roman"/>
                <w:color w:val="000000" w:themeColor="text1"/>
                <w:spacing w:val="14"/>
                <w:sz w:val="21"/>
                <w:szCs w:val="21"/>
                <w:highlight w:val="none"/>
                <w14:textFill>
                  <w14:solidFill>
                    <w14:schemeClr w14:val="tx1"/>
                  </w14:solidFill>
                </w14:textFill>
              </w:rPr>
              <w:t>,1小时(大鼠吸入)</w:t>
            </w:r>
          </w:p>
        </w:tc>
      </w:tr>
      <w:tr w14:paraId="7D469C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39" w:hRule="atLeast"/>
        </w:trPr>
        <w:tc>
          <w:tcPr>
            <w:tcW w:w="258" w:type="pct"/>
            <w:vMerge w:val="continue"/>
            <w:tcBorders>
              <w:tl2br w:val="nil"/>
              <w:tr2bl w:val="nil"/>
            </w:tcBorders>
            <w:noWrap w:val="0"/>
            <w:textDirection w:val="tbRlV"/>
            <w:vAlign w:val="center"/>
          </w:tcPr>
          <w:p w14:paraId="15B22EE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3FA15D4D">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健康危害</w:t>
            </w:r>
          </w:p>
        </w:tc>
        <w:tc>
          <w:tcPr>
            <w:tcW w:w="3895" w:type="pct"/>
            <w:gridSpan w:val="10"/>
            <w:tcBorders>
              <w:tl2br w:val="nil"/>
              <w:tr2bl w:val="nil"/>
            </w:tcBorders>
            <w:noWrap w:val="0"/>
            <w:vAlign w:val="center"/>
          </w:tcPr>
          <w:p w14:paraId="125097A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接触其蒸气或烟雾，可引起急性中毒，出现眼结膜炎，鼻及口腔粘膜有烧灼感，鼻衄、齿龈出血，气管炎等。误服可引起消化道灼伤、溃疡形成，有可能引起胃穿孔、腹膜炎等。眼和皮肤接触可致灼伤。慢性影响</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：长期接触，</w:t>
            </w:r>
            <w:r>
              <w:rPr>
                <w:rFonts w:hint="default" w:ascii="Times New Roman" w:hAnsi="Times New Roman" w:eastAsia="宋体" w:cs="Times New Roman"/>
                <w:color w:val="000000" w:themeColor="text1"/>
                <w:sz w:val="21"/>
                <w:szCs w:val="21"/>
                <w:highlight w:val="none"/>
                <w14:textFill>
                  <w14:solidFill>
                    <w14:schemeClr w14:val="tx1"/>
                  </w14:solidFill>
                </w14:textFill>
              </w:rPr>
              <w:t>引起慢性鼻炎、慢性支气管炎、牙齿酸蚀症及皮肤损害。</w:t>
            </w:r>
          </w:p>
        </w:tc>
      </w:tr>
      <w:tr w14:paraId="6788E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99" w:hRule="atLeast"/>
        </w:trPr>
        <w:tc>
          <w:tcPr>
            <w:tcW w:w="258" w:type="pct"/>
            <w:vMerge w:val="continue"/>
            <w:tcBorders>
              <w:tl2br w:val="nil"/>
              <w:tr2bl w:val="nil"/>
            </w:tcBorders>
            <w:noWrap w:val="0"/>
            <w:textDirection w:val="tbRlV"/>
            <w:vAlign w:val="center"/>
          </w:tcPr>
          <w:p w14:paraId="5BE77E2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5324C9C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急救方法</w:t>
            </w:r>
          </w:p>
        </w:tc>
        <w:tc>
          <w:tcPr>
            <w:tcW w:w="3895" w:type="pct"/>
            <w:gridSpan w:val="10"/>
            <w:tcBorders>
              <w:tl2br w:val="nil"/>
              <w:tr2bl w:val="nil"/>
            </w:tcBorders>
            <w:noWrap w:val="0"/>
            <w:vAlign w:val="center"/>
          </w:tcPr>
          <w:p w14:paraId="50339E6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皮肤接触：立即用水冲洗至少15分钟。或用2%碳酸氢钠溶液冲洗。若有灼伤，就医治疗。眼睛接触：立即提起眼睑，用流动清水</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冲洗10分钟或用2%</w:t>
            </w: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碳酸氢钠溶液冲洗。吸入：迅速脱离现场至空气新鲜</w:t>
            </w: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处。呼吸困难时给输氧。</w:t>
            </w:r>
            <w:r>
              <w:rPr>
                <w:rFonts w:hint="default" w:ascii="Times New Roman" w:hAnsi="Times New Roman" w:eastAsia="宋体" w:cs="Times New Roman"/>
                <w:color w:val="000000" w:themeColor="text1"/>
                <w:sz w:val="21"/>
                <w:szCs w:val="21"/>
                <w:highlight w:val="none"/>
                <w14:textFill>
                  <w14:solidFill>
                    <w14:schemeClr w14:val="tx1"/>
                  </w14:solidFill>
                </w14:textFill>
              </w:rPr>
              <w:t>给予2-4%碳酸氢钠溶液雾化吸入。就医。食入：误服者立即漱口，给牛奶、</w:t>
            </w: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蛋清、植物油等口服，不可催吐。立即就医。</w:t>
            </w:r>
          </w:p>
        </w:tc>
      </w:tr>
      <w:tr w14:paraId="22F9E5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258" w:type="pct"/>
            <w:vMerge w:val="restart"/>
            <w:tcBorders>
              <w:tl2br w:val="nil"/>
              <w:tr2bl w:val="nil"/>
            </w:tcBorders>
            <w:noWrap w:val="0"/>
            <w:vAlign w:val="center"/>
          </w:tcPr>
          <w:p w14:paraId="742BA90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燃烧爆炸危险性</w:t>
            </w:r>
          </w:p>
        </w:tc>
        <w:tc>
          <w:tcPr>
            <w:tcW w:w="845" w:type="pct"/>
            <w:tcBorders>
              <w:tl2br w:val="nil"/>
              <w:tr2bl w:val="nil"/>
            </w:tcBorders>
            <w:noWrap w:val="0"/>
            <w:vAlign w:val="center"/>
          </w:tcPr>
          <w:p w14:paraId="470ABDA1">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燃烧性</w:t>
            </w:r>
          </w:p>
        </w:tc>
        <w:tc>
          <w:tcPr>
            <w:tcW w:w="884" w:type="pct"/>
            <w:gridSpan w:val="3"/>
            <w:tcBorders>
              <w:tl2br w:val="nil"/>
              <w:tr2bl w:val="nil"/>
            </w:tcBorders>
            <w:noWrap w:val="0"/>
            <w:vAlign w:val="center"/>
          </w:tcPr>
          <w:p w14:paraId="2823830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不燃</w:t>
            </w:r>
          </w:p>
        </w:tc>
        <w:tc>
          <w:tcPr>
            <w:tcW w:w="1468" w:type="pct"/>
            <w:gridSpan w:val="4"/>
            <w:tcBorders>
              <w:tl2br w:val="nil"/>
              <w:tr2bl w:val="nil"/>
            </w:tcBorders>
            <w:noWrap w:val="0"/>
            <w:vAlign w:val="center"/>
          </w:tcPr>
          <w:p w14:paraId="58D645D4">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燃烧分解物</w:t>
            </w:r>
          </w:p>
        </w:tc>
        <w:tc>
          <w:tcPr>
            <w:tcW w:w="1542" w:type="pct"/>
            <w:gridSpan w:val="3"/>
            <w:tcBorders>
              <w:tl2br w:val="nil"/>
              <w:tr2bl w:val="nil"/>
            </w:tcBorders>
            <w:noWrap w:val="0"/>
            <w:vAlign w:val="center"/>
          </w:tcPr>
          <w:p w14:paraId="5A2AB846">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氯化氢。</w:t>
            </w:r>
          </w:p>
        </w:tc>
      </w:tr>
      <w:tr w14:paraId="6D8FD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258" w:type="pct"/>
            <w:vMerge w:val="continue"/>
            <w:tcBorders>
              <w:tl2br w:val="nil"/>
              <w:tr2bl w:val="nil"/>
            </w:tcBorders>
            <w:noWrap w:val="0"/>
            <w:textDirection w:val="tbRlV"/>
            <w:vAlign w:val="center"/>
          </w:tcPr>
          <w:p w14:paraId="657C63E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123BAD4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闪点(℃)</w:t>
            </w:r>
          </w:p>
        </w:tc>
        <w:tc>
          <w:tcPr>
            <w:tcW w:w="884" w:type="pct"/>
            <w:gridSpan w:val="3"/>
            <w:tcBorders>
              <w:tl2br w:val="nil"/>
              <w:tr2bl w:val="nil"/>
            </w:tcBorders>
            <w:noWrap w:val="0"/>
            <w:vAlign w:val="center"/>
          </w:tcPr>
          <w:p w14:paraId="2DF8820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468" w:type="pct"/>
            <w:gridSpan w:val="4"/>
            <w:tcBorders>
              <w:tl2br w:val="nil"/>
              <w:tr2bl w:val="nil"/>
            </w:tcBorders>
            <w:noWrap w:val="0"/>
            <w:vAlign w:val="center"/>
          </w:tcPr>
          <w:p w14:paraId="49D5521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8"/>
                <w:sz w:val="21"/>
                <w:szCs w:val="21"/>
                <w:highlight w:val="none"/>
                <w14:textFill>
                  <w14:solidFill>
                    <w14:schemeClr w14:val="tx1"/>
                  </w14:solidFill>
                </w14:textFill>
              </w:rPr>
              <w:t>爆炸上限(v%)</w:t>
            </w:r>
          </w:p>
        </w:tc>
        <w:tc>
          <w:tcPr>
            <w:tcW w:w="1542" w:type="pct"/>
            <w:gridSpan w:val="3"/>
            <w:tcBorders>
              <w:tl2br w:val="nil"/>
              <w:tr2bl w:val="nil"/>
            </w:tcBorders>
            <w:noWrap w:val="0"/>
            <w:vAlign w:val="center"/>
          </w:tcPr>
          <w:p w14:paraId="3C7B3C7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2AA86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9" w:hRule="atLeast"/>
        </w:trPr>
        <w:tc>
          <w:tcPr>
            <w:tcW w:w="258" w:type="pct"/>
            <w:vMerge w:val="continue"/>
            <w:tcBorders>
              <w:tl2br w:val="nil"/>
              <w:tr2bl w:val="nil"/>
            </w:tcBorders>
            <w:noWrap w:val="0"/>
            <w:textDirection w:val="tbRlV"/>
            <w:vAlign w:val="center"/>
          </w:tcPr>
          <w:p w14:paraId="63B4CD7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0D1B1EFD">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引燃温度(℃)</w:t>
            </w:r>
          </w:p>
        </w:tc>
        <w:tc>
          <w:tcPr>
            <w:tcW w:w="884" w:type="pct"/>
            <w:gridSpan w:val="3"/>
            <w:tcBorders>
              <w:tl2br w:val="nil"/>
              <w:tr2bl w:val="nil"/>
            </w:tcBorders>
            <w:noWrap w:val="0"/>
            <w:vAlign w:val="center"/>
          </w:tcPr>
          <w:p w14:paraId="66970EF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468" w:type="pct"/>
            <w:gridSpan w:val="4"/>
            <w:tcBorders>
              <w:tl2br w:val="nil"/>
              <w:tr2bl w:val="nil"/>
            </w:tcBorders>
            <w:noWrap w:val="0"/>
            <w:vAlign w:val="center"/>
          </w:tcPr>
          <w:p w14:paraId="77ACF64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8"/>
                <w:sz w:val="21"/>
                <w:szCs w:val="21"/>
                <w:highlight w:val="none"/>
                <w14:textFill>
                  <w14:solidFill>
                    <w14:schemeClr w14:val="tx1"/>
                  </w14:solidFill>
                </w14:textFill>
              </w:rPr>
              <w:t>爆炸下限(v%)</w:t>
            </w:r>
          </w:p>
        </w:tc>
        <w:tc>
          <w:tcPr>
            <w:tcW w:w="1542" w:type="pct"/>
            <w:gridSpan w:val="3"/>
            <w:tcBorders>
              <w:tl2br w:val="nil"/>
              <w:tr2bl w:val="nil"/>
            </w:tcBorders>
            <w:noWrap w:val="0"/>
            <w:vAlign w:val="center"/>
          </w:tcPr>
          <w:p w14:paraId="6B83DD3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73491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9" w:hRule="atLeast"/>
        </w:trPr>
        <w:tc>
          <w:tcPr>
            <w:tcW w:w="258" w:type="pct"/>
            <w:vMerge w:val="continue"/>
            <w:tcBorders>
              <w:tl2br w:val="nil"/>
              <w:tr2bl w:val="nil"/>
            </w:tcBorders>
            <w:noWrap w:val="0"/>
            <w:textDirection w:val="tbRlV"/>
            <w:vAlign w:val="center"/>
          </w:tcPr>
          <w:p w14:paraId="477E7E3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17CA4F3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危险特性</w:t>
            </w:r>
          </w:p>
        </w:tc>
        <w:tc>
          <w:tcPr>
            <w:tcW w:w="3895" w:type="pct"/>
            <w:gridSpan w:val="10"/>
            <w:tcBorders>
              <w:tl2br w:val="nil"/>
              <w:tr2bl w:val="nil"/>
            </w:tcBorders>
            <w:noWrap w:val="0"/>
            <w:vAlign w:val="center"/>
          </w:tcPr>
          <w:p w14:paraId="5CC075D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能与一些活性金属粉末发生反应，放出氢气。遇氰化物能产生剧毒的氰化氢气体。与碱发生中合反应，并放出大量的热。具</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有强腐蚀性。</w:t>
            </w:r>
          </w:p>
        </w:tc>
      </w:tr>
      <w:tr w14:paraId="3F857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58" w:type="pct"/>
            <w:vMerge w:val="continue"/>
            <w:tcBorders>
              <w:tl2br w:val="nil"/>
              <w:tr2bl w:val="nil"/>
            </w:tcBorders>
            <w:noWrap w:val="0"/>
            <w:textDirection w:val="tbRlV"/>
            <w:vAlign w:val="center"/>
          </w:tcPr>
          <w:p w14:paraId="6EA54F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460D0EC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建规火险分级</w:t>
            </w:r>
          </w:p>
        </w:tc>
        <w:tc>
          <w:tcPr>
            <w:tcW w:w="884" w:type="pct"/>
            <w:gridSpan w:val="3"/>
            <w:tcBorders>
              <w:tl2br w:val="nil"/>
              <w:tr2bl w:val="nil"/>
            </w:tcBorders>
            <w:noWrap w:val="0"/>
            <w:vAlign w:val="center"/>
          </w:tcPr>
          <w:p w14:paraId="21AA21C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戊</w:t>
            </w:r>
          </w:p>
        </w:tc>
        <w:tc>
          <w:tcPr>
            <w:tcW w:w="769" w:type="pct"/>
            <w:tcBorders>
              <w:tl2br w:val="nil"/>
              <w:tr2bl w:val="nil"/>
            </w:tcBorders>
            <w:noWrap w:val="0"/>
            <w:vAlign w:val="center"/>
          </w:tcPr>
          <w:p w14:paraId="37552651">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稳定性</w:t>
            </w:r>
          </w:p>
        </w:tc>
        <w:tc>
          <w:tcPr>
            <w:tcW w:w="699" w:type="pct"/>
            <w:gridSpan w:val="3"/>
            <w:tcBorders>
              <w:tl2br w:val="nil"/>
              <w:tr2bl w:val="nil"/>
            </w:tcBorders>
            <w:noWrap w:val="0"/>
            <w:vAlign w:val="center"/>
          </w:tcPr>
          <w:p w14:paraId="23C4780F">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稳定</w:t>
            </w:r>
          </w:p>
        </w:tc>
        <w:tc>
          <w:tcPr>
            <w:tcW w:w="796" w:type="pct"/>
            <w:tcBorders>
              <w:tl2br w:val="nil"/>
              <w:tr2bl w:val="nil"/>
            </w:tcBorders>
            <w:noWrap w:val="0"/>
            <w:vAlign w:val="center"/>
          </w:tcPr>
          <w:p w14:paraId="6237273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聚合危害</w:t>
            </w:r>
          </w:p>
        </w:tc>
        <w:tc>
          <w:tcPr>
            <w:tcW w:w="745" w:type="pct"/>
            <w:gridSpan w:val="2"/>
            <w:tcBorders>
              <w:tl2br w:val="nil"/>
              <w:tr2bl w:val="nil"/>
            </w:tcBorders>
            <w:noWrap w:val="0"/>
            <w:vAlign w:val="center"/>
          </w:tcPr>
          <w:p w14:paraId="2DA52F6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不聚合</w:t>
            </w:r>
          </w:p>
        </w:tc>
      </w:tr>
      <w:tr w14:paraId="4B4637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258" w:type="pct"/>
            <w:vMerge w:val="continue"/>
            <w:tcBorders>
              <w:tl2br w:val="nil"/>
              <w:tr2bl w:val="nil"/>
            </w:tcBorders>
            <w:noWrap w:val="0"/>
            <w:textDirection w:val="tbRlV"/>
            <w:vAlign w:val="center"/>
          </w:tcPr>
          <w:p w14:paraId="6543CF6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2807D614">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禁忌物</w:t>
            </w:r>
          </w:p>
        </w:tc>
        <w:tc>
          <w:tcPr>
            <w:tcW w:w="3895" w:type="pct"/>
            <w:gridSpan w:val="10"/>
            <w:tcBorders>
              <w:tl2br w:val="nil"/>
              <w:tr2bl w:val="nil"/>
            </w:tcBorders>
            <w:noWrap w:val="0"/>
            <w:vAlign w:val="center"/>
          </w:tcPr>
          <w:p w14:paraId="1053807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碱类、胺类、碱金属、易燃或可燃物。</w:t>
            </w:r>
          </w:p>
        </w:tc>
      </w:tr>
      <w:tr w14:paraId="44AE0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68" w:hRule="atLeast"/>
        </w:trPr>
        <w:tc>
          <w:tcPr>
            <w:tcW w:w="258" w:type="pct"/>
            <w:vMerge w:val="continue"/>
            <w:tcBorders>
              <w:tl2br w:val="nil"/>
              <w:tr2bl w:val="nil"/>
            </w:tcBorders>
            <w:noWrap w:val="0"/>
            <w:textDirection w:val="tbRlV"/>
            <w:vAlign w:val="center"/>
          </w:tcPr>
          <w:p w14:paraId="1A5F892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077ABDE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储运条件</w:t>
            </w: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与泄漏处理</w:t>
            </w:r>
          </w:p>
        </w:tc>
        <w:tc>
          <w:tcPr>
            <w:tcW w:w="3895" w:type="pct"/>
            <w:gridSpan w:val="10"/>
            <w:tcBorders>
              <w:tl2br w:val="nil"/>
              <w:tr2bl w:val="nil"/>
            </w:tcBorders>
            <w:noWrap w:val="0"/>
            <w:vAlign w:val="center"/>
          </w:tcPr>
          <w:p w14:paraId="794F2DC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储运条件：储存于阴凉、干燥、通风处。应与易燃、可</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燃物，碱类、金属粉</w:t>
            </w:r>
            <w:r>
              <w:rPr>
                <w:rFonts w:hint="default" w:ascii="Times New Roman" w:hAnsi="Times New Roman" w:eastAsia="宋体" w:cs="Times New Roman"/>
                <w:color w:val="000000" w:themeColor="text1"/>
                <w:sz w:val="21"/>
                <w:szCs w:val="21"/>
                <w:highlight w:val="none"/>
                <w14:textFill>
                  <w14:solidFill>
                    <w14:schemeClr w14:val="tx1"/>
                  </w14:solidFill>
                </w14:textFill>
              </w:rPr>
              <w:t>末等分开存放。不可混储混运。搬运时要轻装轻卸，防止包装及容器损坏。分装和搬运作业要注意个人防护。运输按规定路线行驶。泄漏处理：疏</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散泄</w:t>
            </w:r>
            <w:r>
              <w:rPr>
                <w:rFonts w:hint="default" w:ascii="Times New Roman" w:hAnsi="Times New Roman" w:eastAsia="宋体" w:cs="Times New Roman"/>
                <w:color w:val="000000" w:themeColor="text1"/>
                <w:sz w:val="21"/>
                <w:szCs w:val="21"/>
                <w:highlight w:val="none"/>
                <w14:textFill>
                  <w14:solidFill>
                    <w14:schemeClr w14:val="tx1"/>
                  </w14:solidFill>
                </w14:textFill>
              </w:rPr>
              <w:t>漏污染区人员至安全区，禁止无关人员进入污染区，建议应急处理人员戴好</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面罩，穿化学防护服。不要直接接触泄漏物，</w:t>
            </w:r>
            <w:r>
              <w:rPr>
                <w:rFonts w:hint="default" w:ascii="Times New Roman" w:hAnsi="Times New Roman" w:eastAsia="宋体" w:cs="Times New Roman"/>
                <w:color w:val="000000" w:themeColor="text1"/>
                <w:sz w:val="21"/>
                <w:szCs w:val="21"/>
                <w:highlight w:val="none"/>
                <w14:textFill>
                  <w14:solidFill>
                    <w14:schemeClr w14:val="tx1"/>
                  </w14:solidFill>
                </w14:textFill>
              </w:rPr>
              <w:t>禁止向泄漏物直接喷水。更不要让水进入包装容器内。用沙土、干燥石灰或苏打灰混合，然后收集运至废物处理场所处置。也可以用大量水冲洗，经稀释的洗水放入废水系统。如大量泄漏，利用围堤收容，然后收集、转移、回收或无害</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处理后废弃。</w:t>
            </w:r>
          </w:p>
        </w:tc>
      </w:tr>
      <w:tr w14:paraId="24D80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258" w:type="pct"/>
            <w:vMerge w:val="continue"/>
            <w:tcBorders>
              <w:tl2br w:val="nil"/>
              <w:tr2bl w:val="nil"/>
            </w:tcBorders>
            <w:noWrap w:val="0"/>
            <w:textDirection w:val="tbRlV"/>
            <w:vAlign w:val="center"/>
          </w:tcPr>
          <w:p w14:paraId="32C26BC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2D46DC6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灭火方法</w:t>
            </w:r>
          </w:p>
        </w:tc>
        <w:tc>
          <w:tcPr>
            <w:tcW w:w="3895" w:type="pct"/>
            <w:gridSpan w:val="10"/>
            <w:tcBorders>
              <w:tl2br w:val="nil"/>
              <w:tr2bl w:val="nil"/>
            </w:tcBorders>
            <w:noWrap w:val="0"/>
            <w:vAlign w:val="center"/>
          </w:tcPr>
          <w:p w14:paraId="168708F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用碱性物质如碳酸氢钠、碳酸钠、消石灰等中和。也可用</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大量水扑救。</w:t>
            </w:r>
          </w:p>
        </w:tc>
      </w:tr>
    </w:tbl>
    <w:p w14:paraId="788F50F0">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4、风险识别</w:t>
      </w:r>
    </w:p>
    <w:p w14:paraId="6DA21B4D">
      <w:pPr>
        <w:pStyle w:val="53"/>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根据项目生产工艺和原辅材料、污染物产排情况，本项目可能发生的环境风险事故类型如下：</w:t>
      </w:r>
    </w:p>
    <w:p w14:paraId="58869DD0">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14</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本项目可能发生的环境风险事故类型识别表</w:t>
      </w:r>
    </w:p>
    <w:tbl>
      <w:tblPr>
        <w:tblStyle w:val="22"/>
        <w:tblW w:w="4999"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891"/>
        <w:gridCol w:w="1518"/>
        <w:gridCol w:w="3405"/>
      </w:tblGrid>
      <w:tr w14:paraId="4E8DAC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03" w:type="pct"/>
            <w:tcBorders>
              <w:tl2br w:val="nil"/>
              <w:tr2bl w:val="nil"/>
            </w:tcBorders>
            <w:noWrap w:val="0"/>
            <w:vAlign w:val="center"/>
          </w:tcPr>
          <w:p w14:paraId="01D57DA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可能发生的风险事故</w:t>
            </w:r>
          </w:p>
        </w:tc>
        <w:tc>
          <w:tcPr>
            <w:tcW w:w="1109" w:type="pct"/>
            <w:tcBorders>
              <w:tl2br w:val="nil"/>
              <w:tr2bl w:val="nil"/>
            </w:tcBorders>
            <w:noWrap w:val="0"/>
            <w:vAlign w:val="center"/>
          </w:tcPr>
          <w:p w14:paraId="1D4D627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事故原因</w:t>
            </w:r>
          </w:p>
        </w:tc>
        <w:tc>
          <w:tcPr>
            <w:tcW w:w="890" w:type="pct"/>
            <w:tcBorders>
              <w:tl2br w:val="nil"/>
              <w:tr2bl w:val="nil"/>
            </w:tcBorders>
            <w:noWrap w:val="0"/>
            <w:vAlign w:val="center"/>
          </w:tcPr>
          <w:p w14:paraId="43A9266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可能发生的场</w:t>
            </w:r>
            <w:r>
              <w:rPr>
                <w:rFonts w:hint="eastAsia" w:cs="Times New Roman"/>
                <w:color w:val="000000" w:themeColor="text1"/>
                <w:sz w:val="21"/>
                <w:szCs w:val="21"/>
                <w:highlight w:val="none"/>
                <w:lang w:val="en-US" w:eastAsia="zh-CN"/>
                <w14:textFill>
                  <w14:solidFill>
                    <w14:schemeClr w14:val="tx1"/>
                  </w14:solidFill>
                </w14:textFill>
              </w:rPr>
              <w:t>所</w:t>
            </w:r>
          </w:p>
        </w:tc>
        <w:tc>
          <w:tcPr>
            <w:tcW w:w="1996" w:type="pct"/>
            <w:tcBorders>
              <w:tl2br w:val="nil"/>
              <w:tr2bl w:val="nil"/>
            </w:tcBorders>
            <w:noWrap w:val="0"/>
            <w:vAlign w:val="center"/>
          </w:tcPr>
          <w:p w14:paraId="05E62DE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影响途径及可能产生的危害后果</w:t>
            </w:r>
          </w:p>
        </w:tc>
      </w:tr>
      <w:tr w14:paraId="64D26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79B6657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废润滑油泄漏</w:t>
            </w:r>
          </w:p>
        </w:tc>
        <w:tc>
          <w:tcPr>
            <w:tcW w:w="1109" w:type="pct"/>
            <w:tcBorders>
              <w:tl2br w:val="nil"/>
              <w:tr2bl w:val="nil"/>
            </w:tcBorders>
            <w:noWrap w:val="0"/>
            <w:vAlign w:val="center"/>
          </w:tcPr>
          <w:p w14:paraId="7B9ED84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盛装容器破损、防渗层破坏或防渗不到位</w:t>
            </w:r>
          </w:p>
        </w:tc>
        <w:tc>
          <w:tcPr>
            <w:tcW w:w="890" w:type="pct"/>
            <w:tcBorders>
              <w:tl2br w:val="nil"/>
              <w:tr2bl w:val="nil"/>
            </w:tcBorders>
            <w:noWrap w:val="0"/>
            <w:vAlign w:val="center"/>
          </w:tcPr>
          <w:p w14:paraId="117FA58E">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危废贮存点</w:t>
            </w:r>
          </w:p>
        </w:tc>
        <w:tc>
          <w:tcPr>
            <w:tcW w:w="1996" w:type="pct"/>
            <w:tcBorders>
              <w:tl2br w:val="nil"/>
              <w:tr2bl w:val="nil"/>
            </w:tcBorders>
            <w:noWrap w:val="0"/>
            <w:vAlign w:val="center"/>
          </w:tcPr>
          <w:p w14:paraId="327B76D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201AF4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3ECD7A98">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碱液池泄漏</w:t>
            </w:r>
          </w:p>
        </w:tc>
        <w:tc>
          <w:tcPr>
            <w:tcW w:w="1109" w:type="pct"/>
            <w:tcBorders>
              <w:tl2br w:val="nil"/>
              <w:tr2bl w:val="nil"/>
            </w:tcBorders>
            <w:noWrap w:val="0"/>
            <w:vAlign w:val="center"/>
          </w:tcPr>
          <w:p w14:paraId="34B1001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碱液池</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破损、操作不当</w:t>
            </w:r>
          </w:p>
        </w:tc>
        <w:tc>
          <w:tcPr>
            <w:tcW w:w="890" w:type="pct"/>
            <w:tcBorders>
              <w:tl2br w:val="nil"/>
              <w:tr2bl w:val="nil"/>
            </w:tcBorders>
            <w:noWrap w:val="0"/>
            <w:vAlign w:val="center"/>
          </w:tcPr>
          <w:p w14:paraId="682300C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碱液池</w:t>
            </w:r>
          </w:p>
        </w:tc>
        <w:tc>
          <w:tcPr>
            <w:tcW w:w="1996" w:type="pct"/>
            <w:tcBorders>
              <w:tl2br w:val="nil"/>
              <w:tr2bl w:val="nil"/>
            </w:tcBorders>
            <w:noWrap w:val="0"/>
            <w:vAlign w:val="center"/>
          </w:tcPr>
          <w:p w14:paraId="5D36EA5F">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517D0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6E6EF9BF">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醇基燃料泄漏</w:t>
            </w:r>
          </w:p>
        </w:tc>
        <w:tc>
          <w:tcPr>
            <w:tcW w:w="1109" w:type="pct"/>
            <w:tcBorders>
              <w:tl2br w:val="nil"/>
              <w:tr2bl w:val="nil"/>
            </w:tcBorders>
            <w:noWrap w:val="0"/>
            <w:vAlign w:val="center"/>
          </w:tcPr>
          <w:p w14:paraId="387BF100">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燃料吨桶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破损、操作不当</w:t>
            </w:r>
          </w:p>
        </w:tc>
        <w:tc>
          <w:tcPr>
            <w:tcW w:w="890" w:type="pct"/>
            <w:tcBorders>
              <w:tl2br w:val="nil"/>
              <w:tr2bl w:val="nil"/>
            </w:tcBorders>
            <w:noWrap w:val="0"/>
            <w:vAlign w:val="center"/>
          </w:tcPr>
          <w:p w14:paraId="783CFA8F">
            <w:pPr>
              <w:keepNext w:val="0"/>
              <w:keepLines w:val="0"/>
              <w:widowControl/>
              <w:suppressLineNumbers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燃料储存间</w:t>
            </w:r>
          </w:p>
        </w:tc>
        <w:tc>
          <w:tcPr>
            <w:tcW w:w="1996" w:type="pct"/>
            <w:tcBorders>
              <w:tl2br w:val="nil"/>
              <w:tr2bl w:val="nil"/>
            </w:tcBorders>
            <w:noWrap w:val="0"/>
            <w:vAlign w:val="center"/>
          </w:tcPr>
          <w:p w14:paraId="2C020118">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2E04C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0998CC5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盐酸储罐泄漏</w:t>
            </w:r>
          </w:p>
        </w:tc>
        <w:tc>
          <w:tcPr>
            <w:tcW w:w="1109" w:type="pct"/>
            <w:tcBorders>
              <w:tl2br w:val="nil"/>
              <w:tr2bl w:val="nil"/>
            </w:tcBorders>
            <w:noWrap w:val="0"/>
            <w:vAlign w:val="center"/>
          </w:tcPr>
          <w:p w14:paraId="309FCF9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盛装容器破损、操作不当</w:t>
            </w:r>
          </w:p>
        </w:tc>
        <w:tc>
          <w:tcPr>
            <w:tcW w:w="890" w:type="pct"/>
            <w:tcBorders>
              <w:tl2br w:val="nil"/>
              <w:tr2bl w:val="nil"/>
            </w:tcBorders>
            <w:noWrap w:val="0"/>
            <w:vAlign w:val="center"/>
          </w:tcPr>
          <w:p w14:paraId="5603F3D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盐酸储罐</w:t>
            </w:r>
          </w:p>
        </w:tc>
        <w:tc>
          <w:tcPr>
            <w:tcW w:w="1996" w:type="pct"/>
            <w:tcBorders>
              <w:tl2br w:val="nil"/>
              <w:tr2bl w:val="nil"/>
            </w:tcBorders>
            <w:noWrap w:val="0"/>
            <w:vAlign w:val="center"/>
          </w:tcPr>
          <w:p w14:paraId="2B4C871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1AD830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1C750CC0">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火灾等安全事故引发的次生环境风险事故</w:t>
            </w:r>
          </w:p>
        </w:tc>
        <w:tc>
          <w:tcPr>
            <w:tcW w:w="1109" w:type="pct"/>
            <w:tcBorders>
              <w:tl2br w:val="nil"/>
              <w:tr2bl w:val="nil"/>
            </w:tcBorders>
            <w:noWrap w:val="0"/>
            <w:vAlign w:val="center"/>
          </w:tcPr>
          <w:p w14:paraId="58FBA35E">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润滑油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、包装材料等易燃物质遇明火发生火灾</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电气火灾</w:t>
            </w:r>
          </w:p>
        </w:tc>
        <w:tc>
          <w:tcPr>
            <w:tcW w:w="890" w:type="pct"/>
            <w:tcBorders>
              <w:tl2br w:val="nil"/>
              <w:tr2bl w:val="nil"/>
            </w:tcBorders>
            <w:noWrap w:val="0"/>
            <w:vAlign w:val="center"/>
          </w:tcPr>
          <w:p w14:paraId="2740147F">
            <w:pPr>
              <w:keepNext w:val="0"/>
              <w:keepLines w:val="0"/>
              <w:widowControl/>
              <w:suppressLineNumbers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整个厂区</w:t>
            </w:r>
          </w:p>
        </w:tc>
        <w:tc>
          <w:tcPr>
            <w:tcW w:w="1996" w:type="pct"/>
            <w:tcBorders>
              <w:tl2br w:val="nil"/>
              <w:tr2bl w:val="nil"/>
            </w:tcBorders>
            <w:noWrap w:val="0"/>
            <w:vAlign w:val="center"/>
          </w:tcPr>
          <w:p w14:paraId="6EBA782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火灾产生的废气扩散到空气中污染大气</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废水进入外环境，污染地表水、土壤、地下水</w:t>
            </w:r>
          </w:p>
        </w:tc>
      </w:tr>
      <w:tr w14:paraId="789DFF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03847BB7">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水处理设施故障</w:t>
            </w:r>
          </w:p>
        </w:tc>
        <w:tc>
          <w:tcPr>
            <w:tcW w:w="1109" w:type="pct"/>
            <w:tcBorders>
              <w:tl2br w:val="nil"/>
              <w:tr2bl w:val="nil"/>
            </w:tcBorders>
            <w:noWrap w:val="0"/>
            <w:vAlign w:val="center"/>
          </w:tcPr>
          <w:p w14:paraId="3EF3F20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设备设施故障、构筑物破损</w:t>
            </w:r>
          </w:p>
        </w:tc>
        <w:tc>
          <w:tcPr>
            <w:tcW w:w="890" w:type="pct"/>
            <w:tcBorders>
              <w:tl2br w:val="nil"/>
              <w:tr2bl w:val="nil"/>
            </w:tcBorders>
            <w:noWrap w:val="0"/>
            <w:vAlign w:val="center"/>
          </w:tcPr>
          <w:p w14:paraId="4519CDC3">
            <w:pPr>
              <w:keepNext w:val="0"/>
              <w:keepLines w:val="0"/>
              <w:widowControl/>
              <w:suppressLineNumbers w:val="0"/>
              <w:jc w:val="center"/>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沉淀池、酸洗池</w:t>
            </w:r>
          </w:p>
        </w:tc>
        <w:tc>
          <w:tcPr>
            <w:tcW w:w="1996" w:type="pct"/>
            <w:tcBorders>
              <w:tl2br w:val="nil"/>
              <w:tr2bl w:val="nil"/>
            </w:tcBorders>
            <w:noWrap w:val="0"/>
            <w:vAlign w:val="center"/>
          </w:tcPr>
          <w:p w14:paraId="11FE9263">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发生泄漏，渗入土壤，对土壤、地下水环境造成影响</w:t>
            </w:r>
          </w:p>
        </w:tc>
      </w:tr>
      <w:tr w14:paraId="4AD44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678BB35E">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废气处理设施故障</w:t>
            </w:r>
          </w:p>
        </w:tc>
        <w:tc>
          <w:tcPr>
            <w:tcW w:w="1109" w:type="pct"/>
            <w:tcBorders>
              <w:tl2br w:val="nil"/>
              <w:tr2bl w:val="nil"/>
            </w:tcBorders>
            <w:noWrap w:val="0"/>
            <w:vAlign w:val="center"/>
          </w:tcPr>
          <w:p w14:paraId="3C958F3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操作不当、设备故障</w:t>
            </w:r>
          </w:p>
        </w:tc>
        <w:tc>
          <w:tcPr>
            <w:tcW w:w="890" w:type="pct"/>
            <w:tcBorders>
              <w:tl2br w:val="nil"/>
              <w:tr2bl w:val="nil"/>
            </w:tcBorders>
            <w:noWrap w:val="0"/>
            <w:vAlign w:val="center"/>
          </w:tcPr>
          <w:p w14:paraId="737AB2DB">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废气处理系统</w:t>
            </w:r>
          </w:p>
        </w:tc>
        <w:tc>
          <w:tcPr>
            <w:tcW w:w="1996" w:type="pct"/>
            <w:tcBorders>
              <w:tl2br w:val="nil"/>
              <w:tr2bl w:val="nil"/>
            </w:tcBorders>
            <w:noWrap w:val="0"/>
            <w:vAlign w:val="center"/>
          </w:tcPr>
          <w:p w14:paraId="1ED6AB1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废气超标排放，污染大气环境</w:t>
            </w:r>
          </w:p>
        </w:tc>
      </w:tr>
      <w:tr w14:paraId="5F0A08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6E270718">
            <w:pPr>
              <w:keepNext w:val="0"/>
              <w:keepLines w:val="0"/>
              <w:widowControl/>
              <w:suppressLineNumbers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氢气遇明火爆炸</w:t>
            </w:r>
          </w:p>
        </w:tc>
        <w:tc>
          <w:tcPr>
            <w:tcW w:w="1109" w:type="pct"/>
            <w:tcBorders>
              <w:tl2br w:val="nil"/>
              <w:tr2bl w:val="nil"/>
            </w:tcBorders>
            <w:noWrap w:val="0"/>
            <w:vAlign w:val="center"/>
          </w:tcPr>
          <w:p w14:paraId="122E724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氢气在密闭空间不断累积一定浓度后遇明火爆炸</w:t>
            </w:r>
          </w:p>
        </w:tc>
        <w:tc>
          <w:tcPr>
            <w:tcW w:w="890" w:type="pct"/>
            <w:tcBorders>
              <w:tl2br w:val="nil"/>
              <w:tr2bl w:val="nil"/>
            </w:tcBorders>
            <w:noWrap w:val="0"/>
            <w:vAlign w:val="center"/>
          </w:tcPr>
          <w:p w14:paraId="33A3ABDC">
            <w:pPr>
              <w:keepNext w:val="0"/>
              <w:keepLines w:val="0"/>
              <w:widowControl/>
              <w:suppressLineNumbers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酸洗搅拌工序</w:t>
            </w:r>
          </w:p>
        </w:tc>
        <w:tc>
          <w:tcPr>
            <w:tcW w:w="1996" w:type="pct"/>
            <w:tcBorders>
              <w:tl2br w:val="nil"/>
              <w:tr2bl w:val="nil"/>
            </w:tcBorders>
            <w:noWrap w:val="0"/>
            <w:vAlign w:val="center"/>
          </w:tcPr>
          <w:p w14:paraId="2F793CDE">
            <w:pPr>
              <w:keepNext w:val="0"/>
              <w:keepLines w:val="0"/>
              <w:widowControl/>
              <w:suppressLineNumbers w:val="0"/>
              <w:jc w:val="both"/>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产生的废气扩散到空气中污染大气</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随消防废水进入外环境，污染地表水、土壤、地下水</w:t>
            </w:r>
          </w:p>
        </w:tc>
      </w:tr>
    </w:tbl>
    <w:p w14:paraId="3289DB94">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t>最大可信事故及概率</w:t>
      </w:r>
    </w:p>
    <w:p w14:paraId="1CBBA483">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最大可信事故所造成的的危害在所有预测的事故中最严重，并且发生该事故的概率不为零的事故，在风险识别分析和事故分析的基础上确定盐酸储罐泄露为本项目的最大可信事故。</w:t>
      </w:r>
    </w:p>
    <w:p w14:paraId="11496816">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）泄漏量计算</w:t>
      </w:r>
    </w:p>
    <w:p w14:paraId="2573ECBD">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假定盐酸储罐发生泄漏</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迅速关闭相应的控制阀</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从而切断泄漏源</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使泄漏物料量得到控制</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若裂口口径为10mm</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裂口位置在储罐底部约1m处</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在实际生产过程中，由于采取流量、压力检测与控制等措施，加之作业现场有人员巡视，事故应急反应时间为10min，此处泄漏时间按1</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min计。</w:t>
      </w:r>
    </w:p>
    <w:p w14:paraId="625D737E">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②泄漏量计算</w:t>
      </w:r>
    </w:p>
    <w:p w14:paraId="3F1CCC0D">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泄漏量按《建设项目环境风险评价技术导则》附录</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F</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中的推荐的液体泄漏速率计算的伯努利方程计算：</w:t>
      </w:r>
    </w:p>
    <w:p w14:paraId="562F96EC">
      <w:pPr>
        <w:pStyle w:val="62"/>
        <w:keepNext w:val="0"/>
        <w:keepLines w:val="0"/>
        <w:pageBreakBefore w:val="0"/>
        <w:widowControl w:val="0"/>
        <w:kinsoku/>
        <w:wordWrap/>
        <w:overflowPunct/>
        <w:topLinePunct w:val="0"/>
        <w:autoSpaceDE w:val="0"/>
        <w:autoSpaceDN w:val="0"/>
        <w:bidi w:val="0"/>
        <w:adjustRightInd/>
        <w:snapToGrid/>
        <w:spacing w:before="0" w:after="0" w:line="360" w:lineRule="auto"/>
        <w:ind w:firstLine="440" w:firstLineChars="200"/>
        <w:jc w:val="center"/>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714625" cy="466725"/>
            <wp:effectExtent l="0" t="0" r="9525" b="9525"/>
            <wp:docPr id="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pic:cNvPicPr>
                      <a:picLocks noChangeAspect="1"/>
                    </pic:cNvPicPr>
                  </pic:nvPicPr>
                  <pic:blipFill>
                    <a:blip r:embed="rId24"/>
                    <a:stretch>
                      <a:fillRect/>
                    </a:stretch>
                  </pic:blipFill>
                  <pic:spPr>
                    <a:xfrm>
                      <a:off x="0" y="0"/>
                      <a:ext cx="2714625" cy="466725"/>
                    </a:xfrm>
                    <a:prstGeom prst="rect">
                      <a:avLst/>
                    </a:prstGeom>
                    <a:noFill/>
                    <a:ln>
                      <a:noFill/>
                    </a:ln>
                  </pic:spPr>
                </pic:pic>
              </a:graphicData>
            </a:graphic>
          </wp:inline>
        </w:drawing>
      </w:r>
    </w:p>
    <w:p w14:paraId="454125FC">
      <w:pPr>
        <w:pStyle w:val="62"/>
        <w:keepNext w:val="0"/>
        <w:keepLines w:val="0"/>
        <w:pageBreakBefore w:val="0"/>
        <w:widowControl w:val="0"/>
        <w:kinsoku/>
        <w:wordWrap/>
        <w:overflowPunct/>
        <w:topLinePunct w:val="0"/>
        <w:autoSpaceDE w:val="0"/>
        <w:autoSpaceDN w:val="0"/>
        <w:bidi w:val="0"/>
        <w:adjustRightInd w:val="0"/>
        <w:snapToGrid/>
        <w:spacing w:before="0" w:after="0" w:line="360" w:lineRule="auto"/>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式中：</w:t>
      </w:r>
      <w:r>
        <w:rPr>
          <w:rFonts w:hint="default" w:ascii="Times New Roman" w:hAnsi="Times New Roman" w:eastAsia="宋体" w:cs="Times New Roman"/>
          <w:i/>
          <w:color w:val="000000" w:themeColor="text1"/>
          <w:sz w:val="24"/>
          <w:highlight w:val="none"/>
          <w:lang w:eastAsia="zh-CN"/>
          <w14:textFill>
            <w14:solidFill>
              <w14:schemeClr w14:val="tx1"/>
            </w14:solidFill>
          </w14:textFill>
        </w:rPr>
        <w:t>Q</w:t>
      </w:r>
      <w:r>
        <w:rPr>
          <w:rFonts w:hint="default" w:ascii="Times New Roman" w:hAnsi="Times New Roman" w:eastAsia="宋体" w:cs="Times New Roman"/>
          <w:i/>
          <w:color w:val="000000" w:themeColor="text1"/>
          <w:sz w:val="24"/>
          <w:highlight w:val="none"/>
          <w:vertAlign w:val="subscript"/>
          <w:lang w:eastAsia="zh-CN"/>
          <w14:textFill>
            <w14:solidFill>
              <w14:schemeClr w14:val="tx1"/>
            </w14:solidFill>
          </w14:textFill>
        </w:rPr>
        <w:t>L</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——液体泄漏速度，kg/s；</w:t>
      </w:r>
    </w:p>
    <w:p w14:paraId="62A2ED82">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C</w:t>
      </w:r>
      <w:r>
        <w:rPr>
          <w:rFonts w:hint="default" w:ascii="Times New Roman" w:hAnsi="Times New Roman" w:eastAsia="宋体" w:cs="Times New Roman"/>
          <w:i/>
          <w:color w:val="000000" w:themeColor="text1"/>
          <w:sz w:val="24"/>
          <w:highlight w:val="none"/>
          <w:vertAlign w:val="subscript"/>
          <w:lang w:eastAsia="zh-CN"/>
          <w14:textFill>
            <w14:solidFill>
              <w14:schemeClr w14:val="tx1"/>
            </w14:solidFill>
          </w14:textFill>
        </w:rPr>
        <w:t>d</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——液体泄漏系数，此值常用0.6~0.64；</w:t>
      </w:r>
    </w:p>
    <w:p w14:paraId="02C7DB03">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A</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——裂口面积，m</w:t>
      </w:r>
      <w:r>
        <w:rPr>
          <w:rFonts w:hint="default" w:ascii="Times New Roman" w:hAnsi="Times New Roman" w:eastAsia="宋体" w:cs="Times New Roman"/>
          <w:color w:val="000000" w:themeColor="text1"/>
          <w:sz w:val="24"/>
          <w:highlight w:val="none"/>
          <w:vertAlign w:val="superscript"/>
          <w:lang w:eastAsia="zh-CN"/>
          <w14:textFill>
            <w14:solidFill>
              <w14:schemeClr w14:val="tx1"/>
            </w14:solidFill>
          </w14:textFill>
        </w:rPr>
        <w:t>2</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p>
    <w:p w14:paraId="19BC471C">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P</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——容器内介质压力，Pa；</w:t>
      </w:r>
    </w:p>
    <w:p w14:paraId="63C071F7">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P</w:t>
      </w:r>
      <w:r>
        <w:rPr>
          <w:rFonts w:hint="default" w:ascii="Times New Roman" w:hAnsi="Times New Roman" w:eastAsia="宋体" w:cs="Times New Roman"/>
          <w:i/>
          <w:color w:val="000000" w:themeColor="text1"/>
          <w:sz w:val="24"/>
          <w:highlight w:val="none"/>
          <w:vertAlign w:val="subscript"/>
          <w:lang w:eastAsia="zh-CN"/>
          <w14:textFill>
            <w14:solidFill>
              <w14:schemeClr w14:val="tx1"/>
            </w14:solidFill>
          </w14:textFill>
        </w:rPr>
        <w:t>0</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——环境压力，Pa；</w:t>
      </w:r>
    </w:p>
    <w:p w14:paraId="046EA740">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g</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——重力加速度；m/s</w:t>
      </w:r>
      <w:r>
        <w:rPr>
          <w:rFonts w:hint="default" w:ascii="Times New Roman" w:hAnsi="Times New Roman" w:eastAsia="宋体" w:cs="Times New Roman"/>
          <w:color w:val="000000" w:themeColor="text1"/>
          <w:sz w:val="24"/>
          <w:highlight w:val="none"/>
          <w:vertAlign w:val="superscript"/>
          <w:lang w:eastAsia="zh-CN"/>
          <w14:textFill>
            <w14:solidFill>
              <w14:schemeClr w14:val="tx1"/>
            </w14:solidFill>
          </w14:textFill>
        </w:rPr>
        <w:t>2</w:t>
      </w:r>
    </w:p>
    <w:p w14:paraId="3EBBBE8D">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h</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——裂口之上液面高度，m；</w:t>
      </w:r>
    </w:p>
    <w:p w14:paraId="4003F632">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ρ</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——泄漏液体密度，kg/m</w:t>
      </w:r>
      <w:r>
        <w:rPr>
          <w:rFonts w:hint="default" w:ascii="Times New Roman" w:hAnsi="Times New Roman" w:eastAsia="宋体" w:cs="Times New Roman"/>
          <w:color w:val="000000" w:themeColor="text1"/>
          <w:sz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p>
    <w:p w14:paraId="308EE2BA">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jc w:val="center"/>
        <w:textAlignment w:val="auto"/>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表</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泄漏量计算参数一览表</w:t>
      </w:r>
    </w:p>
    <w:tbl>
      <w:tblPr>
        <w:tblStyle w:val="22"/>
        <w:tblW w:w="793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1984"/>
        <w:gridCol w:w="1984"/>
        <w:gridCol w:w="1985"/>
      </w:tblGrid>
      <w:tr w14:paraId="39746F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1EFB7B5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符号</w:t>
            </w:r>
          </w:p>
        </w:tc>
        <w:tc>
          <w:tcPr>
            <w:tcW w:w="2355" w:type="dxa"/>
            <w:noWrap w:val="0"/>
            <w:vAlign w:val="center"/>
          </w:tcPr>
          <w:p w14:paraId="17756C0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含义</w:t>
            </w:r>
          </w:p>
        </w:tc>
        <w:tc>
          <w:tcPr>
            <w:tcW w:w="2355" w:type="dxa"/>
            <w:noWrap w:val="0"/>
            <w:vAlign w:val="center"/>
          </w:tcPr>
          <w:p w14:paraId="0A6EE0E8">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单位</w:t>
            </w:r>
          </w:p>
        </w:tc>
        <w:tc>
          <w:tcPr>
            <w:tcW w:w="2356" w:type="dxa"/>
            <w:noWrap w:val="0"/>
            <w:vAlign w:val="center"/>
          </w:tcPr>
          <w:p w14:paraId="1C026F30">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值</w:t>
            </w:r>
          </w:p>
        </w:tc>
      </w:tr>
      <w:tr w14:paraId="0DB4A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54494E2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C</w:t>
            </w:r>
            <w:r>
              <w:rPr>
                <w:rFonts w:hint="eastAsia" w:ascii="Times New Roman" w:hAnsi="Times New Roman" w:eastAsia="宋体" w:cs="宋体"/>
                <w:i/>
                <w:color w:val="000000" w:themeColor="text1"/>
                <w:sz w:val="21"/>
                <w:highlight w:val="none"/>
                <w:vertAlign w:val="subscript"/>
                <w:lang w:eastAsia="zh-CN"/>
                <w14:textFill>
                  <w14:solidFill>
                    <w14:schemeClr w14:val="tx1"/>
                  </w14:solidFill>
                </w14:textFill>
              </w:rPr>
              <w:t>d</w:t>
            </w:r>
          </w:p>
        </w:tc>
        <w:tc>
          <w:tcPr>
            <w:tcW w:w="2355" w:type="dxa"/>
            <w:noWrap w:val="0"/>
            <w:vAlign w:val="center"/>
          </w:tcPr>
          <w:p w14:paraId="59C3F0D9">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液体泄漏系数</w:t>
            </w:r>
          </w:p>
        </w:tc>
        <w:tc>
          <w:tcPr>
            <w:tcW w:w="2355" w:type="dxa"/>
            <w:noWrap w:val="0"/>
            <w:vAlign w:val="center"/>
          </w:tcPr>
          <w:p w14:paraId="3D5A5196">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无量纲</w:t>
            </w:r>
          </w:p>
        </w:tc>
        <w:tc>
          <w:tcPr>
            <w:tcW w:w="2356" w:type="dxa"/>
            <w:noWrap w:val="0"/>
            <w:vAlign w:val="center"/>
          </w:tcPr>
          <w:p w14:paraId="09A12386">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0.6</w:t>
            </w:r>
          </w:p>
        </w:tc>
      </w:tr>
      <w:tr w14:paraId="4228C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3FE99B7A">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A</w:t>
            </w:r>
          </w:p>
        </w:tc>
        <w:tc>
          <w:tcPr>
            <w:tcW w:w="2355" w:type="dxa"/>
            <w:noWrap w:val="0"/>
            <w:vAlign w:val="center"/>
          </w:tcPr>
          <w:p w14:paraId="7705CDBB">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裂口面积</w:t>
            </w:r>
          </w:p>
        </w:tc>
        <w:tc>
          <w:tcPr>
            <w:tcW w:w="2355" w:type="dxa"/>
            <w:noWrap w:val="0"/>
            <w:vAlign w:val="center"/>
          </w:tcPr>
          <w:p w14:paraId="66CBB9C2">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m</w:t>
            </w:r>
            <w:r>
              <w:rPr>
                <w:rFonts w:hint="eastAsia" w:ascii="Times New Roman" w:hAnsi="Times New Roman" w:eastAsia="宋体" w:cs="宋体"/>
                <w:color w:val="000000" w:themeColor="text1"/>
                <w:sz w:val="21"/>
                <w:highlight w:val="none"/>
                <w:vertAlign w:val="superscript"/>
                <w:lang w:eastAsia="zh-CN"/>
                <w14:textFill>
                  <w14:solidFill>
                    <w14:schemeClr w14:val="tx1"/>
                  </w14:solidFill>
                </w14:textFill>
              </w:rPr>
              <w:t>2</w:t>
            </w:r>
          </w:p>
        </w:tc>
        <w:tc>
          <w:tcPr>
            <w:tcW w:w="2356" w:type="dxa"/>
            <w:noWrap w:val="0"/>
            <w:vAlign w:val="center"/>
          </w:tcPr>
          <w:p w14:paraId="6AD0994D">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0.000</w:t>
            </w:r>
            <w:r>
              <w:rPr>
                <w:rFonts w:hint="eastAsia" w:ascii="Times New Roman" w:hAnsi="Times New Roman" w:eastAsia="宋体" w:cs="宋体"/>
                <w:color w:val="000000" w:themeColor="text1"/>
                <w:sz w:val="21"/>
                <w:highlight w:val="none"/>
                <w:lang w:val="en-US" w:eastAsia="zh-CN"/>
                <w14:textFill>
                  <w14:solidFill>
                    <w14:schemeClr w14:val="tx1"/>
                  </w14:solidFill>
                </w14:textFill>
              </w:rPr>
              <w:t>08</w:t>
            </w:r>
          </w:p>
        </w:tc>
      </w:tr>
      <w:tr w14:paraId="7905E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14F49DCE">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P</w:t>
            </w:r>
          </w:p>
        </w:tc>
        <w:tc>
          <w:tcPr>
            <w:tcW w:w="2355" w:type="dxa"/>
            <w:noWrap w:val="0"/>
            <w:vAlign w:val="center"/>
          </w:tcPr>
          <w:p w14:paraId="31E03DE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容器内介质压力</w:t>
            </w:r>
          </w:p>
        </w:tc>
        <w:tc>
          <w:tcPr>
            <w:tcW w:w="2355" w:type="dxa"/>
            <w:noWrap w:val="0"/>
            <w:vAlign w:val="center"/>
          </w:tcPr>
          <w:p w14:paraId="245FFBCF">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Pa</w:t>
            </w:r>
          </w:p>
        </w:tc>
        <w:tc>
          <w:tcPr>
            <w:tcW w:w="2356" w:type="dxa"/>
            <w:noWrap w:val="0"/>
            <w:vAlign w:val="center"/>
          </w:tcPr>
          <w:p w14:paraId="02FE1E81">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600000</w:t>
            </w:r>
          </w:p>
        </w:tc>
      </w:tr>
      <w:tr w14:paraId="104E6C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5AC9C748">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P</w:t>
            </w:r>
            <w:r>
              <w:rPr>
                <w:rFonts w:hint="eastAsia" w:ascii="Times New Roman" w:hAnsi="Times New Roman" w:eastAsia="宋体" w:cs="宋体"/>
                <w:i/>
                <w:color w:val="000000" w:themeColor="text1"/>
                <w:sz w:val="21"/>
                <w:highlight w:val="none"/>
                <w:vertAlign w:val="subscript"/>
                <w:lang w:eastAsia="zh-CN"/>
                <w14:textFill>
                  <w14:solidFill>
                    <w14:schemeClr w14:val="tx1"/>
                  </w14:solidFill>
                </w14:textFill>
              </w:rPr>
              <w:t>0</w:t>
            </w:r>
          </w:p>
        </w:tc>
        <w:tc>
          <w:tcPr>
            <w:tcW w:w="2355" w:type="dxa"/>
            <w:noWrap w:val="0"/>
            <w:vAlign w:val="center"/>
          </w:tcPr>
          <w:p w14:paraId="6A72686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环境压力</w:t>
            </w:r>
          </w:p>
        </w:tc>
        <w:tc>
          <w:tcPr>
            <w:tcW w:w="2355" w:type="dxa"/>
            <w:noWrap w:val="0"/>
            <w:vAlign w:val="center"/>
          </w:tcPr>
          <w:p w14:paraId="6D2E69CC">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Pa</w:t>
            </w:r>
          </w:p>
        </w:tc>
        <w:tc>
          <w:tcPr>
            <w:tcW w:w="2356" w:type="dxa"/>
            <w:noWrap w:val="0"/>
            <w:vAlign w:val="center"/>
          </w:tcPr>
          <w:p w14:paraId="1C4A1DE3">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101325</w:t>
            </w:r>
          </w:p>
        </w:tc>
      </w:tr>
      <w:tr w14:paraId="761182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54C6D6BC">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g</w:t>
            </w:r>
          </w:p>
        </w:tc>
        <w:tc>
          <w:tcPr>
            <w:tcW w:w="2355" w:type="dxa"/>
            <w:noWrap w:val="0"/>
            <w:vAlign w:val="center"/>
          </w:tcPr>
          <w:p w14:paraId="3198B487">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重力加速度</w:t>
            </w:r>
          </w:p>
        </w:tc>
        <w:tc>
          <w:tcPr>
            <w:tcW w:w="2355" w:type="dxa"/>
            <w:noWrap w:val="0"/>
            <w:vAlign w:val="center"/>
          </w:tcPr>
          <w:p w14:paraId="2E7FE59B">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m/s</w:t>
            </w:r>
            <w:r>
              <w:rPr>
                <w:rFonts w:hint="eastAsia" w:ascii="Times New Roman" w:hAnsi="Times New Roman" w:eastAsia="宋体" w:cs="宋体"/>
                <w:color w:val="000000" w:themeColor="text1"/>
                <w:sz w:val="21"/>
                <w:highlight w:val="none"/>
                <w:vertAlign w:val="superscript"/>
                <w:lang w:eastAsia="zh-CN"/>
                <w14:textFill>
                  <w14:solidFill>
                    <w14:schemeClr w14:val="tx1"/>
                  </w14:solidFill>
                </w14:textFill>
              </w:rPr>
              <w:t>2</w:t>
            </w:r>
          </w:p>
        </w:tc>
        <w:tc>
          <w:tcPr>
            <w:tcW w:w="2356" w:type="dxa"/>
            <w:noWrap w:val="0"/>
            <w:vAlign w:val="center"/>
          </w:tcPr>
          <w:p w14:paraId="73FFC1D2">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9.8</w:t>
            </w:r>
          </w:p>
        </w:tc>
      </w:tr>
      <w:tr w14:paraId="5B808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4F2DBE0E">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h</w:t>
            </w:r>
          </w:p>
        </w:tc>
        <w:tc>
          <w:tcPr>
            <w:tcW w:w="2355" w:type="dxa"/>
            <w:noWrap w:val="0"/>
            <w:vAlign w:val="center"/>
          </w:tcPr>
          <w:p w14:paraId="5641A458">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裂口之上液面高度</w:t>
            </w:r>
          </w:p>
        </w:tc>
        <w:tc>
          <w:tcPr>
            <w:tcW w:w="2355" w:type="dxa"/>
            <w:noWrap w:val="0"/>
            <w:vAlign w:val="center"/>
          </w:tcPr>
          <w:p w14:paraId="3E32F83E">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m</w:t>
            </w:r>
          </w:p>
        </w:tc>
        <w:tc>
          <w:tcPr>
            <w:tcW w:w="2356" w:type="dxa"/>
            <w:noWrap w:val="0"/>
            <w:vAlign w:val="center"/>
          </w:tcPr>
          <w:p w14:paraId="7B46CF13">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2.5</w:t>
            </w:r>
          </w:p>
        </w:tc>
      </w:tr>
      <w:tr w14:paraId="5579B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044B0B1F">
            <w:pPr>
              <w:pStyle w:val="62"/>
              <w:widowControl w:val="0"/>
              <w:autoSpaceDE w:val="0"/>
              <w:autoSpaceDN w:val="0"/>
              <w:adjustRightInd w:val="0"/>
              <w:spacing w:before="0" w:after="0"/>
              <w:jc w:val="center"/>
              <w:rPr>
                <w:rFonts w:ascii="Times New Roman" w:hAnsi="Times New Roman" w:eastAsia="宋体" w:cs="宋体"/>
                <w:i/>
                <w:color w:val="000000" w:themeColor="text1"/>
                <w:sz w:val="21"/>
                <w:highlight w:val="none"/>
                <w:lang w:eastAsia="zh-CN"/>
                <w14:textFill>
                  <w14:solidFill>
                    <w14:schemeClr w14:val="tx1"/>
                  </w14:solidFill>
                </w14:textFill>
              </w:rPr>
            </w:pPr>
            <w:r>
              <w:rPr>
                <w:rFonts w:ascii="Times New Roman" w:hAnsi="Times New Roman" w:eastAsia="宋体"/>
                <w:i/>
                <w:color w:val="000000" w:themeColor="text1"/>
                <w:sz w:val="21"/>
                <w:highlight w:val="none"/>
                <w:lang w:eastAsia="zh-CN"/>
                <w14:textFill>
                  <w14:solidFill>
                    <w14:schemeClr w14:val="tx1"/>
                  </w14:solidFill>
                </w14:textFill>
              </w:rPr>
              <w:t>ρ</w:t>
            </w:r>
          </w:p>
        </w:tc>
        <w:tc>
          <w:tcPr>
            <w:tcW w:w="2355" w:type="dxa"/>
            <w:noWrap w:val="0"/>
            <w:vAlign w:val="center"/>
          </w:tcPr>
          <w:p w14:paraId="680E5E6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泄漏液体密度</w:t>
            </w:r>
          </w:p>
        </w:tc>
        <w:tc>
          <w:tcPr>
            <w:tcW w:w="2355" w:type="dxa"/>
            <w:noWrap w:val="0"/>
            <w:vAlign w:val="center"/>
          </w:tcPr>
          <w:p w14:paraId="6E69D30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kg/m</w:t>
            </w:r>
            <w:r>
              <w:rPr>
                <w:rFonts w:hint="eastAsia" w:ascii="Times New Roman" w:hAnsi="Times New Roman" w:eastAsia="宋体" w:cs="宋体"/>
                <w:color w:val="000000" w:themeColor="text1"/>
                <w:sz w:val="21"/>
                <w:highlight w:val="none"/>
                <w:vertAlign w:val="superscript"/>
                <w:lang w:eastAsia="zh-CN"/>
                <w14:textFill>
                  <w14:solidFill>
                    <w14:schemeClr w14:val="tx1"/>
                  </w14:solidFill>
                </w14:textFill>
              </w:rPr>
              <w:t>3</w:t>
            </w:r>
          </w:p>
        </w:tc>
        <w:tc>
          <w:tcPr>
            <w:tcW w:w="2356" w:type="dxa"/>
            <w:noWrap w:val="0"/>
            <w:vAlign w:val="center"/>
          </w:tcPr>
          <w:p w14:paraId="15A6A231">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1154</w:t>
            </w:r>
          </w:p>
        </w:tc>
      </w:tr>
      <w:tr w14:paraId="2C8E7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7B1662C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Q</w:t>
            </w:r>
            <w:r>
              <w:rPr>
                <w:rFonts w:hint="eastAsia" w:ascii="Times New Roman" w:hAnsi="Times New Roman" w:eastAsia="宋体" w:cs="宋体"/>
                <w:i/>
                <w:color w:val="000000" w:themeColor="text1"/>
                <w:sz w:val="21"/>
                <w:highlight w:val="none"/>
                <w:vertAlign w:val="subscript"/>
                <w:lang w:eastAsia="zh-CN"/>
                <w14:textFill>
                  <w14:solidFill>
                    <w14:schemeClr w14:val="tx1"/>
                  </w14:solidFill>
                </w14:textFill>
              </w:rPr>
              <w:t>L</w:t>
            </w:r>
          </w:p>
        </w:tc>
        <w:tc>
          <w:tcPr>
            <w:tcW w:w="2355" w:type="dxa"/>
            <w:noWrap w:val="0"/>
            <w:vAlign w:val="center"/>
          </w:tcPr>
          <w:p w14:paraId="6E769379">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液体泄漏速度</w:t>
            </w:r>
          </w:p>
        </w:tc>
        <w:tc>
          <w:tcPr>
            <w:tcW w:w="2355" w:type="dxa"/>
            <w:noWrap w:val="0"/>
            <w:vAlign w:val="center"/>
          </w:tcPr>
          <w:p w14:paraId="7CFC5029">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kg/s</w:t>
            </w:r>
          </w:p>
        </w:tc>
        <w:tc>
          <w:tcPr>
            <w:tcW w:w="2356" w:type="dxa"/>
            <w:noWrap w:val="0"/>
            <w:vAlign w:val="center"/>
          </w:tcPr>
          <w:p w14:paraId="2A0A636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1.67</w:t>
            </w:r>
          </w:p>
        </w:tc>
      </w:tr>
      <w:tr w14:paraId="79A16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69874AB9">
            <w:pPr>
              <w:pStyle w:val="62"/>
              <w:widowControl w:val="0"/>
              <w:autoSpaceDE w:val="0"/>
              <w:autoSpaceDN w:val="0"/>
              <w:adjustRightInd w:val="0"/>
              <w:spacing w:before="0" w:after="0"/>
              <w:jc w:val="center"/>
              <w:rPr>
                <w:rFonts w:ascii="Times New Roman" w:hAnsi="Times New Roman" w:eastAsia="宋体" w:cs="宋体"/>
                <w:i/>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T</w:t>
            </w:r>
          </w:p>
        </w:tc>
        <w:tc>
          <w:tcPr>
            <w:tcW w:w="2355" w:type="dxa"/>
            <w:noWrap w:val="0"/>
            <w:vAlign w:val="center"/>
          </w:tcPr>
          <w:p w14:paraId="0F8A35D6">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泄漏时间</w:t>
            </w:r>
          </w:p>
        </w:tc>
        <w:tc>
          <w:tcPr>
            <w:tcW w:w="2355" w:type="dxa"/>
            <w:noWrap w:val="0"/>
            <w:vAlign w:val="center"/>
          </w:tcPr>
          <w:p w14:paraId="12D6C0B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s</w:t>
            </w:r>
          </w:p>
        </w:tc>
        <w:tc>
          <w:tcPr>
            <w:tcW w:w="2356" w:type="dxa"/>
            <w:noWrap w:val="0"/>
            <w:vAlign w:val="center"/>
          </w:tcPr>
          <w:p w14:paraId="2AA8AA87">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600</w:t>
            </w:r>
          </w:p>
        </w:tc>
      </w:tr>
      <w:tr w14:paraId="470575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20D77E1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Q</w:t>
            </w:r>
          </w:p>
        </w:tc>
        <w:tc>
          <w:tcPr>
            <w:tcW w:w="2355" w:type="dxa"/>
            <w:noWrap w:val="0"/>
            <w:vAlign w:val="center"/>
          </w:tcPr>
          <w:p w14:paraId="0BC4E5E5">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泄漏量</w:t>
            </w:r>
          </w:p>
        </w:tc>
        <w:tc>
          <w:tcPr>
            <w:tcW w:w="2355" w:type="dxa"/>
            <w:noWrap w:val="0"/>
            <w:vAlign w:val="center"/>
          </w:tcPr>
          <w:p w14:paraId="71B3D641">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kg</w:t>
            </w:r>
          </w:p>
        </w:tc>
        <w:tc>
          <w:tcPr>
            <w:tcW w:w="2356" w:type="dxa"/>
            <w:noWrap w:val="0"/>
            <w:vAlign w:val="center"/>
          </w:tcPr>
          <w:p w14:paraId="13A9C229">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1008+</w:t>
            </w:r>
          </w:p>
        </w:tc>
      </w:tr>
    </w:tbl>
    <w:p w14:paraId="2E6E273A">
      <w:pPr>
        <w:pStyle w:val="53"/>
        <w:bidi w:val="0"/>
        <w:rPr>
          <w:rFonts w:hint="default"/>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根据上表计算得，泄漏速度为</w:t>
      </w:r>
      <w:r>
        <w:rPr>
          <w:rFonts w:hint="eastAsia" w:cs="Times New Roman"/>
          <w:color w:val="000000" w:themeColor="text1"/>
          <w:sz w:val="24"/>
          <w:szCs w:val="24"/>
          <w:highlight w:val="none"/>
          <w:lang w:val="en-US" w:eastAsia="zh-CN"/>
          <w14:textFill>
            <w14:solidFill>
              <w14:schemeClr w14:val="tx1"/>
            </w14:solidFill>
          </w14:textFill>
        </w:rPr>
        <w:t>1.68</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kg/s，</w:t>
      </w:r>
      <w:r>
        <w:rPr>
          <w:rFonts w:hint="eastAsia" w:cs="Times New Roman"/>
          <w:color w:val="000000" w:themeColor="text1"/>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min内</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泄漏量为</w:t>
      </w:r>
      <w:r>
        <w:rPr>
          <w:rFonts w:hint="eastAsia" w:cs="Times New Roman"/>
          <w:color w:val="000000" w:themeColor="text1"/>
          <w:sz w:val="24"/>
          <w:szCs w:val="24"/>
          <w:highlight w:val="none"/>
          <w:lang w:val="en-US" w:eastAsia="zh-CN"/>
          <w14:textFill>
            <w14:solidFill>
              <w14:schemeClr w14:val="tx1"/>
            </w14:solidFill>
          </w14:textFill>
        </w:rPr>
        <w:t>1008</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w:t>
      </w:r>
      <w:r>
        <w:rPr>
          <w:rFonts w:hint="eastAsia" w:cs="Times New Roman"/>
          <w:color w:val="000000" w:themeColor="text1"/>
          <w:sz w:val="24"/>
          <w:szCs w:val="24"/>
          <w:highlight w:val="none"/>
          <w:lang w:val="en-US" w:eastAsia="zh-CN"/>
          <w14:textFill>
            <w14:solidFill>
              <w14:schemeClr w14:val="tx1"/>
            </w14:solidFill>
          </w14:textFill>
        </w:rPr>
        <w:t>即1.008t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13E30B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盐酸常压下沸点高于环境气温，不考虑热量蒸发，会产生质量蒸发。盐酸蒸发速率按照《建设项目环境风险评价技术导则》（HJ169-2018）附录F.1推荐的泄露液体质量蒸发公式进行计算：</w:t>
      </w:r>
    </w:p>
    <w:p w14:paraId="69F12B3F">
      <w:pPr>
        <w:pStyle w:val="53"/>
        <w:bidi w:val="0"/>
        <w:jc w:val="center"/>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606040" cy="802640"/>
            <wp:effectExtent l="0" t="0" r="3810" b="16510"/>
            <wp:docPr id="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pic:cNvPicPr>
                      <a:picLocks noChangeAspect="1"/>
                    </pic:cNvPicPr>
                  </pic:nvPicPr>
                  <pic:blipFill>
                    <a:blip r:embed="rId25"/>
                    <a:stretch>
                      <a:fillRect/>
                    </a:stretch>
                  </pic:blipFill>
                  <pic:spPr>
                    <a:xfrm>
                      <a:off x="0" y="0"/>
                      <a:ext cx="2606040" cy="802640"/>
                    </a:xfrm>
                    <a:prstGeom prst="rect">
                      <a:avLst/>
                    </a:prstGeom>
                    <a:noFill/>
                    <a:ln>
                      <a:noFill/>
                    </a:ln>
                  </pic:spPr>
                </pic:pic>
              </a:graphicData>
            </a:graphic>
          </wp:inline>
        </w:drawing>
      </w:r>
    </w:p>
    <w:p w14:paraId="22520EB0">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式中：</w:t>
      </w:r>
    </w:p>
    <w:p w14:paraId="4D509B6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Q</w:t>
      </w:r>
      <w:r>
        <w:rPr>
          <w:rFonts w:hint="default"/>
          <w:color w:val="000000" w:themeColor="text1"/>
          <w:highlight w:val="none"/>
          <w:vertAlign w:val="subscript"/>
          <w14:textFill>
            <w14:solidFill>
              <w14:schemeClr w14:val="tx1"/>
            </w14:solidFill>
          </w14:textFill>
        </w:rPr>
        <w:t>3</w:t>
      </w:r>
      <w:r>
        <w:rPr>
          <w:rFonts w:hint="default"/>
          <w:color w:val="000000" w:themeColor="text1"/>
          <w:highlight w:val="none"/>
          <w14:textFill>
            <w14:solidFill>
              <w14:schemeClr w14:val="tx1"/>
            </w14:solidFill>
          </w14:textFill>
        </w:rPr>
        <w:t>——质量蒸发速度，kg/s；</w:t>
      </w:r>
    </w:p>
    <w:p w14:paraId="279D521F">
      <w:pPr>
        <w:pStyle w:val="53"/>
        <w:bidi w:val="0"/>
        <w:rPr>
          <w:rFonts w:hint="eastAsia" w:eastAsia="宋体"/>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α、n——大气稳定度系数</w:t>
      </w:r>
      <w:r>
        <w:rPr>
          <w:rFonts w:hint="eastAsia"/>
          <w:color w:val="000000" w:themeColor="text1"/>
          <w:highlight w:val="none"/>
          <w:lang w:eastAsia="zh-CN"/>
          <w14:textFill>
            <w14:solidFill>
              <w14:schemeClr w14:val="tx1"/>
            </w14:solidFill>
          </w14:textFill>
        </w:rPr>
        <w:t>；</w:t>
      </w:r>
    </w:p>
    <w:p w14:paraId="1DA507DE">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p——液体表面蒸汽压，pa；</w:t>
      </w:r>
    </w:p>
    <w:p w14:paraId="23408C8A">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M——摩尔质量，kg/mol；</w:t>
      </w:r>
    </w:p>
    <w:p w14:paraId="2CA1D067">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R——气体常数，J/mol·k；</w:t>
      </w:r>
    </w:p>
    <w:p w14:paraId="509EBBC5">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u——风速，m/s；</w:t>
      </w:r>
    </w:p>
    <w:p w14:paraId="585C95B0">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r——液池半径，m。</w:t>
      </w:r>
    </w:p>
    <w:p w14:paraId="000D4545">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盐酸泄露后在罐区围堰内形成液池，液池面积约</w:t>
      </w:r>
      <w:r>
        <w:rPr>
          <w:rFonts w:hint="eastAsia"/>
          <w:color w:val="000000" w:themeColor="text1"/>
          <w:highlight w:val="none"/>
          <w:lang w:val="en-US" w:eastAsia="zh-CN"/>
          <w14:textFill>
            <w14:solidFill>
              <w14:schemeClr w14:val="tx1"/>
            </w14:solidFill>
          </w14:textFill>
        </w:rPr>
        <w:t>13</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r>
        <w:rPr>
          <w:rFonts w:hint="default"/>
          <w:color w:val="000000" w:themeColor="text1"/>
          <w:highlight w:val="none"/>
          <w14:textFill>
            <w14:solidFill>
              <w14:schemeClr w14:val="tx1"/>
            </w14:solidFill>
          </w14:textFill>
        </w:rPr>
        <w:t>，经计算得蒸发速率</w:t>
      </w:r>
    </w:p>
    <w:p w14:paraId="6D66305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为0.</w:t>
      </w:r>
      <w:r>
        <w:rPr>
          <w:rFonts w:hint="eastAsia"/>
          <w:color w:val="000000" w:themeColor="text1"/>
          <w:highlight w:val="none"/>
          <w:lang w:val="en-US" w:eastAsia="zh-CN"/>
          <w14:textFill>
            <w14:solidFill>
              <w14:schemeClr w14:val="tx1"/>
            </w14:solidFill>
          </w14:textFill>
        </w:rPr>
        <w:t>21</w:t>
      </w:r>
      <w:r>
        <w:rPr>
          <w:rFonts w:hint="default"/>
          <w:color w:val="000000" w:themeColor="text1"/>
          <w:highlight w:val="none"/>
          <w14:textFill>
            <w14:solidFill>
              <w14:schemeClr w14:val="tx1"/>
            </w14:solidFill>
          </w14:textFill>
        </w:rPr>
        <w:t>kg/s。</w:t>
      </w:r>
    </w:p>
    <w:p w14:paraId="44E4B741">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6、风险防范措施</w:t>
      </w:r>
    </w:p>
    <w:p w14:paraId="78AC2EC2">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pPr>
      <w:r>
        <w:rPr>
          <w:rFonts w:hint="eastAsia" w:cs="Times New Roman"/>
          <w:color w:val="000000" w:themeColor="text1"/>
          <w:spacing w:val="4"/>
          <w:sz w:val="24"/>
          <w:szCs w:val="24"/>
          <w:highlight w:val="none"/>
          <w:lang w:val="en-US" w:eastAsia="zh-CN"/>
          <w14:textFill>
            <w14:solidFill>
              <w14:schemeClr w14:val="tx1"/>
            </w14:solidFill>
          </w14:textFill>
        </w:rPr>
        <w:t>（1）泄漏、火灾、爆炸引发的次生环境风险防范措施</w:t>
      </w:r>
    </w:p>
    <w:p w14:paraId="26F82803">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严禁吸烟、严禁携带火种进入</w:t>
      </w: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车间与危险废物贮存点</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w:t>
      </w:r>
    </w:p>
    <w:p w14:paraId="3A095A39">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在日常收集过程中，对每个回收的废空油桶进行检查，防止废油泄漏。</w:t>
      </w:r>
    </w:p>
    <w:p w14:paraId="1A9827A5">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在</w:t>
      </w: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危险废物</w:t>
      </w:r>
      <w:r>
        <w:rPr>
          <w:rFonts w:hint="eastAsia" w:cs="Times New Roman"/>
          <w:color w:val="000000" w:themeColor="text1"/>
          <w:spacing w:val="4"/>
          <w:sz w:val="24"/>
          <w:szCs w:val="24"/>
          <w:highlight w:val="none"/>
          <w:lang w:val="en-US" w:eastAsia="zh-CN"/>
          <w14:textFill>
            <w14:solidFill>
              <w14:schemeClr w14:val="tx1"/>
            </w14:solidFill>
          </w14:textFill>
        </w:rPr>
        <w:t>贮存点</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内设置消防栓、灭火器等设施，对可能发生的火灾能及时处理。</w:t>
      </w:r>
    </w:p>
    <w:p w14:paraId="66767636">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④</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定期进行</w:t>
      </w: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危险废物贮存点</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的安全检查，发现问题及时处理。</w:t>
      </w:r>
    </w:p>
    <w:p w14:paraId="2CD6C46B">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Cs w:val="24"/>
          <w:highlight w:val="none"/>
          <w:lang w:val="en-US" w:eastAsia="zh-CN"/>
          <w14:textFill>
            <w14:solidFill>
              <w14:schemeClr w14:val="tx1"/>
            </w14:solidFill>
          </w14:textFill>
        </w:rPr>
        <w:t>⑤</w:t>
      </w:r>
      <w:r>
        <w:rPr>
          <w:rFonts w:hint="default"/>
          <w:color w:val="000000" w:themeColor="text1"/>
          <w:highlight w:val="none"/>
          <w14:textFill>
            <w14:solidFill>
              <w14:schemeClr w14:val="tx1"/>
            </w14:solidFill>
          </w14:textFill>
        </w:rPr>
        <w:t>禁止将油桶堆放在露天场地，避免遭受雨淋水浸。</w:t>
      </w:r>
    </w:p>
    <w:p w14:paraId="06D1EAC0">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⑥</w:t>
      </w:r>
      <w:r>
        <w:rPr>
          <w:rFonts w:hint="default"/>
          <w:color w:val="000000" w:themeColor="text1"/>
          <w:highlight w:val="none"/>
          <w14:textFill>
            <w14:solidFill>
              <w14:schemeClr w14:val="tx1"/>
            </w14:solidFill>
          </w14:textFill>
        </w:rPr>
        <w:t>废</w:t>
      </w:r>
      <w:r>
        <w:rPr>
          <w:rFonts w:hint="eastAsia"/>
          <w:color w:val="000000" w:themeColor="text1"/>
          <w:highlight w:val="none"/>
          <w:lang w:eastAsia="zh-CN"/>
          <w14:textFill>
            <w14:solidFill>
              <w14:schemeClr w14:val="tx1"/>
            </w14:solidFill>
          </w14:textFill>
        </w:rPr>
        <w:t>润滑油、</w:t>
      </w:r>
      <w:r>
        <w:rPr>
          <w:rFonts w:hint="eastAsia"/>
          <w:color w:val="000000" w:themeColor="text1"/>
          <w:highlight w:val="none"/>
          <w:lang w:val="en-US" w:eastAsia="zh-CN"/>
          <w14:textFill>
            <w14:solidFill>
              <w14:schemeClr w14:val="tx1"/>
            </w14:solidFill>
          </w14:textFill>
        </w:rPr>
        <w:t>碱液、醇基燃料或者盐酸</w:t>
      </w:r>
      <w:r>
        <w:rPr>
          <w:rFonts w:hint="default"/>
          <w:color w:val="000000" w:themeColor="text1"/>
          <w:highlight w:val="none"/>
          <w14:textFill>
            <w14:solidFill>
              <w14:schemeClr w14:val="tx1"/>
            </w14:solidFill>
          </w14:textFill>
        </w:rPr>
        <w:t>发生</w:t>
      </w:r>
      <w:r>
        <w:rPr>
          <w:rFonts w:hint="eastAsia"/>
          <w:color w:val="000000" w:themeColor="text1"/>
          <w:highlight w:val="none"/>
          <w:lang w:eastAsia="zh-CN"/>
          <w14:textFill>
            <w14:solidFill>
              <w14:schemeClr w14:val="tx1"/>
            </w14:solidFill>
          </w14:textFill>
        </w:rPr>
        <w:t>泄漏</w:t>
      </w:r>
      <w:r>
        <w:rPr>
          <w:rFonts w:hint="default"/>
          <w:color w:val="000000" w:themeColor="text1"/>
          <w:highlight w:val="none"/>
          <w14:textFill>
            <w14:solidFill>
              <w14:schemeClr w14:val="tx1"/>
            </w14:solidFill>
          </w14:textFill>
        </w:rPr>
        <w:t>时，有关负责人应有秩序、有计划</w:t>
      </w:r>
      <w:r>
        <w:rPr>
          <w:rFonts w:hint="eastAsia"/>
          <w:color w:val="000000" w:themeColor="text1"/>
          <w:highlight w:val="none"/>
          <w:lang w:eastAsia="zh-CN"/>
          <w14:textFill>
            <w14:solidFill>
              <w14:schemeClr w14:val="tx1"/>
            </w14:solidFill>
          </w14:textFill>
        </w:rPr>
        <w:t>地</w:t>
      </w:r>
      <w:r>
        <w:rPr>
          <w:rFonts w:hint="default"/>
          <w:color w:val="000000" w:themeColor="text1"/>
          <w:highlight w:val="none"/>
          <w14:textFill>
            <w14:solidFill>
              <w14:schemeClr w14:val="tx1"/>
            </w14:solidFill>
          </w14:textFill>
        </w:rPr>
        <w:t>进行处理，防止事态蔓延扩大。</w:t>
      </w:r>
    </w:p>
    <w:p w14:paraId="3598B270">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⑦对盐酸储罐、碱液池等容易发生泄露危险的地方每日进行检查。</w:t>
      </w:r>
    </w:p>
    <w:p w14:paraId="00C15CE1">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⑧项目区新建一座200m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消防水池，防止风险源</w:t>
      </w:r>
      <w:r>
        <w:rPr>
          <w:rFonts w:hint="default"/>
          <w:color w:val="000000" w:themeColor="text1"/>
          <w:highlight w:val="none"/>
          <w:lang w:val="en-US" w:eastAsia="zh-CN"/>
          <w14:textFill>
            <w14:solidFill>
              <w14:schemeClr w14:val="tx1"/>
            </w14:solidFill>
          </w14:textFill>
        </w:rPr>
        <w:t>随</w:t>
      </w:r>
      <w:r>
        <w:rPr>
          <w:rFonts w:hint="eastAsia"/>
          <w:color w:val="000000" w:themeColor="text1"/>
          <w:highlight w:val="none"/>
          <w:lang w:val="en-US" w:eastAsia="zh-CN"/>
          <w14:textFill>
            <w14:solidFill>
              <w14:schemeClr w14:val="tx1"/>
            </w14:solidFill>
          </w14:textFill>
        </w:rPr>
        <w:t>消防</w:t>
      </w:r>
      <w:r>
        <w:rPr>
          <w:rFonts w:hint="default"/>
          <w:color w:val="000000" w:themeColor="text1"/>
          <w:highlight w:val="none"/>
          <w:lang w:val="en-US" w:eastAsia="zh-CN"/>
          <w14:textFill>
            <w14:solidFill>
              <w14:schemeClr w14:val="tx1"/>
            </w14:solidFill>
          </w14:textFill>
        </w:rPr>
        <w:t>废水进入外环境，污染地表水、土壤、地下水</w:t>
      </w:r>
      <w:r>
        <w:rPr>
          <w:rFonts w:hint="eastAsia"/>
          <w:color w:val="000000" w:themeColor="text1"/>
          <w:highlight w:val="none"/>
          <w:lang w:val="en-US" w:eastAsia="zh-CN"/>
          <w14:textFill>
            <w14:solidFill>
              <w14:schemeClr w14:val="tx1"/>
            </w14:solidFill>
          </w14:textFill>
        </w:rPr>
        <w:t>。</w:t>
      </w:r>
    </w:p>
    <w:p w14:paraId="23858E02">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（2）废气处理设施、水处理设施故障风险防范措施</w:t>
      </w:r>
    </w:p>
    <w:p w14:paraId="5D65BF41">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①</w:t>
      </w:r>
      <w:r>
        <w:rPr>
          <w:rFonts w:hint="default"/>
          <w:color w:val="000000" w:themeColor="text1"/>
          <w:highlight w:val="none"/>
          <w14:textFill>
            <w14:solidFill>
              <w14:schemeClr w14:val="tx1"/>
            </w14:solidFill>
          </w14:textFill>
        </w:rPr>
        <w:t>选用合格的设备、材料，废气、废水环保设施应请专业人员进行安装。</w:t>
      </w:r>
    </w:p>
    <w:p w14:paraId="4E67ACBC">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②</w:t>
      </w:r>
      <w:r>
        <w:rPr>
          <w:rFonts w:hint="default"/>
          <w:color w:val="000000" w:themeColor="text1"/>
          <w:highlight w:val="none"/>
          <w14:textFill>
            <w14:solidFill>
              <w14:schemeClr w14:val="tx1"/>
            </w14:solidFill>
          </w14:textFill>
        </w:rPr>
        <w:t>加强日常维护管理，确保环保设施正常运转。</w:t>
      </w:r>
    </w:p>
    <w:p w14:paraId="729ECCBB">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③</w:t>
      </w:r>
      <w:r>
        <w:rPr>
          <w:rFonts w:hint="default"/>
          <w:color w:val="000000" w:themeColor="text1"/>
          <w:highlight w:val="none"/>
          <w14:textFill>
            <w14:solidFill>
              <w14:schemeClr w14:val="tx1"/>
            </w14:solidFill>
          </w14:textFill>
        </w:rPr>
        <w:t>一旦发生故障，立即停止生产，待环保设施恢复正常后，再恢复生产。</w:t>
      </w:r>
    </w:p>
    <w:p w14:paraId="09914FB3">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④</w:t>
      </w:r>
      <w:r>
        <w:rPr>
          <w:rFonts w:hint="default"/>
          <w:color w:val="000000" w:themeColor="text1"/>
          <w:highlight w:val="none"/>
          <w14:textFill>
            <w14:solidFill>
              <w14:schemeClr w14:val="tx1"/>
            </w14:solidFill>
          </w14:textFill>
        </w:rPr>
        <w:t>加强工人的环保意识，使其能够正确操作使用环保设施。</w:t>
      </w:r>
    </w:p>
    <w:p w14:paraId="4C551F72">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Cs w:val="24"/>
          <w:highlight w:val="none"/>
          <w:lang w:val="en-US" w:eastAsia="zh-CN"/>
          <w14:textFill>
            <w14:solidFill>
              <w14:schemeClr w14:val="tx1"/>
            </w14:solidFill>
          </w14:textFill>
        </w:rPr>
        <w:t>⑤</w:t>
      </w:r>
      <w:r>
        <w:rPr>
          <w:rFonts w:hint="default"/>
          <w:color w:val="000000" w:themeColor="text1"/>
          <w:highlight w:val="none"/>
          <w14:textFill>
            <w14:solidFill>
              <w14:schemeClr w14:val="tx1"/>
            </w14:solidFill>
          </w14:textFill>
        </w:rPr>
        <w:t>定期对厂区各污染物排放进行例行检测，确保达标排放。</w:t>
      </w:r>
    </w:p>
    <w:p w14:paraId="7F9405C5">
      <w:pPr>
        <w:pStyle w:val="53"/>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氢气累积遇明火爆炸风险防范措施</w:t>
      </w:r>
    </w:p>
    <w:p w14:paraId="3DF5085F">
      <w:pPr>
        <w:pStyle w:val="53"/>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本项目酸洗搅拌过程中盐酸与金属反应会产生氢气，氢气大量释放遇明火容易发生爆炸事件，本项目酸洗搅拌过程中产生氢气量较小，事故发生概率较低，采取以下风险防范措施</w:t>
      </w:r>
    </w:p>
    <w:p w14:paraId="0C6A08D1">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①车间保持通风良好状态，避免氢气累积</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p w14:paraId="172EDBA3">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设备应良好接地，操作人员穿戴防静电服和鞋，防止静电积聚放电。</w:t>
      </w:r>
    </w:p>
    <w:p w14:paraId="16E4BCCC">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③在关键区域安装氢气检测报警仪，实时监测氢气浓度，一旦超标立即报警并启动应急措施。</w:t>
      </w:r>
    </w:p>
    <w:p w14:paraId="5187CA78">
      <w:pPr>
        <w:pStyle w:val="53"/>
        <w:bidi w:val="0"/>
        <w:rPr>
          <w:rFonts w:hint="default"/>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7、突发环境事件</w:t>
      </w:r>
      <w:r>
        <w:rPr>
          <w:rFonts w:hint="default"/>
          <w:b/>
          <w:bCs/>
          <w:color w:val="000000" w:themeColor="text1"/>
          <w:highlight w:val="none"/>
          <w14:textFill>
            <w14:solidFill>
              <w14:schemeClr w14:val="tx1"/>
            </w14:solidFill>
          </w14:textFill>
        </w:rPr>
        <w:t>应急预案</w:t>
      </w:r>
    </w:p>
    <w:p w14:paraId="7057D797">
      <w:pPr>
        <w:pStyle w:val="53"/>
        <w:bidi w:val="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color w:val="000000" w:themeColor="text1"/>
          <w:highlight w:val="none"/>
          <w:lang w:val="zh-CN"/>
          <w14:textFill>
            <w14:solidFill>
              <w14:schemeClr w14:val="tx1"/>
            </w14:solidFill>
          </w14:textFill>
        </w:rPr>
        <w:t>根据《关于进一步加强环境影响评价管理防范环境风险的通知》要求，建设项目的环境风险防范设施和应急措施是企业环境风险防范与应急管理体系的组成部分，也是企业制定和完善突发环境事件应急预案的基础。企业突发环境事件应急预案的编制、评估、备案和实施等，应按我部《突发环境事件应急预案管理暂行办法》（环发〔2010〕113号）等相关规定执行。</w:t>
      </w:r>
      <w:r>
        <w:rPr>
          <w:rFonts w:hint="default" w:ascii="Times New Roman" w:hAnsi="Times New Roman" w:cs="Times New Roman"/>
          <w:color w:val="000000" w:themeColor="text1"/>
          <w:spacing w:val="0"/>
          <w:kern w:val="0"/>
          <w:position w:val="0"/>
          <w:szCs w:val="21"/>
          <w:highlight w:val="none"/>
          <w:u w:val="none"/>
          <w:lang w:val="zh-CN"/>
          <w14:textFill>
            <w14:solidFill>
              <w14:schemeClr w14:val="tx1"/>
            </w14:solidFill>
          </w14:textFill>
        </w:rPr>
        <w:t>企业应制定《</w:t>
      </w:r>
      <w:r>
        <w:rPr>
          <w:rFonts w:hint="eastAsia" w:cs="Times New Roman"/>
          <w:color w:val="000000" w:themeColor="text1"/>
          <w:spacing w:val="0"/>
          <w:kern w:val="0"/>
          <w:position w:val="0"/>
          <w:szCs w:val="21"/>
          <w:highlight w:val="none"/>
          <w:u w:val="none"/>
          <w:lang w:val="en-US" w:eastAsia="zh-CN"/>
          <w14:textFill>
            <w14:solidFill>
              <w14:schemeClr w14:val="tx1"/>
            </w14:solidFill>
          </w14:textFill>
        </w:rPr>
        <w:t>突发环境事件应急预案</w:t>
      </w:r>
      <w:r>
        <w:rPr>
          <w:rFonts w:hint="default" w:ascii="Times New Roman" w:hAnsi="Times New Roman" w:cs="Times New Roman"/>
          <w:color w:val="000000" w:themeColor="text1"/>
          <w:spacing w:val="0"/>
          <w:kern w:val="0"/>
          <w:position w:val="0"/>
          <w:szCs w:val="21"/>
          <w:highlight w:val="none"/>
          <w:u w:val="none"/>
          <w:lang w:val="zh-CN"/>
          <w14:textFill>
            <w14:solidFill>
              <w14:schemeClr w14:val="tx1"/>
            </w14:solidFill>
          </w14:textFill>
        </w:rPr>
        <w:t>》，并</w:t>
      </w:r>
      <w:r>
        <w:rPr>
          <w:rFonts w:hint="default" w:ascii="Times New Roman" w:hAnsi="Times New Roman" w:cs="Times New Roman"/>
          <w:color w:val="000000" w:themeColor="text1"/>
          <w:spacing w:val="0"/>
          <w:kern w:val="0"/>
          <w:position w:val="0"/>
          <w:szCs w:val="21"/>
          <w:highlight w:val="none"/>
          <w:u w:val="none"/>
          <w14:textFill>
            <w14:solidFill>
              <w14:schemeClr w14:val="tx1"/>
            </w14:solidFill>
          </w14:textFill>
        </w:rPr>
        <w:t>需</w:t>
      </w:r>
      <w:r>
        <w:rPr>
          <w:rFonts w:hint="default" w:ascii="Times New Roman" w:hAnsi="Times New Roman" w:cs="Times New Roman"/>
          <w:color w:val="000000" w:themeColor="text1"/>
          <w:spacing w:val="0"/>
          <w:kern w:val="0"/>
          <w:position w:val="0"/>
          <w:szCs w:val="21"/>
          <w:highlight w:val="none"/>
          <w:u w:val="none"/>
          <w:lang w:val="zh-CN"/>
          <w14:textFill>
            <w14:solidFill>
              <w14:schemeClr w14:val="tx1"/>
            </w14:solidFill>
          </w14:textFill>
        </w:rPr>
        <w:t>在当地生态环境保护主管部门备案。</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突发事故应急救援预案框架见表4-</w:t>
      </w:r>
      <w:r>
        <w:rPr>
          <w:rFonts w:hint="eastAsia" w:cs="Times New Roman"/>
          <w:color w:val="000000" w:themeColor="text1"/>
          <w:spacing w:val="0"/>
          <w:position w:val="0"/>
          <w:szCs w:val="21"/>
          <w:highlight w:val="none"/>
          <w:u w:val="none"/>
          <w:lang w:val="en-US" w:eastAsia="zh-CN"/>
          <w14:textFill>
            <w14:solidFill>
              <w14:schemeClr w14:val="tx1"/>
            </w14:solidFill>
          </w14:textFill>
        </w:rPr>
        <w:t>16</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w:t>
      </w:r>
    </w:p>
    <w:p w14:paraId="7584888D">
      <w:pPr>
        <w:pageBreakBefore w:val="0"/>
        <w:widowControl/>
        <w:kinsoku/>
        <w:wordWrap/>
        <w:bidi w:val="0"/>
        <w:spacing w:beforeAutospacing="0" w:afterAutospacing="0" w:line="480" w:lineRule="exact"/>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表4-</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16</w:t>
      </w: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 xml:space="preserve">    项目区突发事故应急救援预案框架</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233"/>
        <w:gridCol w:w="5516"/>
      </w:tblGrid>
      <w:tr w14:paraId="03CDD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38" w:type="dxa"/>
            <w:tcBorders>
              <w:bottom w:val="single" w:color="auto" w:sz="12" w:space="0"/>
            </w:tcBorders>
            <w:noWrap w:val="0"/>
            <w:vAlign w:val="center"/>
          </w:tcPr>
          <w:p w14:paraId="2633BFCF">
            <w:pPr>
              <w:pageBreakBefore w:val="0"/>
              <w:kinsoku/>
              <w:wordWrap/>
              <w:bidi w:val="0"/>
              <w:spacing w:beforeAutospacing="0" w:afterAutospacing="0"/>
              <w:ind w:left="0" w:leftChars="0" w:right="0" w:rightChars="0"/>
              <w:jc w:val="cente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t>序号</w:t>
            </w:r>
          </w:p>
        </w:tc>
        <w:tc>
          <w:tcPr>
            <w:tcW w:w="2110" w:type="dxa"/>
            <w:tcBorders>
              <w:bottom w:val="single" w:color="auto" w:sz="12" w:space="0"/>
            </w:tcBorders>
            <w:noWrap w:val="0"/>
            <w:vAlign w:val="center"/>
          </w:tcPr>
          <w:p w14:paraId="2718D0B8">
            <w:pPr>
              <w:pageBreakBefore w:val="0"/>
              <w:kinsoku/>
              <w:wordWrap/>
              <w:bidi w:val="0"/>
              <w:spacing w:beforeAutospacing="0" w:afterAutospacing="0"/>
              <w:ind w:left="0" w:leftChars="0" w:right="0" w:rightChars="0"/>
              <w:jc w:val="cente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t>项目</w:t>
            </w:r>
          </w:p>
        </w:tc>
        <w:tc>
          <w:tcPr>
            <w:tcW w:w="5247" w:type="dxa"/>
            <w:tcBorders>
              <w:bottom w:val="single" w:color="auto" w:sz="12" w:space="0"/>
            </w:tcBorders>
            <w:noWrap w:val="0"/>
            <w:vAlign w:val="center"/>
          </w:tcPr>
          <w:p w14:paraId="7831D30D">
            <w:pPr>
              <w:pageBreakBefore w:val="0"/>
              <w:kinsoku/>
              <w:wordWrap/>
              <w:bidi w:val="0"/>
              <w:spacing w:beforeAutospacing="0" w:afterAutospacing="0"/>
              <w:ind w:left="0" w:leftChars="0" w:right="0" w:rightChars="0"/>
              <w:jc w:val="cente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t>内容及要求</w:t>
            </w:r>
          </w:p>
        </w:tc>
      </w:tr>
      <w:tr w14:paraId="312EC7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op w:val="single" w:color="auto" w:sz="12" w:space="0"/>
              <w:tl2br w:val="nil"/>
              <w:tr2bl w:val="nil"/>
            </w:tcBorders>
            <w:noWrap w:val="0"/>
            <w:vAlign w:val="center"/>
          </w:tcPr>
          <w:p w14:paraId="0327800B">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w:t>
            </w:r>
          </w:p>
        </w:tc>
        <w:tc>
          <w:tcPr>
            <w:tcW w:w="2110" w:type="dxa"/>
            <w:tcBorders>
              <w:top w:val="single" w:color="auto" w:sz="12" w:space="0"/>
              <w:tl2br w:val="nil"/>
              <w:tr2bl w:val="nil"/>
            </w:tcBorders>
            <w:noWrap w:val="0"/>
            <w:vAlign w:val="center"/>
          </w:tcPr>
          <w:p w14:paraId="1638D94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总则</w:t>
            </w:r>
          </w:p>
        </w:tc>
        <w:tc>
          <w:tcPr>
            <w:tcW w:w="5247" w:type="dxa"/>
            <w:tcBorders>
              <w:top w:val="single" w:color="auto" w:sz="12" w:space="0"/>
              <w:tl2br w:val="nil"/>
              <w:tr2bl w:val="nil"/>
            </w:tcBorders>
            <w:noWrap w:val="0"/>
            <w:vAlign w:val="center"/>
          </w:tcPr>
          <w:p w14:paraId="25A30BE3">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简述生产过程中涉及物料性质及可能产生的突发事故</w:t>
            </w:r>
          </w:p>
        </w:tc>
      </w:tr>
      <w:tr w14:paraId="21173E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78C19B7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2</w:t>
            </w:r>
          </w:p>
        </w:tc>
        <w:tc>
          <w:tcPr>
            <w:tcW w:w="2110" w:type="dxa"/>
            <w:tcBorders>
              <w:tl2br w:val="nil"/>
              <w:tr2bl w:val="nil"/>
            </w:tcBorders>
            <w:noWrap w:val="0"/>
            <w:vAlign w:val="center"/>
          </w:tcPr>
          <w:p w14:paraId="7B00E21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危险源概况</w:t>
            </w:r>
          </w:p>
        </w:tc>
        <w:tc>
          <w:tcPr>
            <w:tcW w:w="5247" w:type="dxa"/>
            <w:tcBorders>
              <w:tl2br w:val="nil"/>
              <w:tr2bl w:val="nil"/>
            </w:tcBorders>
            <w:noWrap w:val="0"/>
            <w:vAlign w:val="center"/>
          </w:tcPr>
          <w:p w14:paraId="62D44FD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评述危险源类型、数量及其分布</w:t>
            </w:r>
          </w:p>
        </w:tc>
      </w:tr>
      <w:tr w14:paraId="2C6502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53941AE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3</w:t>
            </w:r>
          </w:p>
        </w:tc>
        <w:tc>
          <w:tcPr>
            <w:tcW w:w="2110" w:type="dxa"/>
            <w:tcBorders>
              <w:tl2br w:val="nil"/>
              <w:tr2bl w:val="nil"/>
            </w:tcBorders>
            <w:noWrap w:val="0"/>
            <w:vAlign w:val="center"/>
          </w:tcPr>
          <w:p w14:paraId="6145DB48">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应急计划区</w:t>
            </w:r>
          </w:p>
        </w:tc>
        <w:tc>
          <w:tcPr>
            <w:tcW w:w="5247" w:type="dxa"/>
            <w:tcBorders>
              <w:tl2br w:val="nil"/>
              <w:tr2bl w:val="nil"/>
            </w:tcBorders>
            <w:noWrap w:val="0"/>
            <w:vAlign w:val="center"/>
          </w:tcPr>
          <w:p w14:paraId="285EAD7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生产区、储罐区</w:t>
            </w:r>
          </w:p>
        </w:tc>
      </w:tr>
      <w:tr w14:paraId="4CA33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0987A2C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4</w:t>
            </w:r>
          </w:p>
        </w:tc>
        <w:tc>
          <w:tcPr>
            <w:tcW w:w="2110" w:type="dxa"/>
            <w:tcBorders>
              <w:tl2br w:val="nil"/>
              <w:tr2bl w:val="nil"/>
            </w:tcBorders>
            <w:noWrap w:val="0"/>
            <w:vAlign w:val="center"/>
          </w:tcPr>
          <w:p w14:paraId="4839564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应急组织</w:t>
            </w:r>
          </w:p>
        </w:tc>
        <w:tc>
          <w:tcPr>
            <w:tcW w:w="5247" w:type="dxa"/>
            <w:tcBorders>
              <w:tl2br w:val="nil"/>
              <w:tr2bl w:val="nil"/>
            </w:tcBorders>
            <w:noWrap w:val="0"/>
            <w:vAlign w:val="center"/>
          </w:tcPr>
          <w:p w14:paraId="1B8C123B">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项目区：设指挥部，负责项目区应急指挥工作</w:t>
            </w:r>
          </w:p>
          <w:p w14:paraId="63799498">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专业救援队伍：负责事故控制、救援善后处理</w:t>
            </w:r>
          </w:p>
        </w:tc>
      </w:tr>
      <w:tr w14:paraId="5F7C28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6E650669">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5</w:t>
            </w:r>
          </w:p>
        </w:tc>
        <w:tc>
          <w:tcPr>
            <w:tcW w:w="2110" w:type="dxa"/>
            <w:tcBorders>
              <w:tl2br w:val="nil"/>
              <w:tr2bl w:val="nil"/>
            </w:tcBorders>
            <w:noWrap w:val="0"/>
            <w:vAlign w:val="center"/>
          </w:tcPr>
          <w:p w14:paraId="317DB2B2">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应急状态分类及应急响应程度</w:t>
            </w:r>
          </w:p>
        </w:tc>
        <w:tc>
          <w:tcPr>
            <w:tcW w:w="5247" w:type="dxa"/>
            <w:tcBorders>
              <w:tl2br w:val="nil"/>
              <w:tr2bl w:val="nil"/>
            </w:tcBorders>
            <w:noWrap w:val="0"/>
            <w:vAlign w:val="center"/>
          </w:tcPr>
          <w:p w14:paraId="1ECB74E6">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规定事故的</w:t>
            </w:r>
            <w:r>
              <w:rPr>
                <w:rFonts w:hint="default" w:ascii="Times New Roman" w:hAnsi="Times New Roman" w:cs="Times New Roman"/>
                <w:color w:val="000000" w:themeColor="text1"/>
                <w:spacing w:val="0"/>
                <w:position w:val="0"/>
                <w:szCs w:val="21"/>
                <w:highlight w:val="none"/>
                <w:u w:val="none"/>
                <w:lang w:eastAsia="zh-CN"/>
                <w14:textFill>
                  <w14:solidFill>
                    <w14:schemeClr w14:val="tx1"/>
                  </w14:solidFill>
                </w14:textFill>
              </w:rPr>
              <w:t>级别</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及相应的应急分类</w:t>
            </w:r>
            <w:r>
              <w:rPr>
                <w:rFonts w:hint="eastAsia" w:ascii="Times New Roman" w:hAnsi="Times New Roman" w:cs="Times New Roman"/>
                <w:color w:val="000000" w:themeColor="text1"/>
                <w:spacing w:val="0"/>
                <w:position w:val="0"/>
                <w:szCs w:val="21"/>
                <w:highlight w:val="none"/>
                <w:u w:val="none"/>
                <w:lang w:eastAsia="zh-CN"/>
                <w14:textFill>
                  <w14:solidFill>
                    <w14:schemeClr w14:val="tx1"/>
                  </w14:solidFill>
                </w14:textFill>
              </w:rPr>
              <w:t>响应</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程度</w:t>
            </w:r>
          </w:p>
        </w:tc>
      </w:tr>
      <w:tr w14:paraId="068EFF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2FE5EAF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6</w:t>
            </w:r>
          </w:p>
        </w:tc>
        <w:tc>
          <w:tcPr>
            <w:tcW w:w="2110" w:type="dxa"/>
            <w:tcBorders>
              <w:tl2br w:val="nil"/>
              <w:tr2bl w:val="nil"/>
            </w:tcBorders>
            <w:noWrap w:val="0"/>
            <w:vAlign w:val="center"/>
          </w:tcPr>
          <w:p w14:paraId="1B6B2AE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应急设施、设备及材料</w:t>
            </w:r>
          </w:p>
        </w:tc>
        <w:tc>
          <w:tcPr>
            <w:tcW w:w="5247" w:type="dxa"/>
            <w:tcBorders>
              <w:tl2br w:val="nil"/>
              <w:tr2bl w:val="nil"/>
            </w:tcBorders>
            <w:noWrap w:val="0"/>
            <w:vAlign w:val="center"/>
          </w:tcPr>
          <w:p w14:paraId="164DAEC0">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生产装置：贮存区防火灾、爆炸和毒气泄漏事故应急措施、设备与材料；主要是消防器材，防毒面具和防护服，防止原辅材料外溢、扩散</w:t>
            </w:r>
          </w:p>
        </w:tc>
      </w:tr>
      <w:tr w14:paraId="5CE16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1CDA0C4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7</w:t>
            </w:r>
          </w:p>
        </w:tc>
        <w:tc>
          <w:tcPr>
            <w:tcW w:w="2110" w:type="dxa"/>
            <w:tcBorders>
              <w:tl2br w:val="nil"/>
              <w:tr2bl w:val="nil"/>
            </w:tcBorders>
            <w:noWrap w:val="0"/>
            <w:vAlign w:val="center"/>
          </w:tcPr>
          <w:p w14:paraId="7236DF2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应急通讯、通知、交通</w:t>
            </w:r>
          </w:p>
        </w:tc>
        <w:tc>
          <w:tcPr>
            <w:tcW w:w="5247" w:type="dxa"/>
            <w:tcBorders>
              <w:tl2br w:val="nil"/>
              <w:tr2bl w:val="nil"/>
            </w:tcBorders>
            <w:noWrap w:val="0"/>
            <w:vAlign w:val="center"/>
          </w:tcPr>
          <w:p w14:paraId="6D15500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规定应急状态下的通讯方式，通知方式和交通保障、管制措施</w:t>
            </w:r>
          </w:p>
        </w:tc>
      </w:tr>
      <w:tr w14:paraId="49563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4C055A7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8</w:t>
            </w:r>
          </w:p>
        </w:tc>
        <w:tc>
          <w:tcPr>
            <w:tcW w:w="2110" w:type="dxa"/>
            <w:tcBorders>
              <w:tl2br w:val="nil"/>
              <w:tr2bl w:val="nil"/>
            </w:tcBorders>
            <w:noWrap w:val="0"/>
            <w:vAlign w:val="center"/>
          </w:tcPr>
          <w:p w14:paraId="5FC7559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应急环境监测及事故后评估</w:t>
            </w:r>
          </w:p>
        </w:tc>
        <w:tc>
          <w:tcPr>
            <w:tcW w:w="5247" w:type="dxa"/>
            <w:tcBorders>
              <w:tl2br w:val="nil"/>
              <w:tr2bl w:val="nil"/>
            </w:tcBorders>
            <w:noWrap w:val="0"/>
            <w:vAlign w:val="center"/>
          </w:tcPr>
          <w:p w14:paraId="1C5E420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由专业队伍对事故现场进行侦察监测，对事故性质、参数与后果进行评估，为指挥部门提供决策依据</w:t>
            </w:r>
          </w:p>
        </w:tc>
      </w:tr>
      <w:tr w14:paraId="283EF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3270D5A9">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9</w:t>
            </w:r>
          </w:p>
        </w:tc>
        <w:tc>
          <w:tcPr>
            <w:tcW w:w="2110" w:type="dxa"/>
            <w:tcBorders>
              <w:tl2br w:val="nil"/>
              <w:tr2bl w:val="nil"/>
            </w:tcBorders>
            <w:noWrap w:val="0"/>
            <w:vAlign w:val="center"/>
          </w:tcPr>
          <w:p w14:paraId="19F20DD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应急消防措施、消除</w:t>
            </w:r>
            <w:r>
              <w:rPr>
                <w:rFonts w:hint="eastAsia" w:ascii="Times New Roman" w:hAnsi="Times New Roman" w:cs="Times New Roman"/>
                <w:color w:val="000000" w:themeColor="text1"/>
                <w:spacing w:val="0"/>
                <w:position w:val="0"/>
                <w:szCs w:val="21"/>
                <w:highlight w:val="none"/>
                <w:u w:val="none"/>
                <w:lang w:eastAsia="zh-CN"/>
                <w14:textFill>
                  <w14:solidFill>
                    <w14:schemeClr w14:val="tx1"/>
                  </w14:solidFill>
                </w14:textFill>
              </w:rPr>
              <w:t>泄漏</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措施方法及器材</w:t>
            </w:r>
          </w:p>
        </w:tc>
        <w:tc>
          <w:tcPr>
            <w:tcW w:w="5247" w:type="dxa"/>
            <w:tcBorders>
              <w:tl2br w:val="nil"/>
              <w:tr2bl w:val="nil"/>
            </w:tcBorders>
            <w:noWrap w:val="0"/>
            <w:vAlign w:val="center"/>
          </w:tcPr>
          <w:p w14:paraId="5DC2703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事故现场：控制事故、防止扩大、</w:t>
            </w:r>
            <w:r>
              <w:rPr>
                <w:rFonts w:hint="default" w:ascii="Times New Roman" w:hAnsi="Times New Roman" w:cs="Times New Roman"/>
                <w:color w:val="000000" w:themeColor="text1"/>
                <w:spacing w:val="0"/>
                <w:position w:val="0"/>
                <w:szCs w:val="21"/>
                <w:highlight w:val="none"/>
                <w:u w:val="none"/>
                <w:lang w:eastAsia="zh-CN"/>
                <w14:textFill>
                  <w14:solidFill>
                    <w14:schemeClr w14:val="tx1"/>
                  </w14:solidFill>
                </w14:textFill>
              </w:rPr>
              <w:t>蔓延</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及连锁反应，消除现场泄漏物，降低危害，同时配备相应的器材</w:t>
            </w:r>
          </w:p>
          <w:p w14:paraId="7F742630">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临近区域：控制火灾、有毒区域，控制和消除污染措施及相应的设备配备</w:t>
            </w:r>
          </w:p>
        </w:tc>
      </w:tr>
      <w:tr w14:paraId="7DE2C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6D38D4D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10</w:t>
            </w:r>
          </w:p>
        </w:tc>
        <w:tc>
          <w:tcPr>
            <w:tcW w:w="2110" w:type="dxa"/>
            <w:tcBorders>
              <w:tl2br w:val="nil"/>
              <w:tr2bl w:val="nil"/>
            </w:tcBorders>
            <w:noWrap w:val="0"/>
            <w:vAlign w:val="center"/>
          </w:tcPr>
          <w:p w14:paraId="338DF5B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应急剂量控制、车辆组织计划、医疗救护与公众健康</w:t>
            </w:r>
          </w:p>
        </w:tc>
        <w:tc>
          <w:tcPr>
            <w:tcW w:w="5247" w:type="dxa"/>
            <w:tcBorders>
              <w:tl2br w:val="nil"/>
              <w:tr2bl w:val="nil"/>
            </w:tcBorders>
            <w:noWrap w:val="0"/>
            <w:vAlign w:val="center"/>
          </w:tcPr>
          <w:p w14:paraId="26A93D76">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事故现场：事故处理人员对毒物的应急剂量控制规定，现场及临近装置人员撤离组织计划及救护</w:t>
            </w:r>
          </w:p>
          <w:p w14:paraId="1BCDA7A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项目区临近区：受事故影响的临近区域人员对毒物应急剂量控制规定，撤离组织及救援</w:t>
            </w:r>
          </w:p>
        </w:tc>
      </w:tr>
      <w:tr w14:paraId="3741C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1C18C74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11</w:t>
            </w:r>
          </w:p>
        </w:tc>
        <w:tc>
          <w:tcPr>
            <w:tcW w:w="2110" w:type="dxa"/>
            <w:tcBorders>
              <w:tl2br w:val="nil"/>
              <w:tr2bl w:val="nil"/>
            </w:tcBorders>
            <w:noWrap w:val="0"/>
            <w:vAlign w:val="center"/>
          </w:tcPr>
          <w:p w14:paraId="2A1B6579">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应急状态终止与恢复措施</w:t>
            </w:r>
          </w:p>
        </w:tc>
        <w:tc>
          <w:tcPr>
            <w:tcW w:w="5247" w:type="dxa"/>
            <w:tcBorders>
              <w:tl2br w:val="nil"/>
              <w:tr2bl w:val="nil"/>
            </w:tcBorders>
            <w:noWrap w:val="0"/>
            <w:vAlign w:val="center"/>
          </w:tcPr>
          <w:p w14:paraId="35B502AB">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规定应急状态的终止程度，事故善后处理，恢复措施，</w:t>
            </w:r>
            <w:r>
              <w:rPr>
                <w:rFonts w:hint="eastAsia" w:cs="Times New Roman"/>
                <w:color w:val="000000" w:themeColor="text1"/>
                <w:spacing w:val="0"/>
                <w:position w:val="0"/>
                <w:szCs w:val="21"/>
                <w:highlight w:val="none"/>
                <w:u w:val="none"/>
                <w:lang w:eastAsia="zh-CN"/>
                <w14:textFill>
                  <w14:solidFill>
                    <w14:schemeClr w14:val="tx1"/>
                  </w14:solidFill>
                </w14:textFill>
              </w:rPr>
              <w:t>临界区域</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解除事故警戒及善后恢复措施</w:t>
            </w:r>
          </w:p>
        </w:tc>
      </w:tr>
      <w:tr w14:paraId="715BA5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426BBA6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12</w:t>
            </w:r>
          </w:p>
        </w:tc>
        <w:tc>
          <w:tcPr>
            <w:tcW w:w="2110" w:type="dxa"/>
            <w:tcBorders>
              <w:tl2br w:val="nil"/>
              <w:tr2bl w:val="nil"/>
            </w:tcBorders>
            <w:noWrap w:val="0"/>
            <w:vAlign w:val="center"/>
          </w:tcPr>
          <w:p w14:paraId="3A8A6CC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人员培训和演练</w:t>
            </w:r>
          </w:p>
        </w:tc>
        <w:tc>
          <w:tcPr>
            <w:tcW w:w="5247" w:type="dxa"/>
            <w:tcBorders>
              <w:tl2br w:val="nil"/>
              <w:tr2bl w:val="nil"/>
            </w:tcBorders>
            <w:noWrap w:val="0"/>
            <w:vAlign w:val="center"/>
          </w:tcPr>
          <w:p w14:paraId="114463C2">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应急计划制定后，平时安排人员培训及演练</w:t>
            </w:r>
          </w:p>
        </w:tc>
      </w:tr>
      <w:tr w14:paraId="423F5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08E47FF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13</w:t>
            </w:r>
          </w:p>
        </w:tc>
        <w:tc>
          <w:tcPr>
            <w:tcW w:w="2110" w:type="dxa"/>
            <w:tcBorders>
              <w:tl2br w:val="nil"/>
              <w:tr2bl w:val="nil"/>
            </w:tcBorders>
            <w:noWrap w:val="0"/>
            <w:vAlign w:val="center"/>
          </w:tcPr>
          <w:p w14:paraId="7ABD18B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公众教育与信息</w:t>
            </w:r>
          </w:p>
        </w:tc>
        <w:tc>
          <w:tcPr>
            <w:tcW w:w="5247" w:type="dxa"/>
            <w:tcBorders>
              <w:tl2br w:val="nil"/>
              <w:tr2bl w:val="nil"/>
            </w:tcBorders>
            <w:noWrap w:val="0"/>
            <w:vAlign w:val="center"/>
          </w:tcPr>
          <w:p w14:paraId="712E9E0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对项目区</w:t>
            </w:r>
            <w:r>
              <w:rPr>
                <w:rFonts w:hint="default" w:ascii="Times New Roman" w:hAnsi="Times New Roman" w:cs="Times New Roman"/>
                <w:color w:val="000000" w:themeColor="text1"/>
                <w:spacing w:val="0"/>
                <w:position w:val="0"/>
                <w:szCs w:val="21"/>
                <w:highlight w:val="none"/>
                <w:u w:val="none"/>
                <w:lang w:eastAsia="zh-CN"/>
                <w14:textFill>
                  <w14:solidFill>
                    <w14:schemeClr w14:val="tx1"/>
                  </w14:solidFill>
                </w14:textFill>
              </w:rPr>
              <w:t>邻近地区</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开展公众教育、培训与发布相关信息</w:t>
            </w:r>
          </w:p>
        </w:tc>
      </w:tr>
      <w:tr w14:paraId="43064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5F62C0E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14</w:t>
            </w:r>
          </w:p>
        </w:tc>
        <w:tc>
          <w:tcPr>
            <w:tcW w:w="2110" w:type="dxa"/>
            <w:tcBorders>
              <w:tl2br w:val="nil"/>
              <w:tr2bl w:val="nil"/>
            </w:tcBorders>
            <w:noWrap w:val="0"/>
            <w:vAlign w:val="center"/>
          </w:tcPr>
          <w:p w14:paraId="34CAE64C">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记录和报告</w:t>
            </w:r>
          </w:p>
        </w:tc>
        <w:tc>
          <w:tcPr>
            <w:tcW w:w="5247" w:type="dxa"/>
            <w:tcBorders>
              <w:tl2br w:val="nil"/>
              <w:tr2bl w:val="nil"/>
            </w:tcBorders>
            <w:noWrap w:val="0"/>
            <w:vAlign w:val="center"/>
          </w:tcPr>
          <w:p w14:paraId="7E0836B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设置应急事故专门记录，建立档案和专门报告制度，设立专门部门负责管理</w:t>
            </w:r>
          </w:p>
        </w:tc>
      </w:tr>
      <w:tr w14:paraId="6EFEF7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04ACAB6F">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lang w:val="en-US" w:eastAsia="zh-CN"/>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15</w:t>
            </w:r>
          </w:p>
        </w:tc>
        <w:tc>
          <w:tcPr>
            <w:tcW w:w="2110" w:type="dxa"/>
            <w:tcBorders>
              <w:tl2br w:val="nil"/>
              <w:tr2bl w:val="nil"/>
            </w:tcBorders>
            <w:noWrap w:val="0"/>
            <w:vAlign w:val="center"/>
          </w:tcPr>
          <w:p w14:paraId="0566A314">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附件</w:t>
            </w:r>
          </w:p>
        </w:tc>
        <w:tc>
          <w:tcPr>
            <w:tcW w:w="5247" w:type="dxa"/>
            <w:tcBorders>
              <w:tl2br w:val="nil"/>
              <w:tr2bl w:val="nil"/>
            </w:tcBorders>
            <w:noWrap w:val="0"/>
            <w:vAlign w:val="center"/>
          </w:tcPr>
          <w:p w14:paraId="01D130E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与应急事故有关的多种附件材料的准备和形成</w:t>
            </w:r>
          </w:p>
        </w:tc>
      </w:tr>
    </w:tbl>
    <w:p w14:paraId="4F378003">
      <w:pPr>
        <w:keepNext/>
        <w:keepLines/>
        <w:pageBreakBefore w:val="0"/>
        <w:kinsoku/>
        <w:wordWrap/>
        <w:bidi w:val="0"/>
        <w:spacing w:beforeAutospacing="0" w:afterAutospacing="0" w:line="360" w:lineRule="auto"/>
        <w:ind w:left="0" w:leftChars="0" w:right="0" w:rightChars="0" w:firstLine="482" w:firstLineChars="200"/>
        <w:outlineLvl w:val="1"/>
        <w:rPr>
          <w:rFonts w:hint="default" w:ascii="Times New Roman" w:hAnsi="Times New Roman" w:cs="Times New Roman"/>
          <w:b/>
          <w:bCs/>
          <w:color w:val="000000" w:themeColor="text1"/>
          <w:spacing w:val="0"/>
          <w:position w:val="0"/>
          <w:sz w:val="24"/>
          <w:highlight w:val="none"/>
          <w:u w:val="none"/>
          <w14:textFill>
            <w14:solidFill>
              <w14:schemeClr w14:val="tx1"/>
            </w14:solidFill>
          </w14:textFill>
        </w:rPr>
      </w:pPr>
      <w:r>
        <w:rPr>
          <w:rFonts w:hint="eastAsia" w:ascii="Times New Roman" w:hAnsi="Times New Roman" w:cs="Times New Roman"/>
          <w:b/>
          <w:bCs/>
          <w:color w:val="000000" w:themeColor="text1"/>
          <w:spacing w:val="0"/>
          <w:position w:val="0"/>
          <w:sz w:val="24"/>
          <w:highlight w:val="none"/>
          <w:u w:val="none"/>
          <w:lang w:val="en-US" w:eastAsia="zh-CN"/>
          <w14:textFill>
            <w14:solidFill>
              <w14:schemeClr w14:val="tx1"/>
            </w14:solidFill>
          </w14:textFill>
        </w:rPr>
        <w:t>8、</w:t>
      </w:r>
      <w:r>
        <w:rPr>
          <w:rFonts w:hint="default" w:ascii="Times New Roman" w:hAnsi="Times New Roman" w:cs="Times New Roman"/>
          <w:b/>
          <w:bCs/>
          <w:color w:val="000000" w:themeColor="text1"/>
          <w:spacing w:val="0"/>
          <w:position w:val="0"/>
          <w:sz w:val="24"/>
          <w:highlight w:val="none"/>
          <w:u w:val="none"/>
          <w14:textFill>
            <w14:solidFill>
              <w14:schemeClr w14:val="tx1"/>
            </w14:solidFill>
          </w14:textFill>
        </w:rPr>
        <w:t>环境风险评价结论</w:t>
      </w:r>
    </w:p>
    <w:p w14:paraId="1E62CEA3">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综合上述分析，本项目事故风险评价结论如下：</w:t>
      </w:r>
    </w:p>
    <w:p w14:paraId="1F1824AC">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1）项目涉及有毒有害、易燃易爆物质，生产设备在常温常压条件下，具有一定的潜在危险；</w:t>
      </w:r>
    </w:p>
    <w:p w14:paraId="793636D4">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2）本项目在生产、储存、运输过程中存在泄漏及燃烧、爆炸</w:t>
      </w:r>
      <w:r>
        <w:rPr>
          <w:rFonts w:hint="eastAsia" w:cs="Times New Roman"/>
          <w:color w:val="000000" w:themeColor="text1"/>
          <w:spacing w:val="0"/>
          <w:position w:val="0"/>
          <w:sz w:val="24"/>
          <w:szCs w:val="21"/>
          <w:highlight w:val="none"/>
          <w:u w:val="none"/>
          <w:lang w:eastAsia="zh-CN"/>
          <w14:textFill>
            <w14:solidFill>
              <w14:schemeClr w14:val="tx1"/>
            </w14:solidFill>
          </w14:textFill>
        </w:rPr>
        <w:t>事故</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风险，在采取严格的保护措施后，事故发生概率很小；</w:t>
      </w:r>
    </w:p>
    <w:p w14:paraId="002BE088">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3）项目由于使用和储存的有毒有害、易燃易爆物质的数量</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很少</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，对环境的风险影响也很小；</w:t>
      </w:r>
    </w:p>
    <w:p w14:paraId="79AC23DD">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4）项目具有潜在的事故风险，应从建设、生产、储运等方面积极采取防护措施；如</w:t>
      </w:r>
      <w:r>
        <w:rPr>
          <w:rFonts w:hint="eastAsia" w:cs="Times New Roman"/>
          <w:color w:val="000000" w:themeColor="text1"/>
          <w:spacing w:val="0"/>
          <w:position w:val="0"/>
          <w:sz w:val="24"/>
          <w:szCs w:val="21"/>
          <w:highlight w:val="none"/>
          <w:u w:val="none"/>
          <w:lang w:val="en-US" w:eastAsia="zh-CN"/>
          <w14:textFill>
            <w14:solidFill>
              <w14:schemeClr w14:val="tx1"/>
            </w14:solidFill>
          </w14:textFill>
        </w:rPr>
        <w:t>贮存点</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应安装通风设施，采用防火、防爆的灯具、电器等。为了防范事故和减少危害，需根据企业实际情况制定灾害事故的应急预案。当出现事故时，采取紧急的工程应急措施，以控制事故和减少对环境造成的危害；</w:t>
      </w:r>
    </w:p>
    <w:p w14:paraId="79724F9A">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5）建议合理安排购买</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使用</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储存</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出售的关系，减少有毒有害、易燃易爆物质在场内的数量，进一步降低环境风险；</w:t>
      </w:r>
    </w:p>
    <w:p w14:paraId="355A78BE">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6）建议企业落实好安全防范措施和消防措施。</w:t>
      </w:r>
    </w:p>
    <w:p w14:paraId="39C049BE">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本项目环境风险简单分析内容详见表4-</w:t>
      </w:r>
      <w:r>
        <w:rPr>
          <w:rFonts w:hint="eastAsia" w:cs="Times New Roman"/>
          <w:color w:val="000000" w:themeColor="text1"/>
          <w:spacing w:val="0"/>
          <w:position w:val="0"/>
          <w:sz w:val="24"/>
          <w:szCs w:val="21"/>
          <w:highlight w:val="none"/>
          <w:u w:val="none"/>
          <w:lang w:val="en-US" w:eastAsia="zh-CN"/>
          <w14:textFill>
            <w14:solidFill>
              <w14:schemeClr w14:val="tx1"/>
            </w14:solidFill>
          </w14:textFill>
        </w:rPr>
        <w:t>17</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w:t>
      </w:r>
    </w:p>
    <w:p w14:paraId="0EFC6716">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bCs/>
          <w:color w:val="000000" w:themeColor="text1"/>
          <w:spacing w:val="0"/>
          <w:position w:val="0"/>
          <w:sz w:val="21"/>
          <w:szCs w:val="21"/>
          <w:highlight w:val="none"/>
          <w:u w:val="none"/>
          <w:lang w:bidi="ar"/>
          <w14:textFill>
            <w14:solidFill>
              <w14:schemeClr w14:val="tx1"/>
            </w14:solidFill>
          </w14:textFill>
        </w:rPr>
        <w:t>表4-</w:t>
      </w:r>
      <w:r>
        <w:rPr>
          <w:rFonts w:hint="eastAsia" w:cs="Times New Roman"/>
          <w:b/>
          <w:bCs/>
          <w:color w:val="000000" w:themeColor="text1"/>
          <w:spacing w:val="0"/>
          <w:position w:val="0"/>
          <w:sz w:val="21"/>
          <w:szCs w:val="21"/>
          <w:highlight w:val="none"/>
          <w:u w:val="none"/>
          <w:lang w:val="en-US" w:eastAsia="zh-CN" w:bidi="ar"/>
          <w14:textFill>
            <w14:solidFill>
              <w14:schemeClr w14:val="tx1"/>
            </w14:solidFill>
          </w14:textFill>
        </w:rPr>
        <w:t>17</w:t>
      </w:r>
      <w:r>
        <w:rPr>
          <w:rFonts w:hint="default" w:ascii="Times New Roman" w:hAnsi="Times New Roman" w:cs="Times New Roman"/>
          <w:b/>
          <w:bCs/>
          <w:color w:val="000000" w:themeColor="text1"/>
          <w:spacing w:val="0"/>
          <w:position w:val="0"/>
          <w:sz w:val="21"/>
          <w:szCs w:val="21"/>
          <w:highlight w:val="none"/>
          <w:u w:val="none"/>
          <w:lang w:bidi="ar"/>
          <w14:textFill>
            <w14:solidFill>
              <w14:schemeClr w14:val="tx1"/>
            </w14:solidFill>
          </w14:textFill>
        </w:rPr>
        <w:t xml:space="preserve">    </w:t>
      </w:r>
      <w:r>
        <w:rPr>
          <w:rFonts w:hint="default" w:ascii="Times New Roman" w:hAnsi="Times New Roman" w:cs="Times New Roman"/>
          <w:b/>
          <w:bCs/>
          <w:color w:val="000000" w:themeColor="text1"/>
          <w:spacing w:val="0"/>
          <w:kern w:val="0"/>
          <w:position w:val="0"/>
          <w:sz w:val="21"/>
          <w:szCs w:val="21"/>
          <w:highlight w:val="none"/>
          <w:u w:val="none"/>
          <w14:textFill>
            <w14:solidFill>
              <w14:schemeClr w14:val="tx1"/>
            </w14:solidFill>
          </w14:textFill>
        </w:rPr>
        <w:t>建设项目环境风险简单分析内容表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563"/>
        <w:gridCol w:w="1951"/>
        <w:gridCol w:w="1772"/>
        <w:gridCol w:w="772"/>
        <w:gridCol w:w="2470"/>
      </w:tblGrid>
      <w:tr w14:paraId="1CFA80E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blHeader/>
          <w:jc w:val="center"/>
        </w:trPr>
        <w:tc>
          <w:tcPr>
            <w:tcW w:w="917" w:type="pct"/>
            <w:tcBorders>
              <w:tl2br w:val="nil"/>
              <w:tr2bl w:val="nil"/>
            </w:tcBorders>
            <w:noWrap w:val="0"/>
            <w:vAlign w:val="center"/>
          </w:tcPr>
          <w:p w14:paraId="78C1E2AE">
            <w:pPr>
              <w:pageBreakBefore w:val="0"/>
              <w:kinsoku/>
              <w:wordWrap/>
              <w:bidi w:val="0"/>
              <w:spacing w:beforeAutospacing="0" w:afterAutospacing="0"/>
              <w:ind w:left="0" w:leftChars="0" w:right="0" w:rightChars="0"/>
              <w:rPr>
                <w:rFonts w:hint="default" w:ascii="Times New Roman" w:hAnsi="Times New Roman" w:cs="Times New Roman"/>
                <w:b/>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Cs/>
                <w:color w:val="000000" w:themeColor="text1"/>
                <w:spacing w:val="0"/>
                <w:position w:val="0"/>
                <w:szCs w:val="21"/>
                <w:highlight w:val="none"/>
                <w:u w:val="none"/>
                <w14:textFill>
                  <w14:solidFill>
                    <w14:schemeClr w14:val="tx1"/>
                  </w14:solidFill>
                </w14:textFill>
              </w:rPr>
              <w:t>建设项目名称</w:t>
            </w:r>
          </w:p>
        </w:tc>
        <w:tc>
          <w:tcPr>
            <w:tcW w:w="4082" w:type="pct"/>
            <w:gridSpan w:val="4"/>
            <w:tcBorders>
              <w:tl2br w:val="nil"/>
              <w:tr2bl w:val="nil"/>
            </w:tcBorders>
            <w:noWrap w:val="0"/>
            <w:vAlign w:val="center"/>
          </w:tcPr>
          <w:p w14:paraId="7F78A6EA">
            <w:pPr>
              <w:pageBreakBefore w:val="0"/>
              <w:kinsoku/>
              <w:wordWrap/>
              <w:bidi w:val="0"/>
              <w:adjustRightInd w:val="0"/>
              <w:snapToGrid w:val="0"/>
              <w:spacing w:beforeAutospacing="0" w:afterAutospacing="0"/>
              <w:ind w:left="0" w:leftChars="0" w:right="0" w:rightChars="0"/>
              <w:jc w:val="center"/>
              <w:rPr>
                <w:rFonts w:hint="default" w:ascii="Times New Roman" w:hAnsi="Times New Roman" w:cs="Times New Roman"/>
                <w:b/>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lang w:val="en-US" w:eastAsia="zh-CN"/>
                <w14:textFill>
                  <w14:solidFill>
                    <w14:schemeClr w14:val="tx1"/>
                  </w14:solidFill>
                </w14:textFill>
              </w:rPr>
              <w:t>振宏机械废硅粉加工前预处理</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项目</w:t>
            </w:r>
          </w:p>
        </w:tc>
      </w:tr>
      <w:tr w14:paraId="13751DA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917" w:type="pct"/>
            <w:tcBorders>
              <w:tl2br w:val="nil"/>
              <w:tr2bl w:val="nil"/>
            </w:tcBorders>
            <w:noWrap w:val="0"/>
            <w:vAlign w:val="center"/>
          </w:tcPr>
          <w:p w14:paraId="66B63C4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建设地点</w:t>
            </w:r>
          </w:p>
        </w:tc>
        <w:tc>
          <w:tcPr>
            <w:tcW w:w="1144" w:type="pct"/>
            <w:tcBorders>
              <w:tl2br w:val="nil"/>
              <w:tr2bl w:val="nil"/>
            </w:tcBorders>
            <w:noWrap w:val="0"/>
            <w:vAlign w:val="center"/>
          </w:tcPr>
          <w:p w14:paraId="210A5F88">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新疆维吾尔自治区</w:t>
            </w:r>
          </w:p>
        </w:tc>
        <w:tc>
          <w:tcPr>
            <w:tcW w:w="1039" w:type="pct"/>
            <w:tcBorders>
              <w:tl2br w:val="nil"/>
              <w:tr2bl w:val="nil"/>
            </w:tcBorders>
            <w:noWrap w:val="0"/>
            <w:vAlign w:val="center"/>
          </w:tcPr>
          <w:p w14:paraId="43254DFB">
            <w:pPr>
              <w:pageBreakBefore w:val="0"/>
              <w:kinsoku/>
              <w:wordWrap/>
              <w:bidi w:val="0"/>
              <w:spacing w:beforeAutospacing="0" w:afterAutospacing="0"/>
              <w:ind w:left="0" w:leftChars="0" w:right="0" w:rightChars="0"/>
              <w:jc w:val="cente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pP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昌吉州</w:t>
            </w:r>
          </w:p>
        </w:tc>
        <w:tc>
          <w:tcPr>
            <w:tcW w:w="452" w:type="pct"/>
            <w:tcBorders>
              <w:tl2br w:val="nil"/>
              <w:tr2bl w:val="nil"/>
            </w:tcBorders>
            <w:noWrap w:val="0"/>
            <w:vAlign w:val="center"/>
          </w:tcPr>
          <w:p w14:paraId="3C4932D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/区</w:t>
            </w:r>
          </w:p>
        </w:tc>
        <w:tc>
          <w:tcPr>
            <w:tcW w:w="1445" w:type="pct"/>
            <w:tcBorders>
              <w:tl2br w:val="nil"/>
              <w:tr2bl w:val="nil"/>
            </w:tcBorders>
            <w:noWrap w:val="0"/>
            <w:vAlign w:val="center"/>
          </w:tcPr>
          <w:p w14:paraId="784F76E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t>昌吉国家高新技术产业开发区建材工业园昌吉市先导工程材料有限责任公司院内1#厂房</w:t>
            </w:r>
          </w:p>
        </w:tc>
      </w:tr>
      <w:tr w14:paraId="3AE151E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917" w:type="pct"/>
            <w:tcBorders>
              <w:tl2br w:val="nil"/>
              <w:tr2bl w:val="nil"/>
            </w:tcBorders>
            <w:noWrap w:val="0"/>
            <w:vAlign w:val="center"/>
          </w:tcPr>
          <w:p w14:paraId="35C43B03">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地理坐标</w:t>
            </w:r>
          </w:p>
        </w:tc>
        <w:tc>
          <w:tcPr>
            <w:tcW w:w="1144" w:type="pct"/>
            <w:tcBorders>
              <w:tl2br w:val="nil"/>
              <w:tr2bl w:val="nil"/>
            </w:tcBorders>
            <w:noWrap w:val="0"/>
            <w:vAlign w:val="center"/>
          </w:tcPr>
          <w:p w14:paraId="1B4364F2">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经度</w:t>
            </w:r>
          </w:p>
        </w:tc>
        <w:tc>
          <w:tcPr>
            <w:tcW w:w="1039" w:type="pct"/>
            <w:tcBorders>
              <w:tl2br w:val="nil"/>
              <w:tr2bl w:val="nil"/>
            </w:tcBorders>
            <w:noWrap w:val="0"/>
            <w:vAlign w:val="center"/>
          </w:tcPr>
          <w:p w14:paraId="65343D7A">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87°08'02.026"</w:t>
            </w:r>
          </w:p>
        </w:tc>
        <w:tc>
          <w:tcPr>
            <w:tcW w:w="452" w:type="pct"/>
            <w:tcBorders>
              <w:tl2br w:val="nil"/>
              <w:tr2bl w:val="nil"/>
            </w:tcBorders>
            <w:noWrap w:val="0"/>
            <w:vAlign w:val="center"/>
          </w:tcPr>
          <w:p w14:paraId="6DBE766C">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纬度</w:t>
            </w:r>
          </w:p>
        </w:tc>
        <w:tc>
          <w:tcPr>
            <w:tcW w:w="1445" w:type="pct"/>
            <w:tcBorders>
              <w:tl2br w:val="nil"/>
              <w:tr2bl w:val="nil"/>
            </w:tcBorders>
            <w:noWrap w:val="0"/>
            <w:vAlign w:val="center"/>
          </w:tcPr>
          <w:p w14:paraId="13CDEC39">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44°05'23.55</w:t>
            </w:r>
            <w:r>
              <w:rPr>
                <w:rFonts w:hint="eastAsia" w:ascii="Times New Roman" w:hAnsi="Times New Roman" w:eastAsia="宋体" w:cs="Times New Roman"/>
                <w:color w:val="000000" w:themeColor="text1"/>
                <w:spacing w:val="0"/>
                <w:position w:val="0"/>
                <w:szCs w:val="21"/>
                <w:highlight w:val="none"/>
                <w:u w:val="none"/>
                <w:lang w:val="en-US" w:eastAsia="zh-CN"/>
                <w14:textFill>
                  <w14:solidFill>
                    <w14:schemeClr w14:val="tx1"/>
                  </w14:solidFill>
                </w14:textFill>
              </w:rPr>
              <w:t>7</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w:t>
            </w:r>
          </w:p>
        </w:tc>
      </w:tr>
      <w:tr w14:paraId="7E94D87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917" w:type="pct"/>
            <w:tcBorders>
              <w:tl2br w:val="nil"/>
              <w:tr2bl w:val="nil"/>
            </w:tcBorders>
            <w:noWrap w:val="0"/>
            <w:vAlign w:val="center"/>
          </w:tcPr>
          <w:p w14:paraId="167B067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主要危险物质及分布</w:t>
            </w:r>
          </w:p>
        </w:tc>
        <w:tc>
          <w:tcPr>
            <w:tcW w:w="4082" w:type="pct"/>
            <w:gridSpan w:val="4"/>
            <w:tcBorders>
              <w:tl2br w:val="nil"/>
              <w:tr2bl w:val="nil"/>
            </w:tcBorders>
            <w:noWrap w:val="0"/>
            <w:vAlign w:val="center"/>
          </w:tcPr>
          <w:p w14:paraId="43CE5BBF">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甲醇</w:t>
            </w:r>
            <w:r>
              <w:rPr>
                <w:rFonts w:hint="eastAsia" w:cs="Times New Roman"/>
                <w:color w:val="000000" w:themeColor="text1"/>
                <w:spacing w:val="0"/>
                <w:position w:val="0"/>
                <w:szCs w:val="21"/>
                <w:highlight w:val="none"/>
                <w:u w:val="none"/>
                <w:lang w:val="en-US" w:eastAsia="zh-CN"/>
                <w14:textFill>
                  <w14:solidFill>
                    <w14:schemeClr w14:val="tx1"/>
                  </w14:solidFill>
                </w14:textFill>
              </w:rPr>
              <w:t>最大</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存储</w:t>
            </w: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量</w:t>
            </w:r>
            <w:r>
              <w:rPr>
                <w:rFonts w:hint="eastAsia" w:cs="Times New Roman"/>
                <w:color w:val="000000" w:themeColor="text1"/>
                <w:spacing w:val="0"/>
                <w:position w:val="0"/>
                <w:szCs w:val="21"/>
                <w:highlight w:val="none"/>
                <w:u w:val="none"/>
                <w:lang w:val="en-US" w:eastAsia="zh-CN"/>
                <w14:textFill>
                  <w14:solidFill>
                    <w14:schemeClr w14:val="tx1"/>
                  </w14:solidFill>
                </w14:textFill>
              </w:rPr>
              <w:t>为2t，存放于燃料贮存间内，</w:t>
            </w:r>
            <w:r>
              <w:rPr>
                <w:rFonts w:hint="eastAsia" w:cs="Times New Roman"/>
                <w:color w:val="000000" w:themeColor="text1"/>
                <w:spacing w:val="0"/>
                <w:position w:val="0"/>
                <w:highlight w:val="none"/>
                <w:u w:val="none"/>
                <w:lang w:val="en-US" w:eastAsia="zh-CN"/>
                <w14:textFill>
                  <w14:solidFill>
                    <w14:schemeClr w14:val="tx1"/>
                  </w14:solidFill>
                </w14:textFill>
              </w:rPr>
              <w:t>最大储存31%盐酸量为36.72t，折算成37%盐酸量为25.7t，于盐酸储罐中贮存</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w:t>
            </w:r>
          </w:p>
        </w:tc>
      </w:tr>
      <w:tr w14:paraId="75080F0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917" w:type="pct"/>
            <w:tcBorders>
              <w:tl2br w:val="nil"/>
              <w:tr2bl w:val="nil"/>
            </w:tcBorders>
            <w:noWrap w:val="0"/>
            <w:vAlign w:val="center"/>
          </w:tcPr>
          <w:p w14:paraId="3FBB12A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环境影响途径及危害后果</w:t>
            </w:r>
          </w:p>
        </w:tc>
        <w:tc>
          <w:tcPr>
            <w:tcW w:w="4082" w:type="pct"/>
            <w:gridSpan w:val="4"/>
            <w:tcBorders>
              <w:tl2br w:val="nil"/>
              <w:tr2bl w:val="nil"/>
            </w:tcBorders>
            <w:noWrap w:val="0"/>
            <w:vAlign w:val="top"/>
          </w:tcPr>
          <w:p w14:paraId="3B9B5DAB">
            <w:pPr>
              <w:pageBreakBefore w:val="0"/>
              <w:kinsoku/>
              <w:wordWrap/>
              <w:bidi w:val="0"/>
              <w:spacing w:beforeAutospacing="0" w:afterAutospacing="0"/>
              <w:ind w:left="0" w:leftChars="0" w:right="0" w:rightChars="0"/>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甲醇、盐酸</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泄漏会</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随地表径流入外环境，污染地表水、土壤、地下水</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w:t>
            </w:r>
          </w:p>
          <w:p w14:paraId="17D385F1">
            <w:pPr>
              <w:pageBreakBefore w:val="0"/>
              <w:kinsoku/>
              <w:wordWrap/>
              <w:bidi w:val="0"/>
              <w:spacing w:beforeAutospacing="0" w:afterAutospacing="0"/>
              <w:ind w:left="0" w:leftChars="0" w:right="0" w:rightChars="0"/>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盐酸一旦发生泄漏事故，设备停止工作，查找出泄漏源</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将泄漏的盐酸在围堰内进行收容</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导入厂区现有事故池中</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地面用沙土或吸油棉吸附</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运至废物处理场所处置。</w:t>
            </w:r>
          </w:p>
        </w:tc>
      </w:tr>
      <w:tr w14:paraId="1565269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730" w:hRule="atLeast"/>
          <w:jc w:val="center"/>
        </w:trPr>
        <w:tc>
          <w:tcPr>
            <w:tcW w:w="917" w:type="pct"/>
            <w:tcBorders>
              <w:tl2br w:val="nil"/>
              <w:tr2bl w:val="nil"/>
            </w:tcBorders>
            <w:noWrap w:val="0"/>
            <w:vAlign w:val="center"/>
          </w:tcPr>
          <w:p w14:paraId="56DC6A1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风险防范措施要求</w:t>
            </w:r>
          </w:p>
        </w:tc>
        <w:tc>
          <w:tcPr>
            <w:tcW w:w="4082" w:type="pct"/>
            <w:gridSpan w:val="4"/>
            <w:tcBorders>
              <w:tl2br w:val="nil"/>
              <w:tr2bl w:val="nil"/>
            </w:tcBorders>
            <w:noWrap w:val="0"/>
            <w:vAlign w:val="top"/>
          </w:tcPr>
          <w:p w14:paraId="0DC5FA49">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1、储存区域地面硬化、</w:t>
            </w: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重点</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防渗</w:t>
            </w:r>
          </w:p>
          <w:p w14:paraId="6094CDEF">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2、加强巡检，及时发现风险隐患</w:t>
            </w:r>
          </w:p>
          <w:p w14:paraId="7AD06D88">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3、制定环境风险应急预案并定期组织演练</w:t>
            </w:r>
          </w:p>
        </w:tc>
      </w:tr>
      <w:tr w14:paraId="27BE039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49" w:hRule="atLeast"/>
          <w:jc w:val="center"/>
        </w:trPr>
        <w:tc>
          <w:tcPr>
            <w:tcW w:w="5000" w:type="pct"/>
            <w:gridSpan w:val="5"/>
            <w:tcBorders>
              <w:tl2br w:val="nil"/>
              <w:tr2bl w:val="nil"/>
            </w:tcBorders>
            <w:noWrap w:val="0"/>
            <w:vAlign w:val="top"/>
          </w:tcPr>
          <w:p w14:paraId="6D003FC1">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填表说明（列出项目相关信息及评价说明）</w:t>
            </w:r>
          </w:p>
          <w:p w14:paraId="4DE1BD3E">
            <w:pPr>
              <w:pageBreakBefore w:val="0"/>
              <w:kinsoku/>
              <w:wordWrap/>
              <w:bidi w:val="0"/>
              <w:spacing w:beforeAutospacing="0" w:afterAutospacing="0"/>
              <w:ind w:left="0" w:leftChars="0" w:right="0" w:rightChars="0" w:firstLine="420" w:firstLineChars="200"/>
              <w:rPr>
                <w:rFonts w:hint="default" w:ascii="Times New Roman" w:hAnsi="Times New Roman" w:cs="Times New Roman"/>
                <w:color w:val="000000" w:themeColor="text1"/>
                <w:spacing w:val="0"/>
                <w:position w:val="0"/>
                <w:sz w:val="24"/>
                <w:szCs w:val="20"/>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根据项目涉及的危险物质及临界量计算，本项目为简单分析。</w:t>
            </w:r>
          </w:p>
        </w:tc>
      </w:tr>
    </w:tbl>
    <w:p w14:paraId="21DC9B15">
      <w:pPr>
        <w:pStyle w:val="53"/>
        <w:bidi w:val="0"/>
        <w:ind w:left="0" w:leftChars="0" w:firstLine="0" w:firstLineChars="0"/>
        <w:rPr>
          <w:rFonts w:hint="default"/>
          <w:color w:val="000000" w:themeColor="text1"/>
          <w:highlight w:val="none"/>
          <w14:textFill>
            <w14:solidFill>
              <w14:schemeClr w14:val="tx1"/>
            </w14:solidFill>
          </w14:textFill>
        </w:rPr>
      </w:pPr>
    </w:p>
    <w:sectPr>
      <w:pgSz w:w="11906" w:h="16838"/>
      <w:pgMar w:top="1440" w:right="1797" w:bottom="1440" w:left="1797"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C9A93">
    <w:pPr>
      <w:tabs>
        <w:tab w:val="center" w:pos="4153"/>
        <w:tab w:val="right" w:pos="8306"/>
      </w:tabs>
      <w:jc w:val="center"/>
    </w:pPr>
  </w:p>
  <w:p w14:paraId="09E33700">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731395"/>
      <w:docPartObj>
        <w:docPartGallery w:val="autotext"/>
      </w:docPartObj>
    </w:sdtPr>
    <w:sdtContent>
      <w:p w14:paraId="75B1D903">
        <w:pPr>
          <w:tabs>
            <w:tab w:val="center" w:pos="4153"/>
            <w:tab w:val="right" w:pos="8306"/>
          </w:tabs>
          <w:jc w:val="center"/>
        </w:pPr>
        <w:r>
          <w:fldChar w:fldCharType="begin"/>
        </w:r>
        <w:r>
          <w:instrText xml:space="preserve">PAGE   \* MERGEFORMAT</w:instrText>
        </w:r>
        <w:r>
          <w:fldChar w:fldCharType="separate"/>
        </w:r>
        <w:r>
          <w:rPr>
            <w:lang w:val="zh-CN"/>
          </w:rPr>
          <w:t>16</w:t>
        </w:r>
        <w:r>
          <w:fldChar w:fldCharType="end"/>
        </w:r>
      </w:p>
    </w:sdtContent>
  </w:sdt>
  <w:p w14:paraId="71A08BE6">
    <w:pPr>
      <w:tabs>
        <w:tab w:val="center" w:pos="4153"/>
        <w:tab w:val="right" w:pos="8306"/>
      </w:tabs>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6152C"/>
    <w:multiLevelType w:val="singleLevel"/>
    <w:tmpl w:val="9CE6152C"/>
    <w:lvl w:ilvl="0" w:tentative="0">
      <w:start w:val="1"/>
      <w:numFmt w:val="decimal"/>
      <w:suff w:val="nothing"/>
      <w:lvlText w:val="%1、"/>
      <w:lvlJc w:val="left"/>
    </w:lvl>
  </w:abstractNum>
  <w:abstractNum w:abstractNumId="1">
    <w:nsid w:val="C320A767"/>
    <w:multiLevelType w:val="singleLevel"/>
    <w:tmpl w:val="C320A767"/>
    <w:lvl w:ilvl="0" w:tentative="0">
      <w:start w:val="2"/>
      <w:numFmt w:val="decimal"/>
      <w:lvlText w:val="%1."/>
      <w:lvlJc w:val="left"/>
      <w:pPr>
        <w:tabs>
          <w:tab w:val="left" w:pos="312"/>
        </w:tabs>
      </w:pPr>
    </w:lvl>
  </w:abstractNum>
  <w:abstractNum w:abstractNumId="2">
    <w:nsid w:val="FB529795"/>
    <w:multiLevelType w:val="singleLevel"/>
    <w:tmpl w:val="FB529795"/>
    <w:lvl w:ilvl="0" w:tentative="0">
      <w:start w:val="1"/>
      <w:numFmt w:val="decimal"/>
      <w:suff w:val="nothing"/>
      <w:lvlText w:val="%1"/>
      <w:lvlJc w:val="left"/>
      <w:pPr>
        <w:ind w:left="0" w:firstLine="0"/>
      </w:pPr>
      <w:rPr>
        <w:rFonts w:hint="default"/>
      </w:rPr>
    </w:lvl>
  </w:abstractNum>
  <w:abstractNum w:abstractNumId="3">
    <w:nsid w:val="51F31045"/>
    <w:multiLevelType w:val="singleLevel"/>
    <w:tmpl w:val="51F31045"/>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4">
    <w:nsid w:val="76DE6A6B"/>
    <w:multiLevelType w:val="multilevel"/>
    <w:tmpl w:val="76DE6A6B"/>
    <w:lvl w:ilvl="0" w:tentative="0">
      <w:start w:val="1"/>
      <w:numFmt w:val="chineseCountingThousand"/>
      <w:pStyle w:val="2"/>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attachedTemplate r:id="rId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A5E79"/>
    <w:rsid w:val="000E1C27"/>
    <w:rsid w:val="00133F62"/>
    <w:rsid w:val="001B0D40"/>
    <w:rsid w:val="001E7387"/>
    <w:rsid w:val="002454E5"/>
    <w:rsid w:val="0028012B"/>
    <w:rsid w:val="00296837"/>
    <w:rsid w:val="002A0219"/>
    <w:rsid w:val="002A41CB"/>
    <w:rsid w:val="002D4EB8"/>
    <w:rsid w:val="003159EE"/>
    <w:rsid w:val="003B0456"/>
    <w:rsid w:val="00431B4E"/>
    <w:rsid w:val="004E5C75"/>
    <w:rsid w:val="00620F0D"/>
    <w:rsid w:val="00621C19"/>
    <w:rsid w:val="007D7561"/>
    <w:rsid w:val="00844285"/>
    <w:rsid w:val="00881DB4"/>
    <w:rsid w:val="0092256C"/>
    <w:rsid w:val="00952275"/>
    <w:rsid w:val="00961213"/>
    <w:rsid w:val="00986201"/>
    <w:rsid w:val="009C1579"/>
    <w:rsid w:val="009C4767"/>
    <w:rsid w:val="009D7FB0"/>
    <w:rsid w:val="00AB08DB"/>
    <w:rsid w:val="00AB60E3"/>
    <w:rsid w:val="00AB7818"/>
    <w:rsid w:val="00B36E75"/>
    <w:rsid w:val="00B92D53"/>
    <w:rsid w:val="00BD4EC6"/>
    <w:rsid w:val="00BE7EAE"/>
    <w:rsid w:val="00C43716"/>
    <w:rsid w:val="00C56030"/>
    <w:rsid w:val="00CE206B"/>
    <w:rsid w:val="00D42CB3"/>
    <w:rsid w:val="00DE26D1"/>
    <w:rsid w:val="00E14A21"/>
    <w:rsid w:val="00E65F8E"/>
    <w:rsid w:val="00E669D1"/>
    <w:rsid w:val="00EE025F"/>
    <w:rsid w:val="00F10618"/>
    <w:rsid w:val="00F3090C"/>
    <w:rsid w:val="00FC3BA9"/>
    <w:rsid w:val="01011432"/>
    <w:rsid w:val="0140055C"/>
    <w:rsid w:val="01631D7E"/>
    <w:rsid w:val="017E6F26"/>
    <w:rsid w:val="018A438A"/>
    <w:rsid w:val="01C355E4"/>
    <w:rsid w:val="01D90CF6"/>
    <w:rsid w:val="01DA5D05"/>
    <w:rsid w:val="01FF1E15"/>
    <w:rsid w:val="02072A78"/>
    <w:rsid w:val="02575D84"/>
    <w:rsid w:val="02580E86"/>
    <w:rsid w:val="026C4FD1"/>
    <w:rsid w:val="029E2280"/>
    <w:rsid w:val="02BE601F"/>
    <w:rsid w:val="02DC35C3"/>
    <w:rsid w:val="02E01785"/>
    <w:rsid w:val="02ED1C6E"/>
    <w:rsid w:val="02F474A0"/>
    <w:rsid w:val="032C768B"/>
    <w:rsid w:val="03360E99"/>
    <w:rsid w:val="034026E5"/>
    <w:rsid w:val="03634626"/>
    <w:rsid w:val="036872F9"/>
    <w:rsid w:val="037759DB"/>
    <w:rsid w:val="03D2609A"/>
    <w:rsid w:val="03D8229E"/>
    <w:rsid w:val="03E312C3"/>
    <w:rsid w:val="03E52874"/>
    <w:rsid w:val="03EF245D"/>
    <w:rsid w:val="040B7160"/>
    <w:rsid w:val="043D3538"/>
    <w:rsid w:val="04476373"/>
    <w:rsid w:val="044B1E3D"/>
    <w:rsid w:val="04632EF6"/>
    <w:rsid w:val="046D64AA"/>
    <w:rsid w:val="0479199C"/>
    <w:rsid w:val="04814D63"/>
    <w:rsid w:val="048E122E"/>
    <w:rsid w:val="04A44EF6"/>
    <w:rsid w:val="04B635B2"/>
    <w:rsid w:val="05090331"/>
    <w:rsid w:val="0513367A"/>
    <w:rsid w:val="051A66B8"/>
    <w:rsid w:val="052676B9"/>
    <w:rsid w:val="052838D4"/>
    <w:rsid w:val="052D0A47"/>
    <w:rsid w:val="053C0C8A"/>
    <w:rsid w:val="055B5464"/>
    <w:rsid w:val="05673D4C"/>
    <w:rsid w:val="059211F2"/>
    <w:rsid w:val="05A01219"/>
    <w:rsid w:val="05C014ED"/>
    <w:rsid w:val="05CA41C2"/>
    <w:rsid w:val="0614305B"/>
    <w:rsid w:val="06394EBA"/>
    <w:rsid w:val="0680729D"/>
    <w:rsid w:val="06B548A9"/>
    <w:rsid w:val="06C158EB"/>
    <w:rsid w:val="06C325F8"/>
    <w:rsid w:val="06E11310"/>
    <w:rsid w:val="06F86E37"/>
    <w:rsid w:val="07292EE8"/>
    <w:rsid w:val="073A32D4"/>
    <w:rsid w:val="074342C5"/>
    <w:rsid w:val="07CD6C29"/>
    <w:rsid w:val="07D717D0"/>
    <w:rsid w:val="08640C24"/>
    <w:rsid w:val="087150EF"/>
    <w:rsid w:val="08752E31"/>
    <w:rsid w:val="088C1F29"/>
    <w:rsid w:val="089D4FBF"/>
    <w:rsid w:val="08B64B4E"/>
    <w:rsid w:val="08BF476F"/>
    <w:rsid w:val="08CC6344"/>
    <w:rsid w:val="091268D2"/>
    <w:rsid w:val="091D4B74"/>
    <w:rsid w:val="09335B3D"/>
    <w:rsid w:val="09457322"/>
    <w:rsid w:val="098409F5"/>
    <w:rsid w:val="09BA6248"/>
    <w:rsid w:val="09DF0161"/>
    <w:rsid w:val="09E3201C"/>
    <w:rsid w:val="0A261F09"/>
    <w:rsid w:val="0A3463D4"/>
    <w:rsid w:val="0A394083"/>
    <w:rsid w:val="0A573D61"/>
    <w:rsid w:val="0A6840D8"/>
    <w:rsid w:val="0A755519"/>
    <w:rsid w:val="0A8D3D36"/>
    <w:rsid w:val="0A960E3D"/>
    <w:rsid w:val="0A9B28F7"/>
    <w:rsid w:val="0A9C563A"/>
    <w:rsid w:val="0AAA61B7"/>
    <w:rsid w:val="0AEA5E08"/>
    <w:rsid w:val="0AF420EB"/>
    <w:rsid w:val="0B071D3B"/>
    <w:rsid w:val="0B196157"/>
    <w:rsid w:val="0B1D330C"/>
    <w:rsid w:val="0B436330"/>
    <w:rsid w:val="0B48618A"/>
    <w:rsid w:val="0B952F4D"/>
    <w:rsid w:val="0BAA5D2C"/>
    <w:rsid w:val="0BBF6171"/>
    <w:rsid w:val="0BC814CA"/>
    <w:rsid w:val="0BCD2B29"/>
    <w:rsid w:val="0C1B4E00"/>
    <w:rsid w:val="0C366FE6"/>
    <w:rsid w:val="0C6E79A1"/>
    <w:rsid w:val="0C865222"/>
    <w:rsid w:val="0C8A2DCF"/>
    <w:rsid w:val="0C9667DB"/>
    <w:rsid w:val="0CC3104A"/>
    <w:rsid w:val="0CC779D3"/>
    <w:rsid w:val="0CCE0AC2"/>
    <w:rsid w:val="0CE53101"/>
    <w:rsid w:val="0CEC0B59"/>
    <w:rsid w:val="0CF46A52"/>
    <w:rsid w:val="0D181FDD"/>
    <w:rsid w:val="0D490AEC"/>
    <w:rsid w:val="0D974725"/>
    <w:rsid w:val="0DFA594D"/>
    <w:rsid w:val="0E123507"/>
    <w:rsid w:val="0E1A0641"/>
    <w:rsid w:val="0E9C1C2E"/>
    <w:rsid w:val="0EFE06DF"/>
    <w:rsid w:val="0F032819"/>
    <w:rsid w:val="0F42031C"/>
    <w:rsid w:val="0F474DFC"/>
    <w:rsid w:val="0F694F51"/>
    <w:rsid w:val="0FC147F0"/>
    <w:rsid w:val="0FD57F70"/>
    <w:rsid w:val="0FF90DFF"/>
    <w:rsid w:val="100A0C1D"/>
    <w:rsid w:val="102C4695"/>
    <w:rsid w:val="103A04BC"/>
    <w:rsid w:val="1041196E"/>
    <w:rsid w:val="107E2A9F"/>
    <w:rsid w:val="10A73DA4"/>
    <w:rsid w:val="10EC1A90"/>
    <w:rsid w:val="11040DF0"/>
    <w:rsid w:val="11164A85"/>
    <w:rsid w:val="115F09C0"/>
    <w:rsid w:val="11743D41"/>
    <w:rsid w:val="118063A3"/>
    <w:rsid w:val="11BC6D77"/>
    <w:rsid w:val="11C97D4A"/>
    <w:rsid w:val="11E10041"/>
    <w:rsid w:val="11E9219A"/>
    <w:rsid w:val="11FE4C22"/>
    <w:rsid w:val="12097BB6"/>
    <w:rsid w:val="122146FC"/>
    <w:rsid w:val="12267AD6"/>
    <w:rsid w:val="12A06ACB"/>
    <w:rsid w:val="12F11306"/>
    <w:rsid w:val="131E5E73"/>
    <w:rsid w:val="13265C92"/>
    <w:rsid w:val="132C67E2"/>
    <w:rsid w:val="13963C5C"/>
    <w:rsid w:val="139F5206"/>
    <w:rsid w:val="13AB531F"/>
    <w:rsid w:val="13E10270"/>
    <w:rsid w:val="14223741"/>
    <w:rsid w:val="142964A4"/>
    <w:rsid w:val="14373691"/>
    <w:rsid w:val="143A4F2F"/>
    <w:rsid w:val="147072F3"/>
    <w:rsid w:val="149B7C36"/>
    <w:rsid w:val="14A174E0"/>
    <w:rsid w:val="14BE790E"/>
    <w:rsid w:val="14D52BFB"/>
    <w:rsid w:val="14E86739"/>
    <w:rsid w:val="14FA2A78"/>
    <w:rsid w:val="150A66AF"/>
    <w:rsid w:val="153217F9"/>
    <w:rsid w:val="1534372C"/>
    <w:rsid w:val="154300FC"/>
    <w:rsid w:val="15712BD2"/>
    <w:rsid w:val="158A3C94"/>
    <w:rsid w:val="15924BCE"/>
    <w:rsid w:val="15974323"/>
    <w:rsid w:val="159D08EE"/>
    <w:rsid w:val="15A34886"/>
    <w:rsid w:val="15A80E34"/>
    <w:rsid w:val="15D45252"/>
    <w:rsid w:val="15F07F49"/>
    <w:rsid w:val="15F32D11"/>
    <w:rsid w:val="161661B2"/>
    <w:rsid w:val="16223ECC"/>
    <w:rsid w:val="16640041"/>
    <w:rsid w:val="166C70F7"/>
    <w:rsid w:val="1684273A"/>
    <w:rsid w:val="1695644C"/>
    <w:rsid w:val="16970417"/>
    <w:rsid w:val="16BC0089"/>
    <w:rsid w:val="16C864B5"/>
    <w:rsid w:val="16D06A17"/>
    <w:rsid w:val="16F01CA5"/>
    <w:rsid w:val="16F95742"/>
    <w:rsid w:val="17013AE2"/>
    <w:rsid w:val="1703505F"/>
    <w:rsid w:val="171932A6"/>
    <w:rsid w:val="17343EB7"/>
    <w:rsid w:val="17347687"/>
    <w:rsid w:val="174F33F3"/>
    <w:rsid w:val="17567A01"/>
    <w:rsid w:val="17A80401"/>
    <w:rsid w:val="17B46DA6"/>
    <w:rsid w:val="17BD613E"/>
    <w:rsid w:val="17C915C0"/>
    <w:rsid w:val="17E36793"/>
    <w:rsid w:val="18057307"/>
    <w:rsid w:val="181635BD"/>
    <w:rsid w:val="184C1962"/>
    <w:rsid w:val="188B7400"/>
    <w:rsid w:val="18DC0363"/>
    <w:rsid w:val="18E66D77"/>
    <w:rsid w:val="19185113"/>
    <w:rsid w:val="19392D03"/>
    <w:rsid w:val="194B6140"/>
    <w:rsid w:val="195775C3"/>
    <w:rsid w:val="19C9435C"/>
    <w:rsid w:val="19CB09C2"/>
    <w:rsid w:val="19D00A95"/>
    <w:rsid w:val="19F70C35"/>
    <w:rsid w:val="1A0147EF"/>
    <w:rsid w:val="1A352420"/>
    <w:rsid w:val="1A355B24"/>
    <w:rsid w:val="1A357F21"/>
    <w:rsid w:val="1A424B3D"/>
    <w:rsid w:val="1A497C7A"/>
    <w:rsid w:val="1A690D1A"/>
    <w:rsid w:val="1A8C1D63"/>
    <w:rsid w:val="1AAD051A"/>
    <w:rsid w:val="1AAD6DAE"/>
    <w:rsid w:val="1B0042C8"/>
    <w:rsid w:val="1B304996"/>
    <w:rsid w:val="1B326960"/>
    <w:rsid w:val="1B50328A"/>
    <w:rsid w:val="1B9227DD"/>
    <w:rsid w:val="1BE31C4E"/>
    <w:rsid w:val="1BF9712D"/>
    <w:rsid w:val="1C30132D"/>
    <w:rsid w:val="1C35527A"/>
    <w:rsid w:val="1CA16F60"/>
    <w:rsid w:val="1CAA10FA"/>
    <w:rsid w:val="1CB31B41"/>
    <w:rsid w:val="1CEB5018"/>
    <w:rsid w:val="1CF354CB"/>
    <w:rsid w:val="1D0C4EF2"/>
    <w:rsid w:val="1D157BF1"/>
    <w:rsid w:val="1D1D116C"/>
    <w:rsid w:val="1D426051"/>
    <w:rsid w:val="1D453E6B"/>
    <w:rsid w:val="1D570202"/>
    <w:rsid w:val="1D7A5A02"/>
    <w:rsid w:val="1DDA0FFE"/>
    <w:rsid w:val="1DDB32DF"/>
    <w:rsid w:val="1E01086B"/>
    <w:rsid w:val="1E8474D2"/>
    <w:rsid w:val="1EA30F1D"/>
    <w:rsid w:val="1EA4118E"/>
    <w:rsid w:val="1EDA76D3"/>
    <w:rsid w:val="1EE64EE4"/>
    <w:rsid w:val="1F2A3348"/>
    <w:rsid w:val="1F2B3DF2"/>
    <w:rsid w:val="1F491A72"/>
    <w:rsid w:val="1F6410B2"/>
    <w:rsid w:val="1F6A2B6C"/>
    <w:rsid w:val="1F78690B"/>
    <w:rsid w:val="1F963122"/>
    <w:rsid w:val="1FB30D56"/>
    <w:rsid w:val="1FC55DBE"/>
    <w:rsid w:val="1FE741BD"/>
    <w:rsid w:val="1FFC0023"/>
    <w:rsid w:val="20147E9A"/>
    <w:rsid w:val="201E15E0"/>
    <w:rsid w:val="20340D69"/>
    <w:rsid w:val="20517888"/>
    <w:rsid w:val="205F4DDA"/>
    <w:rsid w:val="20662853"/>
    <w:rsid w:val="208274D2"/>
    <w:rsid w:val="20B14DB0"/>
    <w:rsid w:val="20C242E2"/>
    <w:rsid w:val="20E26732"/>
    <w:rsid w:val="20EE0DC1"/>
    <w:rsid w:val="211A2370"/>
    <w:rsid w:val="211B0277"/>
    <w:rsid w:val="213C1386"/>
    <w:rsid w:val="2149055F"/>
    <w:rsid w:val="2152696C"/>
    <w:rsid w:val="215A39BD"/>
    <w:rsid w:val="215B5F02"/>
    <w:rsid w:val="21620C7A"/>
    <w:rsid w:val="21696E53"/>
    <w:rsid w:val="217B5802"/>
    <w:rsid w:val="21CC0ADA"/>
    <w:rsid w:val="21D16685"/>
    <w:rsid w:val="21F11323"/>
    <w:rsid w:val="2222573B"/>
    <w:rsid w:val="222D5B93"/>
    <w:rsid w:val="2234120F"/>
    <w:rsid w:val="2241085F"/>
    <w:rsid w:val="22767BA9"/>
    <w:rsid w:val="227B2452"/>
    <w:rsid w:val="22E744D4"/>
    <w:rsid w:val="232F7643"/>
    <w:rsid w:val="23426D25"/>
    <w:rsid w:val="23492A98"/>
    <w:rsid w:val="234C59ED"/>
    <w:rsid w:val="236D2C2B"/>
    <w:rsid w:val="23C14D25"/>
    <w:rsid w:val="23C77B67"/>
    <w:rsid w:val="23C86911"/>
    <w:rsid w:val="23F62CC9"/>
    <w:rsid w:val="23FA4699"/>
    <w:rsid w:val="24651B54"/>
    <w:rsid w:val="248D7C07"/>
    <w:rsid w:val="24961D0D"/>
    <w:rsid w:val="24A7216D"/>
    <w:rsid w:val="24B2466D"/>
    <w:rsid w:val="24D942F0"/>
    <w:rsid w:val="24FB028B"/>
    <w:rsid w:val="25461985"/>
    <w:rsid w:val="254B70B5"/>
    <w:rsid w:val="25552184"/>
    <w:rsid w:val="255D295A"/>
    <w:rsid w:val="258724D7"/>
    <w:rsid w:val="25CB1E8B"/>
    <w:rsid w:val="25F62593"/>
    <w:rsid w:val="26055E85"/>
    <w:rsid w:val="26393298"/>
    <w:rsid w:val="26492DAF"/>
    <w:rsid w:val="26AA20ED"/>
    <w:rsid w:val="26B35DCE"/>
    <w:rsid w:val="26E57ABA"/>
    <w:rsid w:val="27063343"/>
    <w:rsid w:val="272E1268"/>
    <w:rsid w:val="2735397F"/>
    <w:rsid w:val="27383550"/>
    <w:rsid w:val="274E1742"/>
    <w:rsid w:val="27827536"/>
    <w:rsid w:val="279A7D67"/>
    <w:rsid w:val="279E3717"/>
    <w:rsid w:val="27C50CF8"/>
    <w:rsid w:val="28177609"/>
    <w:rsid w:val="28286082"/>
    <w:rsid w:val="284906E3"/>
    <w:rsid w:val="289A3930"/>
    <w:rsid w:val="28C60397"/>
    <w:rsid w:val="28D948BF"/>
    <w:rsid w:val="28ED6CB4"/>
    <w:rsid w:val="29224076"/>
    <w:rsid w:val="293568D2"/>
    <w:rsid w:val="298A5BB9"/>
    <w:rsid w:val="298F7798"/>
    <w:rsid w:val="29A72BFB"/>
    <w:rsid w:val="29B80978"/>
    <w:rsid w:val="29C54E43"/>
    <w:rsid w:val="29C966E1"/>
    <w:rsid w:val="29CA4207"/>
    <w:rsid w:val="29DF4157"/>
    <w:rsid w:val="29E51041"/>
    <w:rsid w:val="29F83587"/>
    <w:rsid w:val="2A067935"/>
    <w:rsid w:val="2A1534FC"/>
    <w:rsid w:val="2A286550"/>
    <w:rsid w:val="2A2953D2"/>
    <w:rsid w:val="2A462F2E"/>
    <w:rsid w:val="2A756869"/>
    <w:rsid w:val="2A77466A"/>
    <w:rsid w:val="2A77613D"/>
    <w:rsid w:val="2B275DB5"/>
    <w:rsid w:val="2B2F6A18"/>
    <w:rsid w:val="2B476B6C"/>
    <w:rsid w:val="2B5041D5"/>
    <w:rsid w:val="2B5116C7"/>
    <w:rsid w:val="2B577D1D"/>
    <w:rsid w:val="2B593A95"/>
    <w:rsid w:val="2B5A4370"/>
    <w:rsid w:val="2BAA5CC3"/>
    <w:rsid w:val="2BBD4024"/>
    <w:rsid w:val="2BBD5138"/>
    <w:rsid w:val="2BD15F85"/>
    <w:rsid w:val="2BF17A3E"/>
    <w:rsid w:val="2C185904"/>
    <w:rsid w:val="2C4E7372"/>
    <w:rsid w:val="2C5A5D16"/>
    <w:rsid w:val="2C5B55EB"/>
    <w:rsid w:val="2C79468E"/>
    <w:rsid w:val="2C7A06EF"/>
    <w:rsid w:val="2CB96525"/>
    <w:rsid w:val="2CBA4A07"/>
    <w:rsid w:val="2D2D0BB9"/>
    <w:rsid w:val="2D2F0517"/>
    <w:rsid w:val="2D316A89"/>
    <w:rsid w:val="2D3D2B16"/>
    <w:rsid w:val="2D520C06"/>
    <w:rsid w:val="2D572256"/>
    <w:rsid w:val="2D8A1ABE"/>
    <w:rsid w:val="2D8E211C"/>
    <w:rsid w:val="2DCB4ECE"/>
    <w:rsid w:val="2E694025"/>
    <w:rsid w:val="2E7122AA"/>
    <w:rsid w:val="2E7E50A6"/>
    <w:rsid w:val="2E8C4CDD"/>
    <w:rsid w:val="2E941FEB"/>
    <w:rsid w:val="2EC74EBF"/>
    <w:rsid w:val="2EE26E5C"/>
    <w:rsid w:val="2F1403FE"/>
    <w:rsid w:val="2F3252C9"/>
    <w:rsid w:val="2F845D7A"/>
    <w:rsid w:val="2F8D2A62"/>
    <w:rsid w:val="2F91280A"/>
    <w:rsid w:val="2FA33530"/>
    <w:rsid w:val="2FBC3C44"/>
    <w:rsid w:val="2FE37DD1"/>
    <w:rsid w:val="2FF7281C"/>
    <w:rsid w:val="30197C97"/>
    <w:rsid w:val="301D32E3"/>
    <w:rsid w:val="303D5733"/>
    <w:rsid w:val="306405FB"/>
    <w:rsid w:val="3075353C"/>
    <w:rsid w:val="30763566"/>
    <w:rsid w:val="307B44AD"/>
    <w:rsid w:val="3095731D"/>
    <w:rsid w:val="30C632CA"/>
    <w:rsid w:val="30EC2FD8"/>
    <w:rsid w:val="31307046"/>
    <w:rsid w:val="31B77AF2"/>
    <w:rsid w:val="32184FD6"/>
    <w:rsid w:val="321E0D93"/>
    <w:rsid w:val="322A1CE7"/>
    <w:rsid w:val="32370516"/>
    <w:rsid w:val="324059AE"/>
    <w:rsid w:val="32730703"/>
    <w:rsid w:val="329F4EC8"/>
    <w:rsid w:val="32B529A6"/>
    <w:rsid w:val="32E71EAF"/>
    <w:rsid w:val="32F874B2"/>
    <w:rsid w:val="330D1896"/>
    <w:rsid w:val="33980EEB"/>
    <w:rsid w:val="33B2468A"/>
    <w:rsid w:val="33B912D3"/>
    <w:rsid w:val="33D450CD"/>
    <w:rsid w:val="341162D6"/>
    <w:rsid w:val="342B4481"/>
    <w:rsid w:val="34430E28"/>
    <w:rsid w:val="34473024"/>
    <w:rsid w:val="344F5D41"/>
    <w:rsid w:val="34583D23"/>
    <w:rsid w:val="34930017"/>
    <w:rsid w:val="34CA77B1"/>
    <w:rsid w:val="34CF3E05"/>
    <w:rsid w:val="34D923E8"/>
    <w:rsid w:val="35140928"/>
    <w:rsid w:val="355754E9"/>
    <w:rsid w:val="35751AF2"/>
    <w:rsid w:val="35BE4019"/>
    <w:rsid w:val="35CD57AB"/>
    <w:rsid w:val="35D54660"/>
    <w:rsid w:val="35D817EB"/>
    <w:rsid w:val="35FC0C31"/>
    <w:rsid w:val="36045B94"/>
    <w:rsid w:val="36070856"/>
    <w:rsid w:val="360D204B"/>
    <w:rsid w:val="362A0508"/>
    <w:rsid w:val="36581519"/>
    <w:rsid w:val="367C7C2A"/>
    <w:rsid w:val="367D2D2D"/>
    <w:rsid w:val="369735A6"/>
    <w:rsid w:val="36B14785"/>
    <w:rsid w:val="36B44275"/>
    <w:rsid w:val="36BD137C"/>
    <w:rsid w:val="371239CE"/>
    <w:rsid w:val="373A6E70"/>
    <w:rsid w:val="37604904"/>
    <w:rsid w:val="37612B8D"/>
    <w:rsid w:val="379105D4"/>
    <w:rsid w:val="37991DE9"/>
    <w:rsid w:val="37A20277"/>
    <w:rsid w:val="37AB5B16"/>
    <w:rsid w:val="37BD7591"/>
    <w:rsid w:val="38037B0D"/>
    <w:rsid w:val="38096E5E"/>
    <w:rsid w:val="38234165"/>
    <w:rsid w:val="38365225"/>
    <w:rsid w:val="3850213A"/>
    <w:rsid w:val="3861152F"/>
    <w:rsid w:val="38746E9D"/>
    <w:rsid w:val="38936601"/>
    <w:rsid w:val="38AC16A8"/>
    <w:rsid w:val="38DB0E56"/>
    <w:rsid w:val="38DF4F56"/>
    <w:rsid w:val="3930188D"/>
    <w:rsid w:val="3998050D"/>
    <w:rsid w:val="39985048"/>
    <w:rsid w:val="39A357DF"/>
    <w:rsid w:val="39D74CA6"/>
    <w:rsid w:val="3A1E0383"/>
    <w:rsid w:val="3A5F0551"/>
    <w:rsid w:val="3A731C28"/>
    <w:rsid w:val="3A862007"/>
    <w:rsid w:val="3A8E5188"/>
    <w:rsid w:val="3A927CDA"/>
    <w:rsid w:val="3AB71B73"/>
    <w:rsid w:val="3B1E77A1"/>
    <w:rsid w:val="3B326918"/>
    <w:rsid w:val="3B994239"/>
    <w:rsid w:val="3B9D79CE"/>
    <w:rsid w:val="3BA743A8"/>
    <w:rsid w:val="3BD42E4E"/>
    <w:rsid w:val="3BFA7034"/>
    <w:rsid w:val="3C28373B"/>
    <w:rsid w:val="3C4112BE"/>
    <w:rsid w:val="3C516CC1"/>
    <w:rsid w:val="3C7076A7"/>
    <w:rsid w:val="3C714E73"/>
    <w:rsid w:val="3C834E15"/>
    <w:rsid w:val="3CE86B77"/>
    <w:rsid w:val="3CF31B91"/>
    <w:rsid w:val="3D1E68EC"/>
    <w:rsid w:val="3D624A2B"/>
    <w:rsid w:val="3D6C74FD"/>
    <w:rsid w:val="3D736C38"/>
    <w:rsid w:val="3D746AA0"/>
    <w:rsid w:val="3DA72863"/>
    <w:rsid w:val="3DAB4624"/>
    <w:rsid w:val="3DBA593C"/>
    <w:rsid w:val="3DC21380"/>
    <w:rsid w:val="3DD35929"/>
    <w:rsid w:val="3DE62B38"/>
    <w:rsid w:val="3E1000F5"/>
    <w:rsid w:val="3E481E73"/>
    <w:rsid w:val="3E7109A3"/>
    <w:rsid w:val="3E9639BB"/>
    <w:rsid w:val="3EB858C5"/>
    <w:rsid w:val="3ECE4B58"/>
    <w:rsid w:val="3F1104B7"/>
    <w:rsid w:val="3F244D49"/>
    <w:rsid w:val="3F3E3276"/>
    <w:rsid w:val="3F6A7BC7"/>
    <w:rsid w:val="3F9A08B4"/>
    <w:rsid w:val="3FA95343"/>
    <w:rsid w:val="3FAD47FF"/>
    <w:rsid w:val="3FCE6164"/>
    <w:rsid w:val="3FE11ABA"/>
    <w:rsid w:val="3FEB114F"/>
    <w:rsid w:val="3FFE7DA2"/>
    <w:rsid w:val="401D10DD"/>
    <w:rsid w:val="40360D66"/>
    <w:rsid w:val="403F72A5"/>
    <w:rsid w:val="40414DCB"/>
    <w:rsid w:val="404623E2"/>
    <w:rsid w:val="40564282"/>
    <w:rsid w:val="406355E5"/>
    <w:rsid w:val="407A3C22"/>
    <w:rsid w:val="40906885"/>
    <w:rsid w:val="40BE01CA"/>
    <w:rsid w:val="41767F8A"/>
    <w:rsid w:val="41AD3D10"/>
    <w:rsid w:val="42075BA1"/>
    <w:rsid w:val="422229DB"/>
    <w:rsid w:val="42353577"/>
    <w:rsid w:val="43060FC9"/>
    <w:rsid w:val="432648EC"/>
    <w:rsid w:val="433B23BF"/>
    <w:rsid w:val="434160F3"/>
    <w:rsid w:val="436B1094"/>
    <w:rsid w:val="437152C3"/>
    <w:rsid w:val="43AA712C"/>
    <w:rsid w:val="43E4263E"/>
    <w:rsid w:val="43EF46D3"/>
    <w:rsid w:val="44020C0F"/>
    <w:rsid w:val="4476700E"/>
    <w:rsid w:val="448654A3"/>
    <w:rsid w:val="44BA7D9D"/>
    <w:rsid w:val="44F77771"/>
    <w:rsid w:val="4508410A"/>
    <w:rsid w:val="450B0CFF"/>
    <w:rsid w:val="453664FD"/>
    <w:rsid w:val="453A628D"/>
    <w:rsid w:val="45796DB6"/>
    <w:rsid w:val="45800D0C"/>
    <w:rsid w:val="458A0BE0"/>
    <w:rsid w:val="459F4295"/>
    <w:rsid w:val="46050649"/>
    <w:rsid w:val="462F3918"/>
    <w:rsid w:val="463A6323"/>
    <w:rsid w:val="464A34CB"/>
    <w:rsid w:val="467609A9"/>
    <w:rsid w:val="468606A0"/>
    <w:rsid w:val="46935C55"/>
    <w:rsid w:val="46AA452D"/>
    <w:rsid w:val="46B45FCF"/>
    <w:rsid w:val="46C0502D"/>
    <w:rsid w:val="46C706EC"/>
    <w:rsid w:val="46F2586F"/>
    <w:rsid w:val="46FE3A16"/>
    <w:rsid w:val="470E02B0"/>
    <w:rsid w:val="471F573B"/>
    <w:rsid w:val="472F66E6"/>
    <w:rsid w:val="474A03E9"/>
    <w:rsid w:val="474A5DE3"/>
    <w:rsid w:val="47697E69"/>
    <w:rsid w:val="479746C9"/>
    <w:rsid w:val="47A858DC"/>
    <w:rsid w:val="47C474A4"/>
    <w:rsid w:val="47ED3A8B"/>
    <w:rsid w:val="4819678A"/>
    <w:rsid w:val="48274B22"/>
    <w:rsid w:val="482804FE"/>
    <w:rsid w:val="48286871"/>
    <w:rsid w:val="482A5D6A"/>
    <w:rsid w:val="48652AD1"/>
    <w:rsid w:val="486F3910"/>
    <w:rsid w:val="4876582E"/>
    <w:rsid w:val="48822425"/>
    <w:rsid w:val="48937470"/>
    <w:rsid w:val="48B620CF"/>
    <w:rsid w:val="48D2515B"/>
    <w:rsid w:val="48E474DA"/>
    <w:rsid w:val="48F0409A"/>
    <w:rsid w:val="4929643D"/>
    <w:rsid w:val="4945688E"/>
    <w:rsid w:val="494E28B8"/>
    <w:rsid w:val="49774ED9"/>
    <w:rsid w:val="498D5580"/>
    <w:rsid w:val="49C50B51"/>
    <w:rsid w:val="49D722FD"/>
    <w:rsid w:val="49D86182"/>
    <w:rsid w:val="4A050C18"/>
    <w:rsid w:val="4A372D9B"/>
    <w:rsid w:val="4A3E237C"/>
    <w:rsid w:val="4A4C2CEB"/>
    <w:rsid w:val="4A767D68"/>
    <w:rsid w:val="4A8E3EDC"/>
    <w:rsid w:val="4A9770A2"/>
    <w:rsid w:val="4A9F07B8"/>
    <w:rsid w:val="4B4C0615"/>
    <w:rsid w:val="4B8119E9"/>
    <w:rsid w:val="4BA27168"/>
    <w:rsid w:val="4BA44460"/>
    <w:rsid w:val="4BBB3483"/>
    <w:rsid w:val="4BDB2CA3"/>
    <w:rsid w:val="4BF838F0"/>
    <w:rsid w:val="4C026B5B"/>
    <w:rsid w:val="4C25173A"/>
    <w:rsid w:val="4C2537F3"/>
    <w:rsid w:val="4C3513EA"/>
    <w:rsid w:val="4C471705"/>
    <w:rsid w:val="4C490477"/>
    <w:rsid w:val="4C5145E8"/>
    <w:rsid w:val="4C6078F0"/>
    <w:rsid w:val="4C754799"/>
    <w:rsid w:val="4C8F47D1"/>
    <w:rsid w:val="4C985BA7"/>
    <w:rsid w:val="4CA22375"/>
    <w:rsid w:val="4CE27936"/>
    <w:rsid w:val="4D1B69A4"/>
    <w:rsid w:val="4D47749F"/>
    <w:rsid w:val="4D935498"/>
    <w:rsid w:val="4DBC1F35"/>
    <w:rsid w:val="4E130248"/>
    <w:rsid w:val="4E162199"/>
    <w:rsid w:val="4E1E04FA"/>
    <w:rsid w:val="4E4168DE"/>
    <w:rsid w:val="4E437CFD"/>
    <w:rsid w:val="4E485577"/>
    <w:rsid w:val="4E503205"/>
    <w:rsid w:val="4E557C94"/>
    <w:rsid w:val="4E5E7590"/>
    <w:rsid w:val="4E802F63"/>
    <w:rsid w:val="4EDE5EDB"/>
    <w:rsid w:val="4EDF1DA5"/>
    <w:rsid w:val="4EEF633A"/>
    <w:rsid w:val="4EFD267A"/>
    <w:rsid w:val="4F44079F"/>
    <w:rsid w:val="4F4B5859"/>
    <w:rsid w:val="4F730D1A"/>
    <w:rsid w:val="4F781740"/>
    <w:rsid w:val="4F883FE5"/>
    <w:rsid w:val="4F906971"/>
    <w:rsid w:val="4FA90297"/>
    <w:rsid w:val="4FD56FF5"/>
    <w:rsid w:val="4FF04118"/>
    <w:rsid w:val="50422451"/>
    <w:rsid w:val="50553B70"/>
    <w:rsid w:val="506863A4"/>
    <w:rsid w:val="506E0DE4"/>
    <w:rsid w:val="509B0528"/>
    <w:rsid w:val="509F6DBC"/>
    <w:rsid w:val="50C23D07"/>
    <w:rsid w:val="50DF59DF"/>
    <w:rsid w:val="50E442C6"/>
    <w:rsid w:val="50E53CCE"/>
    <w:rsid w:val="50F5236D"/>
    <w:rsid w:val="50FF2A17"/>
    <w:rsid w:val="51174D9A"/>
    <w:rsid w:val="511C0B63"/>
    <w:rsid w:val="515110CE"/>
    <w:rsid w:val="51A4340C"/>
    <w:rsid w:val="51B0094E"/>
    <w:rsid w:val="51BC15A4"/>
    <w:rsid w:val="51FC1339"/>
    <w:rsid w:val="52097713"/>
    <w:rsid w:val="529211BC"/>
    <w:rsid w:val="52BB0165"/>
    <w:rsid w:val="52E553C3"/>
    <w:rsid w:val="52E67610"/>
    <w:rsid w:val="52EC2411"/>
    <w:rsid w:val="52FC2DD4"/>
    <w:rsid w:val="5322748C"/>
    <w:rsid w:val="534529CD"/>
    <w:rsid w:val="535673AF"/>
    <w:rsid w:val="535E6E9C"/>
    <w:rsid w:val="5365251D"/>
    <w:rsid w:val="536A1345"/>
    <w:rsid w:val="53982AFD"/>
    <w:rsid w:val="53B51901"/>
    <w:rsid w:val="53B611D5"/>
    <w:rsid w:val="53C453E6"/>
    <w:rsid w:val="53DE69AE"/>
    <w:rsid w:val="53ED6794"/>
    <w:rsid w:val="53F003EF"/>
    <w:rsid w:val="53F57F4F"/>
    <w:rsid w:val="54066B2B"/>
    <w:rsid w:val="54176117"/>
    <w:rsid w:val="545E2275"/>
    <w:rsid w:val="548C2213"/>
    <w:rsid w:val="548C6DB7"/>
    <w:rsid w:val="549007CE"/>
    <w:rsid w:val="5492579E"/>
    <w:rsid w:val="54AF1F8F"/>
    <w:rsid w:val="54D2203E"/>
    <w:rsid w:val="54EF499E"/>
    <w:rsid w:val="5516017D"/>
    <w:rsid w:val="551E34D6"/>
    <w:rsid w:val="55515659"/>
    <w:rsid w:val="55937A20"/>
    <w:rsid w:val="559D264C"/>
    <w:rsid w:val="55AF7EE4"/>
    <w:rsid w:val="55D00D61"/>
    <w:rsid w:val="55DB3175"/>
    <w:rsid w:val="55EF09CE"/>
    <w:rsid w:val="561E4A84"/>
    <w:rsid w:val="5674550C"/>
    <w:rsid w:val="567E3965"/>
    <w:rsid w:val="56AE2780"/>
    <w:rsid w:val="56CB4F97"/>
    <w:rsid w:val="56DA167E"/>
    <w:rsid w:val="56DC71A4"/>
    <w:rsid w:val="57220F3F"/>
    <w:rsid w:val="578C34EE"/>
    <w:rsid w:val="5794265E"/>
    <w:rsid w:val="57CB72B7"/>
    <w:rsid w:val="57E04A72"/>
    <w:rsid w:val="580544D9"/>
    <w:rsid w:val="58153462"/>
    <w:rsid w:val="581E1084"/>
    <w:rsid w:val="58BA31BA"/>
    <w:rsid w:val="58BC07AC"/>
    <w:rsid w:val="58DA5965"/>
    <w:rsid w:val="58E4186C"/>
    <w:rsid w:val="58EF2CA3"/>
    <w:rsid w:val="594223AC"/>
    <w:rsid w:val="59473AB3"/>
    <w:rsid w:val="5960163C"/>
    <w:rsid w:val="5964760B"/>
    <w:rsid w:val="596E429A"/>
    <w:rsid w:val="59764E9D"/>
    <w:rsid w:val="598A1326"/>
    <w:rsid w:val="59916433"/>
    <w:rsid w:val="59934492"/>
    <w:rsid w:val="59A6787B"/>
    <w:rsid w:val="59AC6578"/>
    <w:rsid w:val="59B30532"/>
    <w:rsid w:val="59C5577F"/>
    <w:rsid w:val="59C7413C"/>
    <w:rsid w:val="59CE248B"/>
    <w:rsid w:val="59DF7CE5"/>
    <w:rsid w:val="59F12432"/>
    <w:rsid w:val="59F4111D"/>
    <w:rsid w:val="59F92A02"/>
    <w:rsid w:val="5A0C5FF2"/>
    <w:rsid w:val="5A376192"/>
    <w:rsid w:val="5A46531B"/>
    <w:rsid w:val="5A7150CC"/>
    <w:rsid w:val="5ACB37B8"/>
    <w:rsid w:val="5B046CCA"/>
    <w:rsid w:val="5B2429FF"/>
    <w:rsid w:val="5B73639C"/>
    <w:rsid w:val="5B750EEC"/>
    <w:rsid w:val="5B8449DB"/>
    <w:rsid w:val="5B8E2802"/>
    <w:rsid w:val="5B904A5E"/>
    <w:rsid w:val="5C900568"/>
    <w:rsid w:val="5CA266EF"/>
    <w:rsid w:val="5CA70254"/>
    <w:rsid w:val="5CC1745B"/>
    <w:rsid w:val="5CCB30D5"/>
    <w:rsid w:val="5CCC3817"/>
    <w:rsid w:val="5CCE4B89"/>
    <w:rsid w:val="5CDA4186"/>
    <w:rsid w:val="5CF959A1"/>
    <w:rsid w:val="5D086F17"/>
    <w:rsid w:val="5D213B63"/>
    <w:rsid w:val="5D4E6CF7"/>
    <w:rsid w:val="5D5E0891"/>
    <w:rsid w:val="5D7B016D"/>
    <w:rsid w:val="5DB205B8"/>
    <w:rsid w:val="5DB42C29"/>
    <w:rsid w:val="5DE03A1E"/>
    <w:rsid w:val="5DFB2606"/>
    <w:rsid w:val="5E251431"/>
    <w:rsid w:val="5E714676"/>
    <w:rsid w:val="5E806200"/>
    <w:rsid w:val="5E8C325E"/>
    <w:rsid w:val="5E916AC6"/>
    <w:rsid w:val="5E9D2047"/>
    <w:rsid w:val="5ECA2341"/>
    <w:rsid w:val="5EF84E16"/>
    <w:rsid w:val="5F0502CD"/>
    <w:rsid w:val="5F1C6CD8"/>
    <w:rsid w:val="5F6465CB"/>
    <w:rsid w:val="5FBE7D8F"/>
    <w:rsid w:val="5FCF49FC"/>
    <w:rsid w:val="5FD37B60"/>
    <w:rsid w:val="5FD84819"/>
    <w:rsid w:val="5FEF7D0E"/>
    <w:rsid w:val="5FFC2665"/>
    <w:rsid w:val="601E0539"/>
    <w:rsid w:val="606B7E4D"/>
    <w:rsid w:val="608765C0"/>
    <w:rsid w:val="609A3271"/>
    <w:rsid w:val="60B03A0A"/>
    <w:rsid w:val="60C137DC"/>
    <w:rsid w:val="60D333C6"/>
    <w:rsid w:val="60D3786A"/>
    <w:rsid w:val="60D41122"/>
    <w:rsid w:val="60DD3A26"/>
    <w:rsid w:val="61173BB4"/>
    <w:rsid w:val="611A2DA3"/>
    <w:rsid w:val="611F6124"/>
    <w:rsid w:val="61461DEA"/>
    <w:rsid w:val="6175085B"/>
    <w:rsid w:val="61873299"/>
    <w:rsid w:val="61951CA9"/>
    <w:rsid w:val="61B825BC"/>
    <w:rsid w:val="61BE5E24"/>
    <w:rsid w:val="61C53F19"/>
    <w:rsid w:val="61C627B7"/>
    <w:rsid w:val="61DA61FE"/>
    <w:rsid w:val="61DE5B70"/>
    <w:rsid w:val="61E83FFB"/>
    <w:rsid w:val="61E87AE1"/>
    <w:rsid w:val="62550633"/>
    <w:rsid w:val="62751DB1"/>
    <w:rsid w:val="627C425C"/>
    <w:rsid w:val="627F4AAE"/>
    <w:rsid w:val="62A665BE"/>
    <w:rsid w:val="62FB05C2"/>
    <w:rsid w:val="630E6937"/>
    <w:rsid w:val="63671255"/>
    <w:rsid w:val="6383324E"/>
    <w:rsid w:val="639B1D7D"/>
    <w:rsid w:val="63C064A8"/>
    <w:rsid w:val="63E87E26"/>
    <w:rsid w:val="641B57B0"/>
    <w:rsid w:val="641C7510"/>
    <w:rsid w:val="64337176"/>
    <w:rsid w:val="644E4C07"/>
    <w:rsid w:val="64567A00"/>
    <w:rsid w:val="64C25C2B"/>
    <w:rsid w:val="64C44CF7"/>
    <w:rsid w:val="651D7AAE"/>
    <w:rsid w:val="652E1513"/>
    <w:rsid w:val="6555270D"/>
    <w:rsid w:val="657F444F"/>
    <w:rsid w:val="65920AB6"/>
    <w:rsid w:val="6595524D"/>
    <w:rsid w:val="659D3FA3"/>
    <w:rsid w:val="65A65DFB"/>
    <w:rsid w:val="65B30982"/>
    <w:rsid w:val="65D835FE"/>
    <w:rsid w:val="65DB3094"/>
    <w:rsid w:val="65DC4ACB"/>
    <w:rsid w:val="65E75AA3"/>
    <w:rsid w:val="65E971E8"/>
    <w:rsid w:val="65EA5E79"/>
    <w:rsid w:val="663445AB"/>
    <w:rsid w:val="66895F29"/>
    <w:rsid w:val="67191E9B"/>
    <w:rsid w:val="673E5311"/>
    <w:rsid w:val="67424FCE"/>
    <w:rsid w:val="6744501E"/>
    <w:rsid w:val="675843DE"/>
    <w:rsid w:val="67713AF5"/>
    <w:rsid w:val="677F388C"/>
    <w:rsid w:val="678D3CA3"/>
    <w:rsid w:val="67EB3CE9"/>
    <w:rsid w:val="68020D5A"/>
    <w:rsid w:val="680C52AA"/>
    <w:rsid w:val="6826338F"/>
    <w:rsid w:val="6864524C"/>
    <w:rsid w:val="687335AB"/>
    <w:rsid w:val="68840612"/>
    <w:rsid w:val="688E4077"/>
    <w:rsid w:val="68B67474"/>
    <w:rsid w:val="68FC5484"/>
    <w:rsid w:val="690C1B6B"/>
    <w:rsid w:val="6958730A"/>
    <w:rsid w:val="69636FB7"/>
    <w:rsid w:val="69716745"/>
    <w:rsid w:val="699E39E3"/>
    <w:rsid w:val="69A17E26"/>
    <w:rsid w:val="69A2427D"/>
    <w:rsid w:val="69C73CE4"/>
    <w:rsid w:val="69F0323B"/>
    <w:rsid w:val="69F43947"/>
    <w:rsid w:val="6A262A51"/>
    <w:rsid w:val="6A2C26D0"/>
    <w:rsid w:val="6A5466D7"/>
    <w:rsid w:val="6A60340B"/>
    <w:rsid w:val="6A72604B"/>
    <w:rsid w:val="6A75729C"/>
    <w:rsid w:val="6A8F4802"/>
    <w:rsid w:val="6AB46016"/>
    <w:rsid w:val="6ABC311D"/>
    <w:rsid w:val="6AD576C5"/>
    <w:rsid w:val="6AD61884"/>
    <w:rsid w:val="6AE56977"/>
    <w:rsid w:val="6AE85CC0"/>
    <w:rsid w:val="6AF83014"/>
    <w:rsid w:val="6B1927E5"/>
    <w:rsid w:val="6B1A7800"/>
    <w:rsid w:val="6B350BA9"/>
    <w:rsid w:val="6B483298"/>
    <w:rsid w:val="6B4A76AE"/>
    <w:rsid w:val="6B5275DD"/>
    <w:rsid w:val="6B534D2D"/>
    <w:rsid w:val="6B915026"/>
    <w:rsid w:val="6B9A47AC"/>
    <w:rsid w:val="6BA0659B"/>
    <w:rsid w:val="6BCA1F8B"/>
    <w:rsid w:val="6C1812B7"/>
    <w:rsid w:val="6C5F4375"/>
    <w:rsid w:val="6C8524FF"/>
    <w:rsid w:val="6C976DD4"/>
    <w:rsid w:val="6CE038EF"/>
    <w:rsid w:val="6D0668D1"/>
    <w:rsid w:val="6D220D27"/>
    <w:rsid w:val="6D3701D1"/>
    <w:rsid w:val="6D3969CB"/>
    <w:rsid w:val="6D3978B6"/>
    <w:rsid w:val="6DA6482F"/>
    <w:rsid w:val="6DA9367F"/>
    <w:rsid w:val="6DDD35A0"/>
    <w:rsid w:val="6E0C70D8"/>
    <w:rsid w:val="6E1312A6"/>
    <w:rsid w:val="6E14501E"/>
    <w:rsid w:val="6E49501A"/>
    <w:rsid w:val="6E7923BF"/>
    <w:rsid w:val="6E804461"/>
    <w:rsid w:val="6E8606A6"/>
    <w:rsid w:val="6EAC5317"/>
    <w:rsid w:val="6EAE5472"/>
    <w:rsid w:val="6EB505AF"/>
    <w:rsid w:val="6EBB46D9"/>
    <w:rsid w:val="6EC93F49"/>
    <w:rsid w:val="6ECA04DD"/>
    <w:rsid w:val="6ECD01F0"/>
    <w:rsid w:val="6EF07EC4"/>
    <w:rsid w:val="6F045B69"/>
    <w:rsid w:val="6F2474E3"/>
    <w:rsid w:val="6F2E7D34"/>
    <w:rsid w:val="6F3E05A4"/>
    <w:rsid w:val="6F4F6726"/>
    <w:rsid w:val="6F6063F1"/>
    <w:rsid w:val="6F71097A"/>
    <w:rsid w:val="6F9E7295"/>
    <w:rsid w:val="6FD66A2F"/>
    <w:rsid w:val="701B08E6"/>
    <w:rsid w:val="70373C13"/>
    <w:rsid w:val="70673DCF"/>
    <w:rsid w:val="70C5552E"/>
    <w:rsid w:val="710E721F"/>
    <w:rsid w:val="71581D09"/>
    <w:rsid w:val="71600CA6"/>
    <w:rsid w:val="717A6480"/>
    <w:rsid w:val="71AA0856"/>
    <w:rsid w:val="71AA3CCF"/>
    <w:rsid w:val="71B66E00"/>
    <w:rsid w:val="71CB0A21"/>
    <w:rsid w:val="72133F6A"/>
    <w:rsid w:val="721509FD"/>
    <w:rsid w:val="721750DD"/>
    <w:rsid w:val="72312642"/>
    <w:rsid w:val="724B4ECE"/>
    <w:rsid w:val="72673644"/>
    <w:rsid w:val="72701EDF"/>
    <w:rsid w:val="727C6027"/>
    <w:rsid w:val="72847605"/>
    <w:rsid w:val="72B52BE0"/>
    <w:rsid w:val="72B868C0"/>
    <w:rsid w:val="72C32795"/>
    <w:rsid w:val="72C67D94"/>
    <w:rsid w:val="72D52FCE"/>
    <w:rsid w:val="72DE6251"/>
    <w:rsid w:val="72E529EE"/>
    <w:rsid w:val="732D2E0A"/>
    <w:rsid w:val="73375A36"/>
    <w:rsid w:val="73410663"/>
    <w:rsid w:val="735A1725"/>
    <w:rsid w:val="73794C1A"/>
    <w:rsid w:val="73A51390"/>
    <w:rsid w:val="73B01345"/>
    <w:rsid w:val="73B37D9A"/>
    <w:rsid w:val="73BF0CB3"/>
    <w:rsid w:val="74125B3A"/>
    <w:rsid w:val="744C5512"/>
    <w:rsid w:val="74581611"/>
    <w:rsid w:val="74654825"/>
    <w:rsid w:val="749D7B1B"/>
    <w:rsid w:val="74B31CE2"/>
    <w:rsid w:val="74D3648A"/>
    <w:rsid w:val="74F71921"/>
    <w:rsid w:val="74FC061E"/>
    <w:rsid w:val="75135C49"/>
    <w:rsid w:val="75185F09"/>
    <w:rsid w:val="754F4F6A"/>
    <w:rsid w:val="755328D0"/>
    <w:rsid w:val="757233A3"/>
    <w:rsid w:val="75C81073"/>
    <w:rsid w:val="75DA4F76"/>
    <w:rsid w:val="75E47376"/>
    <w:rsid w:val="760A11E0"/>
    <w:rsid w:val="761E2EDE"/>
    <w:rsid w:val="76326989"/>
    <w:rsid w:val="7639043D"/>
    <w:rsid w:val="766654AB"/>
    <w:rsid w:val="76D452AF"/>
    <w:rsid w:val="76ED27C7"/>
    <w:rsid w:val="76F1414E"/>
    <w:rsid w:val="76FD33E8"/>
    <w:rsid w:val="770A361D"/>
    <w:rsid w:val="771B7BFA"/>
    <w:rsid w:val="77291B3A"/>
    <w:rsid w:val="774921DC"/>
    <w:rsid w:val="774933FC"/>
    <w:rsid w:val="77876861"/>
    <w:rsid w:val="77B84C6C"/>
    <w:rsid w:val="77BD2282"/>
    <w:rsid w:val="77F53640"/>
    <w:rsid w:val="78871EB3"/>
    <w:rsid w:val="788822C4"/>
    <w:rsid w:val="78966DD7"/>
    <w:rsid w:val="78B37FC8"/>
    <w:rsid w:val="78FA1122"/>
    <w:rsid w:val="79017606"/>
    <w:rsid w:val="790C1713"/>
    <w:rsid w:val="791218EC"/>
    <w:rsid w:val="797A3449"/>
    <w:rsid w:val="79AB21E7"/>
    <w:rsid w:val="79C32EEB"/>
    <w:rsid w:val="79D012D7"/>
    <w:rsid w:val="79E61108"/>
    <w:rsid w:val="7A1A0CBF"/>
    <w:rsid w:val="7A4153ED"/>
    <w:rsid w:val="7A493A51"/>
    <w:rsid w:val="7AB0044E"/>
    <w:rsid w:val="7B06349B"/>
    <w:rsid w:val="7B542EFE"/>
    <w:rsid w:val="7B693670"/>
    <w:rsid w:val="7BAE6AB2"/>
    <w:rsid w:val="7BDF6C6B"/>
    <w:rsid w:val="7BE646C1"/>
    <w:rsid w:val="7BF93B75"/>
    <w:rsid w:val="7C266648"/>
    <w:rsid w:val="7C3074C7"/>
    <w:rsid w:val="7C356D7F"/>
    <w:rsid w:val="7C3F3BAE"/>
    <w:rsid w:val="7C555210"/>
    <w:rsid w:val="7C5B1D71"/>
    <w:rsid w:val="7C7C095E"/>
    <w:rsid w:val="7C7E237D"/>
    <w:rsid w:val="7CA51C63"/>
    <w:rsid w:val="7CC6416A"/>
    <w:rsid w:val="7CE37B33"/>
    <w:rsid w:val="7D071110"/>
    <w:rsid w:val="7D115DE1"/>
    <w:rsid w:val="7D210FAE"/>
    <w:rsid w:val="7D2C004B"/>
    <w:rsid w:val="7D3D00ED"/>
    <w:rsid w:val="7D44322D"/>
    <w:rsid w:val="7D4A0A5C"/>
    <w:rsid w:val="7D4C0330"/>
    <w:rsid w:val="7D886100"/>
    <w:rsid w:val="7DC8635E"/>
    <w:rsid w:val="7DFC1D56"/>
    <w:rsid w:val="7E1536A4"/>
    <w:rsid w:val="7E1D1CCD"/>
    <w:rsid w:val="7E620C3C"/>
    <w:rsid w:val="7E8A55B4"/>
    <w:rsid w:val="7EA63A70"/>
    <w:rsid w:val="7EEA4B66"/>
    <w:rsid w:val="7F6D4AD3"/>
    <w:rsid w:val="7F800F63"/>
    <w:rsid w:val="7F83123F"/>
    <w:rsid w:val="7FB87406"/>
    <w:rsid w:val="7FD76BF0"/>
    <w:rsid w:val="7FE86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nhideWhenUsed="0" w:uiPriority="0" w:semiHidden="0" w:name="List Continue 4"/>
    <w:lsdException w:uiPriority="99" w:name="List Continue 5"/>
    <w:lsdException w:uiPriority="99" w:name="Message Header"/>
    <w:lsdException w:unhideWhenUsed="0" w:uiPriority="11" w:semiHidden="0" w:name="Subtitle"/>
    <w:lsdException w:unhideWhenUsed="0" w:uiPriority="0" w:semiHidden="0"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iPriority="99" w:name="Body Text Indent 3"/>
    <w:lsdException w:unhideWhenUsed="0" w:uiPriority="0" w:semiHidden="0" w:name="Block Text"/>
    <w:lsdException w:qFormat="1" w:uiPriority="99" w:semiHidden="0" w:name="Hyperlink"/>
    <w:lsdException w:uiPriority="99" w:name="FollowedHyperlink"/>
    <w:lsdException w:qFormat="1" w:unhideWhenUsed="0" w:uiPriority="0" w:semiHidden="0" w:name="Strong"/>
    <w:lsdException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nhideWhenUsed="0" w:uiPriority="0" w:semiHidden="0"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sz w:val="21"/>
      <w:szCs w:val="21"/>
      <w:lang w:val="en-US" w:eastAsia="zh-CN" w:bidi="ar-SA"/>
    </w:rPr>
  </w:style>
  <w:style w:type="paragraph" w:styleId="2">
    <w:name w:val="heading 1"/>
    <w:basedOn w:val="1"/>
    <w:next w:val="1"/>
    <w:link w:val="33"/>
    <w:qFormat/>
    <w:uiPriority w:val="9"/>
    <w:pPr>
      <w:keepNext/>
      <w:keepLines/>
      <w:numPr>
        <w:ilvl w:val="0"/>
        <w:numId w:val="1"/>
      </w:numPr>
      <w:spacing w:before="300" w:after="180"/>
      <w:jc w:val="center"/>
      <w:outlineLvl w:val="0"/>
    </w:pPr>
    <w:rPr>
      <w:rFonts w:eastAsia="黑体"/>
      <w:bCs/>
      <w:kern w:val="44"/>
      <w:sz w:val="28"/>
      <w:szCs w:val="44"/>
    </w:rPr>
  </w:style>
  <w:style w:type="paragraph" w:styleId="3">
    <w:name w:val="heading 2"/>
    <w:basedOn w:val="1"/>
    <w:next w:val="1"/>
    <w:qFormat/>
    <w:uiPriority w:val="0"/>
    <w:pPr>
      <w:keepNext/>
      <w:keepLines/>
      <w:tabs>
        <w:tab w:val="left" w:pos="1080"/>
      </w:tabs>
      <w:spacing w:line="360" w:lineRule="auto"/>
      <w:outlineLvl w:val="1"/>
    </w:pPr>
    <w:rPr>
      <w:rFonts w:ascii="Times New Roman" w:hAnsi="Times New Roman" w:eastAsia="宋体" w:cs="Times New Roman"/>
      <w:b/>
      <w:kern w:val="2"/>
      <w:sz w:val="28"/>
      <w:szCs w:val="24"/>
    </w:rPr>
  </w:style>
  <w:style w:type="paragraph" w:styleId="4">
    <w:name w:val="heading 3"/>
    <w:basedOn w:val="1"/>
    <w:next w:val="1"/>
    <w:qFormat/>
    <w:uiPriority w:val="0"/>
    <w:pPr>
      <w:keepNext/>
      <w:keepLines/>
      <w:spacing w:line="360" w:lineRule="auto"/>
      <w:ind w:firstLine="0" w:firstLineChars="0"/>
      <w:outlineLvl w:val="2"/>
    </w:pPr>
    <w:rPr>
      <w:rFonts w:ascii="Times New Roman" w:hAnsi="Times New Roman" w:eastAsia="宋体"/>
      <w:b/>
      <w:bCs/>
      <w:sz w:val="24"/>
    </w:rPr>
  </w:style>
  <w:style w:type="paragraph" w:styleId="5">
    <w:name w:val="heading 4"/>
    <w:basedOn w:val="1"/>
    <w:next w:val="1"/>
    <w:unhideWhenUsed/>
    <w:qFormat/>
    <w:uiPriority w:val="0"/>
    <w:pPr>
      <w:keepNext/>
      <w:keepLines/>
      <w:spacing w:beforeLines="0" w:beforeAutospacing="0" w:afterLines="0" w:afterAutospacing="0" w:line="360" w:lineRule="auto"/>
      <w:ind w:firstLine="420" w:firstLineChars="200"/>
      <w:outlineLvl w:val="3"/>
    </w:pPr>
    <w:rPr>
      <w:rFonts w:ascii="Times New Roman" w:hAnsi="Times New Roman" w:eastAsia="宋体" w:cs="宋体"/>
      <w:b/>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0"/>
    </w:pPr>
  </w:style>
  <w:style w:type="paragraph" w:customStyle="1" w:styleId="7">
    <w:name w:val="Char Char Char Char Char Char Char Char Char1 Char"/>
    <w:basedOn w:val="1"/>
    <w:next w:val="8"/>
    <w:autoRedefine/>
    <w:qFormat/>
    <w:uiPriority w:val="0"/>
    <w:pPr>
      <w:spacing w:line="360" w:lineRule="auto"/>
      <w:ind w:firstLine="200" w:firstLineChars="200"/>
    </w:pPr>
    <w:rPr>
      <w:rFonts w:hAnsi="宋体" w:cs="宋体"/>
      <w:spacing w:val="0"/>
      <w:sz w:val="24"/>
      <w:szCs w:val="24"/>
    </w:rPr>
  </w:style>
  <w:style w:type="paragraph" w:customStyle="1" w:styleId="8">
    <w:name w:val="Body Text First Indent1"/>
    <w:next w:val="1"/>
    <w:autoRedefine/>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styleId="9">
    <w:name w:val="caption"/>
    <w:basedOn w:val="1"/>
    <w:next w:val="1"/>
    <w:unhideWhenUsed/>
    <w:qFormat/>
    <w:uiPriority w:val="35"/>
    <w:rPr>
      <w:rFonts w:eastAsia="黑体" w:asciiTheme="majorHAnsi" w:hAnsiTheme="majorHAnsi" w:cstheme="majorBidi"/>
      <w:sz w:val="20"/>
      <w:szCs w:val="20"/>
    </w:rPr>
  </w:style>
  <w:style w:type="paragraph" w:styleId="10">
    <w:name w:val="annotation text"/>
    <w:basedOn w:val="1"/>
    <w:qFormat/>
    <w:uiPriority w:val="0"/>
    <w:pPr>
      <w:jc w:val="left"/>
    </w:pPr>
  </w:style>
  <w:style w:type="paragraph" w:styleId="11">
    <w:name w:val="Body Text"/>
    <w:basedOn w:val="1"/>
    <w:next w:val="12"/>
    <w:qFormat/>
    <w:uiPriority w:val="0"/>
    <w:pPr>
      <w:widowControl/>
      <w:snapToGrid w:val="0"/>
      <w:spacing w:before="60" w:after="160" w:line="259" w:lineRule="auto"/>
      <w:ind w:right="113"/>
    </w:pPr>
    <w:rPr>
      <w:kern w:val="0"/>
      <w:sz w:val="18"/>
      <w:szCs w:val="20"/>
    </w:rPr>
  </w:style>
  <w:style w:type="paragraph" w:styleId="12">
    <w:name w:val="List Bullet 5"/>
    <w:basedOn w:val="1"/>
    <w:qFormat/>
    <w:uiPriority w:val="0"/>
    <w:pPr>
      <w:numPr>
        <w:ilvl w:val="0"/>
        <w:numId w:val="2"/>
      </w:numPr>
    </w:pPr>
  </w:style>
  <w:style w:type="paragraph" w:styleId="13">
    <w:name w:val="Body Text Indent"/>
    <w:basedOn w:val="1"/>
    <w:next w:val="14"/>
    <w:qFormat/>
    <w:uiPriority w:val="0"/>
    <w:pPr>
      <w:spacing w:after="120"/>
      <w:ind w:left="420" w:leftChars="200"/>
    </w:pPr>
    <w:rPr>
      <w:kern w:val="0"/>
      <w:sz w:val="24"/>
      <w:szCs w:val="20"/>
    </w:rPr>
  </w:style>
  <w:style w:type="paragraph" w:styleId="14">
    <w:name w:val="Body Text First Indent 2"/>
    <w:basedOn w:val="13"/>
    <w:qFormat/>
    <w:uiPriority w:val="0"/>
    <w:pPr>
      <w:ind w:firstLine="420" w:firstLineChars="200"/>
    </w:pPr>
    <w:rPr>
      <w:rFonts w:ascii="Calibri" w:hAnsi="Calibri" w:eastAsia="宋体" w:cs="Times New Roman"/>
      <w:sz w:val="28"/>
      <w:szCs w:val="22"/>
    </w:rPr>
  </w:style>
  <w:style w:type="paragraph" w:styleId="15">
    <w:name w:val="Plain Text"/>
    <w:basedOn w:val="1"/>
    <w:qFormat/>
    <w:uiPriority w:val="0"/>
    <w:rPr>
      <w:rFonts w:ascii="宋体" w:hAnsi="Courier New"/>
      <w:szCs w:val="20"/>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toc 1"/>
    <w:basedOn w:val="1"/>
    <w:next w:val="1"/>
    <w:unhideWhenUsed/>
    <w:qFormat/>
    <w:uiPriority w:val="39"/>
    <w:rPr>
      <w:sz w:val="28"/>
    </w:rPr>
  </w:style>
  <w:style w:type="paragraph" w:styleId="19">
    <w:name w:val="List"/>
    <w:basedOn w:val="1"/>
    <w:next w:val="1"/>
    <w:qFormat/>
    <w:uiPriority w:val="0"/>
    <w:pPr>
      <w:ind w:left="200" w:hanging="200" w:hangingChars="200"/>
    </w:pPr>
  </w:style>
  <w:style w:type="paragraph" w:styleId="2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qFormat/>
    <w:uiPriority w:val="0"/>
  </w:style>
  <w:style w:type="character" w:styleId="25">
    <w:name w:val="Hyperlink"/>
    <w:basedOn w:val="23"/>
    <w:unhideWhenUsed/>
    <w:qFormat/>
    <w:uiPriority w:val="99"/>
    <w:rPr>
      <w:color w:val="0563C1" w:themeColor="hyperlink"/>
      <w:u w:val="single"/>
      <w14:textFill>
        <w14:solidFill>
          <w14:schemeClr w14:val="hlink"/>
        </w14:solidFill>
      </w14:textFill>
    </w:rPr>
  </w:style>
  <w:style w:type="paragraph" w:customStyle="1" w:styleId="26">
    <w:name w:val="Default"/>
    <w:basedOn w:val="27"/>
    <w:next w:val="14"/>
    <w:qFormat/>
    <w:uiPriority w:val="0"/>
    <w:pPr>
      <w:widowControl w:val="0"/>
      <w:tabs>
        <w:tab w:val="left" w:pos="1845"/>
      </w:tabs>
      <w:autoSpaceDE w:val="0"/>
      <w:autoSpaceDN w:val="0"/>
    </w:pPr>
    <w:rPr>
      <w:rFonts w:hint="eastAsia" w:ascii="黑体" w:hAnsi="黑体" w:eastAsia="黑体" w:cs="Times New Roman"/>
      <w:color w:val="000000"/>
      <w:sz w:val="24"/>
      <w:lang w:val="en-US" w:eastAsia="zh-CN" w:bidi="ar-SA"/>
    </w:rPr>
  </w:style>
  <w:style w:type="paragraph" w:customStyle="1" w:styleId="27">
    <w:name w:val="纯文本1"/>
    <w:basedOn w:val="1"/>
    <w:qFormat/>
    <w:uiPriority w:val="0"/>
    <w:pPr>
      <w:tabs>
        <w:tab w:val="left" w:pos="1845"/>
      </w:tabs>
      <w:spacing w:line="240" w:lineRule="exact"/>
      <w:jc w:val="center"/>
    </w:pPr>
    <w:rPr>
      <w:sz w:val="18"/>
    </w:rPr>
  </w:style>
  <w:style w:type="paragraph" w:customStyle="1" w:styleId="28">
    <w:name w:val="报告表正文"/>
    <w:basedOn w:val="29"/>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29">
    <w:name w:val="报告正文"/>
    <w:basedOn w:val="30"/>
    <w:qFormat/>
    <w:uiPriority w:val="0"/>
    <w:pPr>
      <w:widowControl/>
      <w:spacing w:line="360" w:lineRule="auto"/>
      <w:ind w:firstLine="200" w:firstLineChars="200"/>
    </w:pPr>
    <w:rPr>
      <w:rFonts w:ascii="Times New Roman" w:hAnsi="Times New Roman" w:eastAsia="宋体" w:cs="Times New Roman"/>
    </w:rPr>
  </w:style>
  <w:style w:type="paragraph" w:customStyle="1" w:styleId="30">
    <w:name w:val="p17"/>
    <w:basedOn w:val="1"/>
    <w:qFormat/>
    <w:uiPriority w:val="0"/>
    <w:pPr>
      <w:widowControl/>
    </w:pPr>
    <w:rPr>
      <w:rFonts w:ascii="宋体" w:hAnsi="宋体" w:cs="宋体"/>
      <w:kern w:val="0"/>
      <w:szCs w:val="21"/>
    </w:rPr>
  </w:style>
  <w:style w:type="paragraph" w:customStyle="1" w:styleId="31">
    <w:name w:val="Body Text 21"/>
    <w:basedOn w:val="1"/>
    <w:qFormat/>
    <w:uiPriority w:val="0"/>
    <w:pPr>
      <w:spacing w:after="120" w:line="480" w:lineRule="auto"/>
    </w:pPr>
  </w:style>
  <w:style w:type="character" w:customStyle="1" w:styleId="32">
    <w:name w:val="表格文字"/>
    <w:basedOn w:val="23"/>
    <w:qFormat/>
    <w:uiPriority w:val="1"/>
    <w:rPr>
      <w:rFonts w:ascii="Times New Roman" w:hAnsi="Times New Roman" w:eastAsia="宋体"/>
      <w:snapToGrid w:val="0"/>
      <w:color w:val="auto"/>
      <w:spacing w:val="0"/>
      <w:w w:val="100"/>
      <w:kern w:val="0"/>
      <w:position w:val="0"/>
      <w:sz w:val="21"/>
      <w:vertAlign w:val="baseline"/>
    </w:rPr>
  </w:style>
  <w:style w:type="character" w:customStyle="1" w:styleId="33">
    <w:name w:val="标题 1 字符"/>
    <w:basedOn w:val="23"/>
    <w:link w:val="2"/>
    <w:qFormat/>
    <w:uiPriority w:val="9"/>
    <w:rPr>
      <w:rFonts w:ascii="Times New Roman" w:hAnsi="Times New Roman" w:eastAsia="黑体"/>
      <w:bCs/>
      <w:kern w:val="44"/>
      <w:sz w:val="28"/>
      <w:szCs w:val="44"/>
    </w:rPr>
  </w:style>
  <w:style w:type="paragraph" w:customStyle="1" w:styleId="34">
    <w:name w:val="表格格式"/>
    <w:basedOn w:val="1"/>
    <w:next w:val="1"/>
    <w:qFormat/>
    <w:uiPriority w:val="0"/>
    <w:pPr>
      <w:jc w:val="center"/>
    </w:pPr>
  </w:style>
  <w:style w:type="paragraph" w:customStyle="1" w:styleId="35">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36">
    <w:name w:val="表头"/>
    <w:basedOn w:val="37"/>
    <w:next w:val="1"/>
    <w:link w:val="56"/>
    <w:qFormat/>
    <w:uiPriority w:val="0"/>
    <w:pPr>
      <w:spacing w:line="240" w:lineRule="auto"/>
      <w:ind w:firstLine="0" w:firstLineChars="0"/>
      <w:jc w:val="center"/>
    </w:pPr>
    <w:rPr>
      <w:b/>
      <w:bCs/>
      <w:sz w:val="21"/>
      <w:szCs w:val="21"/>
    </w:rPr>
  </w:style>
  <w:style w:type="paragraph" w:customStyle="1" w:styleId="37">
    <w:name w:val="表格"/>
    <w:basedOn w:val="11"/>
    <w:qFormat/>
    <w:uiPriority w:val="0"/>
    <w:pPr>
      <w:adjustRightInd w:val="0"/>
      <w:snapToGrid w:val="0"/>
      <w:spacing w:beforeLines="10" w:afterLines="10" w:line="259" w:lineRule="auto"/>
      <w:jc w:val="center"/>
    </w:pPr>
    <w:rPr>
      <w:rFonts w:ascii="宋体"/>
      <w:kern w:val="0"/>
      <w:szCs w:val="20"/>
    </w:rPr>
  </w:style>
  <w:style w:type="paragraph" w:customStyle="1" w:styleId="38">
    <w:name w:val="表格内"/>
    <w:basedOn w:val="1"/>
    <w:qFormat/>
    <w:uiPriority w:val="0"/>
    <w:pPr>
      <w:adjustRightInd w:val="0"/>
      <w:snapToGrid w:val="0"/>
      <w:spacing w:line="240" w:lineRule="auto"/>
      <w:jc w:val="center"/>
    </w:pPr>
    <w:rPr>
      <w:rFonts w:ascii="Times New Roman" w:hAnsi="Times New Roman" w:eastAsia="宋体"/>
      <w:snapToGrid w:val="0"/>
    </w:rPr>
  </w:style>
  <w:style w:type="paragraph" w:customStyle="1" w:styleId="39">
    <w:name w:val="表格内容"/>
    <w:qFormat/>
    <w:uiPriority w:val="0"/>
    <w:pPr>
      <w:spacing w:line="360" w:lineRule="atLeast"/>
      <w:ind w:firstLine="0" w:firstLineChars="0"/>
    </w:pPr>
    <w:rPr>
      <w:rFonts w:ascii="宋体" w:hAnsi="宋体" w:eastAsia="宋体" w:cs="Times New Roman"/>
      <w:sz w:val="21"/>
    </w:rPr>
  </w:style>
  <w:style w:type="paragraph" w:customStyle="1" w:styleId="40">
    <w:name w:val="表内容"/>
    <w:basedOn w:val="3"/>
    <w:next w:val="1"/>
    <w:qFormat/>
    <w:uiPriority w:val="0"/>
    <w:pPr>
      <w:keepNext w:val="0"/>
      <w:keepLines w:val="0"/>
      <w:spacing w:line="240" w:lineRule="auto"/>
      <w:jc w:val="center"/>
    </w:pPr>
    <w:rPr>
      <w:rFonts w:ascii="宋体" w:hAnsi="宋体" w:cs="宋体"/>
      <w:bCs/>
      <w:color w:val="000000" w:themeColor="text1"/>
      <w:sz w:val="21"/>
      <w:szCs w:val="21"/>
      <w:highlight w:val="none"/>
      <w14:textFill>
        <w14:solidFill>
          <w14:schemeClr w14:val="tx1"/>
        </w14:solidFill>
      </w14:textFill>
    </w:rPr>
  </w:style>
  <w:style w:type="paragraph" w:customStyle="1" w:styleId="41">
    <w:name w:val="[Normal]"/>
    <w:qFormat/>
    <w:uiPriority w:val="0"/>
    <w:rPr>
      <w:rFonts w:ascii="宋体" w:hAnsi="宋体" w:eastAsia="宋体" w:cs="Times New Roman"/>
      <w:sz w:val="24"/>
      <w:szCs w:val="22"/>
      <w:lang w:val="zh-CN" w:eastAsia="zh-CN" w:bidi="ar-SA"/>
    </w:rPr>
  </w:style>
  <w:style w:type="paragraph" w:customStyle="1" w:styleId="42">
    <w:name w:val="Char"/>
    <w:basedOn w:val="1"/>
    <w:qFormat/>
    <w:uiPriority w:val="0"/>
    <w:pPr>
      <w:spacing w:after="160" w:line="240" w:lineRule="exact"/>
      <w:jc w:val="left"/>
    </w:pPr>
    <w:rPr>
      <w:rFonts w:ascii="Arial" w:hAnsi="Arial" w:eastAsia="Times New Roman" w:cs="Verdana"/>
      <w:b/>
      <w:kern w:val="0"/>
      <w:sz w:val="24"/>
      <w:szCs w:val="24"/>
      <w:lang w:eastAsia="en-US"/>
    </w:rPr>
  </w:style>
  <w:style w:type="paragraph" w:customStyle="1" w:styleId="43">
    <w:name w:val="Table Paragraph"/>
    <w:basedOn w:val="1"/>
    <w:qFormat/>
    <w:uiPriority w:val="1"/>
    <w:pPr>
      <w:jc w:val="center"/>
    </w:pPr>
    <w:rPr>
      <w:rFonts w:ascii="Times New Roman" w:hAnsi="Times New Roman" w:eastAsia="Times New Roman" w:cs="Times New Roman"/>
      <w:lang w:val="zh-CN" w:eastAsia="zh-CN" w:bidi="zh-CN"/>
    </w:rPr>
  </w:style>
  <w:style w:type="paragraph" w:customStyle="1" w:styleId="44">
    <w:name w:val="Table Text"/>
    <w:basedOn w:val="1"/>
    <w:semiHidden/>
    <w:qFormat/>
    <w:uiPriority w:val="0"/>
    <w:rPr>
      <w:rFonts w:ascii="宋体" w:hAnsi="宋体" w:eastAsia="宋体" w:cs="宋体"/>
      <w:sz w:val="24"/>
      <w:szCs w:val="24"/>
      <w:lang w:val="en-US" w:eastAsia="en-US" w:bidi="ar-SA"/>
    </w:rPr>
  </w:style>
  <w:style w:type="paragraph" w:customStyle="1" w:styleId="45">
    <w:name w:val="正文新"/>
    <w:basedOn w:val="1"/>
    <w:qFormat/>
    <w:uiPriority w:val="0"/>
    <w:pPr>
      <w:spacing w:line="460" w:lineRule="exact"/>
      <w:ind w:firstLine="480" w:firstLineChars="200"/>
    </w:pPr>
    <w:rPr>
      <w:sz w:val="24"/>
    </w:rPr>
  </w:style>
  <w:style w:type="table" w:customStyle="1" w:styleId="46">
    <w:name w:val="Table Normal"/>
    <w:unhideWhenUsed/>
    <w:qFormat/>
    <w:uiPriority w:val="0"/>
    <w:tblPr>
      <w:tblCellMar>
        <w:top w:w="0" w:type="dxa"/>
        <w:left w:w="0" w:type="dxa"/>
        <w:bottom w:w="0" w:type="dxa"/>
        <w:right w:w="0" w:type="dxa"/>
      </w:tblCellMar>
    </w:tblPr>
  </w:style>
  <w:style w:type="paragraph" w:customStyle="1" w:styleId="47">
    <w:name w:val="表头、图号"/>
    <w:basedOn w:val="1"/>
    <w:qFormat/>
    <w:uiPriority w:val="0"/>
    <w:pPr>
      <w:jc w:val="center"/>
    </w:pPr>
    <w:rPr>
      <w:rFonts w:eastAsia="黑体"/>
      <w:b/>
      <w:szCs w:val="22"/>
    </w:rPr>
  </w:style>
  <w:style w:type="paragraph" w:customStyle="1" w:styleId="48">
    <w:name w:val="表头字体"/>
    <w:basedOn w:val="1"/>
    <w:qFormat/>
    <w:uiPriority w:val="0"/>
    <w:pPr>
      <w:spacing w:line="360" w:lineRule="auto"/>
      <w:ind w:firstLine="0" w:firstLineChars="0"/>
      <w:jc w:val="center"/>
    </w:pPr>
    <w:rPr>
      <w:rFonts w:ascii="Times New Roman" w:hAnsi="Times New Roman" w:eastAsia="宋体"/>
      <w:b/>
      <w:kern w:val="2"/>
      <w:sz w:val="24"/>
      <w:szCs w:val="24"/>
    </w:rPr>
  </w:style>
  <w:style w:type="paragraph" w:customStyle="1" w:styleId="49">
    <w:name w:val="【报告书】正文"/>
    <w:basedOn w:val="1"/>
    <w:qFormat/>
    <w:uiPriority w:val="0"/>
    <w:pPr>
      <w:spacing w:line="480" w:lineRule="exact"/>
      <w:ind w:firstLine="200" w:firstLineChars="200"/>
    </w:pPr>
    <w:rPr>
      <w:rFonts w:cs="宋体"/>
      <w:kern w:val="0"/>
      <w:sz w:val="24"/>
    </w:rPr>
  </w:style>
  <w:style w:type="paragraph" w:customStyle="1" w:styleId="50">
    <w:name w:val="新正文"/>
    <w:basedOn w:val="1"/>
    <w:qFormat/>
    <w:uiPriority w:val="0"/>
    <w:pPr>
      <w:spacing w:before="60" w:line="460" w:lineRule="exact"/>
      <w:ind w:firstLine="200" w:firstLineChars="200"/>
    </w:pPr>
    <w:rPr>
      <w:sz w:val="24"/>
      <w:szCs w:val="20"/>
    </w:rPr>
  </w:style>
  <w:style w:type="paragraph" w:customStyle="1" w:styleId="51">
    <w:name w:val="表头邵"/>
    <w:basedOn w:val="1"/>
    <w:next w:val="1"/>
    <w:qFormat/>
    <w:uiPriority w:val="0"/>
    <w:pPr>
      <w:jc w:val="center"/>
    </w:pPr>
    <w:rPr>
      <w:b/>
      <w:szCs w:val="21"/>
    </w:rPr>
  </w:style>
  <w:style w:type="paragraph" w:customStyle="1" w:styleId="52">
    <w:name w:val="表内文字"/>
    <w:basedOn w:val="1"/>
    <w:qFormat/>
    <w:uiPriority w:val="0"/>
    <w:pPr>
      <w:adjustRightInd w:val="0"/>
      <w:snapToGrid w:val="0"/>
      <w:jc w:val="center"/>
    </w:pPr>
    <w:rPr>
      <w:sz w:val="21"/>
      <w:szCs w:val="21"/>
    </w:rPr>
  </w:style>
  <w:style w:type="paragraph" w:customStyle="1" w:styleId="53">
    <w:name w:val="111首行"/>
    <w:basedOn w:val="1"/>
    <w:link w:val="59"/>
    <w:qFormat/>
    <w:uiPriority w:val="0"/>
    <w:pPr>
      <w:shd w:val="clear" w:color="auto" w:fill="auto"/>
      <w:spacing w:line="360" w:lineRule="auto"/>
      <w:ind w:firstLine="480" w:firstLineChars="200"/>
    </w:pPr>
    <w:rPr>
      <w:rFonts w:hint="default" w:ascii="Times New Roman" w:hAnsi="Times New Roman" w:cs="Times New Roman"/>
      <w:color w:val="000000" w:themeColor="text1"/>
      <w:sz w:val="24"/>
      <w:szCs w:val="24"/>
      <w14:textFill>
        <w14:solidFill>
          <w14:schemeClr w14:val="tx1"/>
        </w14:solidFill>
      </w14:textFill>
    </w:rPr>
  </w:style>
  <w:style w:type="paragraph" w:customStyle="1" w:styleId="54">
    <w:name w:val="首行缩进"/>
    <w:basedOn w:val="1"/>
    <w:qFormat/>
    <w:uiPriority w:val="0"/>
    <w:pPr>
      <w:spacing w:line="360" w:lineRule="auto"/>
      <w:ind w:firstLine="420" w:firstLineChars="200"/>
    </w:pPr>
    <w:rPr>
      <w:rFonts w:ascii="Times New Roman" w:hAnsi="Times New Roman" w:eastAsia="宋体"/>
    </w:rPr>
  </w:style>
  <w:style w:type="paragraph" w:customStyle="1" w:styleId="55">
    <w:name w:val="正文26-5.21"/>
    <w:basedOn w:val="1"/>
    <w:qFormat/>
    <w:uiPriority w:val="0"/>
    <w:pPr>
      <w:adjustRightInd w:val="0"/>
      <w:snapToGrid w:val="0"/>
      <w:spacing w:line="520" w:lineRule="exact"/>
      <w:ind w:firstLine="480" w:firstLineChars="200"/>
      <w:textAlignment w:val="baseline"/>
    </w:pPr>
    <w:rPr>
      <w:rFonts w:cs="宋体"/>
      <w:snapToGrid w:val="0"/>
      <w:sz w:val="24"/>
    </w:rPr>
  </w:style>
  <w:style w:type="character" w:customStyle="1" w:styleId="56">
    <w:name w:val="表头 Char"/>
    <w:link w:val="36"/>
    <w:qFormat/>
    <w:uiPriority w:val="0"/>
    <w:rPr>
      <w:b/>
      <w:bCs/>
      <w:sz w:val="21"/>
      <w:szCs w:val="21"/>
    </w:rPr>
  </w:style>
  <w:style w:type="paragraph" w:customStyle="1" w:styleId="57">
    <w:name w:val="表格内容1"/>
    <w:basedOn w:val="1"/>
    <w:qFormat/>
    <w:uiPriority w:val="0"/>
    <w:pPr>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58">
    <w:name w:val="表格及其内容"/>
    <w:basedOn w:val="1"/>
    <w:qFormat/>
    <w:uiPriority w:val="0"/>
    <w:pPr>
      <w:spacing w:line="240" w:lineRule="auto"/>
      <w:jc w:val="center"/>
    </w:pPr>
    <w:rPr>
      <w:rFonts w:ascii="Times New Roman" w:hAnsi="Times New Roman" w:eastAsia="宋体"/>
      <w:sz w:val="21"/>
    </w:rPr>
  </w:style>
  <w:style w:type="character" w:customStyle="1" w:styleId="59">
    <w:name w:val="111首行 Char"/>
    <w:link w:val="53"/>
    <w:qFormat/>
    <w:uiPriority w:val="0"/>
    <w:rPr>
      <w:rFonts w:hint="default" w:ascii="Times New Roman" w:hAnsi="Times New Roman" w:cs="Times New Roman"/>
      <w:color w:val="000000" w:themeColor="text1"/>
      <w:sz w:val="24"/>
      <w:szCs w:val="24"/>
      <w14:textFill>
        <w14:solidFill>
          <w14:schemeClr w14:val="tx1"/>
        </w14:solidFill>
      </w14:textFill>
    </w:rPr>
  </w:style>
  <w:style w:type="paragraph" w:customStyle="1" w:styleId="60">
    <w:name w:val="正文文字"/>
    <w:basedOn w:val="1"/>
    <w:qFormat/>
    <w:uiPriority w:val="0"/>
    <w:pPr>
      <w:spacing w:line="360" w:lineRule="auto"/>
      <w:ind w:firstLine="720" w:firstLineChars="200"/>
    </w:pPr>
    <w:rPr>
      <w:rFonts w:ascii="Times New Roman" w:hAnsi="Times New Roman"/>
      <w:sz w:val="24"/>
    </w:rPr>
  </w:style>
  <w:style w:type="paragraph" w:customStyle="1" w:styleId="61">
    <w:name w:val="正文样式"/>
    <w:basedOn w:val="1"/>
    <w:qFormat/>
    <w:uiPriority w:val="0"/>
    <w:pPr>
      <w:adjustRightInd w:val="0"/>
      <w:snapToGrid w:val="0"/>
      <w:spacing w:line="360" w:lineRule="auto"/>
      <w:ind w:firstLine="542" w:firstLineChars="225"/>
      <w:jc w:val="center"/>
    </w:pPr>
    <w:rPr>
      <w:b/>
      <w:color w:val="FF0000"/>
    </w:rPr>
  </w:style>
  <w:style w:type="paragraph" w:customStyle="1" w:styleId="62">
    <w:name w:val="Normal_40"/>
    <w:qFormat/>
    <w:uiPriority w:val="0"/>
    <w:pPr>
      <w:spacing w:before="120" w:after="240"/>
      <w:jc w:val="both"/>
    </w:pPr>
    <w:rPr>
      <w:rFonts w:ascii="Calibri" w:hAnsi="Calibri" w:eastAsia="Calibri" w:cs="Times New Roman"/>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3.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5.bin"/><Relationship Id="rId21" Type="http://schemas.openxmlformats.org/officeDocument/2006/relationships/oleObject" Target="embeddings/oleObject4.bin"/><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12.wmf"/><Relationship Id="rId18" Type="http://schemas.openxmlformats.org/officeDocument/2006/relationships/oleObject" Target="embeddings/oleObject2.bin"/><Relationship Id="rId17" Type="http://schemas.openxmlformats.org/officeDocument/2006/relationships/image" Target="media/image11.wmf"/><Relationship Id="rId16" Type="http://schemas.openxmlformats.org/officeDocument/2006/relationships/oleObject" Target="embeddings/oleObject1.bin"/><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4494;&#20449;&#32842;&#22825;\WeChat%20Files\shitou0071993\FileStorage\File\2024-04\&#12304;0017&#12305;&#27745;&#26579;&#24433;&#21709;&#31867;&#25253;&#21578;&#34920;&#27169;&#26495;.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af6fb68f-0315-4fdb-9b71-e3e10d0be22a</errorID>
      <errorWord>(</errorWord>
      <group>L1_Format</group>
      <groupName>格式问题</groupName>
      <ability>L2_HalfPunc</ability>
      <abilityName>全半角检查</abilityName>
      <candidateList>
        <item>（</item>
      </candidateList>
      <explain>文本全半角错误。</explain>
      <paraID> A63F6AD</paraID>
      <start>6</start>
      <end>7</end>
      <status>modified</status>
      <modifiedWord>（</modifiedWord>
      <trackRevisions>false</trackRevisions>
    </reviewItem>
    <reviewItem>
      <errorID>26c854fe-446a-44b3-ba80-80b75384d3f9</errorID>
      <errorWord>)</errorWord>
      <group>L1_Format</group>
      <groupName>格式问题</groupName>
      <ability>L2_HalfPunc</ability>
      <abilityName>全半角检查</abilityName>
      <candidateList>
        <item>）</item>
      </candidateList>
      <explain>文本全半角错误。</explain>
      <paraID> A63F6AD</paraID>
      <start>8</start>
      <end>9</end>
      <status>modified</status>
      <modifiedWord>）</modifiedWord>
      <trackRevisions>false</trackRevisions>
    </reviewItem>
    <reviewItem>
      <errorID>82445546-c6b1-4517-bd34-6d99b1fcabe0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72931104</paraID>
      <start>0</start>
      <end>2</end>
      <status>unmodified</status>
      <modifiedWord/>
      <trackRevisions>false</trackRevisions>
    </reviewItem>
    <reviewItem>
      <errorID>557b6008-ac0d-4f70-84ef-dd3ca5d0d54f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54203933</paraID>
      <start>0</start>
      <end>2</end>
      <status>unmodified</status>
      <modifiedWord/>
      <trackRevisions>false</trackRevisions>
    </reviewItem>
    <reviewItem>
      <errorID>60d8a594-b587-4610-b392-04c798c68360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3637D5D2</paraID>
      <start>21</start>
      <end>22</end>
      <status>unmodified</status>
      <modifiedWord/>
      <trackRevisions>false</trackRevisions>
    </reviewItem>
    <reviewItem>
      <errorID>335e8bbc-1dda-48c9-a6c2-a75f69fd76de</errorID>
      <errorWord>少</errorWord>
      <group>L1_Word</group>
      <groupName>字词问题</groupName>
      <ability>L2_Typo</ability>
      <abilityName>字词错误</abilityName>
      <candidateList>
        <item>小</item>
      </candidateList>
      <explain>存在字形相近字词的误用。</explain>
      <paraID>5F701D76</paraID>
      <start>72</start>
      <end>73</end>
      <status>modified</status>
      <modifiedWord>小</modifiedWord>
      <trackRevisions>false</trackRevisions>
    </reviewItem>
    <reviewItem>
      <errorID>0779adfe-8b61-4e1d-8da9-9a2753d8a1be</errorID>
      <errorWord>期</errorWord>
      <group>L1_Word</group>
      <groupName>字词问题</groupName>
      <ability>L2_Typo</ability>
      <abilityName>字词错误</abilityName>
      <candidateList>
        <item>的</item>
      </candidateList>
      <explain>存在字形相近字词的误用。</explain>
      <paraID>5F701D76</paraID>
      <start>78</start>
      <end>79</end>
      <status>unmodified</status>
      <modifiedWord/>
      <trackRevisions>false</trackRevisions>
    </reviewItem>
    <reviewItem>
      <errorID>8f770fd2-de40-4f9a-aad0-296da079cd29</errorID>
      <errorWord>经</errorWord>
      <group>L1_Word</group>
      <groupName>字词问题</groupName>
      <ability>L2_Typo</ability>
      <abilityName>字词错误</abilityName>
      <candidateList>
        <item>经过</item>
      </candidateList>
      <explain>❶〈动〉通过（处所、时间、动作等）：从北京坐火车到广州要～武汉｜屋子～打扫，干净多了｜这件事情是～领导上缜密考虑过的。❷〈名〉过程；经历▲：厂长向来宾报告建厂～｜说说你探险的～。</explain>
      <paraID>1265B486</paraID>
      <start>240</start>
      <end>242</end>
      <status>modified</status>
      <modifiedWord>经过</modifiedWord>
      <trackRevisions>false</trackRevisions>
    </reviewItem>
    <reviewItem>
      <errorID>10dbe5c8-7496-4e5b-a475-adf40ef32977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755B9F4E</paraID>
      <start>21</start>
      <end>22</end>
      <status>unmodified</status>
      <modifiedWord/>
      <trackRevisions>false</trackRevisions>
    </reviewItem>
    <reviewItem>
      <errorID>bb4f2d57-3062-4aa7-bdb1-7dddae656514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2991D868</paraID>
      <start>0</start>
      <end>2</end>
      <status>unmodified</status>
      <modifiedWord/>
      <trackRevisions>false</trackRevisions>
    </reviewItem>
    <reviewItem>
      <errorID>8731c713-d95a-447b-b556-c0ff8142d633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6D659301</paraID>
      <start>0</start>
      <end>2</end>
      <status>unmodified</status>
      <modifiedWord/>
      <trackRevisions>false</trackRevisions>
    </reviewItem>
    <reviewItem>
      <errorID>832a8974-b0ca-4b9f-a765-115d9b29e745</errorID>
      <errorWord>文化自然遗产</errorWord>
      <group>L1_Knowledge</group>
      <groupName>知识性问题</groupName>
      <ability>L2_Knowledge</ability>
      <abilityName>其他知识</abilityName>
      <candidateList>
        <item>文化和自然遗产</item>
      </candidateList>
      <explain/>
      <paraID>695BE96E</paraID>
      <start>75</start>
      <end>81</end>
      <status>unmodified</status>
      <modifiedWord/>
      <trackRevisions>false</trackRevisions>
    </reviewItem>
    <reviewItem>
      <errorID>b21fbe12-20e1-4d4a-a919-75122474230e</errorID>
      <errorWord>排污</errorWord>
      <group>L1_Word</group>
      <groupName>字词问题</groupName>
      <ability>L2_Typo</ability>
      <abilityName>字词错误</abilityName>
      <candidateList>
        <item>污</item>
      </candidateList>
      <explain/>
      <paraID> AD35BF2</paraID>
      <start>184</start>
      <end>186</end>
      <status>unmodified</status>
      <modifiedWord/>
      <trackRevisions>false</trackRevisions>
    </reviewItem>
    <reviewItem>
      <errorID>e9d83409-f1cf-4593-b2b4-715bf253757a</errorID>
      <errorWord>存至</errorWord>
      <group>L1_Word</group>
      <groupName>字词问题</groupName>
      <ability>L2_Typo</ability>
      <abilityName>字词错误</abilityName>
      <candidateList>
        <item>存在</item>
      </candidateList>
      <explain/>
      <paraID>3E8A6018</paraID>
      <start>17</start>
      <end>19</end>
      <status>unmodified</status>
      <modifiedWord/>
      <trackRevisions>false</trackRevisions>
    </reviewItem>
    <reviewItem>
      <errorID>d922c689-e848-4a82-b977-5d5a6f13e295</errorID>
      <errorWord>上线</errorWord>
      <group>L1_Word</group>
      <groupName>字词问题</groupName>
      <ability>L2_Typo</ability>
      <abilityName>字词错误</abilityName>
      <candidateList>
        <item>上限</item>
      </candidateList>
      <explain/>
      <paraID> FFD9536</paraID>
      <start>41</start>
      <end>43</end>
      <status>unmodified</status>
      <modifiedWord/>
      <trackRevisions>false</trackRevisions>
    </reviewItem>
    <reviewItem>
      <errorID>0f169970-7cd2-4470-9d50-cb2f94d241ba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1E17F4B2</paraID>
      <start>0</start>
      <end>2</end>
      <status>unmodified</status>
      <modifiedWord/>
      <trackRevisions>false</trackRevisions>
    </reviewItem>
    <reviewItem>
      <errorID>8038164b-4c11-42f8-80f3-366ceb76b60b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5FD5AA2B</paraID>
      <start>0</start>
      <end>2</end>
      <status>unmodified</status>
      <modifiedWord/>
      <trackRevisions>false</trackRevisions>
    </reviewItem>
    <reviewItem>
      <errorID>2ab211ae-ad63-4437-bb76-997d4c625b3f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7CFB6196</paraID>
      <start>0</start>
      <end>2</end>
      <status>unmodified</status>
      <modifiedWord/>
      <trackRevisions>false</trackRevisions>
    </reviewItem>
    <reviewItem>
      <errorID>eb3b471d-c726-4e72-8491-6d91b0341649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17099E05</paraID>
      <start>0</start>
      <end>2</end>
      <status>unmodified</status>
      <modifiedWord/>
      <trackRevisions>false</trackRevisions>
    </reviewItem>
    <reviewItem>
      <errorID>4949292f-3d73-408d-876e-d5ad42a1b9a0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4B93A9ED</paraID>
      <start>0</start>
      <end>2</end>
      <status>unmodified</status>
      <modifiedWord/>
      <trackRevisions>false</trackRevisions>
    </reviewItem>
    <reviewItem>
      <errorID>cf9760e8-ba0a-4b4e-92a9-ebd091561d8b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3C5CD388</paraID>
      <start>0</start>
      <end>2</end>
      <status>unmodified</status>
      <modifiedWord/>
      <trackRevisions>false</trackRevisions>
    </reviewItem>
    <reviewItem>
      <errorID>55eff32e-5e17-4a22-81b5-e0129c08ff80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3B3BB495</paraID>
      <start>0</start>
      <end>2</end>
      <status>unmodified</status>
      <modifiedWord/>
      <trackRevisions>false</trackRevisions>
    </reviewItem>
    <reviewItem>
      <errorID>8f5de44a-8c2c-4474-8187-8ab29682eddb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36341769</paraID>
      <start>0</start>
      <end>2</end>
      <status>unmodified</status>
      <modifiedWord/>
      <trackRevisions>false</trackRevisions>
    </reviewItem>
    <reviewItem>
      <errorID>fe6fd503-405c-4f68-8a8d-364085080c53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1A363A03</paraID>
      <start>0</start>
      <end>2</end>
      <status>unmodified</status>
      <modifiedWord/>
      <trackRevisions>false</trackRevisions>
    </reviewItem>
    <reviewItem>
      <errorID>5cdb5216-2806-4e8c-a76e-8d27bb401ff1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23B7113B</paraID>
      <start>0</start>
      <end>2</end>
      <status>unmodified</status>
      <modifiedWord/>
      <trackRevisions>false</trackRevisions>
    </reviewItem>
    <reviewItem>
      <errorID>466fed32-ea87-40fc-865b-048b82995d56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3507DDFE</paraID>
      <start>0</start>
      <end>2</end>
      <status>unmodified</status>
      <modifiedWord/>
      <trackRevisions>false</trackRevisions>
    </reviewItem>
    <reviewItem>
      <errorID>e3316a87-d169-492d-804b-49e54ba60ac7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3BDE580C</paraID>
      <start>0</start>
      <end>2</end>
      <status>unmodified</status>
      <modifiedWord/>
      <trackRevisions>false</trackRevisions>
    </reviewItem>
    <reviewItem>
      <errorID>5e7f83b3-da40-4d9f-a9bf-9bb2f3678cbb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63287DB</paraID>
      <start>0</start>
      <end>2</end>
      <status>unmodified</status>
      <modifiedWord/>
      <trackRevisions>false</trackRevisions>
    </reviewItem>
    <reviewItem>
      <errorID>2bbc40cc-8cef-41ef-b1a5-ec3396ddb804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666CE826</paraID>
      <start>0</start>
      <end>2</end>
      <status>unmodified</status>
      <modifiedWord/>
      <trackRevisions>false</trackRevisions>
    </reviewItem>
    <reviewItem>
      <errorID>4b1647f0-cda5-4488-ada6-5f2bd6a0998e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1EF5AB61</paraID>
      <start>0</start>
      <end>2</end>
      <status>unmodified</status>
      <modifiedWord/>
      <trackRevisions>false</trackRevisions>
    </reviewItem>
    <reviewItem>
      <errorID>8ffcf3b0-ffdb-40cc-a7fd-1e5b84ed0204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1D5D6ED1</paraID>
      <start>0</start>
      <end>2</end>
      <status>unmodified</status>
      <modifiedWord/>
      <trackRevisions>false</trackRevisions>
    </reviewItem>
    <reviewItem>
      <errorID>424f6a22-956e-4344-ba60-09760b57a84d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E116874</paraID>
      <start>0</start>
      <end>2</end>
      <status>unmodified</status>
      <modifiedWord/>
      <trackRevisions>false</trackRevisions>
    </reviewItem>
    <reviewItem>
      <errorID>7a2030ac-8f1f-41a1-ae69-c6abab262cc3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6397C2FA</paraID>
      <start>0</start>
      <end>2</end>
      <status>unmodified</status>
      <modifiedWord/>
      <trackRevisions>false</trackRevisions>
    </reviewItem>
    <reviewItem>
      <errorID>da397f94-d062-44e3-839c-40d623c83bbe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60631B3F</paraID>
      <start>0</start>
      <end>2</end>
      <status>unmodified</status>
      <modifiedWord/>
      <trackRevisions>false</trackRevisions>
    </reviewItem>
    <reviewItem>
      <errorID>d0e2901b-52d4-4ba6-84c2-1daa7b888a35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786B1D18</paraID>
      <start>0</start>
      <end>2</end>
      <status>unmodified</status>
      <modifiedWord/>
      <trackRevisions>false</trackRevisions>
    </reviewItem>
    <reviewItem>
      <errorID>678bde12-ef17-4e2b-bcd0-c64cc7b81749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CD4D15E</paraID>
      <start>0</start>
      <end>2</end>
      <status>unmodified</status>
      <modifiedWord/>
      <trackRevisions>false</trackRevisions>
    </reviewItem>
    <reviewItem>
      <errorID>255b34ad-7062-4384-a43e-043da3069340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2A814563</paraID>
      <start>0</start>
      <end>2</end>
      <status>unmodified</status>
      <modifiedWord/>
      <trackRevisions>false</trackRevisions>
    </reviewItem>
    <reviewItem>
      <errorID>46cd8554-5c57-4356-9b09-feb8e0421d3e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2EBA885B</paraID>
      <start>0</start>
      <end>2</end>
      <status>unmodified</status>
      <modifiedWord/>
      <trackRevisions>false</trackRevisions>
    </reviewItem>
    <reviewItem>
      <errorID>e9a8f857-a986-43f6-be6f-3615394851f2</errorID>
      <errorWord>”</errorWord>
      <group>L1_Punc</group>
      <groupName>标点问题</groupName>
      <ability>L2_Punc</ability>
      <abilityName>标点符号检查</abilityName>
      <candidateList/>
      <explain/>
      <paraID>4BAC94C1</paraID>
      <start>169</start>
      <end>170</end>
      <status>unmodified</status>
      <modifiedWord/>
      <trackRevisions>false</trackRevisions>
    </reviewItem>
    <reviewItem>
      <errorID>48395406-c4f5-46ea-a161-3c589c1293aa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241D718E</paraID>
      <start>0</start>
      <end>2</end>
      <status>unmodified</status>
      <modifiedWord/>
      <trackRevisions>false</trackRevisions>
    </reviewItem>
    <reviewItem>
      <errorID>3c86b081-ce9f-485f-8703-f25f923add33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4348A110</paraID>
      <start>0</start>
      <end>2</end>
      <status>unmodified</status>
      <modifiedWord/>
      <trackRevisions>false</trackRevisions>
    </reviewItem>
    <reviewItem>
      <errorID>42b74eae-ce5c-41b1-9909-f583a796f1a2</errorID>
      <errorWord>，</errorWord>
      <group>L1_Word</group>
      <groupName>字词问题</groupName>
      <ability>L2_Typo</ability>
      <abilityName>字词错误</abilityName>
      <candidateList>
        <item>，在</item>
      </candidateList>
      <explain/>
      <paraID>73D6E4E4</paraID>
      <start>55</start>
      <end>56</end>
      <status>unmodified</status>
      <modifiedWord/>
      <trackRevisions>false</trackRevisions>
    </reviewItem>
    <reviewItem>
      <errorID>b2e3c037-e105-4054-b853-5feb4c753e01</errorID>
      <errorWord>》</errorWord>
      <group>L1_Word</group>
      <groupName>字词问题</groupName>
      <ability>L2_Typo</ability>
      <abilityName>字词错误</abilityName>
      <candidateList>
        <item>》等</item>
      </candidateList>
      <explain/>
      <paraID>35341CDB</paraID>
      <start>24</start>
      <end>25</end>
      <status>unmodified</status>
      <modifiedWord/>
      <trackRevisions>false</trackRevisions>
    </reviewItem>
    <reviewItem>
      <errorID>f1e482ea-27e6-4388-a963-58f565202369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556CBA0B</paraID>
      <start>0</start>
      <end>2</end>
      <status>unmodified</status>
      <modifiedWord/>
      <trackRevisions>false</trackRevisions>
    </reviewItem>
    <reviewItem>
      <errorID>8c5c1730-7800-4241-af29-e43d2d736cfb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3B4E556B</paraID>
      <start>0</start>
      <end>3</end>
      <status>unmodified</status>
      <modifiedWord/>
      <trackRevisions>false</trackRevisions>
    </reviewItem>
    <reviewItem>
      <errorID>22f05b04-e89a-45c6-806a-d299e2c73a00</errorID>
      <errorWord>大气污染处理</errorWord>
      <group>L1_Knowledge</group>
      <groupName>知识性问题</groupName>
      <ability>L2_Term</ability>
      <abilityName>专业术语</abilityName>
      <candidateList>
        <item>大气污染治理</item>
      </candidateList>
      <explain/>
      <paraID>14D74DEB</paraID>
      <start>178</start>
      <end>184</end>
      <status>unmodified</status>
      <modifiedWord/>
      <trackRevisions>false</trackRevisions>
    </reviewItem>
    <reviewItem>
      <errorID>7a77eece-0bdb-4a13-8d5c-e68c7bdbfdf6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43A44F8B</paraID>
      <start>58</start>
      <end>59</end>
      <status>unmodified</status>
      <modifiedWord/>
      <trackRevisions>false</trackRevisions>
    </reviewItem>
    <reviewItem>
      <errorID>216eb649-3a34-4233-a4eb-74adf1d58e59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6B178C96</paraID>
      <start>0</start>
      <end>3</end>
      <status>unmodified</status>
      <modifiedWord/>
      <trackRevisions>false</trackRevisions>
    </reviewItem>
    <reviewItem>
      <errorID>0c7f8a8b-736f-4eca-80c2-3c04ab4181dd</errorID>
      <errorWord>与</errorWord>
      <group>L1_Word</group>
      <groupName>字词问题</groupName>
      <ability>L2_Typo</ability>
      <abilityName>字词错误</abilityName>
      <candidateList>
        <item>于</item>
      </candidateList>
      <explain>存在发音相同字词的误用。</explain>
      <paraID>5FC418B9</paraID>
      <start>48</start>
      <end>49</end>
      <status>unmodified</status>
      <modifiedWord/>
      <trackRevisions>false</trackRevisions>
    </reviewItem>
    <reviewItem>
      <errorID>4797705b-d2ff-4dfb-98e0-228bdcf0d62b</errorID>
      <errorWord>与</errorWord>
      <group>L1_Word</group>
      <groupName>字词问题</groupName>
      <ability>L2_Typo</ability>
      <abilityName>字词错误</abilityName>
      <candidateList>
        <item>于</item>
      </candidateList>
      <explain>存在发音相同字词的误用。</explain>
      <paraID>3F7AD674</paraID>
      <start>30</start>
      <end>31</end>
      <status>unmodified</status>
      <modifiedWord/>
      <trackRevisions>false</trackRevisions>
    </reviewItem>
    <reviewItem>
      <errorID>95bfabd3-99b6-4049-beeb-913c3600243b</errorID>
      <errorWord>污染处理</errorWord>
      <group>L1_Knowledge</group>
      <groupName>知识性问题</groupName>
      <ability>L2_Term</ability>
      <abilityName>专业术语</abilityName>
      <candidateList>
        <item>污水处理</item>
      </candidateList>
      <explain/>
      <paraID>30AB7008</paraID>
      <start>3</start>
      <end>7</end>
      <status>unmodified</status>
      <modifiedWord/>
      <trackRevisions>false</trackRevisions>
    </reviewItem>
    <reviewItem>
      <errorID>302a7f4d-bec0-4e7a-a4fa-5ab105aa57b7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1EB78515</paraID>
      <start>0</start>
      <end>3</end>
      <status>unmodified</status>
      <modifiedWord/>
      <trackRevisions>false</trackRevisions>
    </reviewItem>
    <reviewItem>
      <errorID>fac63416-342f-4611-a08c-cb1bd73a4eaf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F241DB4</paraID>
      <start>164</start>
      <end>165</end>
      <status>unmodified</status>
      <modifiedWord/>
      <trackRevisions>false</trackRevisions>
    </reviewItem>
    <reviewItem>
      <errorID>0fad7d4e-c884-4607-bbfa-bb6cb46287ba</errorID>
      <errorWord>(</errorWord>
      <group>L1_Format</group>
      <groupName>格式问题</groupName>
      <ability>L2_HalfPunc</ability>
      <abilityName>全半角检查</abilityName>
      <candidateList>
        <item>（</item>
      </candidateList>
      <explain>文本全半角错误。</explain>
      <paraID>62D5DEC6</paraID>
      <start>100</start>
      <end>101</end>
      <status>unmodified</status>
      <modifiedWord/>
      <trackRevisions>false</trackRevisions>
    </reviewItem>
    <reviewItem>
      <errorID>fbb5c557-a2dd-461d-8215-015ec0802920</errorID>
      <errorWord>)</errorWord>
      <group>L1_Format</group>
      <groupName>格式问题</groupName>
      <ability>L2_HalfPunc</ability>
      <abilityName>全半角检查</abilityName>
      <candidateList>
        <item>）</item>
      </candidateList>
      <explain>文本全半角错误。</explain>
      <paraID>62D5DEC6</paraID>
      <start>119</start>
      <end>120</end>
      <status>unmodified</status>
      <modifiedWord/>
      <trackRevisions>false</trackRevisions>
    </reviewItem>
    <reviewItem>
      <errorID>ed18609c-f47c-47ba-b6ad-c7d1f786355d</errorID>
      <errorWord>(</errorWord>
      <group>L1_Format</group>
      <groupName>格式问题</groupName>
      <ability>L2_HalfPunc</ability>
      <abilityName>全半角检查</abilityName>
      <candidateList>
        <item>（</item>
      </candidateList>
      <explain>文本全半角错误。</explain>
      <paraID>62D5DEC6</paraID>
      <start>150</start>
      <end>151</end>
      <status>unmodified</status>
      <modifiedWord/>
      <trackRevisions>false</trackRevisions>
    </reviewItem>
    <reviewItem>
      <errorID>cf19531b-5095-4ddf-a524-93240af8d962</errorID>
      <errorWord>)</errorWord>
      <group>L1_Format</group>
      <groupName>格式问题</groupName>
      <ability>L2_HalfPunc</ability>
      <abilityName>全半角检查</abilityName>
      <candidateList>
        <item>）</item>
      </candidateList>
      <explain>文本全半角错误。</explain>
      <paraID>62D5DEC6</paraID>
      <start>158</start>
      <end>159</end>
      <status>unmodified</status>
      <modifiedWord/>
      <trackRevisions>false</trackRevisions>
    </reviewItem>
    <reviewItem>
      <errorID>aea83eab-58d8-4425-81c2-98c31d559328</errorID>
      <errorWord>计</errorWord>
      <group>L1_Word</group>
      <groupName>字词问题</groupName>
      <ability>L2_Typo</ability>
      <abilityName>字词错误</abilityName>
      <candidateList>
        <item>计算</item>
      </candidateList>
      <explain/>
      <paraID>4A9C64A0</paraID>
      <start>109</start>
      <end>110</end>
      <status>unmodified</status>
      <modifiedWord/>
      <trackRevisions>false</trackRevisions>
    </reviewItem>
    <reviewItem>
      <errorID>9537b2ca-0565-4b8f-b33a-7cd4465c2684</errorID>
      <errorWord>留在</errorWord>
      <group>L1_Word</group>
      <groupName>字词问题</groupName>
      <ability>L2_Typo</ability>
      <abilityName>字词错误</abilityName>
      <candidateList>
        <item>留置</item>
      </candidateList>
      <explain/>
      <paraID>74E2D3F5</paraID>
      <start>62</start>
      <end>64</end>
      <status>unmodified</status>
      <modifiedWord/>
      <trackRevisions>false</trackRevisions>
    </reviewItem>
    <reviewItem>
      <errorID>a579d2c4-61f5-457e-8699-1d3b9392d9b8</errorID>
      <errorWord>程</errorWord>
      <group>L1_Word</group>
      <groupName>字词问题</groupName>
      <ability>L2_Typo</ability>
      <abilityName>字词错误</abilityName>
      <candidateList>
        <item>程中</item>
      </candidateList>
      <explain/>
      <paraID>7311275E</paraID>
      <start>5</start>
      <end>6</end>
      <status>unmodified</status>
      <modifiedWord/>
      <trackRevisions>false</trackRevisions>
    </reviewItem>
    <reviewItem>
      <errorID>04e01f4a-1fa3-4dec-99e9-7e32ba0a51a8</errorID>
      <errorWord>程</errorWord>
      <group>L1_Word</group>
      <groupName>字词问题</groupName>
      <ability>L2_Typo</ability>
      <abilityName>字词错误</abilityName>
      <candidateList>
        <item>程中</item>
      </candidateList>
      <explain/>
      <paraID>54BF7584</paraID>
      <start>13</start>
      <end>14</end>
      <status>unmodified</status>
      <modifiedWord/>
      <trackRevisions>false</trackRevisions>
    </reviewItem>
    <reviewItem>
      <errorID>474833a4-2ce8-4e64-ba3b-5311e9b45030</errorID>
      <errorWord>（</errorWord>
      <group>L1_Format</group>
      <groupName>格式问题</groupName>
      <ability>L2_HalfPunc</ability>
      <abilityName>全半角检查</abilityName>
      <candidateList>
        <item>(</item>
      </candidateList>
      <explain>文本全半角错误。</explain>
      <paraID>2ADDC98F</paraID>
      <start>17</start>
      <end>18</end>
      <status>modified</status>
      <modifiedWord>(</modifiedWord>
      <trackRevisions>false</trackRevisions>
    </reviewItem>
    <reviewItem>
      <errorID>7f277d2c-6f1d-497d-a47d-99f2985ef10e</errorID>
      <errorWord>）</errorWord>
      <group>L1_Format</group>
      <groupName>格式问题</groupName>
      <ability>L2_HalfPunc</ability>
      <abilityName>全半角检查</abilityName>
      <candidateList>
        <item>)</item>
      </candidateList>
      <explain>文本全半角错误。</explain>
      <paraID>2ADDC98F</paraID>
      <start>19</start>
      <end>20</end>
      <status>modified</status>
      <modifiedWord>)</modifiedWord>
      <trackRevisions>false</trackRevisions>
    </reviewItem>
    <reviewItem>
      <errorID>a8c37675-4523-4e39-bd1b-c64fac2bf178</errorID>
      <errorWord>（</errorWord>
      <group>L1_Format</group>
      <groupName>格式问题</groupName>
      <ability>L2_HalfPunc</ability>
      <abilityName>全半角检查</abilityName>
      <candidateList>
        <item>(</item>
      </candidateList>
      <explain>文本全半角错误。</explain>
      <paraID>656059B5</paraID>
      <start>20</start>
      <end>21</end>
      <status>modified</status>
      <modifiedWord>(</modifiedWord>
      <trackRevisions>false</trackRevisions>
    </reviewItem>
    <reviewItem>
      <errorID>8bbfd035-9699-4c1c-bb6f-2f6456abf4a6</errorID>
      <errorWord>）</errorWord>
      <group>L1_Format</group>
      <groupName>格式问题</groupName>
      <ability>L2_HalfPunc</ability>
      <abilityName>全半角检查</abilityName>
      <candidateList>
        <item>)</item>
      </candidateList>
      <explain>文本全半角错误。</explain>
      <paraID>656059B5</paraID>
      <start>22</start>
      <end>23</end>
      <status>modified</status>
      <modifiedWord>)</modifiedWord>
      <trackRevisions>false</trackRevisions>
    </reviewItem>
    <reviewItem>
      <errorID>70859969-dabd-48d5-8b3e-91e724fe008e</errorID>
      <errorWord>(</errorWord>
      <group>L1_Format</group>
      <groupName>格式问题</groupName>
      <ability>L2_HalfPunc</ability>
      <abilityName>全半角检查</abilityName>
      <candidateList>
        <item>（</item>
      </candidateList>
      <explain>文本全半角错误。</explain>
      <paraID>54FBEF91</paraID>
      <start>2</start>
      <end>3</end>
      <status>modified</status>
      <modifiedWord>（</modifiedWord>
      <trackRevisions>false</trackRevisions>
    </reviewItem>
    <reviewItem>
      <errorID>48ac04e5-4ca3-4af3-abf4-0c5ef1ec3bfd</errorID>
      <errorWord>)</errorWord>
      <group>L1_Format</group>
      <groupName>格式问题</groupName>
      <ability>L2_HalfPunc</ability>
      <abilityName>全半角检查</abilityName>
      <candidateList>
        <item>）</item>
      </candidateList>
      <explain>文本全半角错误。</explain>
      <paraID>54FBEF91</paraID>
      <start>6</start>
      <end>7</end>
      <status>modified</status>
      <modifiedWord>）</modifiedWord>
      <trackRevisions>false</trackRevisions>
    </reviewItem>
    <reviewItem>
      <errorID>b92c4cdf-1e18-46d3-9b7b-3b3bc45d07d9</errorID>
      <errorWord>(</errorWord>
      <group>L1_Format</group>
      <groupName>格式问题</groupName>
      <ability>L2_HalfPunc</ability>
      <abilityName>全半角检查</abilityName>
      <candidateList>
        <item>（</item>
      </candidateList>
      <explain>文本全半角错误。</explain>
      <paraID>  9409B7</paraID>
      <start>2</start>
      <end>3</end>
      <status>modified</status>
      <modifiedWord>（</modifiedWord>
      <trackRevisions>false</trackRevisions>
    </reviewItem>
    <reviewItem>
      <errorID>4566b5a7-d0f4-497f-9209-3623df68ecd9</errorID>
      <errorWord>)</errorWord>
      <group>L1_Format</group>
      <groupName>格式问题</groupName>
      <ability>L2_HalfPunc</ability>
      <abilityName>全半角检查</abilityName>
      <candidateList>
        <item>）</item>
      </candidateList>
      <explain>文本全半角错误。</explain>
      <paraID>  9409B7</paraID>
      <start>6</start>
      <end>7</end>
      <status>modified</status>
      <modifiedWord>）</modifiedWord>
      <trackRevisions>false</trackRevisions>
    </reviewItem>
    <reviewItem>
      <errorID>e9beb671-15ed-4e47-95e2-50f4d0fa5452</errorID>
      <errorWord>(</errorWord>
      <group>L1_Format</group>
      <groupName>格式问题</groupName>
      <ability>L2_HalfPunc</ability>
      <abilityName>全半角检查</abilityName>
      <candidateList>
        <item>（</item>
      </candidateList>
      <explain>文本全半角错误。</explain>
      <paraID>36B5E67A</paraID>
      <start>14</start>
      <end>15</end>
      <status>modified</status>
      <modifiedWord>（</modifiedWord>
      <trackRevisions>false</trackRevisions>
    </reviewItem>
    <reviewItem>
      <errorID>3ded926d-56f8-4387-b8ed-befc2fed744b</errorID>
      <errorWord>)</errorWord>
      <group>L1_Format</group>
      <groupName>格式问题</groupName>
      <ability>L2_HalfPunc</ability>
      <abilityName>全半角检查</abilityName>
      <candidateList>
        <item>）</item>
      </candidateList>
      <explain>文本全半角错误。</explain>
      <paraID>36B5E67A</paraID>
      <start>20</start>
      <end>21</end>
      <status>modified</status>
      <modifiedWord>）</modifiedWord>
      <trackRevisions>false</trackRevisions>
    </reviewItem>
    <reviewItem>
      <errorID>dd26e1f6-2e39-4995-b1af-b780ccfd9590</errorID>
      <errorWord>(</errorWord>
      <group>L1_Format</group>
      <groupName>格式问题</groupName>
      <ability>L2_HalfPunc</ability>
      <abilityName>全半角检查</abilityName>
      <candidateList>
        <item>（</item>
      </candidateList>
      <explain>文本全半角错误。</explain>
      <paraID>6939DABF</paraID>
      <start>5</start>
      <end>6</end>
      <status>modified</status>
      <modifiedWord>（</modifiedWord>
      <trackRevisions>false</trackRevisions>
    </reviewItem>
    <reviewItem>
      <errorID>6743b8aa-0084-449c-9b79-d6b577b8fdf7</errorID>
      <errorWord>)</errorWord>
      <group>L1_Format</group>
      <groupName>格式问题</groupName>
      <ability>L2_HalfPunc</ability>
      <abilityName>全半角检查</abilityName>
      <candidateList>
        <item>）</item>
      </candidateList>
      <explain>文本全半角错误。</explain>
      <paraID>6939DABF</paraID>
      <start>10</start>
      <end>11</end>
      <status>modified</status>
      <modifiedWord>）</modifiedWord>
      <trackRevisions>false</trackRevisions>
    </reviewItem>
    <reviewItem>
      <errorID>3daecdfb-f821-4d86-922c-50005ccfc263</errorID>
      <errorWord>(</errorWord>
      <group>L1_Format</group>
      <groupName>格式问题</groupName>
      <ability>L2_HalfPunc</ability>
      <abilityName>全半角检查</abilityName>
      <candidateList>
        <item>（</item>
      </candidateList>
      <explain>文本全半角错误。</explain>
      <paraID>3AB54738</paraID>
      <start>10</start>
      <end>11</end>
      <status>modified</status>
      <modifiedWord>（</modifiedWord>
      <trackRevisions>false</trackRevisions>
    </reviewItem>
    <reviewItem>
      <errorID>ec5dd62d-c4d4-4ca8-8776-7b34b80b5299</errorID>
      <errorWord>)</errorWord>
      <group>L1_Format</group>
      <groupName>格式问题</groupName>
      <ability>L2_HalfPunc</ability>
      <abilityName>全半角检查</abilityName>
      <candidateList>
        <item>）</item>
      </candidateList>
      <explain>文本全半角错误。</explain>
      <paraID>3AB54738</paraID>
      <start>16</start>
      <end>17</end>
      <status>modified</status>
      <modifiedWord>）</modifiedWord>
      <trackRevisions>false</trackRevisions>
    </reviewItem>
    <reviewItem>
      <errorID>d4dadd55-1012-4069-a11e-2a5bfdef3299</errorID>
      <errorWord>(</errorWord>
      <group>L1_Format</group>
      <groupName>格式问题</groupName>
      <ability>L2_HalfPunc</ability>
      <abilityName>全半角检查</abilityName>
      <candidateList>
        <item>（</item>
      </candidateList>
      <explain>文本全半角错误。</explain>
      <paraID>10906A71</paraID>
      <start>2</start>
      <end>3</end>
      <status>modified</status>
      <modifiedWord>（</modifiedWord>
      <trackRevisions>false</trackRevisions>
    </reviewItem>
    <reviewItem>
      <errorID>b5859c55-059c-4998-b390-e057139f079a</errorID>
      <errorWord>)</errorWord>
      <group>L1_Format</group>
      <groupName>格式问题</groupName>
      <ability>L2_HalfPunc</ability>
      <abilityName>全半角检查</abilityName>
      <candidateList>
        <item>）</item>
      </candidateList>
      <explain>文本全半角错误。</explain>
      <paraID>10906A71</paraID>
      <start>14</start>
      <end>15</end>
      <status>modified</status>
      <modifiedWord>）</modifiedWord>
      <trackRevisions>false</trackRevisions>
    </reviewItem>
    <reviewItem>
      <errorID>bd40414a-81a6-4971-b16c-9ee3f1be2e81</errorID>
      <errorWord>(</errorWord>
      <group>L1_Format</group>
      <groupName>格式问题</groupName>
      <ability>L2_HalfPunc</ability>
      <abilityName>全半角检查</abilityName>
      <candidateList>
        <item>（</item>
      </candidateList>
      <explain>文本全半角错误。</explain>
      <paraID>24DD1A02</paraID>
      <start>12</start>
      <end>13</end>
      <status>modified</status>
      <modifiedWord>（</modifiedWord>
      <trackRevisions>false</trackRevisions>
    </reviewItem>
    <reviewItem>
      <errorID>85d69fe9-17fb-4697-8347-36c3a67189b7</errorID>
      <errorWord>)</errorWord>
      <group>L1_Format</group>
      <groupName>格式问题</groupName>
      <ability>L2_HalfPunc</ability>
      <abilityName>全半角检查</abilityName>
      <candidateList>
        <item>）</item>
      </candidateList>
      <explain>文本全半角错误。</explain>
      <paraID>24DD1A02</paraID>
      <start>18</start>
      <end>19</end>
      <status>modified</status>
      <modifiedWord>）</modifiedWord>
      <trackRevisions>false</trackRevisions>
    </reviewItem>
    <reviewItem>
      <errorID>6cfdd457-b249-4e4d-8166-da225a3e3ac4</errorID>
      <errorWord>(</errorWord>
      <group>L1_Format</group>
      <groupName>格式问题</groupName>
      <ability>L2_HalfPunc</ability>
      <abilityName>全半角检查</abilityName>
      <candidateList>
        <item>（</item>
      </candidateList>
      <explain>文本全半角错误。</explain>
      <paraID>5E49DE9A</paraID>
      <start>15</start>
      <end>16</end>
      <status>modified</status>
      <modifiedWord>（</modifiedWord>
      <trackRevisions>false</trackRevisions>
    </reviewItem>
    <reviewItem>
      <errorID>37c71b47-eb7c-4686-9d59-245876c2ddd9</errorID>
      <errorWord>)</errorWord>
      <group>L1_Format</group>
      <groupName>格式问题</groupName>
      <ability>L2_HalfPunc</ability>
      <abilityName>全半角检查</abilityName>
      <candidateList>
        <item>）</item>
      </candidateList>
      <explain>文本全半角错误。</explain>
      <paraID>5E49DE9A</paraID>
      <start>21</start>
      <end>22</end>
      <status>modified</status>
      <modifiedWord>）</modifiedWord>
      <trackRevisions>false</trackRevisions>
    </reviewItem>
    <reviewItem>
      <errorID>c54de9cd-d4e0-4465-9d0f-92ec14f7c1ad</errorID>
      <errorWord>(</errorWord>
      <group>L1_Format</group>
      <groupName>格式问题</groupName>
      <ability>L2_HalfPunc</ability>
      <abilityName>全半角检查</abilityName>
      <candidateList>
        <item>（</item>
      </candidateList>
      <explain>文本全半角错误。</explain>
      <paraID>49B69F70</paraID>
      <start>2</start>
      <end>3</end>
      <status>modified</status>
      <modifiedWord>（</modifiedWord>
      <trackRevisions>false</trackRevisions>
    </reviewItem>
    <reviewItem>
      <errorID>01cfc4b5-d547-4bc4-a611-48e9c7dc78f9</errorID>
      <errorWord>)</errorWord>
      <group>L1_Format</group>
      <groupName>格式问题</groupName>
      <ability>L2_HalfPunc</ability>
      <abilityName>全半角检查</abilityName>
      <candidateList>
        <item>）</item>
      </candidateList>
      <explain>文本全半角错误。</explain>
      <paraID>49B69F70</paraID>
      <start>7</start>
      <end>8</end>
      <status>modified</status>
      <modifiedWord>）</modifiedWord>
      <trackRevisions>false</trackRevisions>
    </reviewItem>
    <reviewItem>
      <errorID>bcc15574-0817-4122-90e3-be309eecc025</errorID>
      <errorWord>(</errorWord>
      <group>L1_Format</group>
      <groupName>格式问题</groupName>
      <ability>L2_HalfPunc</ability>
      <abilityName>全半角检查</abilityName>
      <candidateList>
        <item>（</item>
      </candidateList>
      <explain>文本全半角错误。</explain>
      <paraID>  4A1291</paraID>
      <start>2</start>
      <end>3</end>
      <status>modified</status>
      <modifiedWord>（</modifiedWord>
      <trackRevisions>false</trackRevisions>
    </reviewItem>
    <reviewItem>
      <errorID>efbf66ef-6dd2-43ae-a958-f23a1c08c412</errorID>
      <errorWord>)</errorWord>
      <group>L1_Format</group>
      <groupName>格式问题</groupName>
      <ability>L2_HalfPunc</ability>
      <abilityName>全半角检查</abilityName>
      <candidateList>
        <item>）</item>
      </candidateList>
      <explain>文本全半角错误。</explain>
      <paraID>  4A1291</paraID>
      <start>6</start>
      <end>7</end>
      <status>modified</status>
      <modifiedWord>）</modifiedWord>
      <trackRevisions>false</trackRevisions>
    </reviewItem>
    <reviewItem>
      <errorID>1e6fa69e-3bc1-4c09-9679-5a301d2d9f76</errorID>
      <errorWord>(</errorWord>
      <group>L1_Format</group>
      <groupName>格式问题</groupName>
      <ability>L2_HalfPunc</ability>
      <abilityName>全半角检查</abilityName>
      <candidateList>
        <item>（</item>
      </candidateList>
      <explain>文本全半角错误。</explain>
      <paraID>2357A18E</paraID>
      <start>2</start>
      <end>3</end>
      <status>modified</status>
      <modifiedWord>（</modifiedWord>
      <trackRevisions>false</trackRevisions>
    </reviewItem>
    <reviewItem>
      <errorID>f17223cd-f058-4aa4-b96e-debb0520c2b1</errorID>
      <errorWord>)</errorWord>
      <group>L1_Format</group>
      <groupName>格式问题</groupName>
      <ability>L2_HalfPunc</ability>
      <abilityName>全半角检查</abilityName>
      <candidateList>
        <item>）</item>
      </candidateList>
      <explain>文本全半角错误。</explain>
      <paraID>2357A18E</paraID>
      <start>6</start>
      <end>7</end>
      <status>modified</status>
      <modifiedWord>）</modifiedWord>
      <trackRevisions>false</trackRevisions>
    </reviewItem>
    <reviewItem>
      <errorID>00b2fbd8-649d-4cd7-b1aa-c49f7526adb4</errorID>
      <errorWord>(</errorWord>
      <group>L1_Format</group>
      <groupName>格式问题</groupName>
      <ability>L2_HalfPunc</ability>
      <abilityName>全半角检查</abilityName>
      <candidateList>
        <item>（</item>
      </candidateList>
      <explain>文本全半角错误。</explain>
      <paraID> E56627F</paraID>
      <start>15</start>
      <end>16</end>
      <status>modified</status>
      <modifiedWord>（</modifiedWord>
      <trackRevisions>false</trackRevisions>
    </reviewItem>
    <reviewItem>
      <errorID>29efa245-4e0a-4933-81f0-e0fd82d58519</errorID>
      <errorWord>)</errorWord>
      <group>L1_Format</group>
      <groupName>格式问题</groupName>
      <ability>L2_HalfPunc</ability>
      <abilityName>全半角检查</abilityName>
      <candidateList>
        <item>）</item>
      </candidateList>
      <explain>文本全半角错误。</explain>
      <paraID> E56627F</paraID>
      <start>21</start>
      <end>22</end>
      <status>modified</status>
      <modifiedWord>）</modifiedWord>
      <trackRevisions>false</trackRevisions>
    </reviewItem>
    <reviewItem>
      <errorID>a2d68a18-15df-4c8e-8b22-f424c2ba1e4d</errorID>
      <errorWord>(</errorWord>
      <group>L1_Format</group>
      <groupName>格式问题</groupName>
      <ability>L2_HalfPunc</ability>
      <abilityName>全半角检查</abilityName>
      <candidateList>
        <item>（</item>
      </candidateList>
      <explain>文本全半角错误。</explain>
      <paraID>54ED47B2</paraID>
      <start>4</start>
      <end>5</end>
      <status>modified</status>
      <modifiedWord>（</modifiedWord>
      <trackRevisions>false</trackRevisions>
    </reviewItem>
    <reviewItem>
      <errorID>d0431f86-e6a2-4891-b7e5-32758f7c09e8</errorID>
      <errorWord>)</errorWord>
      <group>L1_Format</group>
      <groupName>格式问题</groupName>
      <ability>L2_HalfPunc</ability>
      <abilityName>全半角检查</abilityName>
      <candidateList>
        <item>）</item>
      </candidateList>
      <explain>文本全半角错误。</explain>
      <paraID>54ED47B2</paraID>
      <start>9</start>
      <end>10</end>
      <status>modified</status>
      <modifiedWord>）</modifiedWord>
      <trackRevisions>false</trackRevisions>
    </reviewItem>
    <reviewItem>
      <errorID>c0bede7a-8b1f-4f55-bd32-fc73d51396c7</errorID>
      <errorWord>(</errorWord>
      <group>L1_Format</group>
      <groupName>格式问题</groupName>
      <ability>L2_HalfPunc</ability>
      <abilityName>全半角检查</abilityName>
      <candidateList>
        <item>（</item>
      </candidateList>
      <explain>文本全半角错误。</explain>
      <paraID>60D83368</paraID>
      <start>2</start>
      <end>3</end>
      <status>modified</status>
      <modifiedWord>（</modifiedWord>
      <trackRevisions>false</trackRevisions>
    </reviewItem>
    <reviewItem>
      <errorID>55526d3d-4a0b-457c-9c5c-7ea5124ea1d2</errorID>
      <errorWord>)</errorWord>
      <group>L1_Format</group>
      <groupName>格式问题</groupName>
      <ability>L2_HalfPunc</ability>
      <abilityName>全半角检查</abilityName>
      <candidateList>
        <item>）</item>
      </candidateList>
      <explain>文本全半角错误。</explain>
      <paraID>60D83368</paraID>
      <start>7</start>
      <end>8</end>
      <status>modified</status>
      <modifiedWord>）</modifiedWord>
      <trackRevisions>false</trackRevisions>
    </reviewItem>
    <reviewItem>
      <errorID>ddb72cb9-617f-40d3-b79f-5d35250d5da4</errorID>
      <errorWord>(</errorWord>
      <group>L1_Format</group>
      <groupName>格式问题</groupName>
      <ability>L2_HalfPunc</ability>
      <abilityName>全半角检查</abilityName>
      <candidateList>
        <item>（</item>
      </candidateList>
      <explain>文本全半角错误。</explain>
      <paraID>74A6061C</paraID>
      <start>4</start>
      <end>5</end>
      <status>modified</status>
      <modifiedWord>（</modifiedWord>
      <trackRevisions>false</trackRevisions>
    </reviewItem>
    <reviewItem>
      <errorID>2f8771e4-780c-40ac-81e7-8be906bf9cc4</errorID>
      <errorWord>)</errorWord>
      <group>L1_Format</group>
      <groupName>格式问题</groupName>
      <ability>L2_HalfPunc</ability>
      <abilityName>全半角检查</abilityName>
      <candidateList>
        <item>）</item>
      </candidateList>
      <explain>文本全半角错误。</explain>
      <paraID>74A6061C</paraID>
      <start>8</start>
      <end>9</end>
      <status>modified</status>
      <modifiedWord>）</modifiedWord>
      <trackRevisions>false</trackRevisions>
    </reviewItem>
    <reviewItem>
      <errorID>3bf91f13-5e05-43cc-9ba9-0b0cdbc4d01d</errorID>
      <errorWord>荧石</errorWord>
      <group>L1_Word</group>
      <groupName>字词问题</groupName>
      <ability>L2_Typo</ability>
      <abilityName>字词错误</abilityName>
      <candidateList>
        <item>萤石</item>
      </candidateList>
      <explain/>
      <paraID>6C3E6642</paraID>
      <start>0</start>
      <end>2</end>
      <status>unmodified</status>
      <modifiedWord/>
      <trackRevisions>false</trackRevisions>
    </reviewItem>
    <reviewItem>
      <errorID>2186ac95-262f-44ef-8f1f-489c1e10815b</errorID>
      <errorWord>荧石</errorWord>
      <group>L1_Word</group>
      <groupName>字词问题</groupName>
      <ability>L2_Typo</ability>
      <abilityName>字词错误</abilityName>
      <candidateList>
        <item>萤石</item>
      </candidateList>
      <explain/>
      <paraID>63442A7B</paraID>
      <start>36</start>
      <end>38</end>
      <status>unmodified</status>
      <modifiedWord/>
      <trackRevisions>false</trackRevisions>
    </reviewItem>
    <reviewItem>
      <errorID>efc9779d-95ae-4ffb-bfe9-fc1137a62f8f</errorID>
      <errorWord>后</errorWord>
      <group>L1_Word</group>
      <groupName>字词问题</groupName>
      <ability>L2_Typo</ability>
      <abilityName>字词错误</abilityName>
      <candidateList>
        <item>后的</item>
      </candidateList>
      <explain/>
      <paraID>1373632E</paraID>
      <start>8</start>
      <end>10</end>
      <status>modified</status>
      <modifiedWord>后的</modifiedWord>
      <trackRevisions>false</trackRevisions>
    </reviewItem>
    <reviewItem>
      <errorID>06b788fe-bfae-498a-99c2-5e777a099091</errorID>
      <errorWord>成型</errorWord>
      <group>L1_Word</group>
      <groupName>字词问题</groupName>
      <ability>L2_Typo</ability>
      <abilityName>字词错误</abilityName>
      <candidateList>
        <item>成形</item>
      </candidateList>
      <explain/>
      <paraID>42B05789</paraID>
      <start>15</start>
      <end>17</end>
      <status>unmodified</status>
      <modifiedWord/>
      <trackRevisions>false</trackRevisions>
    </reviewItem>
    <reviewItem>
      <errorID>7e551bda-fe4c-4160-b103-bc656b0ecbdf</errorID>
      <errorWord>成型</errorWord>
      <group>L1_Word</group>
      <groupName>字词问题</groupName>
      <ability>L2_Typo</ability>
      <abilityName>字词错误</abilityName>
      <candidateList>
        <item>成形</item>
      </candidateList>
      <explain/>
      <paraID> A31C2D0</paraID>
      <start>24</start>
      <end>26</end>
      <status>unmodified</status>
      <modifiedWord/>
      <trackRevisions>false</trackRevisions>
    </reviewItem>
    <reviewItem>
      <errorID>f5d869e3-dac5-4350-90c8-4f806743b5bc</errorID>
      <errorWord>（</errorWord>
      <group>L1_Punc</group>
      <groupName>标点问题</groupName>
      <ability>L2_Punc</ability>
      <abilityName>标点符号检查</abilityName>
      <candidateList/>
      <explain>同一形式括号套用。</explain>
      <paraID>11CF44E4</paraID>
      <start>90</start>
      <end>91</end>
      <status>unmodified</status>
      <modifiedWord/>
      <trackRevisions>false</trackRevisions>
    </reviewItem>
    <reviewItem>
      <errorID>1bfa8bce-b429-4bf6-835a-e53f63df3049</errorID>
      <errorWord>）</errorWord>
      <group>L1_Punc</group>
      <groupName>标点问题</groupName>
      <ability>L2_Punc</ability>
      <abilityName>标点符号检查</abilityName>
      <candidateList/>
      <explain>同一形式括号套用。</explain>
      <paraID>11CF44E4</paraID>
      <start>92</start>
      <end>93</end>
      <status>unmodified</status>
      <modifiedWord/>
      <trackRevisions>false</trackRevisions>
    </reviewItem>
    <reviewItem>
      <errorID>68681868-3cf9-440d-9b4f-273d01bda737</errorID>
      <errorWord>（</errorWord>
      <group>L1_Punc</group>
      <groupName>标点问题</groupName>
      <ability>L2_Punc</ability>
      <abilityName>标点符号检查</abilityName>
      <candidateList/>
      <explain>同一形式括号套用。</explain>
      <paraID>11CF44E4</paraID>
      <start>100</start>
      <end>101</end>
      <status>unmodified</status>
      <modifiedWord/>
      <trackRevisions>false</trackRevisions>
    </reviewItem>
    <reviewItem>
      <errorID>23a25420-7a89-44a4-8015-25ad004aa8a9</errorID>
      <errorWord>）</errorWord>
      <group>L1_Punc</group>
      <groupName>标点问题</groupName>
      <ability>L2_Punc</ability>
      <abilityName>标点符号检查</abilityName>
      <candidateList/>
      <explain>同一形式括号套用。</explain>
      <paraID>11CF44E4</paraID>
      <start>102</start>
      <end>103</end>
      <status>unmodified</status>
      <modifiedWord/>
      <trackRevisions>false</trackRevisions>
    </reviewItem>
    <reviewItem>
      <errorID>bfccf6b0-e5b6-4e6b-8127-1570e7f97acd</errorID>
      <errorWord>，</errorWord>
      <group>L1_Word</group>
      <groupName>字词问题</groupName>
      <ability>L2_Typo</ability>
      <abilityName>字词错误</abilityName>
      <candidateList>
        <item>，在</item>
      </candidateList>
      <explain/>
      <paraID>6918DDC3</paraID>
      <start>159</start>
      <end>160</end>
      <status>unmodified</status>
      <modifiedWord/>
      <trackRevisions>false</trackRevisions>
    </reviewItem>
    <reviewItem>
      <errorID>00a9a000-fbcd-49b5-ab7e-504d3565ce44</errorID>
      <errorWord>～</errorWord>
      <group>L1_Format</group>
      <groupName>格式问题</groupName>
      <ability>L2_HalfPunc</ability>
      <abilityName>全半角检查</abilityName>
      <candidateList>
        <item>~</item>
      </candidateList>
      <explain>文本全半角错误。</explain>
      <paraID>34DBDC32</paraID>
      <start>5</start>
      <end>6</end>
      <status>unmodified</status>
      <modifiedWord/>
      <trackRevisions>false</trackRevisions>
    </reviewItem>
    <reviewItem>
      <errorID>13360833-0eb6-490f-b31f-89d6a32cf6b7</errorID>
      <errorWord>不做</errorWord>
      <group>L1_Word</group>
      <groupName>字词问题</groupName>
      <ability>L2_Typo</ability>
      <abilityName>字词错误</abilityName>
      <candidateList>
        <item>不作</item>
      </candidateList>
      <explain/>
      <paraID>7151ADF3</paraID>
      <start>121</start>
      <end>123</end>
      <status>unmodified</status>
      <modifiedWord/>
      <trackRevisions>false</trackRevisions>
    </reviewItem>
    <reviewItem>
      <errorID>ba99fcb5-dbee-487b-af8d-bc1e9023fdc9</errorID>
      <errorWord>况</errorWord>
      <group>L1_Word</group>
      <groupName>字词问题</groupName>
      <ability>L2_Typo</ability>
      <abilityName>字词错误</abilityName>
      <candidateList>
        <item>况下</item>
      </candidateList>
      <explain/>
      <paraID>7EE1E6DD</paraID>
      <start>95</start>
      <end>96</end>
      <status>unmodified</status>
      <modifiedWord/>
      <trackRevisions>false</trackRevisions>
    </reviewItem>
    <reviewItem>
      <errorID>8c6df00c-e40c-4710-aeb5-28d397a2cc49</errorID>
      <errorWord>最小</errorWord>
      <group>L1_Word</group>
      <groupName>字词问题</groupName>
      <ability>L2_Typo</ability>
      <abilityName>字词错误</abilityName>
      <candidateList>
        <item>最低</item>
      </candidateList>
      <explain/>
      <paraID>792944F5</paraID>
      <start>43</start>
      <end>45</end>
      <status>unmodified</status>
      <modifiedWord/>
      <trackRevisions>false</trackRevisions>
    </reviewItem>
    <reviewItem>
      <errorID>06f74023-698d-4332-808b-98b24d179ad2</errorID>
      <errorWord>能得到有效地</errorWord>
      <group>L1_Word</group>
      <groupName>字词问题</groupName>
      <ability>L2_Typo</ability>
      <abilityName>字词错误</abilityName>
      <candidateList>
        <item>能得到有效</item>
      </candidateList>
      <explain/>
      <paraID>1785F559</paraID>
      <start>35</start>
      <end>41</end>
      <status>unmodified</status>
      <modifiedWord/>
      <trackRevisions>false</trackRevisions>
    </reviewItem>
    <reviewItem>
      <errorID>1eee6e58-34c7-4f12-bead-05a8a89ad9e8</errorID>
      <errorWord>环境大气质量</errorWord>
      <group>L1_Knowledge</group>
      <groupName>知识性问题</groupName>
      <ability>L2_Term</ability>
      <abilityName>专业术语</abilityName>
      <candidateList>
        <item>环境空气质量</item>
      </candidateList>
      <explain/>
      <paraID>1785F559</paraID>
      <start>47</start>
      <end>53</end>
      <status>modified</status>
      <modifiedWord>环境空气质量</modifiedWord>
      <trackRevisions>false</trackRevisions>
    </reviewItem>
    <reviewItem>
      <errorID>0930490f-6380-4b7b-974f-a5d1bc2a2fc8</errorID>
      <errorWord>（</errorWord>
      <group>L1_Format</group>
      <groupName>格式问题</groupName>
      <ability>L2_HalfPunc</ability>
      <abilityName>全半角检查</abilityName>
      <candidateList>
        <item>(</item>
      </candidateList>
      <explain>文本全半角错误。</explain>
      <paraID>46F44770</paraID>
      <start>5</start>
      <end>6</end>
      <status>unmodified</status>
      <modifiedWord/>
      <trackRevisions>false</trackRevisions>
    </reviewItem>
    <reviewItem>
      <errorID>2a3ae16d-8883-48b5-9237-57378e53e334</errorID>
      <errorWord>）</errorWord>
      <group>L1_Format</group>
      <groupName>格式问题</groupName>
      <ability>L2_HalfPunc</ability>
      <abilityName>全半角检查</abilityName>
      <candidateList>
        <item>)</item>
      </candidateList>
      <explain>文本全半角错误。</explain>
      <paraID>46F44770</paraID>
      <start>25</start>
      <end>26</end>
      <status>unmodified</status>
      <modifiedWord/>
      <trackRevisions>false</trackRevisions>
    </reviewItem>
    <reviewItem>
      <errorID>9a9684c7-fadc-4122-8cce-a8be029a7b4e</errorID>
      <errorWord>饱和蒸汽</errorWord>
      <group>L1_Word</group>
      <groupName>字词问题</groupName>
      <ability>L2_Typo</ability>
      <abilityName>字词错误</abilityName>
      <candidateList>
        <item>饱和蒸气</item>
      </candidateList>
      <explain/>
      <paraID>1775E8B2</paraID>
      <start>15</start>
      <end>19</end>
      <status>unmodified</status>
      <modifiedWord/>
      <trackRevisions>false</trackRevisions>
    </reviewItem>
    <reviewItem>
      <errorID>7f5fc3b9-1455-4076-9ff2-2dea4a90ec21</errorID>
      <errorWord>（</errorWord>
      <group>L1_Format</group>
      <groupName>格式问题</groupName>
      <ability>L2_HalfPunc</ability>
      <abilityName>全半角检查</abilityName>
      <candidateList>
        <item>(</item>
      </candidateList>
      <explain>文本全半角错误。</explain>
      <paraID> DC4CC2C</paraID>
      <start>1</start>
      <end>2</end>
      <status>unmodified</status>
      <modifiedWord/>
      <trackRevisions>false</trackRevisions>
    </reviewItem>
    <reviewItem>
      <errorID>4035f505-127c-47b7-ab73-682853189c3a</errorID>
      <errorWord>）</errorWord>
      <group>L1_Format</group>
      <groupName>格式问题</groupName>
      <ability>L2_HalfPunc</ability>
      <abilityName>全半角检查</abilityName>
      <candidateList>
        <item>)</item>
      </candidateList>
      <explain>文本全半角错误。</explain>
      <paraID> DC4CC2C</paraID>
      <start>5</start>
      <end>6</end>
      <status>unmodified</status>
      <modifiedWord/>
      <trackRevisions>false</trackRevisions>
    </reviewItem>
    <reviewItem>
      <errorID>d2d1eddd-c34f-4643-9e16-7d6b5617ad3f</errorID>
      <errorWord>*</errorWord>
      <group>L1_Punc</group>
      <groupName>标点问题</groupName>
      <ability>L2_Punc</ability>
      <abilityName>标点符号检查</abilityName>
      <candidateList/>
      <explain/>
      <paraID>3AB6C295</paraID>
      <start>0</start>
      <end>1</end>
      <status>unmodified</status>
      <modifiedWord/>
      <trackRevisions>false</trackRevisions>
    </reviewItem>
    <reviewItem>
      <errorID>664d11cd-ef0e-4bff-952d-2f28ed37f9fa</errorID>
      <errorWord>（</errorWord>
      <group>L1_Format</group>
      <groupName>格式问题</groupName>
      <ability>L2_HalfPunc</ability>
      <abilityName>全半角检查</abilityName>
      <candidateList>
        <item>(</item>
      </candidateList>
      <explain>文本全半角错误。</explain>
      <paraID>3AB6C295</paraID>
      <start>2</start>
      <end>3</end>
      <status>unmodified</status>
      <modifiedWord/>
      <trackRevisions>false</trackRevisions>
    </reviewItem>
    <reviewItem>
      <errorID>7fcae128-16fb-404b-83ee-7fba54262c02</errorID>
      <errorWord>）</errorWord>
      <group>L1_Format</group>
      <groupName>格式问题</groupName>
      <ability>L2_HalfPunc</ability>
      <abilityName>全半角检查</abilityName>
      <candidateList>
        <item>)</item>
      </candidateList>
      <explain>文本全半角错误。</explain>
      <paraID>3AB6C295</paraID>
      <start>7</start>
      <end>8</end>
      <status>unmodified</status>
      <modifiedWord/>
      <trackRevisions>false</trackRevisions>
    </reviewItem>
    <reviewItem>
      <errorID>c64724b2-7018-4aae-a469-d471e1b958ea</errorID>
      <errorWord>*</errorWord>
      <group>L1_Punc</group>
      <groupName>标点问题</groupName>
      <ability>L2_Punc</ability>
      <abilityName>标点符号检查</abilityName>
      <candidateList/>
      <explain/>
      <paraID>2BD404C7</paraID>
      <start>0</start>
      <end>1</end>
      <status>unmodified</status>
      <modifiedWord/>
      <trackRevisions>false</trackRevisions>
    </reviewItem>
    <reviewItem>
      <errorID>54d655d5-9e39-4ba3-a1b5-1d3d978c3d53</errorID>
      <errorWord>（</errorWord>
      <group>L1_Format</group>
      <groupName>格式问题</groupName>
      <ability>L2_HalfPunc</ability>
      <abilityName>全半角检查</abilityName>
      <candidateList>
        <item>(</item>
      </candidateList>
      <explain>文本全半角错误。</explain>
      <paraID>2BD404C7</paraID>
      <start>2</start>
      <end>3</end>
      <status>unmodified</status>
      <modifiedWord/>
      <trackRevisions>false</trackRevisions>
    </reviewItem>
    <reviewItem>
      <errorID>3ece02a3-c022-4a74-af79-65feee1be11b</errorID>
      <errorWord>）</errorWord>
      <group>L1_Format</group>
      <groupName>格式问题</groupName>
      <ability>L2_HalfPunc</ability>
      <abilityName>全半角检查</abilityName>
      <candidateList>
        <item>)</item>
      </candidateList>
      <explain>文本全半角错误。</explain>
      <paraID>2BD404C7</paraID>
      <start>5</start>
      <end>6</end>
      <status>unmodified</status>
      <modifiedWord/>
      <trackRevisions>false</trackRevisions>
    </reviewItem>
    <reviewItem>
      <errorID>b64a7508-940a-4c77-a92d-959ba47e512f</errorID>
      <errorWord>（</errorWord>
      <group>L1_Format</group>
      <groupName>格式问题</groupName>
      <ability>L2_HalfPunc</ability>
      <abilityName>全半角检查</abilityName>
      <candidateList>
        <item>(</item>
      </candidateList>
      <explain>文本全半角错误。</explain>
      <paraID>66628C8F</paraID>
      <start>2</start>
      <end>3</end>
      <status>unmodified</status>
      <modifiedWord/>
      <trackRevisions>false</trackRevisions>
    </reviewItem>
    <reviewItem>
      <errorID>a4413241-7934-48cb-af62-11537dfdf10e</errorID>
      <errorWord>）</errorWord>
      <group>L1_Format</group>
      <groupName>格式问题</groupName>
      <ability>L2_HalfPunc</ability>
      <abilityName>全半角检查</abilityName>
      <candidateList>
        <item>)</item>
      </candidateList>
      <explain>文本全半角错误。</explain>
      <paraID>66628C8F</paraID>
      <start>7</start>
      <end>8</end>
      <status>unmodified</status>
      <modifiedWord/>
      <trackRevisions>false</trackRevisions>
    </reviewItem>
    <reviewItem>
      <errorID>881cdff5-bb89-45f6-9ebe-1ee5b1c08aa5</errorID>
      <errorWord>蒸汽</errorWord>
      <group>L1_Word</group>
      <groupName>字词问题</groupName>
      <ability>L2_Typo</ability>
      <abilityName>字词错误</abilityName>
      <candidateList>
        <item>蒸气</item>
      </candidateList>
      <explain/>
      <paraID>7247A929</paraID>
      <start>7</start>
      <end>9</end>
      <status>unmodified</status>
      <modifiedWord/>
      <trackRevisions>false</trackRevisions>
    </reviewItem>
    <reviewItem>
      <errorID>8a1ad7d2-fd36-4e89-b52e-bd098331d2fd</errorID>
      <errorWord>水蒸汽</errorWord>
      <group>L1_Word</group>
      <groupName>字词问题</groupName>
      <ability>L2_Typo</ability>
      <abilityName>字词错误</abilityName>
      <candidateList>
        <item>水蒸气</item>
      </candidateList>
      <explain>〈名〉气态的水。常压下液态的水加热到100℃时就开始沸腾，迅速变成水蒸气。也叫蒸汽。</explain>
      <paraID>7247A929</paraID>
      <start>10</start>
      <end>13</end>
      <status>unmodified</status>
      <modifiedWord/>
      <trackRevisions>false</trackRevisions>
    </reviewItem>
    <reviewItem>
      <errorID>b6cdc368-12a5-48a7-a43a-7277500c9043</errorID>
      <errorWord>水蒸汽</errorWord>
      <group>L1_Word</group>
      <groupName>字词问题</groupName>
      <ability>L2_Typo</ability>
      <abilityName>字词错误</abilityName>
      <candidateList>
        <item>水蒸气</item>
      </candidateList>
      <explain>〈名〉气态的水。常压下液态的水加热到100℃时就开始沸腾，迅速变成水蒸气。也叫蒸汽。</explain>
      <paraID>7247A929</paraID>
      <start>26</start>
      <end>29</end>
      <status>unmodified</status>
      <modifiedWord/>
      <trackRevisions>false</trackRevisions>
    </reviewItem>
    <reviewItem>
      <errorID>d3d6d076-5075-4971-974b-52ce0753cf99</errorID>
      <errorWord>（</errorWord>
      <group>L1_Format</group>
      <groupName>格式问题</groupName>
      <ability>L2_HalfPunc</ability>
      <abilityName>全半角检查</abilityName>
      <candidateList>
        <item>(</item>
      </candidateList>
      <explain>文本全半角错误。</explain>
      <paraID>25D02D67</paraID>
      <start>10</start>
      <end>11</end>
      <status>unmodified</status>
      <modifiedWord/>
      <trackRevisions>false</trackRevisions>
    </reviewItem>
    <reviewItem>
      <errorID>b12d35fb-d6db-43d4-9012-651c2c4d0278</errorID>
      <errorWord>（</errorWord>
      <group>L1_Format</group>
      <groupName>格式问题</groupName>
      <ability>L2_HalfPunc</ability>
      <abilityName>全半角检查</abilityName>
      <candidateList>
        <item>(</item>
      </candidateList>
      <explain>文本全半角错误。</explain>
      <paraID>25D02D67</paraID>
      <start>13</start>
      <end>14</end>
      <status>unmodified</status>
      <modifiedWord/>
      <trackRevisions>false</trackRevisions>
    </reviewItem>
    <reviewItem>
      <errorID>baf7fa02-b145-477f-84a6-3f97f54af24c</errorID>
      <errorWord>））</errorWord>
      <group>L1_Format</group>
      <groupName>格式问题</groupName>
      <ability>L2_HalfPunc</ability>
      <abilityName>全半角检查</abilityName>
      <candidateList>
        <item>))</item>
      </candidateList>
      <explain>文本全半角错误。</explain>
      <paraID>25D02D67</paraID>
      <start>22</start>
      <end>24</end>
      <status>unmodified</status>
      <modifiedWord/>
      <trackRevisions>false</trackRevisions>
    </reviewItem>
    <reviewItem>
      <errorID>943474b4-4c36-4f5c-b7f6-4ac434e2f101</errorID>
      <errorWord>;</errorWord>
      <group>L1_Format</group>
      <groupName>格式问题</groupName>
      <ability>L2_HalfPunc</ability>
      <abilityName>全半角检查</abilityName>
      <candidateList>
        <item>；</item>
      </candidateList>
      <explain>文本全半角错误。</explain>
      <paraID>4CF20BF4</paraID>
      <start>23</start>
      <end>24</end>
      <status>unmodified</status>
      <modifiedWord/>
      <trackRevisions>false</trackRevisions>
    </reviewItem>
    <reviewItem>
      <errorID>1b9d980a-bf81-496c-bd3a-3e1082adab36</errorID>
      <errorWord>蒸气压力</errorWord>
      <group>L1_Word</group>
      <groupName>字词问题</groupName>
      <ability>L2_Typo</ability>
      <abilityName>字词错误</abilityName>
      <candidateList>
        <item>蒸汽压力</item>
      </candidateList>
      <explain/>
      <paraID> 9C63A70</paraID>
      <start>15</start>
      <end>19</end>
      <status>unmodified</status>
      <modifiedWord/>
      <trackRevisions>false</trackRevisions>
    </reviewItem>
    <reviewItem>
      <errorID>43ddd1d4-d43f-4150-b385-47dfcd684f42</errorID>
      <errorWord>(</errorWord>
      <group>L1_Format</group>
      <groupName>格式问题</groupName>
      <ability>L2_HalfPunc</ability>
      <abilityName>全半角检查</abilityName>
      <candidateList>
        <item>（</item>
      </candidateList>
      <explain>文本全半角错误。</explain>
      <paraID>6E1B37A4</paraID>
      <start>14</start>
      <end>15</end>
      <status>unmodified</status>
      <modifiedWord/>
      <trackRevisions>false</trackRevisions>
    </reviewItem>
    <reviewItem>
      <errorID>c40bb4f4-f57d-448f-bff5-55019675065f</errorID>
      <errorWord>)</errorWord>
      <group>L1_Format</group>
      <groupName>格式问题</groupName>
      <ability>L2_HalfPunc</ability>
      <abilityName>全半角检查</abilityName>
      <candidateList>
        <item>）</item>
      </candidateList>
      <explain>文本全半角错误。</explain>
      <paraID>6E1B37A4</paraID>
      <start>16</start>
      <end>17</end>
      <status>unmodified</status>
      <modifiedWord/>
      <trackRevisions>false</trackRevisions>
    </reviewItem>
    <reviewItem>
      <errorID>cfce566f-38ba-4f8c-baa3-2aa05c04a37a</errorID>
      <errorWord>（</errorWord>
      <group>L1_Format</group>
      <groupName>格式问题</groupName>
      <ability>L2_HalfPunc</ability>
      <abilityName>全半角检查</abilityName>
      <candidateList>
        <item>(</item>
      </candidateList>
      <explain>文本全半角错误。</explain>
      <paraID>509C31AB</paraID>
      <start>43</start>
      <end>44</end>
      <status>unmodified</status>
      <modifiedWord/>
      <trackRevisions>false</trackRevisions>
    </reviewItem>
    <reviewItem>
      <errorID>fd07a164-477a-4458-946a-7ebb7285e507</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68586E27</paraID>
      <start>21</start>
      <end>24</end>
      <status>unmodified</status>
      <modifiedWord/>
      <trackRevisions>false</trackRevisions>
    </reviewItem>
    <reviewItem>
      <errorID>be9a6875-316c-4ce0-8023-c8787a57ce75</errorID>
      <errorWord>:</errorWord>
      <group>L1_Format</group>
      <groupName>格式问题</groupName>
      <ability>L2_HalfPunc</ability>
      <abilityName>全半角检查</abilityName>
      <candidateList>
        <item>：</item>
      </candidateList>
      <explain>文本全半角错误。</explain>
      <paraID>32C660A1</paraID>
      <start>142</start>
      <end>143</end>
      <status>unmodified</status>
      <modifiedWord/>
      <trackRevisions>false</trackRevisions>
    </reviewItem>
    <reviewItem>
      <errorID>97ea8450-bf52-4379-a11e-c32333e9ca0b</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3E5C5B7B</paraID>
      <start>21</start>
      <end>24</end>
      <status>unmodified</status>
      <modifiedWord/>
      <trackRevisions>false</trackRevisions>
    </reviewItem>
    <reviewItem>
      <errorID>73dfdcd6-3199-4674-8571-9eb4091cb50e</errorID>
      <errorWord>蒸气压力</errorWord>
      <group>L1_Word</group>
      <groupName>字词问题</groupName>
      <ability>L2_Typo</ability>
      <abilityName>字词错误</abilityName>
      <candidateList>
        <item>蒸汽压力</item>
      </candidateList>
      <explain/>
      <paraID>6DFE7D1D</paraID>
      <start>15</start>
      <end>19</end>
      <status>unmodified</status>
      <modifiedWord/>
      <trackRevisions>false</trackRevisions>
    </reviewItem>
    <reviewItem>
      <errorID>ff903b43-9735-414c-96b0-041254063697</errorID>
      <errorWord>-</errorWord>
      <group>L1_Format</group>
      <groupName>格式问题</groupName>
      <ability>L2_HalfPunc</ability>
      <abilityName>全半角检查</abilityName>
      <candidateList>
        <item>－</item>
      </candidateList>
      <explain>文本全半角错误。</explain>
      <paraID>1E474E52</paraID>
      <start>79</start>
      <end>80</end>
      <status>unmodified</status>
      <modifiedWord/>
      <trackRevisions>false</trackRevisions>
    </reviewItem>
    <reviewItem>
      <errorID>19be311e-0cd5-4f95-a3b3-fbabce168d83</errorID>
      <errorWord>，</errorWord>
      <group>L1_Word</group>
      <groupName>字词问题</groupName>
      <ability>L2_Typo</ability>
      <abilityName>字词错误</abilityName>
      <candidateList>
        <item>，该</item>
      </candidateList>
      <explain/>
      <paraID>22F24423</paraID>
      <start>55</start>
      <end>56</end>
      <status>unmodified</status>
      <modifiedWord/>
      <trackRevisions>false</trackRevisions>
    </reviewItem>
    <reviewItem>
      <errorID>85ff17bb-1a39-4a93-bd6b-78bb5eb42347</errorID>
      <errorWord>强化</errorWord>
      <group>L1_Word</group>
      <groupName>字词问题</groupName>
      <ability>L2_Typo</ability>
      <abilityName>字词错误</abilityName>
      <candidateList>
        <item>增强</item>
      </candidateList>
      <explain>“极大～强化”搭配不当，建议修改为“极大～增强”。</explain>
      <paraID>7268B730</paraID>
      <start>99</start>
      <end>101</end>
      <status>unmodified</status>
      <modifiedWord/>
      <trackRevisions>false</trackRevisions>
    </reviewItem>
    <reviewItem>
      <errorID>6e780806-2bd9-4d6a-9508-7f7e098be4e3</errorID>
      <errorWord>：</errorWord>
      <group>L1_Format</group>
      <groupName>格式问题</groupName>
      <ability>L2_HalfPunc</ability>
      <abilityName>全半角检查</abilityName>
      <candidateList>
        <item>:</item>
      </candidateList>
      <explain>文本全半角错误。</explain>
      <paraID>200AB234</paraID>
      <start>2</start>
      <end>3</end>
      <status>unmodified</status>
      <modifiedWord/>
      <trackRevisions>false</trackRevisions>
    </reviewItem>
    <reviewItem>
      <errorID>e408b76e-01b7-4b8e-8cbf-ae02297c402a</errorID>
      <errorWord>：</errorWord>
      <group>L1_Format</group>
      <groupName>格式问题</groupName>
      <ability>L2_HalfPunc</ability>
      <abilityName>全半角检查</abilityName>
      <candidateList>
        <item>:</item>
      </candidateList>
      <explain>文本全半角错误。</explain>
      <paraID>200AB234</paraID>
      <start>8</start>
      <end>9</end>
      <status>unmodified</status>
      <modifiedWord/>
      <trackRevisions>false</trackRevisions>
    </reviewItem>
    <reviewItem>
      <errorID>fba683e5-301c-485b-b0c0-55a4e53779e6</errorID>
      <errorWord>（</errorWord>
      <group>L1_Format</group>
      <groupName>格式问题</groupName>
      <ability>L2_HalfPunc</ability>
      <abilityName>全半角检查</abilityName>
      <candidateList>
        <item>(</item>
      </candidateList>
      <explain>文本全半角错误。</explain>
      <paraID>39B83A9C</paraID>
      <start>2</start>
      <end>3</end>
      <status>unmodified</status>
      <modifiedWord/>
      <trackRevisions>false</trackRevisions>
    </reviewItem>
    <reviewItem>
      <errorID>2e264317-5a5a-4ce3-8a3e-23ead7edccde</errorID>
      <errorWord>）</errorWord>
      <group>L1_Format</group>
      <groupName>格式问题</groupName>
      <ability>L2_HalfPunc</ability>
      <abilityName>全半角检查</abilityName>
      <candidateList>
        <item>)</item>
      </candidateList>
      <explain>文本全半角错误。</explain>
      <paraID>39B83A9C</paraID>
      <start>4</start>
      <end>5</end>
      <status>unmodified</status>
      <modifiedWord/>
      <trackRevisions>false</trackRevisions>
    </reviewItem>
    <reviewItem>
      <errorID>7e5e432d-2202-4e4f-81af-2af2c5668de9</errorID>
      <errorWord>（</errorWord>
      <group>L1_Format</group>
      <groupName>格式问题</groupName>
      <ability>L2_HalfPunc</ability>
      <abilityName>全半角检查</abilityName>
      <candidateList>
        <item>(</item>
      </candidateList>
      <explain>文本全半角错误。</explain>
      <paraID>39B83A9C</paraID>
      <start>8</start>
      <end>9</end>
      <status>unmodified</status>
      <modifiedWord/>
      <trackRevisions>false</trackRevisions>
    </reviewItem>
    <reviewItem>
      <errorID>9452f49f-fe6e-4bc9-97cd-3cf112f72b83</errorID>
      <errorWord>）</errorWord>
      <group>L1_Format</group>
      <groupName>格式问题</groupName>
      <ability>L2_HalfPunc</ability>
      <abilityName>全半角检查</abilityName>
      <candidateList>
        <item>)</item>
      </candidateList>
      <explain>文本全半角错误。</explain>
      <paraID>39B83A9C</paraID>
      <start>11</start>
      <end>12</end>
      <status>unmodified</status>
      <modifiedWord/>
      <trackRevisions>false</trackRevisions>
    </reviewItem>
    <reviewItem>
      <errorID>49d79994-c347-41eb-a51e-5516e45c257b</errorID>
      <errorWord>)</errorWord>
      <group>L1_Format</group>
      <groupName>格式问题</groupName>
      <ability>L2_HalfPunc</ability>
      <abilityName>全半角检查</abilityName>
      <candidateList>
        <item>）</item>
      </candidateList>
      <explain>文本全半角错误。</explain>
      <paraID>624CE66C</paraID>
      <start>22</start>
      <end>23</end>
      <status>unmodified</status>
      <modifiedWord/>
      <trackRevisions>false</trackRevisions>
    </reviewItem>
    <reviewItem>
      <errorID>9a331b28-9a8e-43b8-9b92-6f69a8302c3e</errorID>
      <errorWord>)</errorWord>
      <group>L1_Format</group>
      <groupName>格式问题</groupName>
      <ability>L2_HalfPunc</ability>
      <abilityName>全半角检查</abilityName>
      <candidateList>
        <item>）</item>
      </candidateList>
      <explain>文本全半角错误。</explain>
      <paraID>718F9DB9</paraID>
      <start>7</start>
      <end>8</end>
      <status>unmodified</status>
      <modifiedWord/>
      <trackRevisions>false</trackRevisions>
    </reviewItem>
    <reviewItem>
      <errorID>981cf3f8-e520-45d3-8608-81a53ea6eda4</errorID>
      <errorWord>北</errorWord>
      <group>L1_Word</group>
      <groupName>字词问题</groupName>
      <ability>L2_Typo</ability>
      <abilityName>字词错误</abilityName>
      <candidateList>
        <item>北京</item>
      </candidateList>
      <explain/>
      <paraID>744A5098</paraID>
      <start>0</start>
      <end>1</end>
      <status>unmodified</status>
      <modifiedWord/>
      <trackRevisions>false</trackRevisions>
    </reviewItem>
    <reviewItem>
      <errorID>ac9e6f7e-1a7c-4ef9-aeb5-ebf21be355f2</errorID>
      <errorWord>)</errorWord>
      <group>L1_Format</group>
      <groupName>格式问题</groupName>
      <ability>L2_HalfPunc</ability>
      <abilityName>全半角检查</abilityName>
      <candidateList>
        <item>）</item>
      </candidateList>
      <explain>文本全半角错误。</explain>
      <paraID>163A3F26</paraID>
      <start>33</start>
      <end>34</end>
      <status>unmodified</status>
      <modifiedWord/>
      <trackRevisions>false</trackRevisions>
    </reviewItem>
    <reviewItem>
      <errorID>221eebf2-2045-4b42-804e-357497a13048</errorID>
      <errorWord>（</errorWord>
      <group>L1_Format</group>
      <groupName>格式问题</groupName>
      <ability>L2_HalfPunc</ability>
      <abilityName>全半角检查</abilityName>
      <candidateList>
        <item>(</item>
      </candidateList>
      <explain>文本全半角错误。</explain>
      <paraID>3193A2E2</paraID>
      <start>2</start>
      <end>3</end>
      <status>unmodified</status>
      <modifiedWord/>
      <trackRevisions>false</trackRevisions>
    </reviewItem>
    <reviewItem>
      <errorID>64b98ba2-b156-4df6-bfe5-48d00872fafa</errorID>
      <errorWord>）</errorWord>
      <group>L1_Format</group>
      <groupName>格式问题</groupName>
      <ability>L2_HalfPunc</ability>
      <abilityName>全半角检查</abilityName>
      <candidateList>
        <item>)</item>
      </candidateList>
      <explain>文本全半角错误。</explain>
      <paraID>3193A2E2</paraID>
      <start>4</start>
      <end>5</end>
      <status>unmodified</status>
      <modifiedWord/>
      <trackRevisions>false</trackRevisions>
    </reviewItem>
    <reviewItem>
      <errorID>02e031a8-a72c-474f-bba2-9a005c8ba345</errorID>
      <errorWord>的高</errorWord>
      <group>L1_Word</group>
      <groupName>字词问题</groupName>
      <ability>L2_Typo</ability>
      <abilityName>字词错误</abilityName>
      <candidateList>
        <item>的</item>
      </candidateList>
      <explain>置于形容词、名词后，用于修饰事物的形态。</explain>
      <paraID>20B4B4AB</paraID>
      <start>38</start>
      <end>40</end>
      <status>unmodified</status>
      <modifiedWord/>
      <trackRevisions>false</trackRevisions>
    </reviewItem>
    <reviewItem>
      <errorID>cf2310c5-a424-4b47-b522-29725cdcdcc9</errorID>
      <errorWord>(</errorWord>
      <group>L1_Format</group>
      <groupName>格式问题</groupName>
      <ability>L2_HalfPunc</ability>
      <abilityName>全半角检查</abilityName>
      <candidateList>
        <item>（</item>
      </candidateList>
      <explain>文本全半角错误。</explain>
      <paraID>7D030D74</paraID>
      <start>11</start>
      <end>12</end>
      <status>unmodified</status>
      <modifiedWord/>
      <trackRevisions>false</trackRevisions>
    </reviewItem>
    <reviewItem>
      <errorID>a5478e81-61b1-4347-8a56-d2d469b9078f</errorID>
      <errorWord>)</errorWord>
      <group>L1_Format</group>
      <groupName>格式问题</groupName>
      <ability>L2_HalfPunc</ability>
      <abilityName>全半角检查</abilityName>
      <candidateList>
        <item>）</item>
      </candidateList>
      <explain>文本全半角错误。</explain>
      <paraID>7D030D74</paraID>
      <start>18</start>
      <end>19</end>
      <status>unmodified</status>
      <modifiedWord/>
      <trackRevisions>false</trackRevisions>
    </reviewItem>
    <reviewItem>
      <errorID>22269d94-a8ce-4663-9568-7cc07f0d50a2</errorID>
      <errorWord>）目</errorWord>
      <group>L1_Word</group>
      <groupName>字词问题</groupName>
      <ability>L2_Typo</ability>
      <abilityName>字词错误</abilityName>
      <candidateList>
        <item>）</item>
      </candidateList>
      <explain/>
      <paraID>6FE4954B</paraID>
      <start>43</start>
      <end>45</end>
      <status>unmodified</status>
      <modifiedWord/>
      <trackRevisions>false</trackRevisions>
    </reviewItem>
    <reviewItem>
      <errorID>c29982ba-36d7-4955-9a6b-f318665d510b</errorID>
      <errorWord>定期定期</errorWord>
      <group>L1_Word</group>
      <groupName>字词问题</groupName>
      <ability>L2_Typo</ability>
      <abilityName>字词错误</abilityName>
      <candidateList>
        <item>定期</item>
      </candidateList>
      <explain/>
      <paraID>24E0DEDC</paraID>
      <start>6</start>
      <end>8</end>
      <status>modified</status>
      <modifiedWord>定期</modifiedWord>
      <trackRevisions>false</trackRevisions>
    </reviewItem>
    <reviewItem>
      <errorID>746110d1-c548-4655-ae42-dd21aa0f7fa5</errorID>
      <errorWord>(</errorWord>
      <group>L1_Format</group>
      <groupName>格式问题</groupName>
      <ability>L2_HalfPunc</ability>
      <abilityName>全半角检查</abilityName>
      <candidateList>
        <item>（</item>
      </candidateList>
      <explain>文本全半角错误。</explain>
      <paraID>24E0DEDC</paraID>
      <start>63</start>
      <end>64</end>
      <status>unmodified</status>
      <modifiedWord/>
      <trackRevisions>false</trackRevisions>
    </reviewItem>
    <reviewItem>
      <errorID>6ed1c7f4-46e1-44d0-ac5c-b19abe606573</errorID>
      <errorWord>)</errorWord>
      <group>L1_Format</group>
      <groupName>格式问题</groupName>
      <ability>L2_HalfPunc</ability>
      <abilityName>全半角检查</abilityName>
      <candidateList>
        <item>）</item>
      </candidateList>
      <explain>文本全半角错误。</explain>
      <paraID>24E0DEDC</paraID>
      <start>70</start>
      <end>71</end>
      <status>unmodified</status>
      <modifiedWord/>
      <trackRevisions>false</trackRevisions>
    </reviewItem>
    <reviewItem>
      <errorID>ad4e9989-c8ec-45f7-b9fd-5ddffbba4c05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17A6551C</paraID>
      <start>118</start>
      <end>119</end>
      <status>unmodified</status>
      <modifiedWord/>
      <trackRevisions>false</trackRevisions>
    </reviewItem>
    <reviewItem>
      <errorID>d051a48a-c591-44df-b476-2546762106fb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E7056CE</paraID>
      <start>23</start>
      <end>24</end>
      <status>unmodified</status>
      <modifiedWord/>
      <trackRevisions>false</trackRevisions>
    </reviewItem>
    <reviewItem>
      <errorID>95ee7c94-5a2a-476c-8c2e-967f11445db5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665A4482</paraID>
      <start>23</start>
      <end>24</end>
      <status>unmodified</status>
      <modifiedWord/>
      <trackRevisions>false</trackRevisions>
    </reviewItem>
    <reviewItem>
      <errorID>a9767d0e-063b-4a99-a240-068ad9841ac1</errorID>
      <errorWord>,</errorWord>
      <group>L1_Format</group>
      <groupName>格式问题</groupName>
      <ability>L2_HalfPunc</ability>
      <abilityName>全半角检查</abilityName>
      <candidateList>
        <item>，</item>
      </candidateList>
      <explain>文本全半角错误。</explain>
      <paraID>772D8CDF</paraID>
      <start>17</start>
      <end>18</end>
      <status>unmodified</status>
      <modifiedWord/>
      <trackRevisions>false</trackRevisions>
    </reviewItem>
    <reviewItem>
      <errorID>786ef2cd-ee14-4aec-bb49-324d3985f9eb</errorID>
      <errorWord>,</errorWord>
      <group>L1_Format</group>
      <groupName>格式问题</groupName>
      <ability>L2_HalfPunc</ability>
      <abilityName>全半角检查</abilityName>
      <candidateList>
        <item>，</item>
      </candidateList>
      <explain>文本全半角错误。</explain>
      <paraID>772D8CDF</paraID>
      <start>57</start>
      <end>58</end>
      <status>unmodified</status>
      <modifiedWord/>
      <trackRevisions>false</trackRevisions>
    </reviewItem>
    <reviewItem>
      <errorID>b9db3d54-730e-439e-8694-af9cd42e1bb6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679FD670</paraID>
      <start>0</start>
      <end>2</end>
      <status>unmodified</status>
      <modifiedWord/>
      <trackRevisions>false</trackRevisions>
    </reviewItem>
    <reviewItem>
      <errorID>21faef3f-5053-4538-81b9-a2f1b50797e8</errorID>
      <errorWord>,</errorWord>
      <group>L1_Format</group>
      <groupName>格式问题</groupName>
      <ability>L2_HalfPunc</ability>
      <abilityName>全半角检查</abilityName>
      <candidateList>
        <item>，</item>
      </candidateList>
      <explain>文本全半角错误。</explain>
      <paraID>679FD670</paraID>
      <start>18</start>
      <end>19</end>
      <status>unmodified</status>
      <modifiedWord/>
      <trackRevisions>false</trackRevisions>
    </reviewItem>
    <reviewItem>
      <errorID>7d71de7f-20bf-4fcd-96a6-89bd5c6fd37e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3CD5D28F</paraID>
      <start>0</start>
      <end>2</end>
      <status>unmodified</status>
      <modifiedWord/>
      <trackRevisions>false</trackRevisions>
    </reviewItem>
    <reviewItem>
      <errorID>cf549930-3384-4ed2-aafb-7a9dadb90479</errorID>
      <errorWord>,</errorWord>
      <group>L1_Format</group>
      <groupName>格式问题</groupName>
      <ability>L2_HalfPunc</ability>
      <abilityName>全半角检查</abilityName>
      <candidateList>
        <item>，</item>
      </candidateList>
      <explain>文本全半角错误。</explain>
      <paraID>3CD5D28F</paraID>
      <start>24</start>
      <end>25</end>
      <status>unmodified</status>
      <modifiedWord/>
      <trackRevisions>false</trackRevisions>
    </reviewItem>
    <reviewItem>
      <errorID>85979f21-fdc1-4b90-9a80-4c80d35135b5</errorID>
      <errorWord>险</errorWord>
      <group>L1_Word</group>
      <groupName>字词问题</groupName>
      <ability>L2_Typo</ability>
      <abilityName>字词错误</abilityName>
      <candidateList>
        <item>险和</item>
      </candidateList>
      <explain/>
      <paraID>4C8A4481</paraID>
      <start>11</start>
      <end>12</end>
      <status>unmodified</status>
      <modifiedWord/>
      <trackRevisions>false</trackRevisions>
    </reviewItem>
    <reviewItem>
      <errorID>bdd74207-1de0-40e7-babe-24fb3e65e115</errorID>
      <errorWord>，</errorWord>
      <group>L1_Word</group>
      <groupName>字词问题</groupName>
      <ability>L2_Typo</ability>
      <abilityName>字词错误</abilityName>
      <candidateList>
        <item>，有</item>
      </candidateList>
      <explain/>
      <paraID>7ED4EE27</paraID>
      <start>15</start>
      <end>16</end>
      <status>unmodified</status>
      <modifiedWord/>
      <trackRevisions>false</trackRevisions>
    </reviewItem>
    <reviewItem>
      <errorID>4dbdf4c9-e4b1-46e3-92dd-af8a54b7be12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63CB4660</paraID>
      <start>95</start>
      <end>96</end>
      <status>unmodified</status>
      <modifiedWord/>
      <trackRevisions>false</trackRevisions>
    </reviewItem>
    <reviewItem>
      <errorID>3e4dff91-41d1-4b73-a1ec-b69df5121498</errorID>
      <errorWord>黏土</errorWord>
      <group>L1_Word</group>
      <groupName>字词问题</groupName>
      <ability>L2_Typo</ability>
      <abilityName>字词错误</abilityName>
      <candidateList>
        <item>粘土</item>
      </candidateList>
      <explain/>
      <paraID>17FB6BF3</paraID>
      <start>82</start>
      <end>84</end>
      <status>unmodified</status>
      <modifiedWord/>
      <trackRevisions>false</trackRevisions>
    </reviewItem>
    <reviewItem>
      <errorID>f3a9ea6c-0490-4ad2-8d77-e40c8bb85561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17FB6BF3</paraID>
      <start>101</start>
      <end>102</end>
      <status>unmodified</status>
      <modifiedWord/>
      <trackRevisions>false</trackRevisions>
    </reviewItem>
    <reviewItem>
      <errorID>4e4c0b3e-5cf3-4749-bba0-17361c29be17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6BEAFEEE</paraID>
      <start>0</start>
      <end>2</end>
      <status>unmodified</status>
      <modifiedWord/>
      <trackRevisions>false</trackRevisions>
    </reviewItem>
    <reviewItem>
      <errorID>9fab042e-789d-4d49-869d-88aba445b738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4472E15B</paraID>
      <start>0</start>
      <end>2</end>
      <status>unmodified</status>
      <modifiedWord/>
      <trackRevisions>false</trackRevisions>
    </reviewItem>
    <reviewItem>
      <errorID>ab73f989-2bb5-4e90-839d-abbc1f7af52f</errorID>
      <errorWord>与颗粒物</errorWord>
      <group>L1_Knowledge</group>
      <groupName>知识性问题</groupName>
      <ability>L2_Term</ability>
      <abilityName>专业术语</abilityName>
      <candidateList>
        <item>细颗粒物</item>
      </candidateList>
      <explain/>
      <paraID> CE21908</paraID>
      <start>36</start>
      <end>40</end>
      <status>unmodified</status>
      <modifiedWord/>
      <trackRevisions>false</trackRevisions>
    </reviewItem>
    <reviewItem>
      <errorID>9b2fa361-b064-4f92-8b01-c883e4b84783</errorID>
      <errorWord>与颗粒物</errorWord>
      <group>L1_Knowledge</group>
      <groupName>知识性问题</groupName>
      <ability>L2_Term</ability>
      <abilityName>专业术语</abilityName>
      <candidateList>
        <item>细颗粒物</item>
      </candidateList>
      <explain/>
      <paraID>38A4E185</paraID>
      <start>58</start>
      <end>62</end>
      <status>unmodified</status>
      <modifiedWord/>
      <trackRevisions>false</trackRevisions>
    </reviewItem>
    <reviewItem>
      <errorID>0e7455d8-0122-41a8-af16-fa9991830f03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53C24F6</paraID>
      <start>0</start>
      <end>2</end>
      <status>unmodified</status>
      <modifiedWord/>
      <trackRevisions>false</trackRevisions>
    </reviewItem>
    <reviewItem>
      <errorID>97eb500f-02e6-4826-905a-c41240b20c16</errorID>
      <errorWord>较小</errorWord>
      <group>L1_Word</group>
      <groupName>字词问题</groupName>
      <ability>L2_Typo</ability>
      <abilityName>字词错误</abilityName>
      <candidateList>
        <item>较少</item>
      </candidateList>
      <explain/>
      <paraID>5A2B651B</paraID>
      <start>199</start>
      <end>201</end>
      <status>unmodified</status>
      <modifiedWord/>
      <trackRevisions>false</trackRevisions>
    </reviewItem>
    <reviewItem>
      <errorID>c71fad55-703b-453f-b7a6-c1915e5d7722</errorID>
      <errorWord>(</errorWord>
      <group>L1_Format</group>
      <groupName>格式问题</groupName>
      <ability>L2_HalfPunc</ability>
      <abilityName>全半角检查</abilityName>
      <candidateList>
        <item>（</item>
      </candidateList>
      <explain>文本全半角错误。</explain>
      <paraID>41E6A67A</paraID>
      <start>18</start>
      <end>19</end>
      <status>unmodified</status>
      <modifiedWord/>
      <trackRevisions>false</trackRevisions>
    </reviewItem>
    <reviewItem>
      <errorID>ec99b0b0-c2c6-42aa-9570-213c948e6432</errorID>
      <errorWord>)</errorWord>
      <group>L1_Format</group>
      <groupName>格式问题</groupName>
      <ability>L2_HalfPunc</ability>
      <abilityName>全半角检查</abilityName>
      <candidateList>
        <item>）</item>
      </candidateList>
      <explain>文本全半角错误。</explain>
      <paraID>41E6A67A</paraID>
      <start>29</start>
      <end>30</end>
      <status>unmodified</status>
      <modifiedWord/>
      <trackRevisions>false</trackRevisions>
    </reviewItem>
    <reviewItem>
      <errorID>4e78642e-70e3-4dbf-9264-a7428334603d</errorID>
      <errorWord>(</errorWord>
      <group>L1_Format</group>
      <groupName>格式问题</groupName>
      <ability>L2_HalfPunc</ability>
      <abilityName>全半角检查</abilityName>
      <candidateList>
        <item>（</item>
      </candidateList>
      <explain>文本全半角错误。</explain>
      <paraID>7256CCF0</paraID>
      <start>15</start>
      <end>16</end>
      <status>unmodified</status>
      <modifiedWord/>
      <trackRevisions>false</trackRevisions>
    </reviewItem>
    <reviewItem>
      <errorID>d48bddf5-ef92-470d-b474-f65da1729ce4</errorID>
      <errorWord>)</errorWord>
      <group>L1_Format</group>
      <groupName>格式问题</groupName>
      <ability>L2_HalfPunc</ability>
      <abilityName>全半角检查</abilityName>
      <candidateList>
        <item>）</item>
      </candidateList>
      <explain>文本全半角错误。</explain>
      <paraID>7256CCF0</paraID>
      <start>17</start>
      <end>18</end>
      <status>unmodified</status>
      <modifiedWord/>
      <trackRevisions>false</trackRevisions>
    </reviewItem>
    <reviewItem>
      <errorID>462da252-5ead-43d0-91b5-144fb82ea5b7</errorID>
      <errorWord>(</errorWord>
      <group>L1_Format</group>
      <groupName>格式问题</groupName>
      <ability>L2_HalfPunc</ability>
      <abilityName>全半角检查</abilityName>
      <candidateList>
        <item>（</item>
      </candidateList>
      <explain>文本全半角错误。</explain>
      <paraID>2789CE2B</paraID>
      <start>14</start>
      <end>15</end>
      <status>unmodified</status>
      <modifiedWord/>
      <trackRevisions>false</trackRevisions>
    </reviewItem>
    <reviewItem>
      <errorID>55d9d2f3-33d9-4938-9d77-35c74a7ca403</errorID>
      <errorWord>)</errorWord>
      <group>L1_Format</group>
      <groupName>格式问题</groupName>
      <ability>L2_HalfPunc</ability>
      <abilityName>全半角检查</abilityName>
      <candidateList>
        <item>）</item>
      </candidateList>
      <explain>文本全半角错误。</explain>
      <paraID>2789CE2B</paraID>
      <start>16</start>
      <end>17</end>
      <status>unmodified</status>
      <modifiedWord/>
      <trackRevisions>false</trackRevisions>
    </reviewItem>
    <reviewItem>
      <errorID>463664d0-7141-4a7f-badd-b3bc5fdde54e</errorID>
      <errorWord>(</errorWord>
      <group>L1_Format</group>
      <groupName>格式问题</groupName>
      <ability>L2_HalfPunc</ability>
      <abilityName>全半角检查</abilityName>
      <candidateList>
        <item>（</item>
      </candidateList>
      <explain>文本全半角错误。</explain>
      <paraID>2789CE2B</paraID>
      <start>25</start>
      <end>26</end>
      <status>unmodified</status>
      <modifiedWord/>
      <trackRevisions>false</trackRevisions>
    </reviewItem>
    <reviewItem>
      <errorID>34236423-53e7-4018-9379-ff498bec2cfe</errorID>
      <errorWord>)</errorWord>
      <group>L1_Format</group>
      <groupName>格式问题</groupName>
      <ability>L2_HalfPunc</ability>
      <abilityName>全半角检查</abilityName>
      <candidateList>
        <item>）</item>
      </candidateList>
      <explain>文本全半角错误。</explain>
      <paraID>2789CE2B</paraID>
      <start>27</start>
      <end>28</end>
      <status>unmodified</status>
      <modifiedWord/>
      <trackRevisions>false</trackRevisions>
    </reviewItem>
    <reviewItem>
      <errorID>added8db-98f2-4163-a154-b39d68719d3d</errorID>
      <errorWord>(</errorWord>
      <group>L1_Format</group>
      <groupName>格式问题</groupName>
      <ability>L2_HalfPunc</ability>
      <abilityName>全半角检查</abilityName>
      <candidateList>
        <item>（</item>
      </candidateList>
      <explain>文本全半角错误。</explain>
      <paraID>2789CE2B</paraID>
      <start>44</start>
      <end>45</end>
      <status>unmodified</status>
      <modifiedWord/>
      <trackRevisions>false</trackRevisions>
    </reviewItem>
    <reviewItem>
      <errorID>c461c96a-ea01-44da-b903-dbcc173761bd</errorID>
      <errorWord>)</errorWord>
      <group>L1_Format</group>
      <groupName>格式问题</groupName>
      <ability>L2_HalfPunc</ability>
      <abilityName>全半角检查</abilityName>
      <candidateList>
        <item>）</item>
      </candidateList>
      <explain>文本全半角错误。</explain>
      <paraID>2789CE2B</paraID>
      <start>46</start>
      <end>47</end>
      <status>unmodified</status>
      <modifiedWord/>
      <trackRevisions>false</trackRevisions>
    </reviewItem>
    <reviewItem>
      <errorID>e947a643-5bcf-4690-8428-89ee7bfb4e04</errorID>
      <errorWord>(</errorWord>
      <group>L1_Format</group>
      <groupName>格式问题</groupName>
      <ability>L2_HalfPunc</ability>
      <abilityName>全半角检查</abilityName>
      <candidateList>
        <item>（</item>
      </candidateList>
      <explain>文本全半角错误。</explain>
      <paraID>26C99406</paraID>
      <start>9</start>
      <end>10</end>
      <status>unmodified</status>
      <modifiedWord/>
      <trackRevisions>false</trackRevisions>
    </reviewItem>
    <reviewItem>
      <errorID>10350a44-d351-4d8a-8da6-d2320620656b</errorID>
      <errorWord>)</errorWord>
      <group>L1_Format</group>
      <groupName>格式问题</groupName>
      <ability>L2_HalfPunc</ability>
      <abilityName>全半角检查</abilityName>
      <candidateList>
        <item>）</item>
      </candidateList>
      <explain>文本全半角错误。</explain>
      <paraID>26C99406</paraID>
      <start>11</start>
      <end>12</end>
      <status>unmodified</status>
      <modifiedWord/>
      <trackRevisions>false</trackRevisions>
    </reviewItem>
    <reviewItem>
      <errorID>6d716173-1b05-4068-950f-1d7ee049febb</errorID>
      <errorWord>(</errorWord>
      <group>L1_Format</group>
      <groupName>格式问题</groupName>
      <ability>L2_HalfPunc</ability>
      <abilityName>全半角检查</abilityName>
      <candidateList>
        <item>（</item>
      </candidateList>
      <explain>文本全半角错误。</explain>
      <paraID>251B283D</paraID>
      <start>18</start>
      <end>19</end>
      <status>unmodified</status>
      <modifiedWord/>
      <trackRevisions>false</trackRevisions>
    </reviewItem>
    <reviewItem>
      <errorID>e52dc94e-645e-439e-97cc-6445af6e0161</errorID>
      <errorWord>)</errorWord>
      <group>L1_Format</group>
      <groupName>格式问题</groupName>
      <ability>L2_HalfPunc</ability>
      <abilityName>全半角检查</abilityName>
      <candidateList>
        <item>）</item>
      </candidateList>
      <explain>文本全半角错误。</explain>
      <paraID>251B283D</paraID>
      <start>29</start>
      <end>30</end>
      <status>unmodified</status>
      <modifiedWord/>
      <trackRevisions>false</trackRevisions>
    </reviewItem>
    <reviewItem>
      <errorID>f1484ba3-6b42-4042-a9d4-a60fe5e25ed2</errorID>
      <errorWord>-</errorWord>
      <group>L1_Format</group>
      <groupName>格式问题</groupName>
      <ability>L2_HalfPunc</ability>
      <abilityName>全半角检查</abilityName>
      <candidateList>
        <item>－</item>
      </candidateList>
      <explain>文本全半角错误。</explain>
      <paraID> 34E769C</paraID>
      <start>122</start>
      <end>123</end>
      <status>unmodified</status>
      <modifiedWord/>
      <trackRevisions>false</trackRevisions>
    </reviewItem>
    <reviewItem>
      <errorID>93340ba4-31f5-4d94-ab2b-230444f737ea</errorID>
      <errorWord>-</errorWord>
      <group>L1_Format</group>
      <groupName>格式问题</groupName>
      <ability>L2_HalfPunc</ability>
      <abilityName>全半角检查</abilityName>
      <candidateList>
        <item>－</item>
      </candidateList>
      <explain>文本全半角错误。</explain>
      <paraID> 34E769C</paraID>
      <start>126</start>
      <end>127</end>
      <status>unmodified</status>
      <modifiedWord/>
      <trackRevisions>false</trackRevisions>
    </reviewItem>
    <reviewItem>
      <errorID>f149a109-572c-4ede-828c-4f3e52094c15</errorID>
      <errorWord>输送到</errorWord>
      <group>L1_Word</group>
      <groupName>字词问题</groupName>
      <ability>L2_Typo</ability>
      <abilityName>字词错误</abilityName>
      <candidateList>
        <item>输送至</item>
      </candidateList>
      <explain/>
      <paraID>604C103D</paraID>
      <start>28</start>
      <end>31</end>
      <status>unmodified</status>
      <modifiedWord/>
      <trackRevisions>false</trackRevisions>
    </reviewItem>
    <reviewItem>
      <errorID>e84457a9-1c98-44d4-acdd-2a38b8b2f384</errorID>
      <errorWord>泄露</errorWord>
      <group>L1_Word</group>
      <groupName>字词问题</groupName>
      <ability>L2_Typo</ability>
      <abilityName>字词错误</abilityName>
      <candidateList>
        <item>泄漏</item>
      </candidateList>
      <explain/>
      <paraID>604C103D</paraID>
      <start>56</start>
      <end>58</end>
      <status>unmodified</status>
      <modifiedWord/>
      <trackRevisions>false</trackRevisions>
    </reviewItem>
    <reviewItem>
      <errorID>a9cdf1a3-1ad6-420f-bd08-ebb0044c0086</errorID>
      <errorWord>(</errorWord>
      <group>L1_Format</group>
      <groupName>格式问题</groupName>
      <ability>L2_HalfPunc</ability>
      <abilityName>全半角检查</abilityName>
      <candidateList>
        <item>（</item>
      </candidateList>
      <explain>文本全半角错误。</explain>
      <paraID>5AB6215E</paraID>
      <start>18</start>
      <end>19</end>
      <status>unmodified</status>
      <modifiedWord/>
      <trackRevisions>false</trackRevisions>
    </reviewItem>
    <reviewItem>
      <errorID>401fc35f-d584-4e9a-9576-72aa9f6d93d2</errorID>
      <errorWord>)</errorWord>
      <group>L1_Format</group>
      <groupName>格式问题</groupName>
      <ability>L2_HalfPunc</ability>
      <abilityName>全半角检查</abilityName>
      <candidateList>
        <item>）</item>
      </candidateList>
      <explain>文本全半角错误。</explain>
      <paraID>5AB6215E</paraID>
      <start>29</start>
      <end>30</end>
      <status>unmodified</status>
      <modifiedWord/>
      <trackRevisions>false</trackRevisions>
    </reviewItem>
    <reviewItem>
      <errorID>7b8c8d07-b227-4037-8081-8efb807a9c63</errorID>
      <errorWord>分级</errorWord>
      <group>L1_Word</group>
      <groupName>字词问题</groupName>
      <ability>L2_Typo</ability>
      <abilityName>字词错误</abilityName>
      <candidateList>
        <item>分区</item>
      </candidateList>
      <explain/>
      <paraID>5AB6215E</paraID>
      <start>181</start>
      <end>183</end>
      <status>unmodified</status>
      <modifiedWord/>
      <trackRevisions>false</trackRevisions>
    </reviewItem>
    <reviewItem>
      <errorID>920f818e-000b-4b24-b4fd-f839847e1193</errorID>
      <errorWord>(</errorWord>
      <group>L1_Format</group>
      <groupName>格式问题</groupName>
      <ability>L2_HalfPunc</ability>
      <abilityName>全半角检查</abilityName>
      <candidateList>
        <item>（</item>
      </candidateList>
      <explain>文本全半角错误。</explain>
      <paraID>262829F2</paraID>
      <start>8</start>
      <end>9</end>
      <status>unmodified</status>
      <modifiedWord/>
      <trackRevisions>false</trackRevisions>
    </reviewItem>
    <reviewItem>
      <errorID>84043d36-431a-47e3-a3ec-67ec142b1555</errorID>
      <errorWord>)</errorWord>
      <group>L1_Format</group>
      <groupName>格式问题</groupName>
      <ability>L2_HalfPunc</ability>
      <abilityName>全半角检查</abilityName>
      <candidateList>
        <item>）</item>
      </candidateList>
      <explain>文本全半角错误。</explain>
      <paraID>262829F2</paraID>
      <start>37</start>
      <end>38</end>
      <status>unmodified</status>
      <modifiedWord/>
      <trackRevisions>false</trackRevisions>
    </reviewItem>
    <reviewItem>
      <errorID>0e434ddc-5617-4436-afa7-8b27310f2e53</errorID>
      <errorWord>(</errorWord>
      <group>L1_Format</group>
      <groupName>格式问题</groupName>
      <ability>L2_HalfPunc</ability>
      <abilityName>全半角检查</abilityName>
      <candidateList>
        <item>（</item>
      </candidateList>
      <explain>文本全半角错误。</explain>
      <paraID>5DC00E31</paraID>
      <start>8</start>
      <end>9</end>
      <status>unmodified</status>
      <modifiedWord/>
      <trackRevisions>false</trackRevisions>
    </reviewItem>
    <reviewItem>
      <errorID>9b3c3784-6fec-4973-9570-ea361ba2bbbe</errorID>
      <errorWord>)</errorWord>
      <group>L1_Format</group>
      <groupName>格式问题</groupName>
      <ability>L2_HalfPunc</ability>
      <abilityName>全半角检查</abilityName>
      <candidateList>
        <item>）</item>
      </candidateList>
      <explain>文本全半角错误。</explain>
      <paraID>5DC00E31</paraID>
      <start>37</start>
      <end>38</end>
      <status>unmodified</status>
      <modifiedWord/>
      <trackRevisions>false</trackRevisions>
    </reviewItem>
    <reviewItem>
      <errorID>22e723eb-3d9b-49e9-9bb7-e5051c21cf8e</errorID>
      <errorWord>(</errorWord>
      <group>L1_Format</group>
      <groupName>格式问题</groupName>
      <ability>L2_HalfPunc</ability>
      <abilityName>全半角检查</abilityName>
      <candidateList>
        <item>（</item>
      </candidateList>
      <explain>文本全半角错误。</explain>
      <paraID>5DC00E31</paraID>
      <start>98</start>
      <end>99</end>
      <status>unmodified</status>
      <modifiedWord/>
      <trackRevisions>false</trackRevisions>
    </reviewItem>
    <reviewItem>
      <errorID>9ec370d3-8f8b-4932-aa62-0594542b5824</errorID>
      <errorWord>)</errorWord>
      <group>L1_Format</group>
      <groupName>格式问题</groupName>
      <ability>L2_HalfPunc</ability>
      <abilityName>全半角检查</abilityName>
      <candidateList>
        <item>）</item>
      </candidateList>
      <explain>文本全半角错误。</explain>
      <paraID>5DC00E31</paraID>
      <start>110</start>
      <end>111</end>
      <status>unmodified</status>
      <modifiedWord/>
      <trackRevisions>false</trackRevisions>
    </reviewItem>
    <reviewItem>
      <errorID>35dee9b8-1ff9-42f6-8a9b-829bfd87c868</errorID>
      <errorWord>”</errorWord>
      <group>L1_Punc</group>
      <groupName>标点问题</groupName>
      <ability>L2_Punc</ability>
      <abilityName>标点符号检查</abilityName>
      <candidateList/>
      <explain/>
      <paraID>5841521E</paraID>
      <start>5</start>
      <end>6</end>
      <status>unmodified</status>
      <modifiedWord/>
      <trackRevisions>false</trackRevisions>
    </reviewItem>
    <reviewItem>
      <errorID>9558f28c-6f4f-4c4f-8eff-145798acf9d0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1E2DD587</paraID>
      <start>16</start>
      <end>17</end>
      <status>unmodified</status>
      <modifiedWord/>
      <trackRevisions>false</trackRevisions>
    </reviewItem>
    <reviewItem>
      <errorID>d8d61cd2-92a6-4ecf-ac9c-92df51c61d90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4F3765CB</paraID>
      <start>21</start>
      <end>22</end>
      <status>unmodified</status>
      <modifiedWord/>
      <trackRevisions>false</trackRevisions>
    </reviewItem>
    <reviewItem>
      <errorID>62118b69-7055-43ad-9fde-ece0a5e75511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4F3765CB</paraID>
      <start>50</start>
      <end>51</end>
      <status>unmodified</status>
      <modifiedWord/>
      <trackRevisions>false</trackRevisions>
    </reviewItem>
    <reviewItem>
      <errorID>f02bd579-f993-4819-8278-575b149330d1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4F3765CB</paraID>
      <start>65</start>
      <end>66</end>
      <status>unmodified</status>
      <modifiedWord/>
      <trackRevisions>false</trackRevisions>
    </reviewItem>
    <reviewItem>
      <errorID>77b184bb-8d68-48ba-8028-ca961600373d</errorID>
      <errorWord>(</errorWord>
      <group>L1_Format</group>
      <groupName>格式问题</groupName>
      <ability>L2_HalfPunc</ability>
      <abilityName>全半角检查</abilityName>
      <candidateList>
        <item>（</item>
      </candidateList>
      <explain>文本全半角错误。</explain>
      <paraID>51D18800</paraID>
      <start>1</start>
      <end>2</end>
      <status>unmodified</status>
      <modifiedWord/>
      <trackRevisions>false</trackRevisions>
    </reviewItem>
    <reviewItem>
      <errorID>ee5f920b-bbb8-4667-9952-c54ce12f8ef2</errorID>
      <errorWord>)</errorWord>
      <group>L1_Format</group>
      <groupName>格式问题</groupName>
      <ability>L2_HalfPunc</ability>
      <abilityName>全半角检查</abilityName>
      <candidateList>
        <item>）</item>
      </candidateList>
      <explain>文本全半角错误。</explain>
      <paraID>51D18800</paraID>
      <start>3</start>
      <end>4</end>
      <status>unmodified</status>
      <modifiedWord/>
      <trackRevisions>false</trackRevisions>
    </reviewItem>
    <reviewItem>
      <errorID>24c05475-c4dc-445b-bccd-7db2a1e6c52d</errorID>
      <errorWord>(</errorWord>
      <group>L1_Format</group>
      <groupName>格式问题</groupName>
      <ability>L2_HalfPunc</ability>
      <abilityName>全半角检查</abilityName>
      <candidateList>
        <item>（</item>
      </candidateList>
      <explain>文本全半角错误。</explain>
      <paraID> C02B037</paraID>
      <start>85</start>
      <end>86</end>
      <status>unmodified</status>
      <modifiedWord/>
      <trackRevisions>false</trackRevisions>
    </reviewItem>
    <reviewItem>
      <errorID>84992583-8163-4a53-b45a-6a952095dcd0</errorID>
      <errorWord>)</errorWord>
      <group>L1_Format</group>
      <groupName>格式问题</groupName>
      <ability>L2_HalfPunc</ability>
      <abilityName>全半角检查</abilityName>
      <candidateList>
        <item>）</item>
      </candidateList>
      <explain>文本全半角错误。</explain>
      <paraID> C02B037</paraID>
      <start>113</start>
      <end>114</end>
      <status>unmodified</status>
      <modifiedWord/>
      <trackRevisions>false</trackRevisions>
    </reviewItem>
    <reviewItem>
      <errorID>4a81e96e-9357-4509-be4f-a878eabcf951</errorID>
      <errorWord>泄露</errorWord>
      <group>L1_Word</group>
      <groupName>字词问题</groupName>
      <ability>L2_Typo</ability>
      <abilityName>字词错误</abilityName>
      <candidateList>
        <item>泄漏</item>
      </candidateList>
      <explain/>
      <paraID> AC28539</paraID>
      <start>16</start>
      <end>18</end>
      <status>unmodified</status>
      <modifiedWord/>
      <trackRevisions>false</trackRevisions>
    </reviewItem>
    <reviewItem>
      <errorID>fbeb6181-5f80-4840-b183-f6fa41a6a6ee</errorID>
      <errorWord>项目的</errorWord>
      <group>L1_Word</group>
      <groupName>字词问题</groupName>
      <ability>L2_Typo</ability>
      <abilityName>字词错误</abilityName>
      <candidateList>
        <item>项目</item>
      </candidateList>
      <explain>〈名〉事物分成的门类：服务～｜体育～｜建设～。</explain>
      <paraID> AC28539</paraID>
      <start>31</start>
      <end>34</end>
      <status>unmodified</status>
      <modifiedWord/>
      <trackRevisions>false</trackRevisions>
    </reviewItem>
    <reviewItem>
      <errorID>1dabaaf2-1817-40e7-8dee-f0f93b463479</errorID>
      <errorWord>(</errorWord>
      <group>L1_Format</group>
      <groupName>格式问题</groupName>
      <ability>L2_HalfPunc</ability>
      <abilityName>全半角检查</abilityName>
      <candidateList>
        <item>（</item>
      </candidateList>
      <explain>文本全半角错误。</explain>
      <paraID>7C2466FF</paraID>
      <start>9</start>
      <end>10</end>
      <status>unmodified</status>
      <modifiedWord/>
      <trackRevisions>false</trackRevisions>
    </reviewItem>
    <reviewItem>
      <errorID>a6fcc4d0-38db-4d25-ae17-9655b324e8a6</errorID>
      <errorWord>)</errorWord>
      <group>L1_Format</group>
      <groupName>格式问题</groupName>
      <ability>L2_HalfPunc</ability>
      <abilityName>全半角检查</abilityName>
      <candidateList>
        <item>）</item>
      </candidateList>
      <explain>文本全半角错误。</explain>
      <paraID>7C2466FF</paraID>
      <start>12</start>
      <end>13</end>
      <status>unmodified</status>
      <modifiedWord/>
      <trackRevisions>false</trackRevisions>
    </reviewItem>
    <reviewItem>
      <errorID>0a47a50a-41aa-4b94-b44d-7010a46b1441</errorID>
      <errorWord>(</errorWord>
      <group>L1_Format</group>
      <groupName>格式问题</groupName>
      <ability>L2_HalfPunc</ability>
      <abilityName>全半角检查</abilityName>
      <candidateList>
        <item>（</item>
      </candidateList>
      <explain>文本全半角错误。</explain>
      <paraID>2AF3E916</paraID>
      <start>10</start>
      <end>11</end>
      <status>unmodified</status>
      <modifiedWord/>
      <trackRevisions>false</trackRevisions>
    </reviewItem>
    <reviewItem>
      <errorID>a790536d-13d0-418a-90a0-bd53e9dde676</errorID>
      <errorWord>)</errorWord>
      <group>L1_Format</group>
      <groupName>格式问题</groupName>
      <ability>L2_HalfPunc</ability>
      <abilityName>全半角检查</abilityName>
      <candidateList>
        <item>）</item>
      </candidateList>
      <explain>文本全半角错误。</explain>
      <paraID>2AF3E916</paraID>
      <start>13</start>
      <end>14</end>
      <status>unmodified</status>
      <modifiedWord/>
      <trackRevisions>false</trackRevisions>
    </reviewItem>
    <reviewItem>
      <errorID>6bf1b37f-3e70-4c95-b757-4a5bc71bc335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4903355F</paraID>
      <start>0</start>
      <end>2</end>
      <status>unmodified</status>
      <modifiedWord/>
      <trackRevisions>false</trackRevisions>
    </reviewItem>
    <reviewItem>
      <errorID>274ae019-4fc6-4207-831c-f12023c86558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73CDD6D</paraID>
      <start>0</start>
      <end>2</end>
      <status>unmodified</status>
      <modifiedWord/>
      <trackRevisions>false</trackRevisions>
    </reviewItem>
    <reviewItem>
      <errorID>d803f8a2-746a-43d0-a4ec-f6f0ba5b33f4</errorID>
      <errorWord>,</errorWord>
      <group>L1_Format</group>
      <groupName>格式问题</groupName>
      <ability>L2_HalfPunc</ability>
      <abilityName>全半角检查</abilityName>
      <candidateList>
        <item>，</item>
      </candidateList>
      <explain>文本全半角错误。</explain>
      <paraID>  5DC7B3</paraID>
      <start>40</start>
      <end>41</end>
      <status>unmodified</status>
      <modifiedWord/>
      <trackRevisions>false</trackRevisions>
    </reviewItem>
    <reviewItem>
      <errorID>673a3503-e438-428f-9851-e4f91bcfe729</errorID>
      <errorWord>(</errorWord>
      <group>L1_Format</group>
      <groupName>格式问题</groupName>
      <ability>L2_HalfPunc</ability>
      <abilityName>全半角检查</abilityName>
      <candidateList>
        <item>（</item>
      </candidateList>
      <explain>文本全半角错误。</explain>
      <paraID>16324FAC</paraID>
      <start>87</start>
      <end>88</end>
      <status>unmodified</status>
      <modifiedWord/>
      <trackRevisions>false</trackRevisions>
    </reviewItem>
    <reviewItem>
      <errorID>164d0e07-d71a-4aa5-aa59-405576186005</errorID>
      <errorWord>)</errorWord>
      <group>L1_Format</group>
      <groupName>格式问题</groupName>
      <ability>L2_HalfPunc</ability>
      <abilityName>全半角检查</abilityName>
      <candidateList>
        <item>）</item>
      </candidateList>
      <explain>文本全半角错误。</explain>
      <paraID>16324FAC</paraID>
      <start>91</start>
      <end>92</end>
      <status>unmodified</status>
      <modifiedWord/>
      <trackRevisions>false</trackRevisions>
    </reviewItem>
    <reviewItem>
      <errorID>f22b6526-1d94-4dba-ba2e-e99beec714ac</errorID>
      <errorWord>:</errorWord>
      <group>L1_Format</group>
      <groupName>格式问题</groupName>
      <ability>L2_HalfPunc</ability>
      <abilityName>全半角检查</abilityName>
      <candidateList>
        <item>：</item>
      </candidateList>
      <explain>文本全半角错误。</explain>
      <paraID>4DE74FF4</paraID>
      <start>65</start>
      <end>66</end>
      <status>unmodified</status>
      <modifiedWord/>
      <trackRevisions>false</trackRevisions>
    </reviewItem>
    <reviewItem>
      <errorID>c864355d-75cf-4b71-9165-5724a715262c</errorID>
      <errorWord>眼脸</errorWord>
      <group>L1_Word</group>
      <groupName>字词问题</groupName>
      <ability>L2_Typo</ability>
      <abilityName>字词错误</abilityName>
      <candidateList>
        <item>眼睑</item>
      </candidateList>
      <explain>〈名〉眼睛周围能开闭的皮，边缘长着睫毛。眼睑和睫毛都有保护眼球的作用。通称眼皮。</explain>
      <paraID>3019888A</paraID>
      <start>7</start>
      <end>9</end>
      <status>modified</status>
      <modifiedWord>眼睑</modifiedWord>
      <trackRevisions>false</trackRevisions>
    </reviewItem>
    <reviewItem>
      <errorID>1013a30d-a377-409c-8873-5eaf66a2b89c</errorID>
      <errorWord>(</errorWord>
      <group>L1_Format</group>
      <groupName>格式问题</groupName>
      <ability>L2_HalfPunc</ability>
      <abilityName>全半角检查</abilityName>
      <candidateList>
        <item>（</item>
      </candidateList>
      <explain>文本全半角错误。</explain>
      <paraID> A056D04</paraID>
      <start>2</start>
      <end>3</end>
      <status>unmodified</status>
      <modifiedWord/>
      <trackRevisions>false</trackRevisions>
    </reviewItem>
    <reviewItem>
      <errorID>0a0e4ef0-59da-4345-8a3b-a1db925db218</errorID>
      <errorWord>)</errorWord>
      <group>L1_Format</group>
      <groupName>格式问题</groupName>
      <ability>L2_HalfPunc</ability>
      <abilityName>全半角检查</abilityName>
      <candidateList>
        <item>）</item>
      </candidateList>
      <explain>文本全半角错误。</explain>
      <paraID> A056D04</paraID>
      <start>4</start>
      <end>5</end>
      <status>unmodified</status>
      <modifiedWord/>
      <trackRevisions>false</trackRevisions>
    </reviewItem>
    <reviewItem>
      <errorID>0b87e89a-b26c-4021-a889-cf880ce99ba3</errorID>
      <errorWord>(</errorWord>
      <group>L1_Format</group>
      <groupName>格式问题</groupName>
      <ability>L2_HalfPunc</ability>
      <abilityName>全半角检查</abilityName>
      <candidateList>
        <item>（</item>
      </candidateList>
      <explain>文本全半角错误。</explain>
      <paraID>4B6778D5</paraID>
      <start>4</start>
      <end>5</end>
      <status>unmodified</status>
      <modifiedWord/>
      <trackRevisions>false</trackRevisions>
    </reviewItem>
    <reviewItem>
      <errorID>4d209e67-eb05-4f94-ae77-10491e8b3eb7</errorID>
      <errorWord>(</errorWord>
      <group>L1_Format</group>
      <groupName>格式问题</groupName>
      <ability>L2_HalfPunc</ability>
      <abilityName>全半角检查</abilityName>
      <candidateList>
        <item>（</item>
      </candidateList>
      <explain>文本全半角错误。</explain>
      <paraID>411ABEB3</paraID>
      <start>4</start>
      <end>5</end>
      <status>unmodified</status>
      <modifiedWord/>
      <trackRevisions>false</trackRevisions>
    </reviewItem>
    <reviewItem>
      <errorID>4858bcbd-d1a2-42e2-9908-5c2fe7ab3705</errorID>
      <errorWord>(</errorWord>
      <group>L1_Format</group>
      <groupName>格式问题</groupName>
      <ability>L2_HalfPunc</ability>
      <abilityName>全半角检查</abilityName>
      <candidateList>
        <item>（</item>
      </candidateList>
      <explain>文本全半角错误。</explain>
      <paraID>65609350</paraID>
      <start>2</start>
      <end>3</end>
      <status>unmodified</status>
      <modifiedWord/>
      <trackRevisions>false</trackRevisions>
    </reviewItem>
    <reviewItem>
      <errorID>5e755ea4-a650-4959-b761-4b01e1bd9528</errorID>
      <errorWord>)</errorWord>
      <group>L1_Format</group>
      <groupName>格式问题</groupName>
      <ability>L2_HalfPunc</ability>
      <abilityName>全半角检查</abilityName>
      <candidateList>
        <item>）</item>
      </candidateList>
      <explain>文本全半角错误。</explain>
      <paraID>65609350</paraID>
      <start>4</start>
      <end>5</end>
      <status>unmodified</status>
      <modifiedWord/>
      <trackRevisions>false</trackRevisions>
    </reviewItem>
    <reviewItem>
      <errorID>f1c14d37-8902-49e1-8ecc-ef5efa84e292</errorID>
      <errorWord>饱和蒸气</errorWord>
      <group>L1_Word</group>
      <groupName>字词问题</groupName>
      <ability>L2_Typo</ability>
      <abilityName>字词错误</abilityName>
      <candidateList>
        <item>饱和蒸汽</item>
      </candidateList>
      <explain/>
      <paraID>44D8240F</paraID>
      <start>0</start>
      <end>4</end>
      <status>unmodified</status>
      <modifiedWord/>
      <trackRevisions>false</trackRevisions>
    </reviewItem>
    <reviewItem>
      <errorID>48cdaf88-dfe9-4db9-a530-9a20f55e606b</errorID>
      <errorWord>(</errorWord>
      <group>L1_Format</group>
      <groupName>格式问题</groupName>
      <ability>L2_HalfPunc</ability>
      <abilityName>全半角检查</abilityName>
      <candidateList>
        <item>（</item>
      </candidateList>
      <explain>文本全半角错误。</explain>
      <paraID>44D8240F</paraID>
      <start>5</start>
      <end>6</end>
      <status>unmodified</status>
      <modifiedWord/>
      <trackRevisions>false</trackRevisions>
    </reviewItem>
    <reviewItem>
      <errorID>4152baf9-947c-41d1-9d97-fff11ebed0e6</errorID>
      <errorWord>)</errorWord>
      <group>L1_Format</group>
      <groupName>格式问题</groupName>
      <ability>L2_HalfPunc</ability>
      <abilityName>全半角检查</abilityName>
      <candidateList>
        <item>）</item>
      </candidateList>
      <explain>文本全半角错误。</explain>
      <paraID>44D8240F</paraID>
      <start>9</start>
      <end>10</end>
      <status>unmodified</status>
      <modifiedWord/>
      <trackRevisions>false</trackRevisions>
    </reviewItem>
    <reviewItem>
      <errorID>a3c1d22c-07d5-4fc9-b103-097f2994f895</errorID>
      <errorWord>(</errorWord>
      <group>L1_Format</group>
      <groupName>格式问题</groupName>
      <ability>L2_HalfPunc</ability>
      <abilityName>全半角检查</abilityName>
      <candidateList>
        <item>（</item>
      </candidateList>
      <explain>文本全半角错误。</explain>
      <paraID>49FD3768</paraID>
      <start>13</start>
      <end>14</end>
      <status>unmodified</status>
      <modifiedWord/>
      <trackRevisions>false</trackRevisions>
    </reviewItem>
    <reviewItem>
      <errorID>91e19ce0-cee2-47f8-81c2-ebd27464bf22</errorID>
      <errorWord>)</errorWord>
      <group>L1_Format</group>
      <groupName>格式问题</groupName>
      <ability>L2_HalfPunc</ability>
      <abilityName>全半角检查</abilityName>
      <candidateList>
        <item>）</item>
      </candidateList>
      <explain>文本全半角错误。</explain>
      <paraID>49FD3768</paraID>
      <start>17</start>
      <end>18</end>
      <status>unmodified</status>
      <modifiedWord/>
      <trackRevisions>false</trackRevisions>
    </reviewItem>
    <reviewItem>
      <errorID>5eba1bb1-b3b4-4980-81bb-09cea2723427</errorID>
      <errorWord>(</errorWord>
      <group>L1_Format</group>
      <groupName>格式问题</groupName>
      <ability>L2_HalfPunc</ability>
      <abilityName>全半角检查</abilityName>
      <candidateList>
        <item>（</item>
      </candidateList>
      <explain>文本全半角错误。</explain>
      <paraID>49FD3768</paraID>
      <start>35</start>
      <end>36</end>
      <status>unmodified</status>
      <modifiedWord/>
      <trackRevisions>false</trackRevisions>
    </reviewItem>
    <reviewItem>
      <errorID>6a64be1d-76c1-4932-bd00-545d00873710</errorID>
      <errorWord>)</errorWord>
      <group>L1_Format</group>
      <groupName>格式问题</groupName>
      <ability>L2_HalfPunc</ability>
      <abilityName>全半角检查</abilityName>
      <candidateList>
        <item>）</item>
      </candidateList>
      <explain>文本全半角错误。</explain>
      <paraID>49FD3768</paraID>
      <start>40</start>
      <end>41</end>
      <status>unmodified</status>
      <modifiedWord/>
      <trackRevisions>false</trackRevisions>
    </reviewItem>
    <reviewItem>
      <errorID>28e43d0f-03f9-466d-83b9-4ad9078df3f1</errorID>
      <errorWord>-</errorWord>
      <group>L1_Knowledge</group>
      <groupName>知识性问题</groupName>
      <ability>L2_Knowledge</ability>
      <abilityName>其他知识</abilityName>
      <candidateList>
        <item>%～</item>
      </candidateList>
      <explain>百分号用法检查</explain>
      <paraID>50339E68</paraID>
      <start>105</start>
      <end>106</end>
      <status>unmodified</status>
      <modifiedWord/>
      <trackRevisions>false</trackRevisions>
    </reviewItem>
    <reviewItem>
      <errorID>d58f7a94-3e71-405e-b7e6-4a8a95ba60d7</errorID>
      <errorWord>(</errorWord>
      <group>L1_Format</group>
      <groupName>格式问题</groupName>
      <ability>L2_HalfPunc</ability>
      <abilityName>全半角检查</abilityName>
      <candidateList>
        <item>（</item>
      </candidateList>
      <explain>文本全半角错误。</explain>
      <paraID>123BAD47</paraID>
      <start>2</start>
      <end>3</end>
      <status>unmodified</status>
      <modifiedWord/>
      <trackRevisions>false</trackRevisions>
    </reviewItem>
    <reviewItem>
      <errorID>7fec8793-0753-4ef4-b823-35340b45bb37</errorID>
      <errorWord>)</errorWord>
      <group>L1_Format</group>
      <groupName>格式问题</groupName>
      <ability>L2_HalfPunc</ability>
      <abilityName>全半角检查</abilityName>
      <candidateList>
        <item>）</item>
      </candidateList>
      <explain>文本全半角错误。</explain>
      <paraID>123BAD47</paraID>
      <start>4</start>
      <end>5</end>
      <status>unmodified</status>
      <modifiedWord/>
      <trackRevisions>false</trackRevisions>
    </reviewItem>
    <reviewItem>
      <errorID>d7746227-cb5b-4f3a-a6f0-12b6fbeb1ebc</errorID>
      <errorWord>(</errorWord>
      <group>L1_Format</group>
      <groupName>格式问题</groupName>
      <ability>L2_HalfPunc</ability>
      <abilityName>全半角检查</abilityName>
      <candidateList>
        <item>（</item>
      </candidateList>
      <explain>文本全半角错误。</explain>
      <paraID>49D55215</paraID>
      <start>4</start>
      <end>5</end>
      <status>unmodified</status>
      <modifiedWord/>
      <trackRevisions>false</trackRevisions>
    </reviewItem>
    <reviewItem>
      <errorID>cbd13f79-110d-46c7-a490-21631e90cf03</errorID>
      <errorWord>)</errorWord>
      <group>L1_Format</group>
      <groupName>格式问题</groupName>
      <ability>L2_HalfPunc</ability>
      <abilityName>全半角检查</abilityName>
      <candidateList>
        <item>）</item>
      </candidateList>
      <explain>文本全半角错误。</explain>
      <paraID>49D55215</paraID>
      <start>7</start>
      <end>8</end>
      <status>unmodified</status>
      <modifiedWord/>
      <trackRevisions>false</trackRevisions>
    </reviewItem>
    <reviewItem>
      <errorID>11f3cec3-3802-4e02-8e71-7a4fed7128f0</errorID>
      <errorWord>(</errorWord>
      <group>L1_Format</group>
      <groupName>格式问题</groupName>
      <ability>L2_HalfPunc</ability>
      <abilityName>全半角检查</abilityName>
      <candidateList>
        <item>（</item>
      </candidateList>
      <explain>文本全半角错误。</explain>
      <paraID> D1B1EFD</paraID>
      <start>4</start>
      <end>5</end>
      <status>unmodified</status>
      <modifiedWord/>
      <trackRevisions>false</trackRevisions>
    </reviewItem>
    <reviewItem>
      <errorID>550e5227-8b9e-4be2-bddb-10618a7b619f</errorID>
      <errorWord>)</errorWord>
      <group>L1_Format</group>
      <groupName>格式问题</groupName>
      <ability>L2_HalfPunc</ability>
      <abilityName>全半角检查</abilityName>
      <candidateList>
        <item>）</item>
      </candidateList>
      <explain>文本全半角错误。</explain>
      <paraID> D1B1EFD</paraID>
      <start>6</start>
      <end>7</end>
      <status>unmodified</status>
      <modifiedWord/>
      <trackRevisions>false</trackRevisions>
    </reviewItem>
    <reviewItem>
      <errorID>bdd957ac-cc01-4274-93eb-065c21bac4f8</errorID>
      <errorWord>(</errorWord>
      <group>L1_Format</group>
      <groupName>格式问题</groupName>
      <ability>L2_HalfPunc</ability>
      <abilityName>全半角检查</abilityName>
      <candidateList>
        <item>（</item>
      </candidateList>
      <explain>文本全半角错误。</explain>
      <paraID>77ACF645</paraID>
      <start>4</start>
      <end>5</end>
      <status>unmodified</status>
      <modifiedWord/>
      <trackRevisions>false</trackRevisions>
    </reviewItem>
    <reviewItem>
      <errorID>d7e6c19e-5ff1-46b1-aa4d-58121c4d3193</errorID>
      <errorWord>)</errorWord>
      <group>L1_Format</group>
      <groupName>格式问题</groupName>
      <ability>L2_HalfPunc</ability>
      <abilityName>全半角检查</abilityName>
      <candidateList>
        <item>）</item>
      </candidateList>
      <explain>文本全半角错误。</explain>
      <paraID>77ACF645</paraID>
      <start>7</start>
      <end>8</end>
      <status>unmodified</status>
      <modifiedWord/>
      <trackRevisions>false</trackRevisions>
    </reviewItem>
    <reviewItem>
      <errorID>e3b94815-0121-4b1c-9f13-f97e0d514e33</errorID>
      <errorWord>中合反应</errorWord>
      <group>L1_Knowledge</group>
      <groupName>知识性问题</groupName>
      <ability>L2_Term</ability>
      <abilityName>专业术语</abilityName>
      <candidateList>
        <item>缩合反应</item>
      </candidateList>
      <explain/>
      <paraID>5CC075D7</paraID>
      <start>40</start>
      <end>44</end>
      <status>unmodified</status>
      <modifiedWord/>
      <trackRevisions>false</trackRevisions>
    </reviewItem>
    <reviewItem>
      <errorID>946e7c5f-a9ad-4ee0-b06a-4590401488aa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788F50F0</paraID>
      <start>0</start>
      <end>2</end>
      <status>unmodified</status>
      <modifiedWord/>
      <trackRevisions>false</trackRevisions>
    </reviewItem>
    <reviewItem>
      <errorID>4c679031-0702-427e-9946-3ae8e9a59abd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3289DB94</paraID>
      <start>0</start>
      <end>2</end>
      <status>unmodified</status>
      <modifiedWord/>
      <trackRevisions>false</trackRevisions>
    </reviewItem>
    <reviewItem>
      <errorID>270dfcba-a495-40e1-a203-0cb4d9a684e7</errorID>
      <errorWord>的的</errorWord>
      <group>L1_Word</group>
      <groupName>字词问题</groupName>
      <ability>L2_Typo</ability>
      <abilityName>字词错误</abilityName>
      <candidateList>
        <item>的</item>
      </candidateList>
      <explain>置于形容词、名词后，用于修饰事物的形态。</explain>
      <paraID>1CBBA483</paraID>
      <start>9</start>
      <end>11</end>
      <status>unmodified</status>
      <modifiedWord/>
      <trackRevisions>false</trackRevisions>
    </reviewItem>
    <reviewItem>
      <errorID>c6a43356-4458-4055-b724-bcb037e6e9db</errorID>
      <errorWord>泄露</errorWord>
      <group>L1_Word</group>
      <groupName>字词问题</groupName>
      <ability>L2_Typo</ability>
      <abilityName>字词错误</abilityName>
      <candidateList>
        <item>泄漏</item>
      </candidateList>
      <explain/>
      <paraID>1CBBA483</paraID>
      <start>65</start>
      <end>67</end>
      <status>unmodified</status>
      <modifiedWord/>
      <trackRevisions>false</trackRevisions>
    </reviewItem>
    <reviewItem>
      <errorID>31a1a7d1-5f00-45e2-b9e6-eaead67ced3f</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3F1CCC0D</paraID>
      <start>23</start>
      <end>25</end>
      <status>unmodified</status>
      <modifiedWord/>
      <trackRevisions>false</trackRevisions>
    </reviewItem>
    <reviewItem>
      <errorID>3e0d7a74-fc5a-4f3e-8f3c-3734f6ce3ccc</errorID>
      <errorWord>泄露</errorWord>
      <group>L1_Word</group>
      <groupName>字词问题</groupName>
      <ability>L2_Typo</ability>
      <abilityName>字词错误</abilityName>
      <candidateList>
        <item>泄漏</item>
      </candidateList>
      <explain>存在发音相同字词的误用。</explain>
      <paraID>413E30BF</paraID>
      <start>74</start>
      <end>76</end>
      <status>unmodified</status>
      <modifiedWord/>
      <trackRevisions>false</trackRevisions>
    </reviewItem>
    <reviewItem>
      <errorID>ea98ccc6-7590-4d11-b5ac-531701042690</errorID>
      <errorWord>泄露</errorWord>
      <group>L1_Word</group>
      <groupName>字词问题</groupName>
      <ability>L2_Typo</ability>
      <abilityName>字词错误</abilityName>
      <candidateList>
        <item>泄漏</item>
      </candidateList>
      <explain>存在发音相同字词的误用。</explain>
      <paraID>   D4545</paraID>
      <start>2</start>
      <end>4</end>
      <status>unmodified</status>
      <modifiedWord/>
      <trackRevisions>false</trackRevisions>
    </reviewItem>
    <reviewItem>
      <errorID>40f4d6de-16cc-45cb-bf7b-6453a3727ef7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44E4B741</paraID>
      <start>0</start>
      <end>2</end>
      <status>unmodified</status>
      <modifiedWord/>
      <trackRevisions>false</trackRevisions>
    </reviewItem>
    <reviewItem>
      <errorID>5096ee49-41ea-4357-a0a4-9c9407f43e92</errorID>
      <errorWord>泄露</errorWord>
      <group>L1_Word</group>
      <groupName>字词问题</groupName>
      <ability>L2_Typo</ability>
      <abilityName>字词错误</abilityName>
      <candidateList>
        <item>泄漏</item>
      </candidateList>
      <explain/>
      <paraID>3598B270</paraID>
      <start>15</start>
      <end>17</end>
      <status>unmodified</status>
      <modifiedWord/>
      <trackRevisions>false</trackRevisions>
    </reviewItem>
    <reviewItem>
      <errorID>7d63e133-b402-4dcf-93b5-7a8f78c8a608</errorID>
      <errorWord>检测</errorWord>
      <group>L1_Word</group>
      <groupName>字词问题</groupName>
      <ability>L2_Typo</ability>
      <abilityName>字词错误</abilityName>
      <candidateList>
        <item>监测</item>
      </candidateList>
      <explain/>
      <paraID>4C551F72</paraID>
      <start>16</start>
      <end>18</end>
      <status>unmodified</status>
      <modifiedWord/>
      <trackRevisions>false</trackRevisions>
    </reviewItem>
    <reviewItem>
      <errorID>78138827-7fd0-4f4f-a003-f582dd9ca9ef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5187CA78</paraID>
      <start>0</start>
      <end>2</end>
      <status>unmodified</status>
      <modifiedWord/>
      <trackRevisions>false</trackRevisions>
    </reviewItem>
    <reviewItem>
      <errorID>31227266-3c81-490e-9f17-30ef217c696c</errorID>
      <errorWord>临近</errorWord>
      <group>L1_Word</group>
      <groupName>字词问题</groupName>
      <ability>L2_Typo</ability>
      <abilityName>字词错误</abilityName>
      <candidateList>
        <item>邻近</item>
      </candidateList>
      <explain>存在发音相同字词的误用。</explain>
      <paraID>7F742630</paraID>
      <start>0</start>
      <end>2</end>
      <status>unmodified</status>
      <modifiedWord/>
      <trackRevisions>false</trackRevisions>
    </reviewItem>
    <reviewItem>
      <errorID>d0bbca68-7a9c-4a9f-bbeb-63344cbffc92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4F378003</paraID>
      <start>0</start>
      <end>2</end>
      <status>unmodified</status>
      <modifiedWord/>
      <trackRevisions>false</trackRevisions>
    </reviewItem>
    <reviewItem>
      <errorID>e008338b-465b-475d-8378-026145a41933</errorID>
      <errorWord>导入</errorWord>
      <group>L1_Word</group>
      <groupName>字词问题</groupName>
      <ability>L2_Typo</ability>
      <abilityName>字词错误</abilityName>
      <candidateList>
        <item>倒入</item>
      </candidateList>
      <explain>存在发音相同字词的误用。</explain>
      <paraID>17D385F1</paraID>
      <start>40</start>
      <end>42</end>
      <status>unmodified</status>
      <modifiedWord/>
      <trackRevisions>false</trackRevisions>
    </reviewItem>
    <reviewItem>
      <errorID>6a6057da-f0d7-40ab-9fd6-e4a2a338cbad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DC5FA49</paraID>
      <start>0</start>
      <end>2</end>
      <status>unmodified</status>
      <modifiedWord/>
      <trackRevisions>false</trackRevisions>
    </reviewItem>
    <reviewItem>
      <errorID>0ca774d5-0ad2-43ed-abb7-5274aa447e68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6094CDEF</paraID>
      <start>0</start>
      <end>2</end>
      <status>unmodified</status>
      <modifiedWord/>
      <trackRevisions>false</trackRevisions>
    </reviewItem>
    <reviewItem>
      <errorID>d0644b17-2bdc-4092-bb85-9b2fc8bcb6ae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7AD06D88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78D5EC-C635-4C2C-BAD3-291DE7511D2C}">
  <ds:schemaRefs/>
</ds:datastoreItem>
</file>

<file path=customXml/itemProps3.xml><?xml version="1.0" encoding="utf-8"?>
<ds:datastoreItem xmlns:ds="http://schemas.openxmlformats.org/officeDocument/2006/customXml" ds:itemID="{f288fc48-7c15-4a6a-b4a6-1006077cb70e}">
  <ds:schemaRefs/>
</ds:datastoreItem>
</file>

<file path=docProps/app.xml><?xml version="1.0" encoding="utf-8"?>
<Properties xmlns="http://schemas.openxmlformats.org/officeDocument/2006/extended-properties" xmlns:vt="http://schemas.openxmlformats.org/officeDocument/2006/docPropsVTypes">
  <Template>【0017】污染影响类报告表模板.dotm</Template>
  <Pages>119</Pages>
  <Words>96</Words>
  <Characters>96</Characters>
  <Lines>39</Lines>
  <Paragraphs>11</Paragraphs>
  <TotalTime>50</TotalTime>
  <ScaleCrop>false</ScaleCrop>
  <LinksUpToDate>false</LinksUpToDate>
  <CharactersWithSpaces>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2024-05-18T04:49:00Z</dcterms:created>
  <dc:creator>磊少</dc:creator>
  <cp:lastModifiedBy>小麦啾</cp:lastModifiedBy>
  <dcterms:modified xsi:type="dcterms:W3CDTF">2026-10-19T09:29:16Z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5FAAA4E5FD4F475F8D96992E34513EE1_11</vt:lpwstr>
  </property>
  <property fmtid="{D5CDD505-2E9C-101B-9397-08002B2CF9AE}" pid="3" name="KSOProductBuildVer">
    <vt:lpwstr>2052-12.1.0.28505</vt:lpwstr>
  </property>
  <property fmtid="{D5CDD505-2E9C-101B-9397-08002B2CF9AE}" pid="4" name="KSOTemplateDocerSaveRecord">
    <vt:lpwstr>eyJoZGlkIjoiM2Q5NDlmNDc3N2ZkYzk3ZGJmOTUwNTM0Mzc5MTVlNDMiLCJ1c2VySWQiOiIzMjQ5NjUzODcifQ==</vt:lpwstr>
  </property>
</Properties>
</file>