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55167C">
      <w:pPr>
        <w:ind w:firstLine="0" w:firstLineChars="0"/>
        <w:jc w:val="center"/>
        <w:outlineLvl w:val="0"/>
        <w:rPr>
          <w:rFonts w:hint="eastAsia" w:ascii="黑体" w:hAnsi="黑体" w:eastAsia="黑体" w:cs="黑体"/>
          <w:b/>
          <w:color w:val="000000" w:themeColor="text1"/>
          <w:sz w:val="36"/>
          <w:szCs w:val="36"/>
          <w:highlight w:val="none"/>
          <w:lang w:eastAsia="zh-CN"/>
          <w14:textFill>
            <w14:solidFill>
              <w14:schemeClr w14:val="tx1"/>
            </w14:solidFill>
          </w14:textFill>
        </w:rPr>
      </w:pPr>
      <w:bookmarkStart w:id="1505" w:name="_GoBack"/>
      <w:bookmarkEnd w:id="1505"/>
    </w:p>
    <w:p w14:paraId="4C4E0A01">
      <w:pPr>
        <w:ind w:firstLine="0" w:firstLineChars="0"/>
        <w:jc w:val="center"/>
        <w:outlineLvl w:val="0"/>
        <w:rPr>
          <w:rFonts w:hint="eastAsia" w:ascii="黑体" w:hAnsi="黑体" w:eastAsia="黑体" w:cs="黑体"/>
          <w:b/>
          <w:color w:val="000000" w:themeColor="text1"/>
          <w:sz w:val="36"/>
          <w:szCs w:val="36"/>
          <w:highlight w:val="none"/>
          <w14:textFill>
            <w14:solidFill>
              <w14:schemeClr w14:val="tx1"/>
            </w14:solidFill>
          </w14:textFill>
        </w:rPr>
      </w:pPr>
    </w:p>
    <w:p w14:paraId="7756AF05">
      <w:pPr>
        <w:ind w:firstLine="0" w:firstLineChars="0"/>
        <w:jc w:val="center"/>
        <w:outlineLvl w:val="0"/>
        <w:rPr>
          <w:rFonts w:hint="eastAsia" w:ascii="黑体" w:hAnsi="黑体" w:eastAsia="黑体" w:cs="黑体"/>
          <w:b/>
          <w:color w:val="000000" w:themeColor="text1"/>
          <w:sz w:val="36"/>
          <w:szCs w:val="36"/>
          <w:highlight w:val="none"/>
          <w14:textFill>
            <w14:solidFill>
              <w14:schemeClr w14:val="tx1"/>
            </w14:solidFill>
          </w14:textFill>
        </w:rPr>
      </w:pPr>
    </w:p>
    <w:p w14:paraId="0A392CA5">
      <w:pPr>
        <w:ind w:firstLine="0" w:firstLineChars="0"/>
        <w:jc w:val="center"/>
        <w:outlineLvl w:val="0"/>
        <w:rPr>
          <w:rFonts w:hint="eastAsia" w:ascii="黑体" w:hAnsi="黑体" w:eastAsia="黑体" w:cs="黑体"/>
          <w:b/>
          <w:color w:val="000000" w:themeColor="text1"/>
          <w:sz w:val="36"/>
          <w:szCs w:val="36"/>
          <w:highlight w:val="none"/>
          <w14:textFill>
            <w14:solidFill>
              <w14:schemeClr w14:val="tx1"/>
            </w14:solidFill>
          </w14:textFill>
        </w:rPr>
      </w:pPr>
    </w:p>
    <w:p w14:paraId="2CC8BCB7">
      <w:pPr>
        <w:ind w:firstLine="0" w:firstLineChars="0"/>
        <w:jc w:val="center"/>
        <w:outlineLvl w:val="0"/>
        <w:rPr>
          <w:rFonts w:hint="eastAsia" w:ascii="黑体" w:hAnsi="黑体" w:eastAsia="黑体" w:cs="黑体"/>
          <w:b/>
          <w:color w:val="000000" w:themeColor="text1"/>
          <w:sz w:val="36"/>
          <w:szCs w:val="36"/>
          <w:highlight w:val="none"/>
          <w14:textFill>
            <w14:solidFill>
              <w14:schemeClr w14:val="tx1"/>
            </w14:solidFill>
          </w14:textFill>
        </w:rPr>
      </w:pPr>
      <w:bookmarkStart w:id="0" w:name="_Toc17298"/>
      <w:bookmarkStart w:id="1" w:name="_Toc26836"/>
      <w:bookmarkStart w:id="2" w:name="_Toc4353"/>
      <w:bookmarkStart w:id="3" w:name="_Toc404"/>
      <w:bookmarkStart w:id="4" w:name="_Toc14151"/>
      <w:r>
        <w:rPr>
          <w:rFonts w:hint="eastAsia" w:ascii="黑体" w:hAnsi="黑体" w:eastAsia="黑体" w:cs="黑体"/>
          <w:b/>
          <w:color w:val="000000" w:themeColor="text1"/>
          <w:sz w:val="36"/>
          <w:szCs w:val="36"/>
          <w:highlight w:val="none"/>
          <w14:textFill>
            <w14:solidFill>
              <w14:schemeClr w14:val="tx1"/>
            </w14:solidFill>
          </w14:textFill>
        </w:rPr>
        <w:t>恒泰晋昇生产速凝剂及硫酸铝外加剂建设项目</w:t>
      </w:r>
      <w:bookmarkEnd w:id="0"/>
      <w:bookmarkEnd w:id="1"/>
      <w:bookmarkEnd w:id="2"/>
      <w:bookmarkEnd w:id="3"/>
      <w:bookmarkEnd w:id="4"/>
    </w:p>
    <w:p w14:paraId="6A185168">
      <w:pPr>
        <w:ind w:left="0" w:leftChars="0" w:firstLine="0" w:firstLineChars="0"/>
        <w:rPr>
          <w:rFonts w:hint="eastAsia"/>
          <w:color w:val="000000" w:themeColor="text1"/>
          <w:highlight w:val="none"/>
          <w14:textFill>
            <w14:solidFill>
              <w14:schemeClr w14:val="tx1"/>
            </w14:solidFill>
          </w14:textFill>
        </w:rPr>
      </w:pPr>
    </w:p>
    <w:p w14:paraId="22886282">
      <w:pPr>
        <w:ind w:left="0" w:leftChars="0" w:firstLine="0" w:firstLineChars="0"/>
        <w:rPr>
          <w:rFonts w:hint="eastAsia"/>
          <w:color w:val="000000" w:themeColor="text1"/>
          <w:highlight w:val="none"/>
          <w14:textFill>
            <w14:solidFill>
              <w14:schemeClr w14:val="tx1"/>
            </w14:solidFill>
          </w14:textFill>
        </w:rPr>
      </w:pPr>
    </w:p>
    <w:p w14:paraId="635634C1">
      <w:pPr>
        <w:ind w:left="0" w:leftChars="0" w:firstLine="0" w:firstLineChars="0"/>
        <w:rPr>
          <w:rFonts w:hint="eastAsia"/>
          <w:color w:val="000000" w:themeColor="text1"/>
          <w:highlight w:val="none"/>
          <w14:textFill>
            <w14:solidFill>
              <w14:schemeClr w14:val="tx1"/>
            </w14:solidFill>
          </w14:textFill>
        </w:rPr>
      </w:pPr>
    </w:p>
    <w:p w14:paraId="52890A17">
      <w:pPr>
        <w:ind w:left="0" w:leftChars="0" w:firstLine="0" w:firstLineChars="0"/>
        <w:rPr>
          <w:rFonts w:hint="eastAsia"/>
          <w:color w:val="000000" w:themeColor="text1"/>
          <w:highlight w:val="none"/>
          <w14:textFill>
            <w14:solidFill>
              <w14:schemeClr w14:val="tx1"/>
            </w14:solidFill>
          </w14:textFill>
        </w:rPr>
      </w:pPr>
    </w:p>
    <w:p w14:paraId="08427BE9">
      <w:pPr>
        <w:ind w:firstLine="0" w:firstLineChars="0"/>
        <w:jc w:val="center"/>
        <w:outlineLvl w:val="0"/>
        <w:rPr>
          <w:rFonts w:hint="eastAsia" w:ascii="黑体" w:hAnsi="黑体" w:eastAsia="黑体" w:cs="黑体"/>
          <w:b/>
          <w:color w:val="000000" w:themeColor="text1"/>
          <w:sz w:val="72"/>
          <w:szCs w:val="72"/>
          <w:highlight w:val="none"/>
          <w:lang w:val="en-US" w:eastAsia="zh-CN"/>
          <w14:textFill>
            <w14:solidFill>
              <w14:schemeClr w14:val="tx1"/>
            </w14:solidFill>
          </w14:textFill>
        </w:rPr>
      </w:pPr>
      <w:bookmarkStart w:id="5" w:name="_Toc17234"/>
      <w:bookmarkStart w:id="6" w:name="_Toc14477"/>
      <w:bookmarkStart w:id="7" w:name="_Toc27956"/>
      <w:bookmarkStart w:id="8" w:name="_Toc24190"/>
      <w:bookmarkStart w:id="9" w:name="_Toc24845"/>
      <w:r>
        <w:rPr>
          <w:rFonts w:hint="eastAsia" w:ascii="黑体" w:hAnsi="黑体" w:eastAsia="黑体" w:cs="黑体"/>
          <w:b/>
          <w:color w:val="000000" w:themeColor="text1"/>
          <w:sz w:val="72"/>
          <w:szCs w:val="72"/>
          <w:highlight w:val="none"/>
          <w:lang w:val="en-US" w:eastAsia="zh-CN"/>
          <w14:textFill>
            <w14:solidFill>
              <w14:schemeClr w14:val="tx1"/>
            </w14:solidFill>
          </w14:textFill>
        </w:rPr>
        <w:t>生态环境影响报告书</w:t>
      </w:r>
      <w:bookmarkEnd w:id="5"/>
      <w:bookmarkEnd w:id="6"/>
      <w:bookmarkEnd w:id="7"/>
      <w:bookmarkEnd w:id="8"/>
      <w:bookmarkEnd w:id="9"/>
    </w:p>
    <w:p w14:paraId="05261F7C">
      <w:pPr>
        <w:ind w:left="0" w:leftChars="0" w:firstLine="0" w:firstLineChars="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报批</w:t>
      </w:r>
      <w:r>
        <w:rPr>
          <w:rFonts w:hint="eastAsia" w:ascii="宋体" w:hAnsi="宋体" w:eastAsia="宋体" w:cs="宋体"/>
          <w:color w:val="000000" w:themeColor="text1"/>
          <w:highlight w:val="none"/>
          <w:lang w:val="en-US" w:eastAsia="zh-CN"/>
          <w14:textFill>
            <w14:solidFill>
              <w14:schemeClr w14:val="tx1"/>
            </w14:solidFill>
          </w14:textFill>
        </w:rPr>
        <w:t>稿）</w:t>
      </w:r>
    </w:p>
    <w:p w14:paraId="6BF828BF">
      <w:pPr>
        <w:ind w:left="0" w:leftChars="0" w:firstLine="0" w:firstLineChars="0"/>
        <w:rPr>
          <w:rFonts w:hint="eastAsia"/>
          <w:color w:val="000000" w:themeColor="text1"/>
          <w:highlight w:val="none"/>
          <w:lang w:val="en-US" w:eastAsia="zh-CN"/>
          <w14:textFill>
            <w14:solidFill>
              <w14:schemeClr w14:val="tx1"/>
            </w14:solidFill>
          </w14:textFill>
        </w:rPr>
      </w:pPr>
    </w:p>
    <w:p w14:paraId="360911A3">
      <w:pPr>
        <w:ind w:left="0" w:leftChars="0" w:firstLine="0" w:firstLineChars="0"/>
        <w:rPr>
          <w:rFonts w:hint="eastAsia"/>
          <w:color w:val="000000" w:themeColor="text1"/>
          <w:highlight w:val="none"/>
          <w:lang w:val="en-US" w:eastAsia="zh-CN"/>
          <w14:textFill>
            <w14:solidFill>
              <w14:schemeClr w14:val="tx1"/>
            </w14:solidFill>
          </w14:textFill>
        </w:rPr>
      </w:pPr>
    </w:p>
    <w:p w14:paraId="3EADFD9C">
      <w:pPr>
        <w:ind w:left="0" w:leftChars="0" w:firstLine="0" w:firstLineChars="0"/>
        <w:rPr>
          <w:rFonts w:hint="eastAsia"/>
          <w:color w:val="000000" w:themeColor="text1"/>
          <w:highlight w:val="none"/>
          <w:lang w:val="en-US" w:eastAsia="zh-CN"/>
          <w14:textFill>
            <w14:solidFill>
              <w14:schemeClr w14:val="tx1"/>
            </w14:solidFill>
          </w14:textFill>
        </w:rPr>
      </w:pPr>
    </w:p>
    <w:p w14:paraId="66AD0858">
      <w:pPr>
        <w:ind w:left="0" w:leftChars="0" w:firstLine="0" w:firstLineChars="0"/>
        <w:rPr>
          <w:rFonts w:hint="eastAsia"/>
          <w:color w:val="000000" w:themeColor="text1"/>
          <w:highlight w:val="none"/>
          <w:lang w:val="en-US" w:eastAsia="zh-CN"/>
          <w14:textFill>
            <w14:solidFill>
              <w14:schemeClr w14:val="tx1"/>
            </w14:solidFill>
          </w14:textFill>
        </w:rPr>
      </w:pPr>
    </w:p>
    <w:p w14:paraId="534D12B9">
      <w:pPr>
        <w:ind w:left="0" w:leftChars="0" w:firstLine="0" w:firstLineChars="0"/>
        <w:rPr>
          <w:rFonts w:hint="eastAsia"/>
          <w:color w:val="000000" w:themeColor="text1"/>
          <w:highlight w:val="none"/>
          <w:lang w:val="en-US" w:eastAsia="zh-CN"/>
          <w14:textFill>
            <w14:solidFill>
              <w14:schemeClr w14:val="tx1"/>
            </w14:solidFill>
          </w14:textFill>
        </w:rPr>
      </w:pPr>
    </w:p>
    <w:p w14:paraId="4EF79CA2">
      <w:pPr>
        <w:ind w:left="0" w:leftChars="0" w:firstLine="0" w:firstLineChars="0"/>
        <w:rPr>
          <w:rFonts w:hint="eastAsia"/>
          <w:color w:val="000000" w:themeColor="text1"/>
          <w:highlight w:val="none"/>
          <w:lang w:val="en-US" w:eastAsia="zh-CN"/>
          <w14:textFill>
            <w14:solidFill>
              <w14:schemeClr w14:val="tx1"/>
            </w14:solidFill>
          </w14:textFill>
        </w:rPr>
      </w:pPr>
    </w:p>
    <w:p w14:paraId="4E3E98A3">
      <w:pPr>
        <w:ind w:left="0" w:leftChars="0" w:firstLine="0" w:firstLineChars="0"/>
        <w:rPr>
          <w:rFonts w:hint="eastAsia"/>
          <w:color w:val="000000" w:themeColor="text1"/>
          <w:highlight w:val="none"/>
          <w:lang w:val="en-US" w:eastAsia="zh-CN"/>
          <w14:textFill>
            <w14:solidFill>
              <w14:schemeClr w14:val="tx1"/>
            </w14:solidFill>
          </w14:textFill>
        </w:rPr>
      </w:pPr>
    </w:p>
    <w:p w14:paraId="1472B298">
      <w:pPr>
        <w:ind w:left="0" w:leftChars="0" w:firstLine="0" w:firstLineChars="0"/>
        <w:rPr>
          <w:rFonts w:hint="eastAsia"/>
          <w:color w:val="000000" w:themeColor="text1"/>
          <w:highlight w:val="none"/>
          <w:lang w:val="en-US" w:eastAsia="zh-CN"/>
          <w14:textFill>
            <w14:solidFill>
              <w14:schemeClr w14:val="tx1"/>
            </w14:solidFill>
          </w14:textFill>
        </w:rPr>
      </w:pPr>
    </w:p>
    <w:p w14:paraId="012A5EB4">
      <w:pPr>
        <w:ind w:left="0" w:leftChars="0" w:firstLine="0" w:firstLineChars="0"/>
        <w:rPr>
          <w:rFonts w:hint="eastAsia"/>
          <w:color w:val="000000" w:themeColor="text1"/>
          <w:highlight w:val="none"/>
          <w:lang w:val="en-US" w:eastAsia="zh-CN"/>
          <w14:textFill>
            <w14:solidFill>
              <w14:schemeClr w14:val="tx1"/>
            </w14:solidFill>
          </w14:textFill>
        </w:rPr>
      </w:pPr>
    </w:p>
    <w:p w14:paraId="5CB2AEBF">
      <w:pPr>
        <w:ind w:left="0" w:leftChars="0" w:firstLine="0" w:firstLineChars="0"/>
        <w:rPr>
          <w:rFonts w:hint="eastAsia"/>
          <w:color w:val="000000" w:themeColor="text1"/>
          <w:highlight w:val="none"/>
          <w:lang w:val="en-US" w:eastAsia="zh-CN"/>
          <w14:textFill>
            <w14:solidFill>
              <w14:schemeClr w14:val="tx1"/>
            </w14:solidFill>
          </w14:textFill>
        </w:rPr>
      </w:pPr>
    </w:p>
    <w:p w14:paraId="0D018C55">
      <w:pPr>
        <w:ind w:firstLine="0" w:firstLineChars="0"/>
        <w:jc w:val="center"/>
        <w:rPr>
          <w:rFonts w:hint="eastAsia" w:ascii="宋体" w:hAnsi="宋体" w:eastAsia="宋体" w:cs="宋体"/>
          <w:color w:val="000000" w:themeColor="text1"/>
          <w:sz w:val="30"/>
          <w:szCs w:val="30"/>
          <w:highlight w:val="none"/>
          <w:shd w:val="clear" w:color="auto" w:fill="FFFFFF"/>
          <w:lang w:val="zh-CN"/>
          <w14:textFill>
            <w14:solidFill>
              <w14:schemeClr w14:val="tx1"/>
            </w14:solidFill>
          </w14:textFill>
        </w:rPr>
      </w:pPr>
      <w:r>
        <w:rPr>
          <w:rFonts w:hint="eastAsia" w:ascii="宋体" w:hAnsi="宋体" w:eastAsia="宋体" w:cs="宋体"/>
          <w:color w:val="000000" w:themeColor="text1"/>
          <w:sz w:val="30"/>
          <w:szCs w:val="30"/>
          <w:highlight w:val="none"/>
          <w:shd w:val="clear" w:color="auto" w:fill="FFFFFF"/>
          <w14:textFill>
            <w14:solidFill>
              <w14:schemeClr w14:val="tx1"/>
            </w14:solidFill>
          </w14:textFill>
        </w:rPr>
        <w:t>建设单位：新疆恒泰晋昇新型建材有限公司</w:t>
      </w:r>
    </w:p>
    <w:p w14:paraId="1ED7CBEC">
      <w:pPr>
        <w:ind w:firstLine="0" w:firstLineChars="0"/>
        <w:jc w:val="center"/>
        <w:rPr>
          <w:rFonts w:hint="eastAsia" w:ascii="宋体" w:hAnsi="宋体" w:eastAsia="宋体" w:cs="宋体"/>
          <w:color w:val="000000" w:themeColor="text1"/>
          <w:sz w:val="30"/>
          <w:szCs w:val="30"/>
          <w:highlight w:val="none"/>
          <w:shd w:val="clear" w:color="auto" w:fill="FFFFFF"/>
          <w14:textFill>
            <w14:solidFill>
              <w14:schemeClr w14:val="tx1"/>
            </w14:solidFill>
          </w14:textFill>
        </w:rPr>
      </w:pPr>
      <w:r>
        <w:rPr>
          <w:rFonts w:hint="eastAsia" w:ascii="宋体" w:hAnsi="宋体" w:eastAsia="宋体" w:cs="宋体"/>
          <w:color w:val="000000" w:themeColor="text1"/>
          <w:sz w:val="30"/>
          <w:szCs w:val="30"/>
          <w:highlight w:val="none"/>
          <w:shd w:val="clear" w:color="auto" w:fill="FFFFFF"/>
          <w14:textFill>
            <w14:solidFill>
              <w14:schemeClr w14:val="tx1"/>
            </w14:solidFill>
          </w14:textFill>
        </w:rPr>
        <w:t>编制单位：乌鲁木齐市首辅环保工程有限公司</w:t>
      </w:r>
    </w:p>
    <w:p w14:paraId="46C4683E">
      <w:pPr>
        <w:ind w:firstLine="0" w:firstLineChars="0"/>
        <w:jc w:val="center"/>
        <w:rPr>
          <w:rFonts w:hint="eastAsia" w:ascii="宋体" w:hAnsi="宋体" w:eastAsia="宋体" w:cs="宋体"/>
          <w:color w:val="000000" w:themeColor="text1"/>
          <w:sz w:val="30"/>
          <w:szCs w:val="30"/>
          <w:highlight w:val="none"/>
          <w:shd w:val="clear" w:color="auto" w:fill="FFFFFF"/>
          <w14:textFill>
            <w14:solidFill>
              <w14:schemeClr w14:val="tx1"/>
            </w14:solidFill>
          </w14:textFill>
        </w:rPr>
      </w:pPr>
      <w:r>
        <w:rPr>
          <w:rFonts w:hint="eastAsia" w:ascii="宋体" w:hAnsi="宋体" w:eastAsia="宋体" w:cs="宋体"/>
          <w:color w:val="000000" w:themeColor="text1"/>
          <w:sz w:val="30"/>
          <w:szCs w:val="30"/>
          <w:highlight w:val="none"/>
          <w:shd w:val="clear" w:color="auto" w:fill="FFFFFF"/>
          <w14:textFill>
            <w14:solidFill>
              <w14:schemeClr w14:val="tx1"/>
            </w14:solidFill>
          </w14:textFill>
        </w:rPr>
        <w:t>编制日期：二〇二</w:t>
      </w:r>
      <w:r>
        <w:rPr>
          <w:rFonts w:hint="eastAsia" w:ascii="宋体" w:hAnsi="宋体" w:cs="宋体"/>
          <w:color w:val="000000" w:themeColor="text1"/>
          <w:sz w:val="30"/>
          <w:szCs w:val="30"/>
          <w:highlight w:val="none"/>
          <w:shd w:val="clear" w:color="auto" w:fill="FFFFFF"/>
          <w:lang w:val="en-US" w:eastAsia="zh-CN"/>
          <w14:textFill>
            <w14:solidFill>
              <w14:schemeClr w14:val="tx1"/>
            </w14:solidFill>
          </w14:textFill>
        </w:rPr>
        <w:t>六</w:t>
      </w:r>
      <w:r>
        <w:rPr>
          <w:rFonts w:hint="eastAsia" w:ascii="宋体" w:hAnsi="宋体" w:eastAsia="宋体" w:cs="宋体"/>
          <w:color w:val="000000" w:themeColor="text1"/>
          <w:sz w:val="30"/>
          <w:szCs w:val="30"/>
          <w:highlight w:val="none"/>
          <w:shd w:val="clear" w:color="auto" w:fill="FFFFFF"/>
          <w14:textFill>
            <w14:solidFill>
              <w14:schemeClr w14:val="tx1"/>
            </w14:solidFill>
          </w14:textFill>
        </w:rPr>
        <w:t>年</w:t>
      </w:r>
      <w:r>
        <w:rPr>
          <w:rFonts w:hint="eastAsia" w:ascii="宋体" w:hAnsi="宋体" w:cs="宋体"/>
          <w:color w:val="000000" w:themeColor="text1"/>
          <w:sz w:val="30"/>
          <w:szCs w:val="30"/>
          <w:highlight w:val="none"/>
          <w:shd w:val="clear" w:color="auto" w:fill="FFFFFF"/>
          <w:lang w:val="en-US" w:eastAsia="zh-CN"/>
          <w14:textFill>
            <w14:solidFill>
              <w14:schemeClr w14:val="tx1"/>
            </w14:solidFill>
          </w14:textFill>
        </w:rPr>
        <w:t>九</w:t>
      </w:r>
      <w:r>
        <w:rPr>
          <w:rFonts w:hint="eastAsia" w:ascii="宋体" w:hAnsi="宋体" w:eastAsia="宋体" w:cs="宋体"/>
          <w:color w:val="000000" w:themeColor="text1"/>
          <w:sz w:val="30"/>
          <w:szCs w:val="30"/>
          <w:highlight w:val="none"/>
          <w:shd w:val="clear" w:color="auto" w:fill="FFFFFF"/>
          <w14:textFill>
            <w14:solidFill>
              <w14:schemeClr w14:val="tx1"/>
            </w14:solidFill>
          </w14:textFill>
        </w:rPr>
        <w:t>月</w:t>
      </w:r>
    </w:p>
    <w:p w14:paraId="2E72D5F1">
      <w:pPr>
        <w:ind w:firstLine="0" w:firstLineChars="0"/>
        <w:jc w:val="center"/>
        <w:rPr>
          <w:rFonts w:hint="eastAsia" w:ascii="宋体" w:hAnsi="宋体" w:cs="宋体"/>
          <w:color w:val="000000" w:themeColor="text1"/>
          <w:sz w:val="30"/>
          <w:szCs w:val="30"/>
          <w:highlight w:val="none"/>
          <w14:textFill>
            <w14:solidFill>
              <w14:schemeClr w14:val="tx1"/>
            </w14:solidFill>
          </w14:textFill>
        </w:rPr>
      </w:pPr>
    </w:p>
    <w:p w14:paraId="1891E892">
      <w:pPr>
        <w:ind w:firstLine="0" w:firstLineChars="0"/>
        <w:jc w:val="center"/>
        <w:rPr>
          <w:rFonts w:hint="eastAsia" w:ascii="宋体" w:hAnsi="宋体" w:cs="宋体"/>
          <w:color w:val="000000" w:themeColor="text1"/>
          <w:sz w:val="30"/>
          <w:szCs w:val="30"/>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49F2D850">
      <w:pPr>
        <w:ind w:left="0" w:leftChars="0" w:firstLine="0" w:firstLineChars="0"/>
        <w:rPr>
          <w:rFonts w:hint="default"/>
          <w:color w:val="000000" w:themeColor="text1"/>
          <w:highlight w:val="none"/>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sdt>
      <w:sdtPr>
        <w:rPr>
          <w:rFonts w:ascii="宋体" w:hAnsi="宋体" w:eastAsia="宋体" w:cs="Times New Roman"/>
          <w:kern w:val="2"/>
          <w:sz w:val="21"/>
          <w:szCs w:val="24"/>
          <w:lang w:val="en-US" w:eastAsia="zh-CN" w:bidi="ar-SA"/>
        </w:rPr>
        <w:id w:val="147461681"/>
        <w15:color w:val="DBDBDB"/>
        <w:docPartObj>
          <w:docPartGallery w:val="Table of Contents"/>
          <w:docPartUnique/>
        </w:docPartObj>
      </w:sdtPr>
      <w:sdtEndP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sdtEndPr>
      <w:sdtContent>
        <w:p w14:paraId="232C5766">
          <w:pPr>
            <w:spacing w:before="0" w:beforeLines="0" w:after="0" w:afterLines="0" w:line="240" w:lineRule="auto"/>
            <w:ind w:left="0" w:leftChars="0" w:right="0" w:rightChars="0" w:firstLine="0" w:firstLineChars="0"/>
            <w:jc w:val="center"/>
          </w:pPr>
          <w:r>
            <w:rPr>
              <w:rFonts w:ascii="宋体" w:hAnsi="宋体" w:eastAsia="宋体"/>
              <w:sz w:val="21"/>
            </w:rPr>
            <w:t>目录</w:t>
          </w:r>
        </w:p>
        <w:p w14:paraId="73D61160">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TOC \o "1-2" \h \u </w:instrText>
          </w:r>
          <w:r>
            <w:rPr>
              <w:rFonts w:hint="default"/>
              <w:color w:val="000000" w:themeColor="text1"/>
              <w:highlight w:val="none"/>
              <w:lang w:val="en-US" w:eastAsia="zh-CN"/>
              <w14:textFill>
                <w14:solidFill>
                  <w14:schemeClr w14:val="tx1"/>
                </w14:solidFill>
              </w14:textFill>
            </w:rPr>
            <w:fldChar w:fldCharType="separate"/>
          </w: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_Toc7 </w:instrText>
          </w:r>
          <w:r>
            <w:rPr>
              <w:rFonts w:hint="default"/>
              <w:highlight w:val="none"/>
              <w:lang w:val="en-US" w:eastAsia="zh-CN"/>
            </w:rPr>
            <w:fldChar w:fldCharType="separate"/>
          </w:r>
          <w:r>
            <w:rPr>
              <w:rFonts w:hint="eastAsia"/>
              <w:highlight w:val="none"/>
              <w:lang w:val="en-US" w:eastAsia="zh-CN"/>
            </w:rPr>
            <w:t>1 概述</w:t>
          </w:r>
          <w:r>
            <w:tab/>
          </w:r>
          <w:r>
            <w:fldChar w:fldCharType="begin"/>
          </w:r>
          <w:r>
            <w:instrText xml:space="preserve"> PAGEREF _Toc7 \h </w:instrText>
          </w:r>
          <w:r>
            <w:fldChar w:fldCharType="separate"/>
          </w:r>
          <w:r>
            <w:t>1</w:t>
          </w:r>
          <w:r>
            <w:fldChar w:fldCharType="end"/>
          </w:r>
          <w:r>
            <w:rPr>
              <w:rFonts w:hint="default"/>
              <w:color w:val="000000" w:themeColor="text1"/>
              <w:highlight w:val="none"/>
              <w:lang w:val="en-US" w:eastAsia="zh-CN"/>
              <w14:textFill>
                <w14:solidFill>
                  <w14:schemeClr w14:val="tx1"/>
                </w14:solidFill>
              </w14:textFill>
            </w:rPr>
            <w:fldChar w:fldCharType="end"/>
          </w:r>
        </w:p>
        <w:p w14:paraId="5E0B59AA">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_Toc30443 </w:instrText>
          </w:r>
          <w:r>
            <w:rPr>
              <w:rFonts w:hint="default"/>
              <w:highlight w:val="none"/>
              <w:lang w:val="en-US" w:eastAsia="zh-CN"/>
            </w:rPr>
            <w:fldChar w:fldCharType="separate"/>
          </w:r>
          <w:r>
            <w:rPr>
              <w:rFonts w:hint="eastAsia"/>
              <w:highlight w:val="none"/>
            </w:rPr>
            <w:t>1.1项目背景</w:t>
          </w:r>
          <w:r>
            <w:tab/>
          </w:r>
          <w:r>
            <w:fldChar w:fldCharType="begin"/>
          </w:r>
          <w:r>
            <w:instrText xml:space="preserve"> PAGEREF _Toc30443 \h </w:instrText>
          </w:r>
          <w:r>
            <w:fldChar w:fldCharType="separate"/>
          </w:r>
          <w:r>
            <w:t>1</w:t>
          </w:r>
          <w:r>
            <w:fldChar w:fldCharType="end"/>
          </w:r>
          <w:r>
            <w:rPr>
              <w:rFonts w:hint="default"/>
              <w:color w:val="000000" w:themeColor="text1"/>
              <w:highlight w:val="none"/>
              <w:lang w:val="en-US" w:eastAsia="zh-CN"/>
              <w14:textFill>
                <w14:solidFill>
                  <w14:schemeClr w14:val="tx1"/>
                </w14:solidFill>
              </w14:textFill>
            </w:rPr>
            <w:fldChar w:fldCharType="end"/>
          </w:r>
        </w:p>
        <w:p w14:paraId="253D99DE">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_Toc13018 </w:instrText>
          </w:r>
          <w:r>
            <w:rPr>
              <w:rFonts w:hint="default"/>
              <w:highlight w:val="none"/>
              <w:lang w:val="en-US" w:eastAsia="zh-CN"/>
            </w:rPr>
            <w:fldChar w:fldCharType="separate"/>
          </w:r>
          <w:r>
            <w:rPr>
              <w:rFonts w:hint="eastAsia"/>
              <w:highlight w:val="none"/>
              <w:lang w:val="en-US" w:eastAsia="zh-CN"/>
            </w:rPr>
            <w:t>1.2项目特点</w:t>
          </w:r>
          <w:r>
            <w:tab/>
          </w:r>
          <w:r>
            <w:fldChar w:fldCharType="begin"/>
          </w:r>
          <w:r>
            <w:instrText xml:space="preserve"> PAGEREF _Toc13018 \h </w:instrText>
          </w:r>
          <w:r>
            <w:fldChar w:fldCharType="separate"/>
          </w:r>
          <w:r>
            <w:t>2</w:t>
          </w:r>
          <w:r>
            <w:fldChar w:fldCharType="end"/>
          </w:r>
          <w:r>
            <w:rPr>
              <w:rFonts w:hint="default"/>
              <w:color w:val="000000" w:themeColor="text1"/>
              <w:highlight w:val="none"/>
              <w:lang w:val="en-US" w:eastAsia="zh-CN"/>
              <w14:textFill>
                <w14:solidFill>
                  <w14:schemeClr w14:val="tx1"/>
                </w14:solidFill>
              </w14:textFill>
            </w:rPr>
            <w:fldChar w:fldCharType="end"/>
          </w:r>
        </w:p>
        <w:p w14:paraId="6DAF047C">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_Toc20778 </w:instrText>
          </w:r>
          <w:r>
            <w:rPr>
              <w:rFonts w:hint="default"/>
              <w:highlight w:val="none"/>
              <w:lang w:val="en-US" w:eastAsia="zh-CN"/>
            </w:rPr>
            <w:fldChar w:fldCharType="separate"/>
          </w:r>
          <w:r>
            <w:rPr>
              <w:rFonts w:hint="eastAsia"/>
              <w:highlight w:val="none"/>
              <w:lang w:val="en-US" w:eastAsia="zh-CN"/>
            </w:rPr>
            <w:t>1.3</w:t>
          </w:r>
          <w:r>
            <w:rPr>
              <w:highlight w:val="none"/>
            </w:rPr>
            <w:t>环境影响评价工作过程</w:t>
          </w:r>
          <w:r>
            <w:tab/>
          </w:r>
          <w:r>
            <w:fldChar w:fldCharType="begin"/>
          </w:r>
          <w:r>
            <w:instrText xml:space="preserve"> PAGEREF _Toc20778 \h </w:instrText>
          </w:r>
          <w:r>
            <w:fldChar w:fldCharType="separate"/>
          </w:r>
          <w:r>
            <w:t>2</w:t>
          </w:r>
          <w:r>
            <w:fldChar w:fldCharType="end"/>
          </w:r>
          <w:r>
            <w:rPr>
              <w:rFonts w:hint="default"/>
              <w:color w:val="000000" w:themeColor="text1"/>
              <w:highlight w:val="none"/>
              <w:lang w:val="en-US" w:eastAsia="zh-CN"/>
              <w14:textFill>
                <w14:solidFill>
                  <w14:schemeClr w14:val="tx1"/>
                </w14:solidFill>
              </w14:textFill>
            </w:rPr>
            <w:fldChar w:fldCharType="end"/>
          </w:r>
        </w:p>
        <w:p w14:paraId="60628E34">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_Toc9239 </w:instrText>
          </w:r>
          <w:r>
            <w:rPr>
              <w:rFonts w:hint="default"/>
              <w:highlight w:val="none"/>
              <w:lang w:val="en-US" w:eastAsia="zh-CN"/>
            </w:rPr>
            <w:fldChar w:fldCharType="separate"/>
          </w:r>
          <w:r>
            <w:rPr>
              <w:highlight w:val="none"/>
              <w:lang w:val="en-US"/>
            </w:rPr>
            <w:t>1.</w:t>
          </w:r>
          <w:r>
            <w:rPr>
              <w:rFonts w:hint="eastAsia"/>
              <w:highlight w:val="none"/>
              <w:lang w:val="en-US"/>
            </w:rPr>
            <w:t>4</w:t>
          </w:r>
          <w:r>
            <w:rPr>
              <w:highlight w:val="none"/>
              <w:lang w:val="en-US"/>
            </w:rPr>
            <w:t>关注的主要环境问题</w:t>
          </w:r>
          <w:r>
            <w:rPr>
              <w:rFonts w:hint="eastAsia"/>
              <w:highlight w:val="none"/>
              <w:lang w:val="en-US" w:eastAsia="zh-CN"/>
            </w:rPr>
            <w:t>及环境影响</w:t>
          </w:r>
          <w:r>
            <w:tab/>
          </w:r>
          <w:r>
            <w:fldChar w:fldCharType="begin"/>
          </w:r>
          <w:r>
            <w:instrText xml:space="preserve"> PAGEREF _Toc9239 \h </w:instrText>
          </w:r>
          <w:r>
            <w:fldChar w:fldCharType="separate"/>
          </w:r>
          <w:r>
            <w:t>4</w:t>
          </w:r>
          <w:r>
            <w:fldChar w:fldCharType="end"/>
          </w:r>
          <w:r>
            <w:rPr>
              <w:rFonts w:hint="default"/>
              <w:color w:val="000000" w:themeColor="text1"/>
              <w:highlight w:val="none"/>
              <w:lang w:val="en-US" w:eastAsia="zh-CN"/>
              <w14:textFill>
                <w14:solidFill>
                  <w14:schemeClr w14:val="tx1"/>
                </w14:solidFill>
              </w14:textFill>
            </w:rPr>
            <w:fldChar w:fldCharType="end"/>
          </w:r>
        </w:p>
        <w:p w14:paraId="185D85CE">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_Toc27178 </w:instrText>
          </w:r>
          <w:r>
            <w:rPr>
              <w:rFonts w:hint="default"/>
              <w:highlight w:val="none"/>
              <w:lang w:val="en-US" w:eastAsia="zh-CN"/>
            </w:rPr>
            <w:fldChar w:fldCharType="separate"/>
          </w:r>
          <w:r>
            <w:rPr>
              <w:rFonts w:hint="eastAsia"/>
              <w:highlight w:val="none"/>
              <w:lang w:val="en-US" w:eastAsia="zh-CN"/>
            </w:rPr>
            <w:t>1.5</w:t>
          </w:r>
          <w:r>
            <w:rPr>
              <w:highlight w:val="none"/>
              <w:lang w:val="en-US"/>
            </w:rPr>
            <w:t>分析判定相关情况</w:t>
          </w:r>
          <w:r>
            <w:tab/>
          </w:r>
          <w:r>
            <w:fldChar w:fldCharType="begin"/>
          </w:r>
          <w:r>
            <w:instrText xml:space="preserve"> PAGEREF _Toc27178 \h </w:instrText>
          </w:r>
          <w:r>
            <w:fldChar w:fldCharType="separate"/>
          </w:r>
          <w:r>
            <w:t>6</w:t>
          </w:r>
          <w:r>
            <w:fldChar w:fldCharType="end"/>
          </w:r>
          <w:r>
            <w:rPr>
              <w:rFonts w:hint="default"/>
              <w:color w:val="000000" w:themeColor="text1"/>
              <w:highlight w:val="none"/>
              <w:lang w:val="en-US" w:eastAsia="zh-CN"/>
              <w14:textFill>
                <w14:solidFill>
                  <w14:schemeClr w14:val="tx1"/>
                </w14:solidFill>
              </w14:textFill>
            </w:rPr>
            <w:fldChar w:fldCharType="end"/>
          </w:r>
        </w:p>
        <w:p w14:paraId="687B7E01">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_Toc16765 </w:instrText>
          </w:r>
          <w:r>
            <w:rPr>
              <w:rFonts w:hint="default"/>
              <w:highlight w:val="none"/>
              <w:lang w:val="en-US" w:eastAsia="zh-CN"/>
            </w:rPr>
            <w:fldChar w:fldCharType="separate"/>
          </w:r>
          <w:r>
            <w:rPr>
              <w:rFonts w:hint="default"/>
              <w:highlight w:val="none"/>
              <w:lang w:val="en-US" w:eastAsia="zh-CN"/>
            </w:rPr>
            <w:t>1.</w:t>
          </w:r>
          <w:r>
            <w:rPr>
              <w:rFonts w:hint="eastAsia"/>
              <w:highlight w:val="none"/>
              <w:lang w:val="en-US" w:eastAsia="zh-CN"/>
            </w:rPr>
            <w:t>6环境影响评价主要结论</w:t>
          </w:r>
          <w:r>
            <w:tab/>
          </w:r>
          <w:r>
            <w:fldChar w:fldCharType="begin"/>
          </w:r>
          <w:r>
            <w:instrText xml:space="preserve"> PAGEREF _Toc16765 \h </w:instrText>
          </w:r>
          <w:r>
            <w:fldChar w:fldCharType="separate"/>
          </w:r>
          <w:r>
            <w:t>18</w:t>
          </w:r>
          <w:r>
            <w:fldChar w:fldCharType="end"/>
          </w:r>
          <w:r>
            <w:rPr>
              <w:rFonts w:hint="default"/>
              <w:color w:val="000000" w:themeColor="text1"/>
              <w:highlight w:val="none"/>
              <w:lang w:val="en-US" w:eastAsia="zh-CN"/>
              <w14:textFill>
                <w14:solidFill>
                  <w14:schemeClr w14:val="tx1"/>
                </w14:solidFill>
              </w14:textFill>
            </w:rPr>
            <w:fldChar w:fldCharType="end"/>
          </w:r>
        </w:p>
        <w:p w14:paraId="1766FDB2">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_Toc2955 </w:instrText>
          </w:r>
          <w:r>
            <w:rPr>
              <w:rFonts w:hint="default"/>
              <w:highlight w:val="none"/>
              <w:lang w:val="en-US" w:eastAsia="zh-CN"/>
            </w:rPr>
            <w:fldChar w:fldCharType="separate"/>
          </w:r>
          <w:r>
            <w:rPr>
              <w:rFonts w:hint="eastAsia"/>
              <w:highlight w:val="none"/>
              <w:lang w:val="en-US" w:eastAsia="zh-CN"/>
            </w:rPr>
            <w:t xml:space="preserve">2 </w:t>
          </w:r>
          <w:r>
            <w:rPr>
              <w:rFonts w:hint="eastAsia"/>
              <w:highlight w:val="none"/>
            </w:rPr>
            <w:t>总则</w:t>
          </w:r>
          <w:r>
            <w:tab/>
          </w:r>
          <w:r>
            <w:fldChar w:fldCharType="begin"/>
          </w:r>
          <w:r>
            <w:instrText xml:space="preserve"> PAGEREF _Toc2955 \h </w:instrText>
          </w:r>
          <w:r>
            <w:fldChar w:fldCharType="separate"/>
          </w:r>
          <w:r>
            <w:t>19</w:t>
          </w:r>
          <w:r>
            <w:fldChar w:fldCharType="end"/>
          </w:r>
          <w:r>
            <w:rPr>
              <w:rFonts w:hint="default"/>
              <w:color w:val="000000" w:themeColor="text1"/>
              <w:highlight w:val="none"/>
              <w:lang w:val="en-US" w:eastAsia="zh-CN"/>
              <w14:textFill>
                <w14:solidFill>
                  <w14:schemeClr w14:val="tx1"/>
                </w14:solidFill>
              </w14:textFill>
            </w:rPr>
            <w:fldChar w:fldCharType="end"/>
          </w:r>
        </w:p>
        <w:p w14:paraId="4B628AFE">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_Toc9151 </w:instrText>
          </w:r>
          <w:r>
            <w:rPr>
              <w:rFonts w:hint="default"/>
              <w:highlight w:val="none"/>
              <w:lang w:val="en-US" w:eastAsia="zh-CN"/>
            </w:rPr>
            <w:fldChar w:fldCharType="separate"/>
          </w:r>
          <w:r>
            <w:rPr>
              <w:rFonts w:hint="eastAsia"/>
              <w:highlight w:val="none"/>
            </w:rPr>
            <w:t>2</w:t>
          </w:r>
          <w:r>
            <w:rPr>
              <w:highlight w:val="none"/>
            </w:rPr>
            <w:t>.1编制依据</w:t>
          </w:r>
          <w:r>
            <w:tab/>
          </w:r>
          <w:r>
            <w:fldChar w:fldCharType="begin"/>
          </w:r>
          <w:r>
            <w:instrText xml:space="preserve"> PAGEREF _Toc9151 \h </w:instrText>
          </w:r>
          <w:r>
            <w:fldChar w:fldCharType="separate"/>
          </w:r>
          <w:r>
            <w:t>19</w:t>
          </w:r>
          <w:r>
            <w:fldChar w:fldCharType="end"/>
          </w:r>
          <w:r>
            <w:rPr>
              <w:rFonts w:hint="default"/>
              <w:color w:val="000000" w:themeColor="text1"/>
              <w:highlight w:val="none"/>
              <w:lang w:val="en-US" w:eastAsia="zh-CN"/>
              <w14:textFill>
                <w14:solidFill>
                  <w14:schemeClr w14:val="tx1"/>
                </w14:solidFill>
              </w14:textFill>
            </w:rPr>
            <w:fldChar w:fldCharType="end"/>
          </w:r>
        </w:p>
        <w:p w14:paraId="608C8305">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_Toc1216 </w:instrText>
          </w:r>
          <w:r>
            <w:rPr>
              <w:rFonts w:hint="default"/>
              <w:highlight w:val="none"/>
              <w:lang w:val="en-US" w:eastAsia="zh-CN"/>
            </w:rPr>
            <w:fldChar w:fldCharType="separate"/>
          </w:r>
          <w:r>
            <w:rPr>
              <w:rFonts w:hint="eastAsia"/>
              <w:highlight w:val="none"/>
            </w:rPr>
            <w:t>2.2评价目的及评价原则</w:t>
          </w:r>
          <w:r>
            <w:tab/>
          </w:r>
          <w:r>
            <w:fldChar w:fldCharType="begin"/>
          </w:r>
          <w:r>
            <w:instrText xml:space="preserve"> PAGEREF _Toc1216 \h </w:instrText>
          </w:r>
          <w:r>
            <w:fldChar w:fldCharType="separate"/>
          </w:r>
          <w:r>
            <w:t>21</w:t>
          </w:r>
          <w:r>
            <w:fldChar w:fldCharType="end"/>
          </w:r>
          <w:r>
            <w:rPr>
              <w:rFonts w:hint="default"/>
              <w:color w:val="000000" w:themeColor="text1"/>
              <w:highlight w:val="none"/>
              <w:lang w:val="en-US" w:eastAsia="zh-CN"/>
              <w14:textFill>
                <w14:solidFill>
                  <w14:schemeClr w14:val="tx1"/>
                </w14:solidFill>
              </w14:textFill>
            </w:rPr>
            <w:fldChar w:fldCharType="end"/>
          </w:r>
        </w:p>
        <w:p w14:paraId="1F95997D">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_Toc32466 </w:instrText>
          </w:r>
          <w:r>
            <w:rPr>
              <w:rFonts w:hint="default"/>
              <w:highlight w:val="none"/>
              <w:lang w:val="en-US" w:eastAsia="zh-CN"/>
            </w:rPr>
            <w:fldChar w:fldCharType="separate"/>
          </w:r>
          <w:r>
            <w:rPr>
              <w:rFonts w:hint="eastAsia"/>
              <w:highlight w:val="none"/>
            </w:rPr>
            <w:t>2.3</w:t>
          </w:r>
          <w:r>
            <w:rPr>
              <w:rFonts w:hint="eastAsia"/>
              <w:highlight w:val="none"/>
              <w:lang w:val="en-US"/>
            </w:rPr>
            <w:t xml:space="preserve"> </w:t>
          </w:r>
          <w:r>
            <w:rPr>
              <w:rFonts w:hint="eastAsia"/>
              <w:highlight w:val="none"/>
            </w:rPr>
            <w:t>环境影响识别与评价因子筛选</w:t>
          </w:r>
          <w:r>
            <w:tab/>
          </w:r>
          <w:r>
            <w:fldChar w:fldCharType="begin"/>
          </w:r>
          <w:r>
            <w:instrText xml:space="preserve"> PAGEREF _Toc32466 \h </w:instrText>
          </w:r>
          <w:r>
            <w:fldChar w:fldCharType="separate"/>
          </w:r>
          <w:r>
            <w:t>22</w:t>
          </w:r>
          <w:r>
            <w:fldChar w:fldCharType="end"/>
          </w:r>
          <w:r>
            <w:rPr>
              <w:rFonts w:hint="default"/>
              <w:color w:val="000000" w:themeColor="text1"/>
              <w:highlight w:val="none"/>
              <w:lang w:val="en-US" w:eastAsia="zh-CN"/>
              <w14:textFill>
                <w14:solidFill>
                  <w14:schemeClr w14:val="tx1"/>
                </w14:solidFill>
              </w14:textFill>
            </w:rPr>
            <w:fldChar w:fldCharType="end"/>
          </w:r>
        </w:p>
        <w:p w14:paraId="5E44852A">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_Toc11146 </w:instrText>
          </w:r>
          <w:r>
            <w:rPr>
              <w:rFonts w:hint="default"/>
              <w:highlight w:val="none"/>
              <w:lang w:val="en-US" w:eastAsia="zh-CN"/>
            </w:rPr>
            <w:fldChar w:fldCharType="separate"/>
          </w:r>
          <w:r>
            <w:rPr>
              <w:rFonts w:hint="eastAsia"/>
              <w:highlight w:val="none"/>
            </w:rPr>
            <w:t>2.4环境功能区划</w:t>
          </w:r>
          <w:r>
            <w:tab/>
          </w:r>
          <w:r>
            <w:fldChar w:fldCharType="begin"/>
          </w:r>
          <w:r>
            <w:instrText xml:space="preserve"> PAGEREF _Toc11146 \h </w:instrText>
          </w:r>
          <w:r>
            <w:fldChar w:fldCharType="separate"/>
          </w:r>
          <w:r>
            <w:t>24</w:t>
          </w:r>
          <w:r>
            <w:fldChar w:fldCharType="end"/>
          </w:r>
          <w:r>
            <w:rPr>
              <w:rFonts w:hint="default"/>
              <w:color w:val="000000" w:themeColor="text1"/>
              <w:highlight w:val="none"/>
              <w:lang w:val="en-US" w:eastAsia="zh-CN"/>
              <w14:textFill>
                <w14:solidFill>
                  <w14:schemeClr w14:val="tx1"/>
                </w14:solidFill>
              </w14:textFill>
            </w:rPr>
            <w:fldChar w:fldCharType="end"/>
          </w:r>
        </w:p>
        <w:p w14:paraId="7765B53F">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_Toc15887 </w:instrText>
          </w:r>
          <w:r>
            <w:rPr>
              <w:rFonts w:hint="default"/>
              <w:highlight w:val="none"/>
              <w:lang w:val="en-US" w:eastAsia="zh-CN"/>
            </w:rPr>
            <w:fldChar w:fldCharType="separate"/>
          </w:r>
          <w:r>
            <w:rPr>
              <w:rFonts w:hint="eastAsia"/>
              <w:highlight w:val="none"/>
              <w:lang w:val="en-US"/>
            </w:rPr>
            <w:t>2.5 评价标准</w:t>
          </w:r>
          <w:r>
            <w:tab/>
          </w:r>
          <w:r>
            <w:fldChar w:fldCharType="begin"/>
          </w:r>
          <w:r>
            <w:instrText xml:space="preserve"> PAGEREF _Toc15887 \h </w:instrText>
          </w:r>
          <w:r>
            <w:fldChar w:fldCharType="separate"/>
          </w:r>
          <w:r>
            <w:t>24</w:t>
          </w:r>
          <w:r>
            <w:fldChar w:fldCharType="end"/>
          </w:r>
          <w:r>
            <w:rPr>
              <w:rFonts w:hint="default"/>
              <w:color w:val="000000" w:themeColor="text1"/>
              <w:highlight w:val="none"/>
              <w:lang w:val="en-US" w:eastAsia="zh-CN"/>
              <w14:textFill>
                <w14:solidFill>
                  <w14:schemeClr w14:val="tx1"/>
                </w14:solidFill>
              </w14:textFill>
            </w:rPr>
            <w:fldChar w:fldCharType="end"/>
          </w:r>
        </w:p>
        <w:p w14:paraId="3026AF63">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_Toc16424 </w:instrText>
          </w:r>
          <w:r>
            <w:rPr>
              <w:rFonts w:hint="default"/>
              <w:highlight w:val="none"/>
              <w:lang w:val="en-US" w:eastAsia="zh-CN"/>
            </w:rPr>
            <w:fldChar w:fldCharType="separate"/>
          </w:r>
          <w:r>
            <w:rPr>
              <w:highlight w:val="none"/>
            </w:rPr>
            <w:t>2.</w:t>
          </w:r>
          <w:r>
            <w:rPr>
              <w:rFonts w:hint="eastAsia"/>
              <w:highlight w:val="none"/>
              <w:lang w:val="en-US"/>
            </w:rPr>
            <w:t xml:space="preserve">6 </w:t>
          </w:r>
          <w:r>
            <w:rPr>
              <w:highlight w:val="none"/>
            </w:rPr>
            <w:t>评价等级</w:t>
          </w:r>
          <w:r>
            <w:rPr>
              <w:highlight w:val="none"/>
              <w:lang w:val="en-US"/>
            </w:rPr>
            <w:t>及评价范围</w:t>
          </w:r>
          <w:r>
            <w:tab/>
          </w:r>
          <w:r>
            <w:fldChar w:fldCharType="begin"/>
          </w:r>
          <w:r>
            <w:instrText xml:space="preserve"> PAGEREF _Toc16424 \h </w:instrText>
          </w:r>
          <w:r>
            <w:fldChar w:fldCharType="separate"/>
          </w:r>
          <w:r>
            <w:t>28</w:t>
          </w:r>
          <w:r>
            <w:fldChar w:fldCharType="end"/>
          </w:r>
          <w:r>
            <w:rPr>
              <w:rFonts w:hint="default"/>
              <w:color w:val="000000" w:themeColor="text1"/>
              <w:highlight w:val="none"/>
              <w:lang w:val="en-US" w:eastAsia="zh-CN"/>
              <w14:textFill>
                <w14:solidFill>
                  <w14:schemeClr w14:val="tx1"/>
                </w14:solidFill>
              </w14:textFill>
            </w:rPr>
            <w:fldChar w:fldCharType="end"/>
          </w:r>
        </w:p>
        <w:p w14:paraId="473CE92F">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_Toc17953 </w:instrText>
          </w:r>
          <w:r>
            <w:rPr>
              <w:rFonts w:hint="default"/>
              <w:highlight w:val="none"/>
              <w:lang w:val="en-US" w:eastAsia="zh-CN"/>
            </w:rPr>
            <w:fldChar w:fldCharType="separate"/>
          </w:r>
          <w:r>
            <w:rPr>
              <w:rFonts w:hint="eastAsia"/>
              <w:highlight w:val="none"/>
            </w:rPr>
            <w:t>2.</w:t>
          </w:r>
          <w:r>
            <w:rPr>
              <w:rFonts w:hint="eastAsia"/>
              <w:highlight w:val="none"/>
              <w:lang w:val="en-US"/>
            </w:rPr>
            <w:t>7</w:t>
          </w:r>
          <w:r>
            <w:rPr>
              <w:highlight w:val="none"/>
            </w:rPr>
            <w:t>主要环境保护目标</w:t>
          </w:r>
          <w:r>
            <w:tab/>
          </w:r>
          <w:r>
            <w:fldChar w:fldCharType="begin"/>
          </w:r>
          <w:r>
            <w:instrText xml:space="preserve"> PAGEREF _Toc17953 \h </w:instrText>
          </w:r>
          <w:r>
            <w:fldChar w:fldCharType="separate"/>
          </w:r>
          <w:r>
            <w:t>35</w:t>
          </w:r>
          <w:r>
            <w:fldChar w:fldCharType="end"/>
          </w:r>
          <w:r>
            <w:rPr>
              <w:rFonts w:hint="default"/>
              <w:color w:val="000000" w:themeColor="text1"/>
              <w:highlight w:val="none"/>
              <w:lang w:val="en-US" w:eastAsia="zh-CN"/>
              <w14:textFill>
                <w14:solidFill>
                  <w14:schemeClr w14:val="tx1"/>
                </w14:solidFill>
              </w14:textFill>
            </w:rPr>
            <w:fldChar w:fldCharType="end"/>
          </w:r>
        </w:p>
        <w:p w14:paraId="09639D6E">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_Toc31167 </w:instrText>
          </w:r>
          <w:r>
            <w:rPr>
              <w:rFonts w:hint="default"/>
              <w:highlight w:val="none"/>
              <w:lang w:val="en-US" w:eastAsia="zh-CN"/>
            </w:rPr>
            <w:fldChar w:fldCharType="separate"/>
          </w:r>
          <w:r>
            <w:rPr>
              <w:rFonts w:hint="eastAsia"/>
              <w:highlight w:val="none"/>
              <w:lang w:val="en-US" w:eastAsia="zh-CN"/>
            </w:rPr>
            <w:t>3 项目基本情况</w:t>
          </w:r>
          <w:r>
            <w:tab/>
          </w:r>
          <w:r>
            <w:fldChar w:fldCharType="begin"/>
          </w:r>
          <w:r>
            <w:instrText xml:space="preserve"> PAGEREF _Toc31167 \h </w:instrText>
          </w:r>
          <w:r>
            <w:fldChar w:fldCharType="separate"/>
          </w:r>
          <w:r>
            <w:t>38</w:t>
          </w:r>
          <w:r>
            <w:fldChar w:fldCharType="end"/>
          </w:r>
          <w:r>
            <w:rPr>
              <w:rFonts w:hint="default"/>
              <w:color w:val="000000" w:themeColor="text1"/>
              <w:highlight w:val="none"/>
              <w:lang w:val="en-US" w:eastAsia="zh-CN"/>
              <w14:textFill>
                <w14:solidFill>
                  <w14:schemeClr w14:val="tx1"/>
                </w14:solidFill>
              </w14:textFill>
            </w:rPr>
            <w:fldChar w:fldCharType="end"/>
          </w:r>
        </w:p>
        <w:p w14:paraId="51E0635E">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_Toc18420 </w:instrText>
          </w:r>
          <w:r>
            <w:rPr>
              <w:rFonts w:hint="default"/>
              <w:highlight w:val="none"/>
              <w:lang w:val="en-US" w:eastAsia="zh-CN"/>
            </w:rPr>
            <w:fldChar w:fldCharType="separate"/>
          </w:r>
          <w:r>
            <w:rPr>
              <w:rFonts w:hint="eastAsia"/>
              <w:highlight w:val="none"/>
              <w:lang w:val="en-US"/>
            </w:rPr>
            <w:t>3.1建设项目基本情况</w:t>
          </w:r>
          <w:r>
            <w:tab/>
          </w:r>
          <w:r>
            <w:fldChar w:fldCharType="begin"/>
          </w:r>
          <w:r>
            <w:instrText xml:space="preserve"> PAGEREF _Toc18420 \h </w:instrText>
          </w:r>
          <w:r>
            <w:fldChar w:fldCharType="separate"/>
          </w:r>
          <w:r>
            <w:t>38</w:t>
          </w:r>
          <w:r>
            <w:fldChar w:fldCharType="end"/>
          </w:r>
          <w:r>
            <w:rPr>
              <w:rFonts w:hint="default"/>
              <w:color w:val="000000" w:themeColor="text1"/>
              <w:highlight w:val="none"/>
              <w:lang w:val="en-US" w:eastAsia="zh-CN"/>
              <w14:textFill>
                <w14:solidFill>
                  <w14:schemeClr w14:val="tx1"/>
                </w14:solidFill>
              </w14:textFill>
            </w:rPr>
            <w:fldChar w:fldCharType="end"/>
          </w:r>
        </w:p>
        <w:p w14:paraId="11B19EE1">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_Toc25112 </w:instrText>
          </w:r>
          <w:r>
            <w:rPr>
              <w:rFonts w:hint="default"/>
              <w:highlight w:val="none"/>
              <w:lang w:val="en-US" w:eastAsia="zh-CN"/>
            </w:rPr>
            <w:fldChar w:fldCharType="separate"/>
          </w:r>
          <w:r>
            <w:rPr>
              <w:rFonts w:hint="eastAsia"/>
              <w:highlight w:val="none"/>
              <w:lang w:val="en-US" w:eastAsia="zh-CN"/>
            </w:rPr>
            <w:t>3.2项目组成及</w:t>
          </w:r>
          <w:r>
            <w:rPr>
              <w:rFonts w:hint="default"/>
              <w:highlight w:val="none"/>
            </w:rPr>
            <w:t>主要</w:t>
          </w:r>
          <w:r>
            <w:rPr>
              <w:rFonts w:hint="eastAsia"/>
              <w:highlight w:val="none"/>
              <w:lang w:val="en-US" w:eastAsia="zh-CN"/>
            </w:rPr>
            <w:t>生产</w:t>
          </w:r>
          <w:r>
            <w:rPr>
              <w:rFonts w:hint="default"/>
              <w:highlight w:val="none"/>
            </w:rPr>
            <w:t>设备</w:t>
          </w:r>
          <w:r>
            <w:tab/>
          </w:r>
          <w:r>
            <w:fldChar w:fldCharType="begin"/>
          </w:r>
          <w:r>
            <w:instrText xml:space="preserve"> PAGEREF _Toc25112 \h </w:instrText>
          </w:r>
          <w:r>
            <w:fldChar w:fldCharType="separate"/>
          </w:r>
          <w:r>
            <w:t>41</w:t>
          </w:r>
          <w:r>
            <w:fldChar w:fldCharType="end"/>
          </w:r>
          <w:r>
            <w:rPr>
              <w:rFonts w:hint="default"/>
              <w:color w:val="000000" w:themeColor="text1"/>
              <w:highlight w:val="none"/>
              <w:lang w:val="en-US" w:eastAsia="zh-CN"/>
              <w14:textFill>
                <w14:solidFill>
                  <w14:schemeClr w14:val="tx1"/>
                </w14:solidFill>
              </w14:textFill>
            </w:rPr>
            <w:fldChar w:fldCharType="end"/>
          </w:r>
        </w:p>
        <w:p w14:paraId="09A009BC">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_Toc1429 </w:instrText>
          </w:r>
          <w:r>
            <w:rPr>
              <w:rFonts w:hint="default"/>
              <w:highlight w:val="none"/>
              <w:lang w:val="en-US" w:eastAsia="zh-CN"/>
            </w:rPr>
            <w:fldChar w:fldCharType="separate"/>
          </w:r>
          <w:r>
            <w:rPr>
              <w:rFonts w:hint="default"/>
              <w:highlight w:val="none"/>
            </w:rPr>
            <w:t>3.</w:t>
          </w:r>
          <w:r>
            <w:rPr>
              <w:rFonts w:hint="eastAsia"/>
              <w:highlight w:val="none"/>
              <w:lang w:val="en-US" w:eastAsia="zh-CN"/>
            </w:rPr>
            <w:t>3</w:t>
          </w:r>
          <w:r>
            <w:rPr>
              <w:rFonts w:hint="default"/>
              <w:highlight w:val="none"/>
            </w:rPr>
            <w:t>原辅材料</w:t>
          </w:r>
          <w:r>
            <w:rPr>
              <w:rFonts w:hint="eastAsia"/>
              <w:highlight w:val="none"/>
              <w:lang w:val="en-US" w:eastAsia="zh-CN"/>
            </w:rPr>
            <w:t>消耗及产品方案</w:t>
          </w:r>
          <w:r>
            <w:tab/>
          </w:r>
          <w:r>
            <w:fldChar w:fldCharType="begin"/>
          </w:r>
          <w:r>
            <w:instrText xml:space="preserve"> PAGEREF _Toc1429 \h </w:instrText>
          </w:r>
          <w:r>
            <w:fldChar w:fldCharType="separate"/>
          </w:r>
          <w:r>
            <w:t>43</w:t>
          </w:r>
          <w:r>
            <w:fldChar w:fldCharType="end"/>
          </w:r>
          <w:r>
            <w:rPr>
              <w:rFonts w:hint="default"/>
              <w:color w:val="000000" w:themeColor="text1"/>
              <w:highlight w:val="none"/>
              <w:lang w:val="en-US" w:eastAsia="zh-CN"/>
              <w14:textFill>
                <w14:solidFill>
                  <w14:schemeClr w14:val="tx1"/>
                </w14:solidFill>
              </w14:textFill>
            </w:rPr>
            <w:fldChar w:fldCharType="end"/>
          </w:r>
        </w:p>
        <w:p w14:paraId="6FAE656E">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_Toc1233 </w:instrText>
          </w:r>
          <w:r>
            <w:rPr>
              <w:rFonts w:hint="default"/>
              <w:highlight w:val="none"/>
              <w:lang w:val="en-US" w:eastAsia="zh-CN"/>
            </w:rPr>
            <w:fldChar w:fldCharType="separate"/>
          </w:r>
          <w:r>
            <w:rPr>
              <w:rFonts w:hint="eastAsia"/>
              <w:highlight w:val="none"/>
            </w:rPr>
            <w:t>3.</w:t>
          </w:r>
          <w:r>
            <w:rPr>
              <w:rFonts w:hint="eastAsia"/>
              <w:highlight w:val="none"/>
              <w:lang w:val="en-US" w:eastAsia="zh-CN"/>
            </w:rPr>
            <w:t>4</w:t>
          </w:r>
          <w:r>
            <w:rPr>
              <w:rFonts w:hint="eastAsia"/>
              <w:highlight w:val="none"/>
            </w:rPr>
            <w:t>公用工程</w:t>
          </w:r>
          <w:r>
            <w:tab/>
          </w:r>
          <w:r>
            <w:fldChar w:fldCharType="begin"/>
          </w:r>
          <w:r>
            <w:instrText xml:space="preserve"> PAGEREF _Toc1233 \h </w:instrText>
          </w:r>
          <w:r>
            <w:fldChar w:fldCharType="separate"/>
          </w:r>
          <w:r>
            <w:t>46</w:t>
          </w:r>
          <w:r>
            <w:fldChar w:fldCharType="end"/>
          </w:r>
          <w:r>
            <w:rPr>
              <w:rFonts w:hint="default"/>
              <w:color w:val="000000" w:themeColor="text1"/>
              <w:highlight w:val="none"/>
              <w:lang w:val="en-US" w:eastAsia="zh-CN"/>
              <w14:textFill>
                <w14:solidFill>
                  <w14:schemeClr w14:val="tx1"/>
                </w14:solidFill>
              </w14:textFill>
            </w:rPr>
            <w:fldChar w:fldCharType="end"/>
          </w:r>
        </w:p>
        <w:p w14:paraId="3797DDB1">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_Toc19376 </w:instrText>
          </w:r>
          <w:r>
            <w:rPr>
              <w:rFonts w:hint="default"/>
              <w:highlight w:val="none"/>
              <w:lang w:val="en-US" w:eastAsia="zh-CN"/>
            </w:rPr>
            <w:fldChar w:fldCharType="separate"/>
          </w:r>
          <w:r>
            <w:rPr>
              <w:rFonts w:hint="eastAsia"/>
              <w:highlight w:val="none"/>
            </w:rPr>
            <w:t>3.</w:t>
          </w:r>
          <w:r>
            <w:rPr>
              <w:rFonts w:hint="eastAsia"/>
              <w:highlight w:val="none"/>
              <w:lang w:val="en-US" w:eastAsia="zh-CN"/>
            </w:rPr>
            <w:t>5</w:t>
          </w:r>
          <w:r>
            <w:rPr>
              <w:rFonts w:hint="eastAsia"/>
              <w:highlight w:val="none"/>
            </w:rPr>
            <w:t>平面布置</w:t>
          </w:r>
          <w:r>
            <w:tab/>
          </w:r>
          <w:r>
            <w:fldChar w:fldCharType="begin"/>
          </w:r>
          <w:r>
            <w:instrText xml:space="preserve"> PAGEREF _Toc19376 \h </w:instrText>
          </w:r>
          <w:r>
            <w:fldChar w:fldCharType="separate"/>
          </w:r>
          <w:r>
            <w:t>46</w:t>
          </w:r>
          <w:r>
            <w:fldChar w:fldCharType="end"/>
          </w:r>
          <w:r>
            <w:rPr>
              <w:rFonts w:hint="default"/>
              <w:color w:val="000000" w:themeColor="text1"/>
              <w:highlight w:val="none"/>
              <w:lang w:val="en-US" w:eastAsia="zh-CN"/>
              <w14:textFill>
                <w14:solidFill>
                  <w14:schemeClr w14:val="tx1"/>
                </w14:solidFill>
              </w14:textFill>
            </w:rPr>
            <w:fldChar w:fldCharType="end"/>
          </w:r>
        </w:p>
        <w:p w14:paraId="18FD4CC3">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_Toc25677 </w:instrText>
          </w:r>
          <w:r>
            <w:rPr>
              <w:rFonts w:hint="default"/>
              <w:highlight w:val="none"/>
              <w:lang w:val="en-US" w:eastAsia="zh-CN"/>
            </w:rPr>
            <w:fldChar w:fldCharType="separate"/>
          </w:r>
          <w:r>
            <w:rPr>
              <w:rFonts w:hint="eastAsia"/>
              <w:highlight w:val="none"/>
              <w:lang w:val="en-US" w:eastAsia="zh-CN"/>
            </w:rPr>
            <w:t>3.6</w:t>
          </w:r>
          <w:r>
            <w:rPr>
              <w:highlight w:val="none"/>
            </w:rPr>
            <w:t>工艺流程及产污环节</w:t>
          </w:r>
          <w:r>
            <w:tab/>
          </w:r>
          <w:r>
            <w:fldChar w:fldCharType="begin"/>
          </w:r>
          <w:r>
            <w:instrText xml:space="preserve"> PAGEREF _Toc25677 \h </w:instrText>
          </w:r>
          <w:r>
            <w:fldChar w:fldCharType="separate"/>
          </w:r>
          <w:r>
            <w:t>47</w:t>
          </w:r>
          <w:r>
            <w:fldChar w:fldCharType="end"/>
          </w:r>
          <w:r>
            <w:rPr>
              <w:rFonts w:hint="default"/>
              <w:color w:val="000000" w:themeColor="text1"/>
              <w:highlight w:val="none"/>
              <w:lang w:val="en-US" w:eastAsia="zh-CN"/>
              <w14:textFill>
                <w14:solidFill>
                  <w14:schemeClr w14:val="tx1"/>
                </w14:solidFill>
              </w14:textFill>
            </w:rPr>
            <w:fldChar w:fldCharType="end"/>
          </w:r>
        </w:p>
        <w:p w14:paraId="1E40A2C0">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_Toc25080 </w:instrText>
          </w:r>
          <w:r>
            <w:rPr>
              <w:rFonts w:hint="default"/>
              <w:highlight w:val="none"/>
              <w:lang w:val="en-US" w:eastAsia="zh-CN"/>
            </w:rPr>
            <w:fldChar w:fldCharType="separate"/>
          </w:r>
          <w:r>
            <w:rPr>
              <w:rFonts w:hint="eastAsia"/>
              <w:highlight w:val="none"/>
              <w:lang w:val="en-US" w:eastAsia="zh-CN"/>
            </w:rPr>
            <w:t>3.7</w:t>
          </w:r>
          <w:r>
            <w:rPr>
              <w:rFonts w:hint="eastAsia"/>
              <w:highlight w:val="none"/>
              <w:lang w:val="en-US"/>
            </w:rPr>
            <w:t>污染源强核算</w:t>
          </w:r>
          <w:r>
            <w:tab/>
          </w:r>
          <w:r>
            <w:fldChar w:fldCharType="begin"/>
          </w:r>
          <w:r>
            <w:instrText xml:space="preserve"> PAGEREF _Toc25080 \h </w:instrText>
          </w:r>
          <w:r>
            <w:fldChar w:fldCharType="separate"/>
          </w:r>
          <w:r>
            <w:t>57</w:t>
          </w:r>
          <w:r>
            <w:fldChar w:fldCharType="end"/>
          </w:r>
          <w:r>
            <w:rPr>
              <w:rFonts w:hint="default"/>
              <w:color w:val="000000" w:themeColor="text1"/>
              <w:highlight w:val="none"/>
              <w:lang w:val="en-US" w:eastAsia="zh-CN"/>
              <w14:textFill>
                <w14:solidFill>
                  <w14:schemeClr w14:val="tx1"/>
                </w14:solidFill>
              </w14:textFill>
            </w:rPr>
            <w:fldChar w:fldCharType="end"/>
          </w:r>
        </w:p>
        <w:p w14:paraId="4B8BAD9E">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_Toc9441 </w:instrText>
          </w:r>
          <w:r>
            <w:rPr>
              <w:rFonts w:hint="default"/>
              <w:highlight w:val="none"/>
              <w:lang w:val="en-US" w:eastAsia="zh-CN"/>
            </w:rPr>
            <w:fldChar w:fldCharType="separate"/>
          </w:r>
          <w:r>
            <w:rPr>
              <w:rFonts w:hint="eastAsia"/>
              <w:highlight w:val="none"/>
              <w:lang w:val="en-US" w:eastAsia="zh-CN"/>
            </w:rPr>
            <w:t>3.8</w:t>
          </w:r>
          <w:r>
            <w:rPr>
              <w:rFonts w:hint="eastAsia"/>
              <w:highlight w:val="none"/>
            </w:rPr>
            <w:t>污染物总量控制</w:t>
          </w:r>
          <w:r>
            <w:tab/>
          </w:r>
          <w:r>
            <w:fldChar w:fldCharType="begin"/>
          </w:r>
          <w:r>
            <w:instrText xml:space="preserve"> PAGEREF _Toc9441 \h </w:instrText>
          </w:r>
          <w:r>
            <w:fldChar w:fldCharType="separate"/>
          </w:r>
          <w:r>
            <w:t>68</w:t>
          </w:r>
          <w:r>
            <w:fldChar w:fldCharType="end"/>
          </w:r>
          <w:r>
            <w:rPr>
              <w:rFonts w:hint="default"/>
              <w:color w:val="000000" w:themeColor="text1"/>
              <w:highlight w:val="none"/>
              <w:lang w:val="en-US" w:eastAsia="zh-CN"/>
              <w14:textFill>
                <w14:solidFill>
                  <w14:schemeClr w14:val="tx1"/>
                </w14:solidFill>
              </w14:textFill>
            </w:rPr>
            <w:fldChar w:fldCharType="end"/>
          </w:r>
        </w:p>
        <w:p w14:paraId="5BC74B99">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_Toc12568 </w:instrText>
          </w:r>
          <w:r>
            <w:rPr>
              <w:rFonts w:hint="default"/>
              <w:highlight w:val="none"/>
              <w:lang w:val="en-US" w:eastAsia="zh-CN"/>
            </w:rPr>
            <w:fldChar w:fldCharType="separate"/>
          </w:r>
          <w:r>
            <w:rPr>
              <w:rFonts w:hint="eastAsia"/>
              <w:highlight w:val="none"/>
              <w:lang w:val="en-US" w:eastAsia="zh-CN"/>
            </w:rPr>
            <w:t>3.9</w:t>
          </w:r>
          <w:r>
            <w:rPr>
              <w:rFonts w:hint="eastAsia"/>
              <w:highlight w:val="none"/>
              <w:lang w:val="en-US"/>
            </w:rPr>
            <w:t>碳排放分析</w:t>
          </w:r>
          <w:r>
            <w:tab/>
          </w:r>
          <w:r>
            <w:fldChar w:fldCharType="begin"/>
          </w:r>
          <w:r>
            <w:instrText xml:space="preserve"> PAGEREF _Toc12568 \h </w:instrText>
          </w:r>
          <w:r>
            <w:fldChar w:fldCharType="separate"/>
          </w:r>
          <w:r>
            <w:t>68</w:t>
          </w:r>
          <w:r>
            <w:fldChar w:fldCharType="end"/>
          </w:r>
          <w:r>
            <w:rPr>
              <w:rFonts w:hint="default"/>
              <w:color w:val="000000" w:themeColor="text1"/>
              <w:highlight w:val="none"/>
              <w:lang w:val="en-US" w:eastAsia="zh-CN"/>
              <w14:textFill>
                <w14:solidFill>
                  <w14:schemeClr w14:val="tx1"/>
                </w14:solidFill>
              </w14:textFill>
            </w:rPr>
            <w:fldChar w:fldCharType="end"/>
          </w:r>
        </w:p>
        <w:p w14:paraId="2427F2D8">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_Toc8195 </w:instrText>
          </w:r>
          <w:r>
            <w:rPr>
              <w:rFonts w:hint="default"/>
              <w:highlight w:val="none"/>
              <w:lang w:val="en-US" w:eastAsia="zh-CN"/>
            </w:rPr>
            <w:fldChar w:fldCharType="separate"/>
          </w:r>
          <w:r>
            <w:rPr>
              <w:rFonts w:hint="eastAsia"/>
              <w:highlight w:val="none"/>
              <w:lang w:val="en-US" w:eastAsia="zh-CN"/>
            </w:rPr>
            <w:t>3.10</w:t>
          </w:r>
          <w:r>
            <w:rPr>
              <w:highlight w:val="none"/>
              <w:lang w:val="en-US"/>
            </w:rPr>
            <w:t>清洁生产</w:t>
          </w:r>
          <w:r>
            <w:tab/>
          </w:r>
          <w:r>
            <w:fldChar w:fldCharType="begin"/>
          </w:r>
          <w:r>
            <w:instrText xml:space="preserve"> PAGEREF _Toc8195 \h </w:instrText>
          </w:r>
          <w:r>
            <w:fldChar w:fldCharType="separate"/>
          </w:r>
          <w:r>
            <w:t>74</w:t>
          </w:r>
          <w:r>
            <w:fldChar w:fldCharType="end"/>
          </w:r>
          <w:r>
            <w:rPr>
              <w:rFonts w:hint="default"/>
              <w:color w:val="000000" w:themeColor="text1"/>
              <w:highlight w:val="none"/>
              <w:lang w:val="en-US" w:eastAsia="zh-CN"/>
              <w14:textFill>
                <w14:solidFill>
                  <w14:schemeClr w14:val="tx1"/>
                </w14:solidFill>
              </w14:textFill>
            </w:rPr>
            <w:fldChar w:fldCharType="end"/>
          </w:r>
        </w:p>
        <w:p w14:paraId="232AA5CD">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_Toc13516 </w:instrText>
          </w:r>
          <w:r>
            <w:rPr>
              <w:rFonts w:hint="default"/>
              <w:highlight w:val="none"/>
              <w:lang w:val="en-US" w:eastAsia="zh-CN"/>
            </w:rPr>
            <w:fldChar w:fldCharType="separate"/>
          </w:r>
          <w:r>
            <w:rPr>
              <w:rFonts w:hint="eastAsia"/>
              <w:highlight w:val="none"/>
              <w:lang w:val="en-US" w:eastAsia="zh-CN"/>
            </w:rPr>
            <w:t>4.</w:t>
          </w:r>
          <w:r>
            <w:rPr>
              <w:highlight w:val="none"/>
            </w:rPr>
            <w:t>环境现状调查与评价</w:t>
          </w:r>
          <w:r>
            <w:tab/>
          </w:r>
          <w:r>
            <w:fldChar w:fldCharType="begin"/>
          </w:r>
          <w:r>
            <w:instrText xml:space="preserve"> PAGEREF _Toc13516 \h </w:instrText>
          </w:r>
          <w:r>
            <w:fldChar w:fldCharType="separate"/>
          </w:r>
          <w:r>
            <w:t>78</w:t>
          </w:r>
          <w:r>
            <w:fldChar w:fldCharType="end"/>
          </w:r>
          <w:r>
            <w:rPr>
              <w:rFonts w:hint="default"/>
              <w:color w:val="000000" w:themeColor="text1"/>
              <w:highlight w:val="none"/>
              <w:lang w:val="en-US" w:eastAsia="zh-CN"/>
              <w14:textFill>
                <w14:solidFill>
                  <w14:schemeClr w14:val="tx1"/>
                </w14:solidFill>
              </w14:textFill>
            </w:rPr>
            <w:fldChar w:fldCharType="end"/>
          </w:r>
        </w:p>
        <w:p w14:paraId="18132CB3">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_Toc6579 </w:instrText>
          </w:r>
          <w:r>
            <w:rPr>
              <w:rFonts w:hint="default"/>
              <w:highlight w:val="none"/>
              <w:lang w:val="en-US" w:eastAsia="zh-CN"/>
            </w:rPr>
            <w:fldChar w:fldCharType="separate"/>
          </w:r>
          <w:r>
            <w:rPr>
              <w:rFonts w:hint="eastAsia"/>
              <w:highlight w:val="none"/>
              <w:lang w:val="en-US" w:eastAsia="zh-CN"/>
            </w:rPr>
            <w:t>4</w:t>
          </w:r>
          <w:r>
            <w:rPr>
              <w:highlight w:val="none"/>
            </w:rPr>
            <w:t>.1自然环境现状调查与评价</w:t>
          </w:r>
          <w:r>
            <w:tab/>
          </w:r>
          <w:r>
            <w:fldChar w:fldCharType="begin"/>
          </w:r>
          <w:r>
            <w:instrText xml:space="preserve"> PAGEREF _Toc6579 \h </w:instrText>
          </w:r>
          <w:r>
            <w:fldChar w:fldCharType="separate"/>
          </w:r>
          <w:r>
            <w:t>78</w:t>
          </w:r>
          <w:r>
            <w:fldChar w:fldCharType="end"/>
          </w:r>
          <w:r>
            <w:rPr>
              <w:rFonts w:hint="default"/>
              <w:color w:val="000000" w:themeColor="text1"/>
              <w:highlight w:val="none"/>
              <w:lang w:val="en-US" w:eastAsia="zh-CN"/>
              <w14:textFill>
                <w14:solidFill>
                  <w14:schemeClr w14:val="tx1"/>
                </w14:solidFill>
              </w14:textFill>
            </w:rPr>
            <w:fldChar w:fldCharType="end"/>
          </w:r>
        </w:p>
        <w:p w14:paraId="39B868A6">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_Toc26751 </w:instrText>
          </w:r>
          <w:r>
            <w:rPr>
              <w:rFonts w:hint="default"/>
              <w:highlight w:val="none"/>
              <w:lang w:val="en-US" w:eastAsia="zh-CN"/>
            </w:rPr>
            <w:fldChar w:fldCharType="separate"/>
          </w:r>
          <w:r>
            <w:rPr>
              <w:rFonts w:hint="eastAsia"/>
              <w:highlight w:val="none"/>
              <w:lang w:val="en-US" w:eastAsia="zh-CN"/>
            </w:rPr>
            <w:t>4</w:t>
          </w:r>
          <w:r>
            <w:rPr>
              <w:highlight w:val="none"/>
              <w:lang w:val="en-US"/>
            </w:rPr>
            <w:t>.2</w:t>
          </w:r>
          <w:r>
            <w:rPr>
              <w:rFonts w:hint="eastAsia"/>
              <w:highlight w:val="none"/>
              <w:lang w:val="en-US"/>
            </w:rPr>
            <w:t>昌吉高新技术产业开发区</w:t>
          </w:r>
          <w:r>
            <w:rPr>
              <w:highlight w:val="none"/>
              <w:lang w:val="en-US"/>
            </w:rPr>
            <w:t>概况</w:t>
          </w:r>
          <w:r>
            <w:tab/>
          </w:r>
          <w:r>
            <w:fldChar w:fldCharType="begin"/>
          </w:r>
          <w:r>
            <w:instrText xml:space="preserve"> PAGEREF _Toc26751 \h </w:instrText>
          </w:r>
          <w:r>
            <w:fldChar w:fldCharType="separate"/>
          </w:r>
          <w:r>
            <w:t>83</w:t>
          </w:r>
          <w:r>
            <w:fldChar w:fldCharType="end"/>
          </w:r>
          <w:r>
            <w:rPr>
              <w:rFonts w:hint="default"/>
              <w:color w:val="000000" w:themeColor="text1"/>
              <w:highlight w:val="none"/>
              <w:lang w:val="en-US" w:eastAsia="zh-CN"/>
              <w14:textFill>
                <w14:solidFill>
                  <w14:schemeClr w14:val="tx1"/>
                </w14:solidFill>
              </w14:textFill>
            </w:rPr>
            <w:fldChar w:fldCharType="end"/>
          </w:r>
        </w:p>
        <w:p w14:paraId="03D145F3">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_Toc8397 </w:instrText>
          </w:r>
          <w:r>
            <w:rPr>
              <w:rFonts w:hint="default"/>
              <w:highlight w:val="none"/>
              <w:lang w:val="en-US" w:eastAsia="zh-CN"/>
            </w:rPr>
            <w:fldChar w:fldCharType="separate"/>
          </w:r>
          <w:r>
            <w:rPr>
              <w:rFonts w:hint="eastAsia"/>
              <w:highlight w:val="none"/>
              <w:lang w:val="en-US" w:eastAsia="zh-CN"/>
            </w:rPr>
            <w:t>4</w:t>
          </w:r>
          <w:r>
            <w:rPr>
              <w:highlight w:val="none"/>
              <w:lang w:val="en-US"/>
            </w:rPr>
            <w:t>.3环境质量现状调查与评价</w:t>
          </w:r>
          <w:r>
            <w:tab/>
          </w:r>
          <w:r>
            <w:fldChar w:fldCharType="begin"/>
          </w:r>
          <w:r>
            <w:instrText xml:space="preserve"> PAGEREF _Toc8397 \h </w:instrText>
          </w:r>
          <w:r>
            <w:fldChar w:fldCharType="separate"/>
          </w:r>
          <w:r>
            <w:t>88</w:t>
          </w:r>
          <w:r>
            <w:fldChar w:fldCharType="end"/>
          </w:r>
          <w:r>
            <w:rPr>
              <w:rFonts w:hint="default"/>
              <w:color w:val="000000" w:themeColor="text1"/>
              <w:highlight w:val="none"/>
              <w:lang w:val="en-US" w:eastAsia="zh-CN"/>
              <w14:textFill>
                <w14:solidFill>
                  <w14:schemeClr w14:val="tx1"/>
                </w14:solidFill>
              </w14:textFill>
            </w:rPr>
            <w:fldChar w:fldCharType="end"/>
          </w:r>
        </w:p>
        <w:p w14:paraId="12583D04">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_Toc5784 </w:instrText>
          </w:r>
          <w:r>
            <w:rPr>
              <w:rFonts w:hint="default"/>
              <w:highlight w:val="none"/>
              <w:lang w:val="en-US" w:eastAsia="zh-CN"/>
            </w:rPr>
            <w:fldChar w:fldCharType="separate"/>
          </w:r>
          <w:r>
            <w:rPr>
              <w:rFonts w:hint="eastAsia"/>
              <w:highlight w:val="none"/>
              <w:lang w:val="en-US" w:eastAsia="zh-CN"/>
            </w:rPr>
            <w:t xml:space="preserve">5 </w:t>
          </w:r>
          <w:r>
            <w:rPr>
              <w:highlight w:val="none"/>
            </w:rPr>
            <w:t>环境影响预测与评价</w:t>
          </w:r>
          <w:r>
            <w:tab/>
          </w:r>
          <w:r>
            <w:fldChar w:fldCharType="begin"/>
          </w:r>
          <w:r>
            <w:instrText xml:space="preserve"> PAGEREF _Toc5784 \h </w:instrText>
          </w:r>
          <w:r>
            <w:fldChar w:fldCharType="separate"/>
          </w:r>
          <w:r>
            <w:t>103</w:t>
          </w:r>
          <w:r>
            <w:fldChar w:fldCharType="end"/>
          </w:r>
          <w:r>
            <w:rPr>
              <w:rFonts w:hint="default"/>
              <w:color w:val="000000" w:themeColor="text1"/>
              <w:highlight w:val="none"/>
              <w:lang w:val="en-US" w:eastAsia="zh-CN"/>
              <w14:textFill>
                <w14:solidFill>
                  <w14:schemeClr w14:val="tx1"/>
                </w14:solidFill>
              </w14:textFill>
            </w:rPr>
            <w:fldChar w:fldCharType="end"/>
          </w:r>
        </w:p>
        <w:p w14:paraId="2AD736CF">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_Toc24582 </w:instrText>
          </w:r>
          <w:r>
            <w:rPr>
              <w:rFonts w:hint="default"/>
              <w:highlight w:val="none"/>
              <w:lang w:val="en-US" w:eastAsia="zh-CN"/>
            </w:rPr>
            <w:fldChar w:fldCharType="separate"/>
          </w:r>
          <w:r>
            <w:rPr>
              <w:rFonts w:hint="eastAsia"/>
              <w:highlight w:val="none"/>
              <w:lang w:val="en-US" w:eastAsia="zh-CN"/>
            </w:rPr>
            <w:t>5</w:t>
          </w:r>
          <w:r>
            <w:rPr>
              <w:rFonts w:hint="eastAsia"/>
              <w:highlight w:val="none"/>
            </w:rPr>
            <w:t>.1</w:t>
          </w:r>
          <w:r>
            <w:rPr>
              <w:highlight w:val="none"/>
            </w:rPr>
            <w:t>施工期环境影响分析</w:t>
          </w:r>
          <w:r>
            <w:tab/>
          </w:r>
          <w:r>
            <w:fldChar w:fldCharType="begin"/>
          </w:r>
          <w:r>
            <w:instrText xml:space="preserve"> PAGEREF _Toc24582 \h </w:instrText>
          </w:r>
          <w:r>
            <w:fldChar w:fldCharType="separate"/>
          </w:r>
          <w:r>
            <w:t>103</w:t>
          </w:r>
          <w:r>
            <w:fldChar w:fldCharType="end"/>
          </w:r>
          <w:r>
            <w:rPr>
              <w:rFonts w:hint="default"/>
              <w:color w:val="000000" w:themeColor="text1"/>
              <w:highlight w:val="none"/>
              <w:lang w:val="en-US" w:eastAsia="zh-CN"/>
              <w14:textFill>
                <w14:solidFill>
                  <w14:schemeClr w14:val="tx1"/>
                </w14:solidFill>
              </w14:textFill>
            </w:rPr>
            <w:fldChar w:fldCharType="end"/>
          </w:r>
        </w:p>
        <w:p w14:paraId="27002A75">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_Toc11896 </w:instrText>
          </w:r>
          <w:r>
            <w:rPr>
              <w:rFonts w:hint="default"/>
              <w:highlight w:val="none"/>
              <w:lang w:val="en-US" w:eastAsia="zh-CN"/>
            </w:rPr>
            <w:fldChar w:fldCharType="separate"/>
          </w:r>
          <w:r>
            <w:rPr>
              <w:rFonts w:hint="eastAsia"/>
              <w:highlight w:val="none"/>
              <w:lang w:val="en-US" w:eastAsia="zh-CN"/>
            </w:rPr>
            <w:t>5</w:t>
          </w:r>
          <w:r>
            <w:rPr>
              <w:highlight w:val="none"/>
              <w:lang w:val="en-US"/>
            </w:rPr>
            <w:t xml:space="preserve">.2 </w:t>
          </w:r>
          <w:r>
            <w:rPr>
              <w:rFonts w:hint="eastAsia"/>
              <w:highlight w:val="none"/>
              <w:lang w:val="en-US"/>
            </w:rPr>
            <w:t>运营期环境影响预测与分析</w:t>
          </w:r>
          <w:r>
            <w:tab/>
          </w:r>
          <w:r>
            <w:fldChar w:fldCharType="begin"/>
          </w:r>
          <w:r>
            <w:instrText xml:space="preserve"> PAGEREF _Toc11896 \h </w:instrText>
          </w:r>
          <w:r>
            <w:fldChar w:fldCharType="separate"/>
          </w:r>
          <w:r>
            <w:t>105</w:t>
          </w:r>
          <w:r>
            <w:fldChar w:fldCharType="end"/>
          </w:r>
          <w:r>
            <w:rPr>
              <w:rFonts w:hint="default"/>
              <w:color w:val="000000" w:themeColor="text1"/>
              <w:highlight w:val="none"/>
              <w:lang w:val="en-US" w:eastAsia="zh-CN"/>
              <w14:textFill>
                <w14:solidFill>
                  <w14:schemeClr w14:val="tx1"/>
                </w14:solidFill>
              </w14:textFill>
            </w:rPr>
            <w:fldChar w:fldCharType="end"/>
          </w:r>
        </w:p>
        <w:p w14:paraId="23E9BED0">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_Toc349 </w:instrText>
          </w:r>
          <w:r>
            <w:rPr>
              <w:rFonts w:hint="default"/>
              <w:highlight w:val="none"/>
              <w:lang w:val="en-US" w:eastAsia="zh-CN"/>
            </w:rPr>
            <w:fldChar w:fldCharType="separate"/>
          </w:r>
          <w:r>
            <w:rPr>
              <w:rFonts w:hint="eastAsia"/>
              <w:highlight w:val="none"/>
              <w:lang w:val="en-US" w:eastAsia="zh-CN"/>
            </w:rPr>
            <w:t xml:space="preserve">6 </w:t>
          </w:r>
          <w:r>
            <w:rPr>
              <w:highlight w:val="none"/>
            </w:rPr>
            <w:t>环境保护措施及其可行性论证</w:t>
          </w:r>
          <w:r>
            <w:tab/>
          </w:r>
          <w:r>
            <w:fldChar w:fldCharType="begin"/>
          </w:r>
          <w:r>
            <w:instrText xml:space="preserve"> PAGEREF _Toc349 \h </w:instrText>
          </w:r>
          <w:r>
            <w:fldChar w:fldCharType="separate"/>
          </w:r>
          <w:r>
            <w:t>145</w:t>
          </w:r>
          <w:r>
            <w:fldChar w:fldCharType="end"/>
          </w:r>
          <w:r>
            <w:rPr>
              <w:rFonts w:hint="default"/>
              <w:color w:val="000000" w:themeColor="text1"/>
              <w:highlight w:val="none"/>
              <w:lang w:val="en-US" w:eastAsia="zh-CN"/>
              <w14:textFill>
                <w14:solidFill>
                  <w14:schemeClr w14:val="tx1"/>
                </w14:solidFill>
              </w14:textFill>
            </w:rPr>
            <w:fldChar w:fldCharType="end"/>
          </w:r>
        </w:p>
        <w:p w14:paraId="3AE0E7E6">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_Toc21170 </w:instrText>
          </w:r>
          <w:r>
            <w:rPr>
              <w:rFonts w:hint="default"/>
              <w:highlight w:val="none"/>
              <w:lang w:val="en-US" w:eastAsia="zh-CN"/>
            </w:rPr>
            <w:fldChar w:fldCharType="separate"/>
          </w:r>
          <w:r>
            <w:rPr>
              <w:rFonts w:hint="eastAsia"/>
              <w:highlight w:val="none"/>
              <w:lang w:val="en-US" w:eastAsia="zh-CN"/>
            </w:rPr>
            <w:t>6.1</w:t>
          </w:r>
          <w:r>
            <w:rPr>
              <w:rFonts w:hint="default"/>
              <w:highlight w:val="none"/>
              <w:lang w:val="en-US" w:eastAsia="zh-CN"/>
            </w:rPr>
            <w:t xml:space="preserve"> </w:t>
          </w:r>
          <w:r>
            <w:rPr>
              <w:rFonts w:hint="eastAsia"/>
              <w:highlight w:val="none"/>
              <w:lang w:val="en-US" w:eastAsia="zh-CN"/>
            </w:rPr>
            <w:t>施工期污染防治措施及其可行性</w:t>
          </w:r>
          <w:r>
            <w:tab/>
          </w:r>
          <w:r>
            <w:fldChar w:fldCharType="begin"/>
          </w:r>
          <w:r>
            <w:instrText xml:space="preserve"> PAGEREF _Toc21170 \h </w:instrText>
          </w:r>
          <w:r>
            <w:fldChar w:fldCharType="separate"/>
          </w:r>
          <w:r>
            <w:t>145</w:t>
          </w:r>
          <w:r>
            <w:fldChar w:fldCharType="end"/>
          </w:r>
          <w:r>
            <w:rPr>
              <w:rFonts w:hint="default"/>
              <w:color w:val="000000" w:themeColor="text1"/>
              <w:highlight w:val="none"/>
              <w:lang w:val="en-US" w:eastAsia="zh-CN"/>
              <w14:textFill>
                <w14:solidFill>
                  <w14:schemeClr w14:val="tx1"/>
                </w14:solidFill>
              </w14:textFill>
            </w:rPr>
            <w:fldChar w:fldCharType="end"/>
          </w:r>
        </w:p>
        <w:p w14:paraId="18873ACF">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_Toc12951 </w:instrText>
          </w:r>
          <w:r>
            <w:rPr>
              <w:rFonts w:hint="default"/>
              <w:highlight w:val="none"/>
              <w:lang w:val="en-US" w:eastAsia="zh-CN"/>
            </w:rPr>
            <w:fldChar w:fldCharType="separate"/>
          </w:r>
          <w:r>
            <w:rPr>
              <w:rFonts w:hint="eastAsia"/>
              <w:highlight w:val="none"/>
              <w:lang w:val="en-US" w:eastAsia="zh-CN"/>
            </w:rPr>
            <w:t>6</w:t>
          </w:r>
          <w:r>
            <w:rPr>
              <w:rFonts w:hint="default"/>
              <w:highlight w:val="none"/>
              <w:lang w:val="en-US" w:eastAsia="zh-CN"/>
            </w:rPr>
            <w:t xml:space="preserve">.2 </w:t>
          </w:r>
          <w:r>
            <w:rPr>
              <w:rFonts w:hint="eastAsia"/>
              <w:highlight w:val="none"/>
              <w:lang w:val="en-US" w:eastAsia="zh-CN"/>
            </w:rPr>
            <w:t>营运期污染防治措施及其可行性</w:t>
          </w:r>
          <w:r>
            <w:tab/>
          </w:r>
          <w:r>
            <w:fldChar w:fldCharType="begin"/>
          </w:r>
          <w:r>
            <w:instrText xml:space="preserve"> PAGEREF _Toc12951 \h </w:instrText>
          </w:r>
          <w:r>
            <w:fldChar w:fldCharType="separate"/>
          </w:r>
          <w:r>
            <w:t>148</w:t>
          </w:r>
          <w:r>
            <w:fldChar w:fldCharType="end"/>
          </w:r>
          <w:r>
            <w:rPr>
              <w:rFonts w:hint="default"/>
              <w:color w:val="000000" w:themeColor="text1"/>
              <w:highlight w:val="none"/>
              <w:lang w:val="en-US" w:eastAsia="zh-CN"/>
              <w14:textFill>
                <w14:solidFill>
                  <w14:schemeClr w14:val="tx1"/>
                </w14:solidFill>
              </w14:textFill>
            </w:rPr>
            <w:fldChar w:fldCharType="end"/>
          </w:r>
        </w:p>
        <w:p w14:paraId="544FDC10">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_Toc16745 </w:instrText>
          </w:r>
          <w:r>
            <w:rPr>
              <w:rFonts w:hint="default"/>
              <w:highlight w:val="none"/>
              <w:lang w:val="en-US" w:eastAsia="zh-CN"/>
            </w:rPr>
            <w:fldChar w:fldCharType="separate"/>
          </w:r>
          <w:r>
            <w:rPr>
              <w:rFonts w:hint="eastAsia"/>
              <w:highlight w:val="none"/>
              <w:lang w:val="en-US" w:eastAsia="zh-CN"/>
            </w:rPr>
            <w:t xml:space="preserve">7 </w:t>
          </w:r>
          <w:r>
            <w:rPr>
              <w:highlight w:val="none"/>
            </w:rPr>
            <w:t>环境影响经济损益分析</w:t>
          </w:r>
          <w:r>
            <w:tab/>
          </w:r>
          <w:r>
            <w:fldChar w:fldCharType="begin"/>
          </w:r>
          <w:r>
            <w:instrText xml:space="preserve"> PAGEREF _Toc16745 \h </w:instrText>
          </w:r>
          <w:r>
            <w:fldChar w:fldCharType="separate"/>
          </w:r>
          <w:r>
            <w:t>160</w:t>
          </w:r>
          <w:r>
            <w:fldChar w:fldCharType="end"/>
          </w:r>
          <w:r>
            <w:rPr>
              <w:rFonts w:hint="default"/>
              <w:color w:val="000000" w:themeColor="text1"/>
              <w:highlight w:val="none"/>
              <w:lang w:val="en-US" w:eastAsia="zh-CN"/>
              <w14:textFill>
                <w14:solidFill>
                  <w14:schemeClr w14:val="tx1"/>
                </w14:solidFill>
              </w14:textFill>
            </w:rPr>
            <w:fldChar w:fldCharType="end"/>
          </w:r>
        </w:p>
        <w:p w14:paraId="4E4627AD">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_Toc19166 </w:instrText>
          </w:r>
          <w:r>
            <w:rPr>
              <w:rFonts w:hint="default"/>
              <w:highlight w:val="none"/>
              <w:lang w:val="en-US" w:eastAsia="zh-CN"/>
            </w:rPr>
            <w:fldChar w:fldCharType="separate"/>
          </w:r>
          <w:r>
            <w:rPr>
              <w:rFonts w:hint="eastAsia"/>
              <w:highlight w:val="none"/>
              <w:lang w:val="en-US" w:eastAsia="zh-CN"/>
            </w:rPr>
            <w:t>7</w:t>
          </w:r>
          <w:r>
            <w:rPr>
              <w:rFonts w:hint="eastAsia"/>
              <w:highlight w:val="none"/>
            </w:rPr>
            <w:t>.1经济效益</w:t>
          </w:r>
          <w:r>
            <w:tab/>
          </w:r>
          <w:r>
            <w:fldChar w:fldCharType="begin"/>
          </w:r>
          <w:r>
            <w:instrText xml:space="preserve"> PAGEREF _Toc19166 \h </w:instrText>
          </w:r>
          <w:r>
            <w:fldChar w:fldCharType="separate"/>
          </w:r>
          <w:r>
            <w:t>160</w:t>
          </w:r>
          <w:r>
            <w:fldChar w:fldCharType="end"/>
          </w:r>
          <w:r>
            <w:rPr>
              <w:rFonts w:hint="default"/>
              <w:color w:val="000000" w:themeColor="text1"/>
              <w:highlight w:val="none"/>
              <w:lang w:val="en-US" w:eastAsia="zh-CN"/>
              <w14:textFill>
                <w14:solidFill>
                  <w14:schemeClr w14:val="tx1"/>
                </w14:solidFill>
              </w14:textFill>
            </w:rPr>
            <w:fldChar w:fldCharType="end"/>
          </w:r>
        </w:p>
        <w:p w14:paraId="7729326F">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_Toc2159 </w:instrText>
          </w:r>
          <w:r>
            <w:rPr>
              <w:rFonts w:hint="default"/>
              <w:highlight w:val="none"/>
              <w:lang w:val="en-US" w:eastAsia="zh-CN"/>
            </w:rPr>
            <w:fldChar w:fldCharType="separate"/>
          </w:r>
          <w:r>
            <w:rPr>
              <w:rFonts w:hint="eastAsia"/>
              <w:highlight w:val="none"/>
              <w:lang w:val="en-US" w:eastAsia="zh-CN"/>
            </w:rPr>
            <w:t>7</w:t>
          </w:r>
          <w:r>
            <w:rPr>
              <w:rFonts w:hint="eastAsia"/>
              <w:highlight w:val="none"/>
            </w:rPr>
            <w:t>.2社会效益分析</w:t>
          </w:r>
          <w:r>
            <w:tab/>
          </w:r>
          <w:r>
            <w:fldChar w:fldCharType="begin"/>
          </w:r>
          <w:r>
            <w:instrText xml:space="preserve"> PAGEREF _Toc2159 \h </w:instrText>
          </w:r>
          <w:r>
            <w:fldChar w:fldCharType="separate"/>
          </w:r>
          <w:r>
            <w:t>160</w:t>
          </w:r>
          <w:r>
            <w:fldChar w:fldCharType="end"/>
          </w:r>
          <w:r>
            <w:rPr>
              <w:rFonts w:hint="default"/>
              <w:color w:val="000000" w:themeColor="text1"/>
              <w:highlight w:val="none"/>
              <w:lang w:val="en-US" w:eastAsia="zh-CN"/>
              <w14:textFill>
                <w14:solidFill>
                  <w14:schemeClr w14:val="tx1"/>
                </w14:solidFill>
              </w14:textFill>
            </w:rPr>
            <w:fldChar w:fldCharType="end"/>
          </w:r>
        </w:p>
        <w:p w14:paraId="1331018C">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_Toc3807 </w:instrText>
          </w:r>
          <w:r>
            <w:rPr>
              <w:rFonts w:hint="default"/>
              <w:highlight w:val="none"/>
              <w:lang w:val="en-US" w:eastAsia="zh-CN"/>
            </w:rPr>
            <w:fldChar w:fldCharType="separate"/>
          </w:r>
          <w:r>
            <w:rPr>
              <w:rFonts w:hint="eastAsia"/>
              <w:highlight w:val="none"/>
              <w:lang w:val="en-US" w:eastAsia="zh-CN"/>
            </w:rPr>
            <w:t>7</w:t>
          </w:r>
          <w:r>
            <w:rPr>
              <w:rFonts w:hint="eastAsia"/>
              <w:highlight w:val="none"/>
            </w:rPr>
            <w:t>.3环境损益分析</w:t>
          </w:r>
          <w:r>
            <w:tab/>
          </w:r>
          <w:r>
            <w:fldChar w:fldCharType="begin"/>
          </w:r>
          <w:r>
            <w:instrText xml:space="preserve"> PAGEREF _Toc3807 \h </w:instrText>
          </w:r>
          <w:r>
            <w:fldChar w:fldCharType="separate"/>
          </w:r>
          <w:r>
            <w:t>161</w:t>
          </w:r>
          <w:r>
            <w:fldChar w:fldCharType="end"/>
          </w:r>
          <w:r>
            <w:rPr>
              <w:rFonts w:hint="default"/>
              <w:color w:val="000000" w:themeColor="text1"/>
              <w:highlight w:val="none"/>
              <w:lang w:val="en-US" w:eastAsia="zh-CN"/>
              <w14:textFill>
                <w14:solidFill>
                  <w14:schemeClr w14:val="tx1"/>
                </w14:solidFill>
              </w14:textFill>
            </w:rPr>
            <w:fldChar w:fldCharType="end"/>
          </w:r>
        </w:p>
        <w:p w14:paraId="48E739B7">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_Toc5970 </w:instrText>
          </w:r>
          <w:r>
            <w:rPr>
              <w:rFonts w:hint="default"/>
              <w:highlight w:val="none"/>
              <w:lang w:val="en-US" w:eastAsia="zh-CN"/>
            </w:rPr>
            <w:fldChar w:fldCharType="separate"/>
          </w:r>
          <w:r>
            <w:rPr>
              <w:rFonts w:hint="eastAsia"/>
              <w:highlight w:val="none"/>
              <w:lang w:val="en-US" w:eastAsia="zh-CN"/>
            </w:rPr>
            <w:t>7</w:t>
          </w:r>
          <w:r>
            <w:rPr>
              <w:rFonts w:hint="eastAsia"/>
              <w:highlight w:val="none"/>
            </w:rPr>
            <w:t>.4</w:t>
          </w:r>
          <w:r>
            <w:rPr>
              <w:highlight w:val="none"/>
            </w:rPr>
            <w:t>环保投资概算</w:t>
          </w:r>
          <w:r>
            <w:tab/>
          </w:r>
          <w:r>
            <w:fldChar w:fldCharType="begin"/>
          </w:r>
          <w:r>
            <w:instrText xml:space="preserve"> PAGEREF _Toc5970 \h </w:instrText>
          </w:r>
          <w:r>
            <w:fldChar w:fldCharType="separate"/>
          </w:r>
          <w:r>
            <w:t>162</w:t>
          </w:r>
          <w:r>
            <w:fldChar w:fldCharType="end"/>
          </w:r>
          <w:r>
            <w:rPr>
              <w:rFonts w:hint="default"/>
              <w:color w:val="000000" w:themeColor="text1"/>
              <w:highlight w:val="none"/>
              <w:lang w:val="en-US" w:eastAsia="zh-CN"/>
              <w14:textFill>
                <w14:solidFill>
                  <w14:schemeClr w14:val="tx1"/>
                </w14:solidFill>
              </w14:textFill>
            </w:rPr>
            <w:fldChar w:fldCharType="end"/>
          </w:r>
        </w:p>
        <w:p w14:paraId="3EFA443C">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_Toc24355 </w:instrText>
          </w:r>
          <w:r>
            <w:rPr>
              <w:rFonts w:hint="default"/>
              <w:highlight w:val="none"/>
              <w:lang w:val="en-US" w:eastAsia="zh-CN"/>
            </w:rPr>
            <w:fldChar w:fldCharType="separate"/>
          </w:r>
          <w:r>
            <w:rPr>
              <w:rFonts w:hint="eastAsia"/>
              <w:highlight w:val="none"/>
              <w:lang w:val="en-US" w:eastAsia="zh-CN"/>
            </w:rPr>
            <w:t xml:space="preserve">8 </w:t>
          </w:r>
          <w:r>
            <w:rPr>
              <w:highlight w:val="none"/>
            </w:rPr>
            <w:t>环境管理与监测计划</w:t>
          </w:r>
          <w:r>
            <w:tab/>
          </w:r>
          <w:r>
            <w:fldChar w:fldCharType="begin"/>
          </w:r>
          <w:r>
            <w:instrText xml:space="preserve"> PAGEREF _Toc24355 \h </w:instrText>
          </w:r>
          <w:r>
            <w:fldChar w:fldCharType="separate"/>
          </w:r>
          <w:r>
            <w:t>164</w:t>
          </w:r>
          <w:r>
            <w:fldChar w:fldCharType="end"/>
          </w:r>
          <w:r>
            <w:rPr>
              <w:rFonts w:hint="default"/>
              <w:color w:val="000000" w:themeColor="text1"/>
              <w:highlight w:val="none"/>
              <w:lang w:val="en-US" w:eastAsia="zh-CN"/>
              <w14:textFill>
                <w14:solidFill>
                  <w14:schemeClr w14:val="tx1"/>
                </w14:solidFill>
              </w14:textFill>
            </w:rPr>
            <w:fldChar w:fldCharType="end"/>
          </w:r>
        </w:p>
        <w:p w14:paraId="4DF3F7E2">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_Toc1764 </w:instrText>
          </w:r>
          <w:r>
            <w:rPr>
              <w:rFonts w:hint="default"/>
              <w:highlight w:val="none"/>
              <w:lang w:val="en-US" w:eastAsia="zh-CN"/>
            </w:rPr>
            <w:fldChar w:fldCharType="separate"/>
          </w:r>
          <w:r>
            <w:rPr>
              <w:rFonts w:hint="eastAsia"/>
              <w:highlight w:val="none"/>
              <w:lang w:val="en-US" w:eastAsia="zh-CN"/>
            </w:rPr>
            <w:t>8</w:t>
          </w:r>
          <w:r>
            <w:rPr>
              <w:highlight w:val="none"/>
            </w:rPr>
            <w:t>.1环境管理</w:t>
          </w:r>
          <w:r>
            <w:tab/>
          </w:r>
          <w:r>
            <w:fldChar w:fldCharType="begin"/>
          </w:r>
          <w:r>
            <w:instrText xml:space="preserve"> PAGEREF _Toc1764 \h </w:instrText>
          </w:r>
          <w:r>
            <w:fldChar w:fldCharType="separate"/>
          </w:r>
          <w:r>
            <w:t>164</w:t>
          </w:r>
          <w:r>
            <w:fldChar w:fldCharType="end"/>
          </w:r>
          <w:r>
            <w:rPr>
              <w:rFonts w:hint="default"/>
              <w:color w:val="000000" w:themeColor="text1"/>
              <w:highlight w:val="none"/>
              <w:lang w:val="en-US" w:eastAsia="zh-CN"/>
              <w14:textFill>
                <w14:solidFill>
                  <w14:schemeClr w14:val="tx1"/>
                </w14:solidFill>
              </w14:textFill>
            </w:rPr>
            <w:fldChar w:fldCharType="end"/>
          </w:r>
        </w:p>
        <w:p w14:paraId="3048159E">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_Toc27122 </w:instrText>
          </w:r>
          <w:r>
            <w:rPr>
              <w:rFonts w:hint="default"/>
              <w:highlight w:val="none"/>
              <w:lang w:val="en-US" w:eastAsia="zh-CN"/>
            </w:rPr>
            <w:fldChar w:fldCharType="separate"/>
          </w:r>
          <w:r>
            <w:rPr>
              <w:rFonts w:hint="eastAsia"/>
              <w:highlight w:val="none"/>
              <w:lang w:val="en-US" w:eastAsia="zh-CN"/>
            </w:rPr>
            <w:t>8</w:t>
          </w:r>
          <w:r>
            <w:rPr>
              <w:highlight w:val="none"/>
            </w:rPr>
            <w:t>.</w:t>
          </w:r>
          <w:r>
            <w:rPr>
              <w:rFonts w:hint="eastAsia"/>
              <w:highlight w:val="none"/>
            </w:rPr>
            <w:t>2</w:t>
          </w:r>
          <w:r>
            <w:rPr>
              <w:highlight w:val="none"/>
            </w:rPr>
            <w:t>环境监测</w:t>
          </w:r>
          <w:r>
            <w:tab/>
          </w:r>
          <w:r>
            <w:fldChar w:fldCharType="begin"/>
          </w:r>
          <w:r>
            <w:instrText xml:space="preserve"> PAGEREF _Toc27122 \h </w:instrText>
          </w:r>
          <w:r>
            <w:fldChar w:fldCharType="separate"/>
          </w:r>
          <w:r>
            <w:t>168</w:t>
          </w:r>
          <w:r>
            <w:fldChar w:fldCharType="end"/>
          </w:r>
          <w:r>
            <w:rPr>
              <w:rFonts w:hint="default"/>
              <w:color w:val="000000" w:themeColor="text1"/>
              <w:highlight w:val="none"/>
              <w:lang w:val="en-US" w:eastAsia="zh-CN"/>
              <w14:textFill>
                <w14:solidFill>
                  <w14:schemeClr w14:val="tx1"/>
                </w14:solidFill>
              </w14:textFill>
            </w:rPr>
            <w:fldChar w:fldCharType="end"/>
          </w:r>
        </w:p>
        <w:p w14:paraId="37DF6D61">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_Toc27144 </w:instrText>
          </w:r>
          <w:r>
            <w:rPr>
              <w:rFonts w:hint="default"/>
              <w:highlight w:val="none"/>
              <w:lang w:val="en-US" w:eastAsia="zh-CN"/>
            </w:rPr>
            <w:fldChar w:fldCharType="separate"/>
          </w:r>
          <w:r>
            <w:rPr>
              <w:rFonts w:hint="eastAsia"/>
              <w:highlight w:val="none"/>
              <w:lang w:val="en-US" w:eastAsia="zh-CN"/>
            </w:rPr>
            <w:t>8</w:t>
          </w:r>
          <w:r>
            <w:rPr>
              <w:highlight w:val="none"/>
            </w:rPr>
            <w:t>.</w:t>
          </w:r>
          <w:r>
            <w:rPr>
              <w:rFonts w:hint="eastAsia"/>
              <w:highlight w:val="none"/>
            </w:rPr>
            <w:t>3</w:t>
          </w:r>
          <w:r>
            <w:rPr>
              <w:highlight w:val="none"/>
            </w:rPr>
            <w:t>污染物排放管理</w:t>
          </w:r>
          <w:r>
            <w:tab/>
          </w:r>
          <w:r>
            <w:fldChar w:fldCharType="begin"/>
          </w:r>
          <w:r>
            <w:instrText xml:space="preserve"> PAGEREF _Toc27144 \h </w:instrText>
          </w:r>
          <w:r>
            <w:fldChar w:fldCharType="separate"/>
          </w:r>
          <w:r>
            <w:t>170</w:t>
          </w:r>
          <w:r>
            <w:fldChar w:fldCharType="end"/>
          </w:r>
          <w:r>
            <w:rPr>
              <w:rFonts w:hint="default"/>
              <w:color w:val="000000" w:themeColor="text1"/>
              <w:highlight w:val="none"/>
              <w:lang w:val="en-US" w:eastAsia="zh-CN"/>
              <w14:textFill>
                <w14:solidFill>
                  <w14:schemeClr w14:val="tx1"/>
                </w14:solidFill>
              </w14:textFill>
            </w:rPr>
            <w:fldChar w:fldCharType="end"/>
          </w:r>
        </w:p>
        <w:p w14:paraId="26490EC2">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_Toc1400 </w:instrText>
          </w:r>
          <w:r>
            <w:rPr>
              <w:rFonts w:hint="default"/>
              <w:highlight w:val="none"/>
              <w:lang w:val="en-US" w:eastAsia="zh-CN"/>
            </w:rPr>
            <w:fldChar w:fldCharType="separate"/>
          </w:r>
          <w:r>
            <w:rPr>
              <w:rFonts w:hint="eastAsia"/>
              <w:highlight w:val="none"/>
              <w:lang w:val="en-US" w:eastAsia="zh-CN"/>
            </w:rPr>
            <w:t>8</w:t>
          </w:r>
          <w:r>
            <w:rPr>
              <w:highlight w:val="none"/>
            </w:rPr>
            <w:t>.</w:t>
          </w:r>
          <w:r>
            <w:rPr>
              <w:rFonts w:hint="eastAsia"/>
              <w:highlight w:val="none"/>
            </w:rPr>
            <w:t>4</w:t>
          </w:r>
          <w:r>
            <w:rPr>
              <w:highlight w:val="none"/>
            </w:rPr>
            <w:t>竣工验收管理</w:t>
          </w:r>
          <w:r>
            <w:tab/>
          </w:r>
          <w:r>
            <w:fldChar w:fldCharType="begin"/>
          </w:r>
          <w:r>
            <w:instrText xml:space="preserve"> PAGEREF _Toc1400 \h </w:instrText>
          </w:r>
          <w:r>
            <w:fldChar w:fldCharType="separate"/>
          </w:r>
          <w:r>
            <w:t>173</w:t>
          </w:r>
          <w:r>
            <w:fldChar w:fldCharType="end"/>
          </w:r>
          <w:r>
            <w:rPr>
              <w:rFonts w:hint="default"/>
              <w:color w:val="000000" w:themeColor="text1"/>
              <w:highlight w:val="none"/>
              <w:lang w:val="en-US" w:eastAsia="zh-CN"/>
              <w14:textFill>
                <w14:solidFill>
                  <w14:schemeClr w14:val="tx1"/>
                </w14:solidFill>
              </w14:textFill>
            </w:rPr>
            <w:fldChar w:fldCharType="end"/>
          </w:r>
        </w:p>
        <w:p w14:paraId="342605D0">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_Toc22975 </w:instrText>
          </w:r>
          <w:r>
            <w:rPr>
              <w:rFonts w:hint="default"/>
              <w:highlight w:val="none"/>
              <w:lang w:val="en-US" w:eastAsia="zh-CN"/>
            </w:rPr>
            <w:fldChar w:fldCharType="separate"/>
          </w:r>
          <w:r>
            <w:rPr>
              <w:rFonts w:hint="eastAsia"/>
              <w:highlight w:val="none"/>
              <w:lang w:val="en-US" w:eastAsia="zh-CN"/>
            </w:rPr>
            <w:t>8</w:t>
          </w:r>
          <w:r>
            <w:rPr>
              <w:highlight w:val="none"/>
            </w:rPr>
            <w:t>.</w:t>
          </w:r>
          <w:r>
            <w:rPr>
              <w:rFonts w:hint="eastAsia"/>
              <w:highlight w:val="none"/>
            </w:rPr>
            <w:t xml:space="preserve">5 </w:t>
          </w:r>
          <w:r>
            <w:rPr>
              <w:highlight w:val="none"/>
            </w:rPr>
            <w:t>排污许可</w:t>
          </w:r>
          <w:r>
            <w:rPr>
              <w:rFonts w:hint="eastAsia"/>
              <w:highlight w:val="none"/>
            </w:rPr>
            <w:t>衔接</w:t>
          </w:r>
          <w:r>
            <w:tab/>
          </w:r>
          <w:r>
            <w:fldChar w:fldCharType="begin"/>
          </w:r>
          <w:r>
            <w:instrText xml:space="preserve"> PAGEREF _Toc22975 \h </w:instrText>
          </w:r>
          <w:r>
            <w:fldChar w:fldCharType="separate"/>
          </w:r>
          <w:r>
            <w:t>174</w:t>
          </w:r>
          <w:r>
            <w:fldChar w:fldCharType="end"/>
          </w:r>
          <w:r>
            <w:rPr>
              <w:rFonts w:hint="default"/>
              <w:color w:val="000000" w:themeColor="text1"/>
              <w:highlight w:val="none"/>
              <w:lang w:val="en-US" w:eastAsia="zh-CN"/>
              <w14:textFill>
                <w14:solidFill>
                  <w14:schemeClr w14:val="tx1"/>
                </w14:solidFill>
              </w14:textFill>
            </w:rPr>
            <w:fldChar w:fldCharType="end"/>
          </w:r>
        </w:p>
        <w:p w14:paraId="7B9A0104">
          <w:pPr>
            <w:pStyle w:val="16"/>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_Toc15379 </w:instrText>
          </w:r>
          <w:r>
            <w:rPr>
              <w:rFonts w:hint="default"/>
              <w:highlight w:val="none"/>
              <w:lang w:val="en-US" w:eastAsia="zh-CN"/>
            </w:rPr>
            <w:fldChar w:fldCharType="separate"/>
          </w:r>
          <w:r>
            <w:rPr>
              <w:rFonts w:hint="eastAsia"/>
              <w:highlight w:val="none"/>
              <w:lang w:val="en-US" w:eastAsia="zh-CN"/>
            </w:rPr>
            <w:t xml:space="preserve">9 </w:t>
          </w:r>
          <w:r>
            <w:rPr>
              <w:highlight w:val="none"/>
            </w:rPr>
            <w:t>结论与建议</w:t>
          </w:r>
          <w:r>
            <w:tab/>
          </w:r>
          <w:r>
            <w:fldChar w:fldCharType="begin"/>
          </w:r>
          <w:r>
            <w:instrText xml:space="preserve"> PAGEREF _Toc15379 \h </w:instrText>
          </w:r>
          <w:r>
            <w:fldChar w:fldCharType="separate"/>
          </w:r>
          <w:r>
            <w:t>176</w:t>
          </w:r>
          <w:r>
            <w:fldChar w:fldCharType="end"/>
          </w:r>
          <w:r>
            <w:rPr>
              <w:rFonts w:hint="default"/>
              <w:color w:val="000000" w:themeColor="text1"/>
              <w:highlight w:val="none"/>
              <w:lang w:val="en-US" w:eastAsia="zh-CN"/>
              <w14:textFill>
                <w14:solidFill>
                  <w14:schemeClr w14:val="tx1"/>
                </w14:solidFill>
              </w14:textFill>
            </w:rPr>
            <w:fldChar w:fldCharType="end"/>
          </w:r>
        </w:p>
        <w:p w14:paraId="737DD26A">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_Toc16079 </w:instrText>
          </w:r>
          <w:r>
            <w:rPr>
              <w:rFonts w:hint="default"/>
              <w:highlight w:val="none"/>
              <w:lang w:val="en-US" w:eastAsia="zh-CN"/>
            </w:rPr>
            <w:fldChar w:fldCharType="separate"/>
          </w:r>
          <w:r>
            <w:rPr>
              <w:rFonts w:hint="eastAsia"/>
              <w:highlight w:val="none"/>
              <w:lang w:val="en-US" w:eastAsia="zh-CN"/>
            </w:rPr>
            <w:t>9</w:t>
          </w:r>
          <w:r>
            <w:rPr>
              <w:rFonts w:hint="eastAsia"/>
              <w:highlight w:val="none"/>
            </w:rPr>
            <w:t>.1结论</w:t>
          </w:r>
          <w:r>
            <w:tab/>
          </w:r>
          <w:r>
            <w:fldChar w:fldCharType="begin"/>
          </w:r>
          <w:r>
            <w:instrText xml:space="preserve"> PAGEREF _Toc16079 \h </w:instrText>
          </w:r>
          <w:r>
            <w:fldChar w:fldCharType="separate"/>
          </w:r>
          <w:r>
            <w:t>176</w:t>
          </w:r>
          <w:r>
            <w:fldChar w:fldCharType="end"/>
          </w:r>
          <w:r>
            <w:rPr>
              <w:rFonts w:hint="default"/>
              <w:color w:val="000000" w:themeColor="text1"/>
              <w:highlight w:val="none"/>
              <w:lang w:val="en-US" w:eastAsia="zh-CN"/>
              <w14:textFill>
                <w14:solidFill>
                  <w14:schemeClr w14:val="tx1"/>
                </w14:solidFill>
              </w14:textFill>
            </w:rPr>
            <w:fldChar w:fldCharType="end"/>
          </w:r>
        </w:p>
        <w:p w14:paraId="618AA987">
          <w:pPr>
            <w:pStyle w:val="18"/>
            <w:tabs>
              <w:tab w:val="right" w:leader="dot" w:pos="8306"/>
            </w:tabs>
          </w:pPr>
          <w:r>
            <w:rPr>
              <w:rFonts w:hint="default"/>
              <w:color w:val="000000" w:themeColor="text1"/>
              <w:highlight w:val="none"/>
              <w:lang w:val="en-US" w:eastAsia="zh-CN"/>
              <w14:textFill>
                <w14:solidFill>
                  <w14:schemeClr w14:val="tx1"/>
                </w14:solidFill>
              </w14:textFill>
            </w:rPr>
            <w:fldChar w:fldCharType="begin"/>
          </w:r>
          <w:r>
            <w:rPr>
              <w:rFonts w:hint="default"/>
              <w:highlight w:val="none"/>
              <w:lang w:val="en-US" w:eastAsia="zh-CN"/>
            </w:rPr>
            <w:instrText xml:space="preserve"> HYPERLINK \l _Toc9187 </w:instrText>
          </w:r>
          <w:r>
            <w:rPr>
              <w:rFonts w:hint="default"/>
              <w:highlight w:val="none"/>
              <w:lang w:val="en-US" w:eastAsia="zh-CN"/>
            </w:rPr>
            <w:fldChar w:fldCharType="separate"/>
          </w:r>
          <w:r>
            <w:rPr>
              <w:rFonts w:hint="eastAsia"/>
              <w:highlight w:val="none"/>
              <w:lang w:val="en-US" w:eastAsia="zh-CN"/>
            </w:rPr>
            <w:t>9</w:t>
          </w:r>
          <w:r>
            <w:rPr>
              <w:highlight w:val="none"/>
            </w:rPr>
            <w:t>.</w:t>
          </w:r>
          <w:r>
            <w:rPr>
              <w:rFonts w:hint="eastAsia"/>
              <w:highlight w:val="none"/>
            </w:rPr>
            <w:t>2建议</w:t>
          </w:r>
          <w:r>
            <w:tab/>
          </w:r>
          <w:r>
            <w:fldChar w:fldCharType="begin"/>
          </w:r>
          <w:r>
            <w:instrText xml:space="preserve"> PAGEREF _Toc9187 \h </w:instrText>
          </w:r>
          <w:r>
            <w:fldChar w:fldCharType="separate"/>
          </w:r>
          <w:r>
            <w:t>179</w:t>
          </w:r>
          <w:r>
            <w:fldChar w:fldCharType="end"/>
          </w:r>
          <w:r>
            <w:rPr>
              <w:rFonts w:hint="default"/>
              <w:color w:val="000000" w:themeColor="text1"/>
              <w:highlight w:val="none"/>
              <w:lang w:val="en-US" w:eastAsia="zh-CN"/>
              <w14:textFill>
                <w14:solidFill>
                  <w14:schemeClr w14:val="tx1"/>
                </w14:solidFill>
              </w14:textFill>
            </w:rPr>
            <w:fldChar w:fldCharType="end"/>
          </w:r>
        </w:p>
        <w:p w14:paraId="63B59E63">
          <w:pPr>
            <w:ind w:left="0" w:leftChars="0" w:firstLine="0" w:firstLineChars="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color w:val="000000" w:themeColor="text1"/>
              <w:highlight w:val="none"/>
              <w:lang w:val="en-US" w:eastAsia="zh-CN"/>
              <w14:textFill>
                <w14:solidFill>
                  <w14:schemeClr w14:val="tx1"/>
                </w14:solidFill>
              </w14:textFill>
            </w:rPr>
            <w:fldChar w:fldCharType="end"/>
          </w:r>
        </w:p>
      </w:sdtContent>
    </w:sdt>
    <w:p w14:paraId="3B00236F">
      <w:pPr>
        <w:ind w:left="0" w:leftChars="0" w:firstLine="0" w:firstLineChars="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D6CC1C2">
      <w:pPr>
        <w:pStyle w:val="2"/>
        <w:bidi w:val="0"/>
        <w:rPr>
          <w:rFonts w:hint="default"/>
          <w:color w:val="000000" w:themeColor="text1"/>
          <w:highlight w:val="none"/>
          <w:lang w:val="en-US" w:eastAsia="zh-CN"/>
          <w14:textFill>
            <w14:solidFill>
              <w14:schemeClr w14:val="tx1"/>
            </w14:solidFill>
          </w14:textFill>
        </w:rPr>
      </w:pPr>
      <w:bookmarkStart w:id="10" w:name="_Toc7"/>
      <w:bookmarkStart w:id="11" w:name="_Toc21663"/>
      <w:bookmarkStart w:id="12" w:name="_Toc3013"/>
      <w:r>
        <w:rPr>
          <w:rFonts w:hint="eastAsia"/>
          <w:color w:val="000000" w:themeColor="text1"/>
          <w:highlight w:val="none"/>
          <w:lang w:val="en-US" w:eastAsia="zh-CN"/>
          <w14:textFill>
            <w14:solidFill>
              <w14:schemeClr w14:val="tx1"/>
            </w14:solidFill>
          </w14:textFill>
        </w:rPr>
        <w:t>1 概述</w:t>
      </w:r>
      <w:bookmarkEnd w:id="10"/>
      <w:bookmarkEnd w:id="11"/>
      <w:bookmarkEnd w:id="12"/>
    </w:p>
    <w:p w14:paraId="4EC62C77">
      <w:pPr>
        <w:pStyle w:val="3"/>
        <w:bidi w:val="0"/>
        <w:rPr>
          <w:rFonts w:hint="eastAsia"/>
          <w:color w:val="000000" w:themeColor="text1"/>
          <w:highlight w:val="none"/>
          <w14:textFill>
            <w14:solidFill>
              <w14:schemeClr w14:val="tx1"/>
            </w14:solidFill>
          </w14:textFill>
        </w:rPr>
      </w:pPr>
      <w:bookmarkStart w:id="13" w:name="_Toc30443"/>
      <w:bookmarkStart w:id="14" w:name="_Toc4964"/>
      <w:bookmarkStart w:id="15" w:name="_Toc14367"/>
      <w:bookmarkStart w:id="16" w:name="_Toc23527"/>
      <w:bookmarkStart w:id="17" w:name="_Toc32378"/>
      <w:bookmarkStart w:id="18" w:name="_Toc28407"/>
      <w:bookmarkStart w:id="19" w:name="_Toc22494"/>
      <w:bookmarkStart w:id="20" w:name="_Toc13480"/>
      <w:bookmarkStart w:id="21" w:name="_Toc26855"/>
      <w:bookmarkStart w:id="22" w:name="_Toc27049"/>
      <w:bookmarkStart w:id="23" w:name="_Toc9791"/>
      <w:bookmarkStart w:id="24" w:name="_Toc22082"/>
      <w:bookmarkStart w:id="25" w:name="_Toc21531"/>
      <w:bookmarkStart w:id="26" w:name="_Toc32543"/>
      <w:bookmarkStart w:id="27" w:name="_Toc19508"/>
      <w:bookmarkStart w:id="28" w:name="_Toc26129"/>
      <w:bookmarkStart w:id="29" w:name="_Toc12824"/>
      <w:bookmarkStart w:id="30" w:name="_Toc32694"/>
      <w:bookmarkStart w:id="31" w:name="_Toc7668"/>
      <w:bookmarkStart w:id="32" w:name="_Toc15910"/>
      <w:bookmarkStart w:id="33" w:name="_Toc28567"/>
      <w:bookmarkStart w:id="34" w:name="_Toc26245"/>
      <w:bookmarkStart w:id="35" w:name="_Toc15547"/>
      <w:bookmarkStart w:id="36" w:name="_Toc25049"/>
      <w:bookmarkStart w:id="37" w:name="_Toc2238"/>
      <w:bookmarkStart w:id="38" w:name="_Toc7118"/>
      <w:bookmarkStart w:id="39" w:name="_Toc23539"/>
      <w:bookmarkStart w:id="40" w:name="_Toc30530"/>
      <w:r>
        <w:rPr>
          <w:rFonts w:hint="eastAsia"/>
          <w:color w:val="000000" w:themeColor="text1"/>
          <w:highlight w:val="none"/>
          <w14:textFill>
            <w14:solidFill>
              <w14:schemeClr w14:val="tx1"/>
            </w14:solidFill>
          </w14:textFill>
        </w:rPr>
        <w:t>1.1项目背景</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01DAC8E1">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新疆恒泰晋昇新型建材有限公司注册成立于 2019 年 6 月 4 日，经营范围含建筑防水剂、水泥、灰泥及混凝土用添加剂、建工建材用交联剂、快速堵漏剂、其他建工建材用化学助剂生产及销售。企业具备相应技术基础、生产配套条件及产品质量管控体系，可开展混凝土外加剂系列产品的研发与生产经营活动。</w:t>
      </w:r>
    </w:p>
    <w:p w14:paraId="5E342CE4">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混凝土是基础设施工程建设中最重要的建筑材料。随着建筑工程施工技术持续发展，工程对混凝土力学性能、施工性能等指标提出更高要求。减水剂作为用量最大的混凝土外加剂品种，掺入混凝土拌合物后可对水泥颗粒起到分散作用：在维持混凝土坍落度基本不变条件下，减少拌合用水量，改善混凝土拌合物流动性；或在保证混凝土抗压强度不变前提下，降低水泥单位用量，实现水泥原料节约。按减水效果可分为普通减水剂和高性能减水剂，聚羧酸减水剂属于高性能减水剂，该类产品掺量低，可使混凝土具备高流动性，在低水灰比条件下具有低粘度、坍落度保持性能优良等特点，与不同品种水泥相容性较好，是高强、高流动性混凝土制备所需核心外加剂。</w:t>
      </w:r>
    </w:p>
    <w:p w14:paraId="411C2795">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速凝剂可促使混凝土快速凝结硬化的化学外加剂，是喷射混凝土的核心组分。液体速凝剂可克服传统粉状速凝剂干喷施工工艺粉尘大、回弹量大等缺陷，有利于提升喷射混凝土施工质量，改善施工作业环境。近年来，随着隧道喷锚支护、铁路、矿山、工程抢修加固、堵漏等工程持续建设，市场对速凝剂产品需求稳步增加。</w:t>
      </w:r>
    </w:p>
    <w:p w14:paraId="3C39E33C">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新疆恒泰晋昇新型建材有限公司</w:t>
      </w:r>
      <w:r>
        <w:rPr>
          <w:rFonts w:hint="eastAsia"/>
          <w:color w:val="000000" w:themeColor="text1"/>
          <w:highlight w:val="none"/>
          <w:lang w:val="en-US" w:eastAsia="zh-CN"/>
          <w14:textFill>
            <w14:solidFill>
              <w14:schemeClr w14:val="tx1"/>
            </w14:solidFill>
          </w14:textFill>
        </w:rPr>
        <w:t>现有3条减水剂生产线，现有厂房已不能满足企业扩大生产的需求，</w:t>
      </w:r>
      <w:r>
        <w:rPr>
          <w:color w:val="000000" w:themeColor="text1"/>
          <w:highlight w:val="none"/>
          <w14:textFill>
            <w14:solidFill>
              <w14:schemeClr w14:val="tx1"/>
            </w14:solidFill>
          </w14:textFill>
        </w:rPr>
        <w:t>为适应区域建材市场需求，新疆恒泰晋昇新型建材有限公司依托昌吉高新技术产业开发区区位、资源配套条件，租赁新疆恒泰新型建材有限公司现有</w:t>
      </w:r>
      <w:r>
        <w:rPr>
          <w:rFonts w:hint="eastAsia"/>
          <w:color w:val="000000" w:themeColor="text1"/>
          <w:highlight w:val="none"/>
          <w:lang w:val="en-US" w:eastAsia="zh-CN"/>
          <w14:textFill>
            <w14:solidFill>
              <w14:schemeClr w14:val="tx1"/>
            </w14:solidFill>
          </w14:textFill>
        </w:rPr>
        <w:t>空置</w:t>
      </w:r>
      <w:r>
        <w:rPr>
          <w:color w:val="000000" w:themeColor="text1"/>
          <w:highlight w:val="none"/>
          <w14:textFill>
            <w14:solidFill>
              <w14:schemeClr w14:val="tx1"/>
            </w14:solidFill>
          </w14:textFill>
        </w:rPr>
        <w:t>厂房，投资</w:t>
      </w:r>
      <w:r>
        <w:rPr>
          <w:rFonts w:hint="eastAsia"/>
          <w:color w:val="000000" w:themeColor="text1"/>
          <w:highlight w:val="none"/>
          <w:lang w:val="en-US" w:eastAsia="zh-CN"/>
          <w14:textFill>
            <w14:solidFill>
              <w14:schemeClr w14:val="tx1"/>
            </w14:solidFill>
          </w14:textFill>
        </w:rPr>
        <w:t>300万元，</w:t>
      </w:r>
      <w:r>
        <w:rPr>
          <w:color w:val="000000" w:themeColor="text1"/>
          <w:highlight w:val="none"/>
          <w14:textFill>
            <w14:solidFill>
              <w14:schemeClr w14:val="tx1"/>
            </w14:solidFill>
          </w14:textFill>
        </w:rPr>
        <w:t>建设</w:t>
      </w:r>
      <w:r>
        <w:rPr>
          <w:rFonts w:hint="eastAsia"/>
          <w:color w:val="000000" w:themeColor="text1"/>
          <w:highlight w:val="none"/>
          <w:lang w:val="en-US" w:eastAsia="zh-CN"/>
          <w14:textFill>
            <w14:solidFill>
              <w14:schemeClr w14:val="tx1"/>
            </w14:solidFill>
          </w14:textFill>
        </w:rPr>
        <w:t>减水剂生产线、</w:t>
      </w:r>
      <w:r>
        <w:rPr>
          <w:color w:val="000000" w:themeColor="text1"/>
          <w:highlight w:val="none"/>
          <w14:textFill>
            <w14:solidFill>
              <w14:schemeClr w14:val="tx1"/>
            </w14:solidFill>
          </w14:textFill>
        </w:rPr>
        <w:t>硫酸铝外加剂</w:t>
      </w:r>
      <w:r>
        <w:rPr>
          <w:rFonts w:hint="eastAsia"/>
          <w:color w:val="000000" w:themeColor="text1"/>
          <w:highlight w:val="none"/>
          <w:lang w:val="en-US" w:eastAsia="zh-CN"/>
          <w14:textFill>
            <w14:solidFill>
              <w14:schemeClr w14:val="tx1"/>
            </w14:solidFill>
          </w14:textFill>
        </w:rPr>
        <w:t>生产线和</w:t>
      </w:r>
      <w:r>
        <w:rPr>
          <w:color w:val="000000" w:themeColor="text1"/>
          <w:highlight w:val="none"/>
          <w14:textFill>
            <w14:solidFill>
              <w14:schemeClr w14:val="tx1"/>
            </w14:solidFill>
          </w14:textFill>
        </w:rPr>
        <w:t>速凝剂</w:t>
      </w:r>
      <w:r>
        <w:rPr>
          <w:rFonts w:hint="eastAsia"/>
          <w:color w:val="000000" w:themeColor="text1"/>
          <w:highlight w:val="none"/>
          <w:lang w:val="en-US" w:eastAsia="zh-CN"/>
          <w14:textFill>
            <w14:solidFill>
              <w14:schemeClr w14:val="tx1"/>
            </w14:solidFill>
          </w14:textFill>
        </w:rPr>
        <w:t>生产线</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项目建成后生产</w:t>
      </w:r>
      <w:r>
        <w:rPr>
          <w:rFonts w:hint="eastAsia"/>
          <w:color w:val="000000" w:themeColor="text1"/>
          <w:highlight w:val="none"/>
          <w:lang w:val="en-US" w:eastAsia="zh-CN"/>
          <w14:textFill>
            <w14:solidFill>
              <w14:schemeClr w14:val="tx1"/>
            </w14:solidFill>
          </w14:textFill>
        </w:rPr>
        <w:t>减水剂、</w:t>
      </w:r>
      <w:r>
        <w:rPr>
          <w:color w:val="000000" w:themeColor="text1"/>
          <w:highlight w:val="none"/>
          <w14:textFill>
            <w14:solidFill>
              <w14:schemeClr w14:val="tx1"/>
            </w14:solidFill>
          </w14:textFill>
        </w:rPr>
        <w:t>速凝剂、硫酸铝外加剂产品，可满足区域工程建设对混凝土外加剂的需求，助力下游混凝土工程提质降耗；依托园区产业政策推动技术成果产业化，促进企业产品结构优化，实现企业由传统建材助剂生产向中高端混凝土外加剂生产转型升级。</w:t>
      </w:r>
    </w:p>
    <w:p w14:paraId="421E8AD2">
      <w:pPr>
        <w:pStyle w:val="3"/>
        <w:bidi w:val="0"/>
        <w:rPr>
          <w:rFonts w:hint="default"/>
          <w:color w:val="000000" w:themeColor="text1"/>
          <w:highlight w:val="none"/>
          <w:lang w:val="en-US" w:eastAsia="zh-CN"/>
          <w14:textFill>
            <w14:solidFill>
              <w14:schemeClr w14:val="tx1"/>
            </w14:solidFill>
          </w14:textFill>
        </w:rPr>
      </w:pPr>
      <w:bookmarkStart w:id="41" w:name="_Toc13018"/>
      <w:bookmarkStart w:id="42" w:name="_Toc28029"/>
      <w:r>
        <w:rPr>
          <w:rFonts w:hint="eastAsia"/>
          <w:color w:val="000000" w:themeColor="text1"/>
          <w:highlight w:val="none"/>
          <w:lang w:val="en-US" w:eastAsia="zh-CN"/>
          <w14:textFill>
            <w14:solidFill>
              <w14:schemeClr w14:val="tx1"/>
            </w14:solidFill>
          </w14:textFill>
        </w:rPr>
        <w:t>1.2项目特点</w:t>
      </w:r>
      <w:bookmarkEnd w:id="41"/>
      <w:bookmarkEnd w:id="42"/>
    </w:p>
    <w:p w14:paraId="60629660">
      <w:pPr>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新疆恒泰晋昇新型建材有限公司</w:t>
      </w:r>
      <w:r>
        <w:rPr>
          <w:rFonts w:hint="eastAsia"/>
          <w:color w:val="000000" w:themeColor="text1"/>
          <w:highlight w:val="none"/>
          <w:lang w:val="en-US" w:eastAsia="zh-CN"/>
          <w14:textFill>
            <w14:solidFill>
              <w14:schemeClr w14:val="tx1"/>
            </w14:solidFill>
          </w14:textFill>
        </w:rPr>
        <w:t>现有3条减水剂生产线，现有厂房已不能满足企业扩大生产的需求，</w:t>
      </w:r>
      <w:r>
        <w:rPr>
          <w:rFonts w:hint="default"/>
          <w:color w:val="000000" w:themeColor="text1"/>
          <w:highlight w:val="none"/>
          <w:lang w:val="en-US" w:eastAsia="zh-CN"/>
          <w14:textFill>
            <w14:solidFill>
              <w14:schemeClr w14:val="tx1"/>
            </w14:solidFill>
          </w14:textFill>
        </w:rPr>
        <w:t>项目</w:t>
      </w:r>
      <w:r>
        <w:rPr>
          <w:rFonts w:hint="eastAsia"/>
          <w:color w:val="000000" w:themeColor="text1"/>
          <w:highlight w:val="none"/>
          <w:lang w:val="en-US" w:eastAsia="zh-CN"/>
          <w14:textFill>
            <w14:solidFill>
              <w14:schemeClr w14:val="tx1"/>
            </w14:solidFill>
          </w14:textFill>
        </w:rPr>
        <w:t>租赁</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1栋</w:t>
      </w:r>
      <w:r>
        <w:rPr>
          <w:rFonts w:hint="eastAsia"/>
          <w:color w:val="000000" w:themeColor="text1"/>
          <w:highlight w:val="none"/>
          <w14:textFill>
            <w14:solidFill>
              <w14:schemeClr w14:val="tx1"/>
            </w14:solidFill>
          </w14:textFill>
        </w:rPr>
        <w:t>现有</w:t>
      </w:r>
      <w:r>
        <w:rPr>
          <w:rFonts w:hint="eastAsia"/>
          <w:color w:val="000000" w:themeColor="text1"/>
          <w:highlight w:val="none"/>
          <w:lang w:val="en-US" w:eastAsia="zh-CN"/>
          <w14:textFill>
            <w14:solidFill>
              <w14:schemeClr w14:val="tx1"/>
            </w14:solidFill>
          </w14:textFill>
        </w:rPr>
        <w:t>闲置</w:t>
      </w:r>
      <w:r>
        <w:rPr>
          <w:rFonts w:hint="eastAsia"/>
          <w:color w:val="000000" w:themeColor="text1"/>
          <w:highlight w:val="none"/>
          <w14:textFill>
            <w14:solidFill>
              <w14:schemeClr w14:val="tx1"/>
            </w14:solidFill>
          </w14:textFill>
        </w:rPr>
        <w:t>厂房</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新</w:t>
      </w:r>
      <w:r>
        <w:rPr>
          <w:rFonts w:hint="eastAsia"/>
          <w:color w:val="000000" w:themeColor="text1"/>
          <w:highlight w:val="none"/>
          <w:lang w:val="en-US" w:eastAsia="zh-CN"/>
          <w14:textFill>
            <w14:solidFill>
              <w14:schemeClr w14:val="tx1"/>
            </w14:solidFill>
          </w14:textFill>
        </w:rPr>
        <w:t>建1条速凝剂生产线，新建1条硫酸铝生产线，新建1条减水剂生产线，搬迁原有的3条减水剂生产线至新厂房（新厂房总计4条减水剂生产线，其中1条本次新建，3条迁建），属于异地扩建项目，项目建成后可形成年产2万吨减水剂、2万吨硫酸铝、2万吨速凝剂。</w:t>
      </w:r>
    </w:p>
    <w:p w14:paraId="01B60D9E">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拟建项目为专用化学品生产项目，技术较为成熟可行、自动化程度较高。拟建项目所用的生产设备与环保设施均属于国内先进水平，能够保证产品顺利生产的同时满足各污染物排放要求。</w:t>
      </w:r>
    </w:p>
    <w:p w14:paraId="12F9F72A">
      <w:pPr>
        <w:pStyle w:val="3"/>
        <w:bidi w:val="0"/>
        <w:rPr>
          <w:rFonts w:hint="default"/>
          <w:color w:val="000000" w:themeColor="text1"/>
          <w:highlight w:val="none"/>
          <w:lang w:val="en-US" w:eastAsia="zh-CN"/>
          <w14:textFill>
            <w14:solidFill>
              <w14:schemeClr w14:val="tx1"/>
            </w14:solidFill>
          </w14:textFill>
        </w:rPr>
      </w:pPr>
      <w:bookmarkStart w:id="43" w:name="_Toc23678"/>
      <w:bookmarkStart w:id="44" w:name="_Toc20778"/>
      <w:bookmarkStart w:id="45" w:name="_Toc16897"/>
      <w:r>
        <w:rPr>
          <w:rFonts w:hint="eastAsia"/>
          <w:color w:val="000000" w:themeColor="text1"/>
          <w:highlight w:val="none"/>
          <w:lang w:val="en-US" w:eastAsia="zh-CN"/>
          <w14:textFill>
            <w14:solidFill>
              <w14:schemeClr w14:val="tx1"/>
            </w14:solidFill>
          </w14:textFill>
        </w:rPr>
        <w:t>1.3</w:t>
      </w:r>
      <w:r>
        <w:rPr>
          <w:color w:val="000000" w:themeColor="text1"/>
          <w:highlight w:val="none"/>
          <w14:textFill>
            <w14:solidFill>
              <w14:schemeClr w14:val="tx1"/>
            </w14:solidFill>
          </w14:textFill>
        </w:rPr>
        <w:t>环境影响评价工作过程</w:t>
      </w:r>
      <w:bookmarkEnd w:id="43"/>
      <w:bookmarkEnd w:id="44"/>
      <w:bookmarkEnd w:id="45"/>
    </w:p>
    <w:p w14:paraId="18DB38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国民经济行业分类》</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GB</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T4754</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017</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拟建项目行业类别属于化学原料和化学制品制造业</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C26</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，对照《建设项目环境影响评价分类管理名录》</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2021年版</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，拟建项目属于“二十三、化学原料和化学制品制造业26中的专用化学产品制造266”，需编制环境影响报告书。为此，新疆恒泰晋昇新型建材有限公司</w:t>
      </w:r>
      <w:r>
        <w:rPr>
          <w:color w:val="000000" w:themeColor="text1"/>
          <w:highlight w:val="none"/>
          <w:lang w:val="zh-CN"/>
          <w14:textFill>
            <w14:solidFill>
              <w14:schemeClr w14:val="tx1"/>
            </w14:solidFill>
          </w14:textFill>
        </w:rPr>
        <w:t>于20</w:t>
      </w:r>
      <w:r>
        <w:rPr>
          <w:rFonts w:hint="eastAsia"/>
          <w:color w:val="000000" w:themeColor="text1"/>
          <w:highlight w:val="none"/>
          <w:lang w:val="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6</w:t>
      </w:r>
      <w:r>
        <w:rPr>
          <w:color w:val="000000" w:themeColor="text1"/>
          <w:highlight w:val="none"/>
          <w:lang w:val="zh-CN"/>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4</w:t>
      </w:r>
      <w:r>
        <w:rPr>
          <w:color w:val="000000" w:themeColor="text1"/>
          <w:highlight w:val="none"/>
          <w:lang w:val="zh-CN"/>
          <w14:textFill>
            <w14:solidFill>
              <w14:schemeClr w14:val="tx1"/>
            </w14:solidFill>
          </w14:textFill>
        </w:rPr>
        <w:t>月委托我公司承担</w:t>
      </w:r>
      <w:r>
        <w:rPr>
          <w:rFonts w:hint="eastAsia"/>
          <w:color w:val="000000" w:themeColor="text1"/>
          <w:highlight w:val="none"/>
          <w:lang w:val="zh-CN"/>
          <w14:textFill>
            <w14:solidFill>
              <w14:schemeClr w14:val="tx1"/>
            </w14:solidFill>
          </w14:textFill>
        </w:rPr>
        <w:t>该</w:t>
      </w:r>
      <w:r>
        <w:rPr>
          <w:color w:val="000000" w:themeColor="text1"/>
          <w:highlight w:val="none"/>
          <w:lang w:val="zh-CN"/>
          <w14:textFill>
            <w14:solidFill>
              <w14:schemeClr w14:val="tx1"/>
            </w14:solidFill>
          </w14:textFill>
        </w:rPr>
        <w:t>项目的环境影响评价工作。接受委托后，</w:t>
      </w:r>
      <w:r>
        <w:rPr>
          <w:rFonts w:hint="eastAsia"/>
          <w:color w:val="000000" w:themeColor="text1"/>
          <w:highlight w:val="none"/>
          <w14:textFill>
            <w14:solidFill>
              <w14:schemeClr w14:val="tx1"/>
            </w14:solidFill>
          </w14:textFill>
        </w:rPr>
        <w:t>立刻组织人员对评价区域进行了现场踏勘，在建设单位提供的相关资料基础上，结合该项目建设内容和工艺特点、项目所在地的环境特点和功能区划，对建设项目进行了分析。在此基础上，按照有关法律法规、环境保护标准、环境影响评价技术规范编制了《恒泰晋昇生产速凝剂及硫酸铝外加剂建设项目环境影响报告书》</w:t>
      </w:r>
      <w:r>
        <w:rPr>
          <w:color w:val="000000" w:themeColor="text1"/>
          <w:highlight w:val="none"/>
          <w:lang w:val="zh-CN"/>
          <w14:textFill>
            <w14:solidFill>
              <w14:schemeClr w14:val="tx1"/>
            </w14:solidFill>
          </w14:textFill>
        </w:rPr>
        <w:t>。</w:t>
      </w:r>
    </w:p>
    <w:p w14:paraId="77F205D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环境影响评价工作分为三个阶段，即调查分析和工作方案制定阶段，分析论证和预测评价阶段，环境影响报告书编制阶段。</w:t>
      </w:r>
    </w:p>
    <w:p w14:paraId="14B8DCC5">
      <w:pPr>
        <w:ind w:firstLine="480"/>
        <w:outlineLvl w:val="2"/>
        <w:rPr>
          <w:color w:val="000000" w:themeColor="text1"/>
          <w:highlight w:val="none"/>
          <w14:textFill>
            <w14:solidFill>
              <w14:schemeClr w14:val="tx1"/>
            </w14:solidFill>
          </w14:textFill>
        </w:rPr>
      </w:pPr>
      <w:bookmarkStart w:id="46" w:name="_Toc6302"/>
      <w:bookmarkStart w:id="47" w:name="_Toc10438"/>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调查分析和工作方案制定阶段</w:t>
      </w:r>
      <w:bookmarkEnd w:id="46"/>
      <w:bookmarkEnd w:id="47"/>
    </w:p>
    <w:p w14:paraId="27FFE15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我单位接受环评委托后，即组织技术人员进行了现场踏勘和资料收集，结合当地环境特征，按国家、新疆维吾尔自治区环境保护政策以及环评技术导则、规范的要求，开展该工程的环境影响评价工作。对本工程进行初步的工程分析，开展初步环境现状调查，识别本工程的环境影响因素，筛选主要的环境影响评价因子，明确评价重点和环境保护目标，确定环境影响评价的范围、评价工作等级和评价标准，最后制</w:t>
      </w:r>
      <w:r>
        <w:rPr>
          <w:rFonts w:hint="eastAsia"/>
          <w:color w:val="000000" w:themeColor="text1"/>
          <w:highlight w:val="none"/>
          <w14:textFill>
            <w14:solidFill>
              <w14:schemeClr w14:val="tx1"/>
            </w14:solidFill>
          </w14:textFill>
        </w:rPr>
        <w:t>定</w:t>
      </w:r>
      <w:r>
        <w:rPr>
          <w:color w:val="000000" w:themeColor="text1"/>
          <w:highlight w:val="none"/>
          <w14:textFill>
            <w14:solidFill>
              <w14:schemeClr w14:val="tx1"/>
            </w14:solidFill>
          </w14:textFill>
        </w:rPr>
        <w:t>工作方案。</w:t>
      </w:r>
    </w:p>
    <w:p w14:paraId="3AA44199">
      <w:pPr>
        <w:ind w:firstLine="480"/>
        <w:outlineLvl w:val="2"/>
        <w:rPr>
          <w:color w:val="000000" w:themeColor="text1"/>
          <w:highlight w:val="none"/>
          <w14:textFill>
            <w14:solidFill>
              <w14:schemeClr w14:val="tx1"/>
            </w14:solidFill>
          </w14:textFill>
        </w:rPr>
      </w:pPr>
      <w:bookmarkStart w:id="48" w:name="_Toc21655"/>
      <w:bookmarkStart w:id="49" w:name="_Toc14461"/>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分析论证和预测评价阶段</w:t>
      </w:r>
      <w:bookmarkEnd w:id="48"/>
      <w:bookmarkEnd w:id="49"/>
    </w:p>
    <w:p w14:paraId="11F2B18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在第一阶段工作的基础上，做进一步的工程分析，进行充分的环境现状调查、监测并开展环境质量现状评价，然后根据污染源强和环境现状资料进行环境影响预测及评价。</w:t>
      </w:r>
    </w:p>
    <w:p w14:paraId="27C03C37">
      <w:pPr>
        <w:ind w:firstLine="480"/>
        <w:outlineLvl w:val="2"/>
        <w:rPr>
          <w:color w:val="000000" w:themeColor="text1"/>
          <w:highlight w:val="none"/>
          <w14:textFill>
            <w14:solidFill>
              <w14:schemeClr w14:val="tx1"/>
            </w14:solidFill>
          </w14:textFill>
        </w:rPr>
      </w:pPr>
      <w:bookmarkStart w:id="50" w:name="_Toc17350"/>
      <w:bookmarkStart w:id="51" w:name="_Toc1425"/>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环境影响报告书编制阶段</w:t>
      </w:r>
      <w:bookmarkEnd w:id="50"/>
      <w:bookmarkEnd w:id="51"/>
    </w:p>
    <w:p w14:paraId="5366CCF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汇总分析论证和预测评价阶段工作所得的各种资料、数据，根据工程的环境影响、法律法规和标准</w:t>
      </w:r>
      <w:r>
        <w:rPr>
          <w:rFonts w:hint="eastAsia"/>
          <w:color w:val="000000" w:themeColor="text1"/>
          <w:highlight w:val="none"/>
          <w:lang w:eastAsia="zh-CN"/>
          <w14:textFill>
            <w14:solidFill>
              <w14:schemeClr w14:val="tx1"/>
            </w14:solidFill>
          </w14:textFill>
        </w:rPr>
        <w:t>等</w:t>
      </w:r>
      <w:r>
        <w:rPr>
          <w:color w:val="000000" w:themeColor="text1"/>
          <w:highlight w:val="none"/>
          <w14:textFill>
            <w14:solidFill>
              <w14:schemeClr w14:val="tx1"/>
            </w14:solidFill>
          </w14:textFill>
        </w:rPr>
        <w:t>要求，提出减少环境污染和生态影响的环境管理措施和工程措施，给出污染物排放清单。从环境保护的角度确定工程实施的可行性，给出评价结论和提出进一步减缓环境影响的建议，并最终完成环境影响报告书编制。评价工作程序见</w:t>
      </w:r>
      <w:r>
        <w:rPr>
          <w:rFonts w:hint="eastAsia"/>
          <w:color w:val="000000" w:themeColor="text1"/>
          <w:highlight w:val="none"/>
          <w14:textFill>
            <w14:solidFill>
              <w14:schemeClr w14:val="tx1"/>
            </w14:solidFill>
          </w14:textFill>
        </w:rPr>
        <w:t>图</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w:t>
      </w:r>
    </w:p>
    <w:p w14:paraId="784595D7">
      <w:pPr>
        <w:ind w:firstLine="0" w:firstLineChars="0"/>
        <w:jc w:val="center"/>
        <w:rPr>
          <w:color w:val="000000" w:themeColor="text1"/>
          <w:highlight w:val="none"/>
          <w14:textFill>
            <w14:solidFill>
              <w14:schemeClr w14:val="tx1"/>
            </w14:solidFill>
          </w14:textFill>
        </w:rPr>
      </w:pPr>
      <w:bookmarkStart w:id="52" w:name="_Toc16328"/>
      <w:bookmarkStart w:id="53" w:name="_Toc18224"/>
      <w:bookmarkStart w:id="54" w:name="_Toc27337"/>
      <w:bookmarkStart w:id="55" w:name="_Toc28700"/>
      <w:bookmarkStart w:id="56" w:name="_Toc23380"/>
      <w:bookmarkStart w:id="57" w:name="_Toc17938"/>
      <w:r>
        <w:rPr>
          <w:color w:val="000000" w:themeColor="text1"/>
          <w:highlight w:val="none"/>
          <w14:textFill>
            <w14:solidFill>
              <w14:schemeClr w14:val="tx1"/>
            </w14:solidFill>
          </w14:textFill>
        </w:rPr>
        <w:drawing>
          <wp:inline distT="0" distB="0" distL="114300" distR="114300">
            <wp:extent cx="4270375" cy="4817745"/>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rcRect r="12230"/>
                    <a:stretch>
                      <a:fillRect/>
                    </a:stretch>
                  </pic:blipFill>
                  <pic:spPr>
                    <a:xfrm>
                      <a:off x="0" y="0"/>
                      <a:ext cx="4270375" cy="4817745"/>
                    </a:xfrm>
                    <a:prstGeom prst="rect">
                      <a:avLst/>
                    </a:prstGeom>
                    <a:noFill/>
                    <a:ln>
                      <a:noFill/>
                    </a:ln>
                  </pic:spPr>
                </pic:pic>
              </a:graphicData>
            </a:graphic>
          </wp:inline>
        </w:drawing>
      </w:r>
      <w:bookmarkEnd w:id="52"/>
      <w:bookmarkEnd w:id="53"/>
      <w:bookmarkEnd w:id="54"/>
      <w:bookmarkEnd w:id="55"/>
      <w:bookmarkEnd w:id="56"/>
      <w:bookmarkEnd w:id="57"/>
    </w:p>
    <w:p w14:paraId="3D85429B">
      <w:pPr>
        <w:pStyle w:val="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图1.3-1   环境影响评价工作过程</w:t>
      </w:r>
    </w:p>
    <w:p w14:paraId="7B5B7845">
      <w:pPr>
        <w:pStyle w:val="30"/>
        <w:rPr>
          <w:color w:val="000000" w:themeColor="text1"/>
          <w:highlight w:val="none"/>
          <w14:textFill>
            <w14:solidFill>
              <w14:schemeClr w14:val="tx1"/>
            </w14:solidFill>
          </w14:textFill>
        </w:rPr>
      </w:pPr>
    </w:p>
    <w:p w14:paraId="7329C43A">
      <w:pPr>
        <w:pStyle w:val="3"/>
        <w:bidi w:val="0"/>
        <w:rPr>
          <w:color w:val="000000" w:themeColor="text1"/>
          <w:highlight w:val="none"/>
          <w14:textFill>
            <w14:solidFill>
              <w14:schemeClr w14:val="tx1"/>
            </w14:solidFill>
          </w14:textFill>
        </w:rPr>
      </w:pPr>
      <w:bookmarkStart w:id="58" w:name="_Toc26567"/>
      <w:bookmarkStart w:id="59" w:name="_Toc8615"/>
      <w:bookmarkStart w:id="60" w:name="_Toc26622"/>
      <w:bookmarkStart w:id="61" w:name="_Toc3416"/>
      <w:bookmarkStart w:id="62" w:name="_Toc22492"/>
      <w:bookmarkStart w:id="63" w:name="_Toc32586"/>
      <w:bookmarkStart w:id="64" w:name="_Toc12794"/>
      <w:bookmarkStart w:id="65" w:name="_Toc21881"/>
      <w:bookmarkStart w:id="66" w:name="_Toc6476"/>
      <w:bookmarkStart w:id="67" w:name="_Toc29720"/>
      <w:bookmarkStart w:id="68" w:name="_Toc4368"/>
      <w:bookmarkStart w:id="69" w:name="_Toc13273"/>
      <w:bookmarkStart w:id="70" w:name="_Toc10490"/>
      <w:bookmarkStart w:id="71" w:name="_Toc23852"/>
      <w:bookmarkStart w:id="72" w:name="_Toc31751"/>
      <w:bookmarkStart w:id="73" w:name="_Toc7812"/>
      <w:bookmarkStart w:id="74" w:name="_Toc16657"/>
      <w:bookmarkStart w:id="75" w:name="_Toc13858"/>
      <w:bookmarkStart w:id="76" w:name="_Toc6402"/>
      <w:bookmarkStart w:id="77" w:name="_Toc5306"/>
      <w:bookmarkStart w:id="78" w:name="_Toc16970"/>
      <w:bookmarkStart w:id="79" w:name="_Toc5273"/>
      <w:bookmarkStart w:id="80" w:name="_Toc3842"/>
      <w:bookmarkStart w:id="81" w:name="_Toc16469"/>
      <w:bookmarkStart w:id="82" w:name="_Toc9239"/>
      <w:bookmarkStart w:id="83" w:name="_Toc30226"/>
      <w:bookmarkStart w:id="84" w:name="_Toc2482"/>
      <w:r>
        <w:rPr>
          <w:color w:val="000000" w:themeColor="text1"/>
          <w:highlight w:val="none"/>
          <w:lang w:val="en-US"/>
          <w14:textFill>
            <w14:solidFill>
              <w14:schemeClr w14:val="tx1"/>
            </w14:solidFill>
          </w14:textFill>
        </w:rPr>
        <w:t>1.</w:t>
      </w:r>
      <w:r>
        <w:rPr>
          <w:rFonts w:hint="eastAsia"/>
          <w:color w:val="000000" w:themeColor="text1"/>
          <w:highlight w:val="none"/>
          <w:lang w:val="en-US"/>
          <w14:textFill>
            <w14:solidFill>
              <w14:schemeClr w14:val="tx1"/>
            </w14:solidFill>
          </w14:textFill>
        </w:rPr>
        <w:t>4</w:t>
      </w:r>
      <w:r>
        <w:rPr>
          <w:color w:val="000000" w:themeColor="text1"/>
          <w:highlight w:val="none"/>
          <w:lang w:val="en-US"/>
          <w14:textFill>
            <w14:solidFill>
              <w14:schemeClr w14:val="tx1"/>
            </w14:solidFill>
          </w14:textFill>
        </w:rPr>
        <w:t>关注的主要环境问题</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Fonts w:hint="eastAsia"/>
          <w:color w:val="000000" w:themeColor="text1"/>
          <w:highlight w:val="none"/>
          <w:lang w:val="en-US" w:eastAsia="zh-CN"/>
          <w14:textFill>
            <w14:solidFill>
              <w14:schemeClr w14:val="tx1"/>
            </w14:solidFill>
          </w14:textFill>
        </w:rPr>
        <w:t>及环境影响</w:t>
      </w:r>
      <w:bookmarkEnd w:id="82"/>
      <w:bookmarkEnd w:id="83"/>
      <w:bookmarkEnd w:id="84"/>
    </w:p>
    <w:p w14:paraId="50D8A1FB">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1.4.1</w:t>
      </w:r>
      <w:r>
        <w:rPr>
          <w:color w:val="000000" w:themeColor="text1"/>
          <w:highlight w:val="none"/>
          <w:lang w:val="en-US"/>
          <w14:textFill>
            <w14:solidFill>
              <w14:schemeClr w14:val="tx1"/>
            </w14:solidFill>
          </w14:textFill>
        </w:rPr>
        <w:t>主要</w:t>
      </w:r>
      <w:r>
        <w:rPr>
          <w:rFonts w:hint="eastAsia"/>
          <w:color w:val="000000" w:themeColor="text1"/>
          <w:highlight w:val="none"/>
          <w:lang w:val="en-US" w:eastAsia="zh-CN"/>
          <w14:textFill>
            <w14:solidFill>
              <w14:schemeClr w14:val="tx1"/>
            </w14:solidFill>
          </w14:textFill>
        </w:rPr>
        <w:t>关注的</w:t>
      </w:r>
      <w:r>
        <w:rPr>
          <w:color w:val="000000" w:themeColor="text1"/>
          <w:highlight w:val="none"/>
          <w:lang w:val="en-US"/>
          <w14:textFill>
            <w14:solidFill>
              <w14:schemeClr w14:val="tx1"/>
            </w14:solidFill>
          </w14:textFill>
        </w:rPr>
        <w:t>环境问题</w:t>
      </w:r>
    </w:p>
    <w:p w14:paraId="0D870283">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）建设项目产业政策及规划符合性。</w:t>
      </w:r>
    </w:p>
    <w:p w14:paraId="69D73482">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）建设项目所在区域环境质量现状和目前存在的主要环境问题。</w:t>
      </w:r>
    </w:p>
    <w:p w14:paraId="1F4000AE">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）项目运营期废水、废气、固体废物及噪声污染排放特征，污染源能否稳定达到排放标准的要求。</w:t>
      </w:r>
    </w:p>
    <w:p w14:paraId="2F9E1420">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）项目采取的各项污染防治措施的合理性、技术经济可行性。</w:t>
      </w:r>
    </w:p>
    <w:p w14:paraId="7FCED9BD">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）建设项目投入运营后废气、废水、噪声和固体废物对周围环境的影响范围和程度。</w:t>
      </w:r>
    </w:p>
    <w:p w14:paraId="4A216DF1">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）建设项目污染物总量控制情况。</w:t>
      </w:r>
    </w:p>
    <w:p w14:paraId="1F444467">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7</w:t>
      </w:r>
      <w:r>
        <w:rPr>
          <w:rFonts w:hint="eastAsia"/>
          <w:color w:val="000000" w:themeColor="text1"/>
          <w:highlight w:val="none"/>
          <w:lang w:val="en-US" w:eastAsia="zh-CN"/>
          <w14:textFill>
            <w14:solidFill>
              <w14:schemeClr w14:val="tx1"/>
            </w14:solidFill>
          </w14:textFill>
        </w:rPr>
        <w:t>）项目运营期可能出现的环境风险事故类型及其影响范围和程度。</w:t>
      </w:r>
      <w:r>
        <w:rPr>
          <w:color w:val="000000" w:themeColor="text1"/>
          <w:highlight w:val="none"/>
          <w:lang w:val="en-US" w:eastAsia="zh-CN"/>
          <w14:textFill>
            <w14:solidFill>
              <w14:schemeClr w14:val="tx1"/>
            </w14:solidFill>
          </w14:textFill>
        </w:rPr>
        <w:t xml:space="preserve"> </w:t>
      </w:r>
    </w:p>
    <w:p w14:paraId="0D56853A">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1.4.2主要环境影响</w:t>
      </w:r>
    </w:p>
    <w:p w14:paraId="2DF0549B">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1.4.2.1环境空气</w:t>
      </w:r>
    </w:p>
    <w:p w14:paraId="283DAD68">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本项目减水剂生产线、硫酸铝生产线、速凝剂生产线产生的</w:t>
      </w:r>
      <w:r>
        <w:rPr>
          <w:rFonts w:hint="default"/>
          <w:color w:val="000000" w:themeColor="text1"/>
          <w:highlight w:val="none"/>
          <w:lang w:val="en-US" w:eastAsia="zh-CN"/>
          <w14:textFill>
            <w14:solidFill>
              <w14:schemeClr w14:val="tx1"/>
            </w14:solidFill>
          </w14:textFill>
        </w:rPr>
        <w:t>投料废气</w:t>
      </w:r>
      <w:r>
        <w:rPr>
          <w:rFonts w:hint="eastAsia"/>
          <w:color w:val="000000" w:themeColor="text1"/>
          <w:highlight w:val="none"/>
          <w:lang w:val="en-US" w:eastAsia="zh-CN"/>
          <w14:textFill>
            <w14:solidFill>
              <w14:schemeClr w14:val="tx1"/>
            </w14:solidFill>
          </w14:textFill>
        </w:rPr>
        <w:t>，减水剂生产线、硫酸铝生产线、速凝剂生产线产生的反应废气通过水喷淋+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r>
        <w:rPr>
          <w:rFonts w:hint="default"/>
          <w:color w:val="000000" w:themeColor="text1"/>
          <w:highlight w:val="none"/>
          <w:lang w:val="en-US" w:eastAsia="zh-CN"/>
          <w14:textFill>
            <w14:solidFill>
              <w14:schemeClr w14:val="tx1"/>
            </w14:solidFill>
          </w14:textFill>
        </w:rPr>
        <w:t>处理</w:t>
      </w:r>
      <w:r>
        <w:rPr>
          <w:rFonts w:hint="eastAsia"/>
          <w:color w:val="000000" w:themeColor="text1"/>
          <w:highlight w:val="none"/>
          <w:lang w:val="en-US" w:eastAsia="zh-CN"/>
          <w14:textFill>
            <w14:solidFill>
              <w14:schemeClr w14:val="tx1"/>
            </w14:solidFill>
          </w14:textFill>
        </w:rPr>
        <w:t>后通过1根15m</w:t>
      </w:r>
      <w:r>
        <w:rPr>
          <w:rFonts w:hint="default"/>
          <w:color w:val="000000" w:themeColor="text1"/>
          <w:highlight w:val="none"/>
          <w:lang w:val="en-US" w:eastAsia="zh-CN"/>
          <w14:textFill>
            <w14:solidFill>
              <w14:schemeClr w14:val="tx1"/>
            </w14:solidFill>
          </w14:textFill>
        </w:rPr>
        <w:t>高排气</w:t>
      </w:r>
      <w:r>
        <w:rPr>
          <w:rFonts w:hint="eastAsia"/>
          <w:color w:val="000000" w:themeColor="text1"/>
          <w:highlight w:val="none"/>
          <w:lang w:val="en-US" w:eastAsia="zh-CN"/>
          <w14:textFill>
            <w14:solidFill>
              <w14:schemeClr w14:val="tx1"/>
            </w14:solidFill>
          </w14:textFill>
        </w:rPr>
        <w:t>筒</w:t>
      </w:r>
      <w:r>
        <w:rPr>
          <w:rFonts w:hint="default"/>
          <w:color w:val="000000" w:themeColor="text1"/>
          <w:highlight w:val="none"/>
          <w:lang w:val="en-US" w:eastAsia="zh-CN"/>
          <w14:textFill>
            <w14:solidFill>
              <w14:schemeClr w14:val="tx1"/>
            </w14:solidFill>
          </w14:textFill>
        </w:rPr>
        <w:t>排放</w:t>
      </w: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废气经上述措施处理后</w:t>
      </w:r>
      <w:r>
        <w:rPr>
          <w:rFonts w:hint="eastAsia"/>
          <w:color w:val="000000" w:themeColor="text1"/>
          <w:highlight w:val="none"/>
          <w14:textFill>
            <w14:solidFill>
              <w14:schemeClr w14:val="tx1"/>
            </w14:solidFill>
          </w14:textFill>
        </w:rPr>
        <w:t>可以满足达标排放的要求，对周边大气环境影响较小。</w:t>
      </w:r>
    </w:p>
    <w:p w14:paraId="6993F2A6">
      <w:pPr>
        <w:bidi w:val="0"/>
        <w:ind w:left="0" w:leftChars="0" w:firstLine="0" w:firstLineChars="0"/>
        <w:rPr>
          <w:color w:val="000000" w:themeColor="text1"/>
          <w:highlight w:val="none"/>
          <w14:textFill>
            <w14:solidFill>
              <w14:schemeClr w14:val="tx1"/>
            </w14:solidFill>
          </w14:textFill>
        </w:rPr>
      </w:pPr>
      <w:r>
        <w:rPr>
          <w:rStyle w:val="31"/>
          <w:rFonts w:hint="eastAsia"/>
          <w:color w:val="000000" w:themeColor="text1"/>
          <w:highlight w:val="none"/>
          <w:lang w:val="en-US" w:eastAsia="zh-CN"/>
          <w14:textFill>
            <w14:solidFill>
              <w14:schemeClr w14:val="tx1"/>
            </w14:solidFill>
          </w14:textFill>
        </w:rPr>
        <w:t xml:space="preserve">1.4.2.2地表水环境 </w:t>
      </w:r>
    </w:p>
    <w:p w14:paraId="1D165EFF">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本项目生产废水全部回用，生活污水经管网送园区污水处理厂处理，项目周边无地表水，不会对当地地表水水体造成明显影响。 </w:t>
      </w:r>
    </w:p>
    <w:p w14:paraId="12BD5D21">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1.4.2.3地下水影响 </w:t>
      </w:r>
    </w:p>
    <w:p w14:paraId="3A616909">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项目在正常运营时不会对评价区内地下水环境造成影响；非正常工况下，本项目对地下水的影响主要为运营期硫酸罐泄露入渗含水层对地下水产生影响，在运营过程中做好各区域的防渗、定期监测及应急响应措施，本项目对评价区地下水环境影响较小。 </w:t>
      </w:r>
    </w:p>
    <w:p w14:paraId="72B74958">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1.4.2.4声环境 </w:t>
      </w:r>
    </w:p>
    <w:p w14:paraId="6C2ABE5F">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本工程各噪声源采取了有效的治理措施，从污染源头上减少了噪声对区域环境的影响，通过预测，噪声贡献值能满足《工业企业厂界环境噪声排放标准》（</w:t>
      </w:r>
      <w:r>
        <w:rPr>
          <w:rFonts w:hint="default"/>
          <w:color w:val="000000" w:themeColor="text1"/>
          <w:highlight w:val="none"/>
          <w:lang w:val="en-US" w:eastAsia="zh-CN"/>
          <w14:textFill>
            <w14:solidFill>
              <w14:schemeClr w14:val="tx1"/>
            </w14:solidFill>
          </w14:textFill>
        </w:rPr>
        <w:t>GB12348-2008</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 xml:space="preserve">类排放限值，对区域声环境影响较小。 </w:t>
      </w:r>
    </w:p>
    <w:p w14:paraId="39B3E5F3">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1.4.2.5固体废物 </w:t>
      </w:r>
    </w:p>
    <w:p w14:paraId="3A901D1B">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本工程产生的危险废物为废润滑油和废润滑油桶，分区暂存于厂区危废贮存库，定期交由有危废处理资质单位转运处置。生活垃圾在厂区内垃圾船集中收集，定期由园区环卫部门统一拉运处理。采取以上措施后，本项目产生的固体废物均得到有效利用或处置。 </w:t>
      </w:r>
    </w:p>
    <w:p w14:paraId="4F2AE46B">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1.4.2.6生态环境 </w:t>
      </w:r>
    </w:p>
    <w:p w14:paraId="3A6534F7">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在项目建设的同时因地制宜，采取生态保护措施与工程措施相结合，建成运营的同时植被恢复与绿化工程相应建成，使工程对生态的影响减到最小。 </w:t>
      </w:r>
    </w:p>
    <w:p w14:paraId="6C592AF3">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1.4.2.7土壤环境 </w:t>
      </w:r>
    </w:p>
    <w:p w14:paraId="7EFC66E4">
      <w:pP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本项目考虑了硫酸通过垂直入渗对土壤环境的影响，项目正常运营状态下，污染物在占地范围内的浓度值均能满足</w:t>
      </w:r>
      <w:r>
        <w:rPr>
          <w:rFonts w:hint="eastAsia"/>
          <w:color w:val="000000" w:themeColor="text1"/>
          <w:highlight w:val="none"/>
          <w14:textFill>
            <w14:solidFill>
              <w14:schemeClr w14:val="tx1"/>
            </w14:solidFill>
          </w14:textFill>
        </w:rPr>
        <w:t>《土壤环境质量 建设用地土壤污染风险管控标准（试行）》</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GB36600-2018</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中筛选值的要求。项目</w:t>
      </w:r>
      <w:r>
        <w:rPr>
          <w:rFonts w:hint="eastAsia"/>
          <w:color w:val="000000" w:themeColor="text1"/>
          <w:highlight w:val="none"/>
          <w14:textFill>
            <w14:solidFill>
              <w14:schemeClr w14:val="tx1"/>
            </w14:solidFill>
          </w14:textFill>
        </w:rPr>
        <w:t>将厂区划分为简单防渗区、一般防渗区和重点防渗区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其中重点防渗区</w:t>
      </w:r>
      <w:r>
        <w:rPr>
          <w:rFonts w:hint="eastAsia"/>
          <w:color w:val="000000" w:themeColor="text1"/>
          <w:highlight w:val="none"/>
          <w14:textFill>
            <w14:solidFill>
              <w14:schemeClr w14:val="tx1"/>
            </w14:solidFill>
          </w14:textFill>
        </w:rPr>
        <w:t>危废</w:t>
      </w:r>
      <w:r>
        <w:rPr>
          <w:rFonts w:hint="eastAsia"/>
          <w:color w:val="000000" w:themeColor="text1"/>
          <w:highlight w:val="none"/>
          <w:lang w:val="en-US" w:eastAsia="zh-CN"/>
          <w14:textFill>
            <w14:solidFill>
              <w14:schemeClr w14:val="tx1"/>
            </w14:solidFill>
          </w14:textFill>
        </w:rPr>
        <w:t>贮存</w:t>
      </w:r>
      <w:r>
        <w:rPr>
          <w:rFonts w:hint="eastAsia"/>
          <w:color w:val="000000" w:themeColor="text1"/>
          <w:highlight w:val="none"/>
          <w14:textFill>
            <w14:solidFill>
              <w14:schemeClr w14:val="tx1"/>
            </w14:solidFill>
          </w14:textFill>
        </w:rPr>
        <w:t>库参照</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渗透系数≤</w:t>
      </w:r>
      <w:r>
        <w:rPr>
          <w:color w:val="000000" w:themeColor="text1"/>
          <w:highlight w:val="none"/>
          <w14:textFill>
            <w14:solidFill>
              <w14:schemeClr w14:val="tx1"/>
            </w14:solidFill>
          </w14:textFill>
        </w:rPr>
        <w:t>10</w:t>
      </w:r>
      <w:r>
        <w:rPr>
          <w:rFonts w:hint="eastAsia"/>
          <w:color w:val="000000" w:themeColor="text1"/>
          <w:highlight w:val="none"/>
          <w:vertAlign w:val="superscript"/>
          <w:lang w:val="en-US" w:eastAsia="zh-CN"/>
          <w14:textFill>
            <w14:solidFill>
              <w14:schemeClr w14:val="tx1"/>
            </w14:solidFill>
          </w14:textFill>
        </w:rPr>
        <w:t>-</w:t>
      </w:r>
      <w:r>
        <w:rPr>
          <w:color w:val="000000" w:themeColor="text1"/>
          <w:highlight w:val="none"/>
          <w:vertAlign w:val="superscript"/>
          <w14:textFill>
            <w14:solidFill>
              <w14:schemeClr w14:val="tx1"/>
            </w14:solidFill>
          </w14:textFill>
        </w:rPr>
        <w:t>10</w:t>
      </w:r>
      <w:r>
        <w:rPr>
          <w:color w:val="000000" w:themeColor="text1"/>
          <w:highlight w:val="none"/>
          <w14:textFill>
            <w14:solidFill>
              <w14:schemeClr w14:val="tx1"/>
            </w14:solidFill>
          </w14:textFill>
        </w:rPr>
        <w:t>cm/s</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一般防渗区参照《</w:t>
      </w:r>
      <w:r>
        <w:rPr>
          <w:rFonts w:hint="eastAsia"/>
          <w:color w:val="000000" w:themeColor="text1"/>
          <w:highlight w:val="none"/>
          <w:lang w:eastAsia="zh-CN"/>
          <w14:textFill>
            <w14:solidFill>
              <w14:schemeClr w14:val="tx1"/>
            </w14:solidFill>
          </w14:textFill>
        </w:rPr>
        <w:t>环境影响评价技术导则 地下水环境</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HJ610-2016</w:t>
      </w:r>
      <w:r>
        <w:rPr>
          <w:rFonts w:hint="eastAsia"/>
          <w:color w:val="000000" w:themeColor="text1"/>
          <w:highlight w:val="none"/>
          <w14:textFill>
            <w14:solidFill>
              <w14:schemeClr w14:val="tx1"/>
            </w14:solidFill>
          </w14:textFill>
        </w:rPr>
        <w:t>）相关防渗要求，等效黏土防渗层</w:t>
      </w:r>
      <w:r>
        <w:rPr>
          <w:color w:val="000000" w:themeColor="text1"/>
          <w:highlight w:val="none"/>
          <w14:textFill>
            <w14:solidFill>
              <w14:schemeClr w14:val="tx1"/>
            </w14:solidFill>
          </w14:textFill>
        </w:rPr>
        <w:t>Mb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1.5m</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K</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10</w:t>
      </w:r>
      <w:r>
        <w:rPr>
          <w:color w:val="000000" w:themeColor="text1"/>
          <w:highlight w:val="none"/>
          <w:vertAlign w:val="superscript"/>
          <w14:textFill>
            <w14:solidFill>
              <w14:schemeClr w14:val="tx1"/>
            </w14:solidFill>
          </w14:textFill>
        </w:rPr>
        <w:t>-7</w:t>
      </w:r>
      <w:r>
        <w:rPr>
          <w:color w:val="000000" w:themeColor="text1"/>
          <w:highlight w:val="none"/>
          <w14:textFill>
            <w14:solidFill>
              <w14:schemeClr w14:val="tx1"/>
            </w14:solidFill>
          </w14:textFill>
        </w:rPr>
        <w:t>cm/s</w:t>
      </w:r>
      <w:r>
        <w:rPr>
          <w:rFonts w:hint="eastAsia"/>
          <w:color w:val="000000" w:themeColor="text1"/>
          <w:highlight w:val="none"/>
          <w:lang w:val="en-US" w:eastAsia="zh-CN"/>
          <w14:textFill>
            <w14:solidFill>
              <w14:schemeClr w14:val="tx1"/>
            </w14:solidFill>
          </w14:textFill>
        </w:rPr>
        <w:t>的要求采取防渗措施，</w:t>
      </w:r>
      <w:r>
        <w:rPr>
          <w:color w:val="000000" w:themeColor="text1"/>
          <w:highlight w:val="none"/>
          <w14:textFill>
            <w14:solidFill>
              <w14:schemeClr w14:val="tx1"/>
            </w14:solidFill>
          </w14:textFill>
        </w:rPr>
        <w:t>项目在正常工况下不会对地下水环境造成影响；在若不采取防渗措施，一旦发生泄漏，将会对项目附近区域地下水造成一定影响</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针对可能出现的事故情景，报告制定了相应的监测方案和应急措施。在相关保护措施实施后，该项目对地下水环境的影响是可以接受的。</w:t>
      </w:r>
    </w:p>
    <w:p w14:paraId="246D6A36">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1.4.2.8环境风险 </w:t>
      </w:r>
    </w:p>
    <w:p w14:paraId="7709463F">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运行过程中具有潜在的事故风险，要从建设、生产、贮运等各方面积极采取防护措施，这是确保环境安全的根本措施。为了防范事故和减少危害，需制定环境风险的应急预案。当出现事故时，要采取对应的应急措施，必要时要采取社会应急措施控制事故和减少对环境造成的危害。在落实环评提出的各项环境风险防范措施、编制有效的应急预案，加强风险管理的条件下，工程的事故风险可控，项目的环境风险是可以接受的。</w:t>
      </w:r>
    </w:p>
    <w:p w14:paraId="1D79FF88">
      <w:pPr>
        <w:pStyle w:val="3"/>
        <w:bidi w:val="0"/>
        <w:rPr>
          <w:rFonts w:hint="default"/>
          <w:color w:val="000000" w:themeColor="text1"/>
          <w:highlight w:val="none"/>
          <w:lang w:val="en-US" w:eastAsia="zh-CN"/>
          <w14:textFill>
            <w14:solidFill>
              <w14:schemeClr w14:val="tx1"/>
            </w14:solidFill>
          </w14:textFill>
        </w:rPr>
      </w:pPr>
      <w:bookmarkStart w:id="85" w:name="_Toc16804"/>
      <w:bookmarkStart w:id="86" w:name="_Toc22581"/>
      <w:bookmarkStart w:id="87" w:name="_Toc27178"/>
      <w:r>
        <w:rPr>
          <w:rFonts w:hint="eastAsia"/>
          <w:color w:val="000000" w:themeColor="text1"/>
          <w:highlight w:val="none"/>
          <w:lang w:val="en-US" w:eastAsia="zh-CN"/>
          <w14:textFill>
            <w14:solidFill>
              <w14:schemeClr w14:val="tx1"/>
            </w14:solidFill>
          </w14:textFill>
        </w:rPr>
        <w:t>1.5</w:t>
      </w:r>
      <w:r>
        <w:rPr>
          <w:color w:val="000000" w:themeColor="text1"/>
          <w:highlight w:val="none"/>
          <w:lang w:val="en-US"/>
          <w14:textFill>
            <w14:solidFill>
              <w14:schemeClr w14:val="tx1"/>
            </w14:solidFill>
          </w14:textFill>
        </w:rPr>
        <w:t>分析判定相关情况</w:t>
      </w:r>
      <w:bookmarkEnd w:id="85"/>
      <w:bookmarkEnd w:id="86"/>
      <w:bookmarkEnd w:id="87"/>
    </w:p>
    <w:p w14:paraId="0E0BC235">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1.5.1</w:t>
      </w:r>
      <w:r>
        <w:rPr>
          <w:rFonts w:hint="default"/>
          <w:color w:val="000000" w:themeColor="text1"/>
          <w:highlight w:val="none"/>
          <w:lang w:val="en-US" w:eastAsia="zh-CN"/>
          <w14:textFill>
            <w14:solidFill>
              <w14:schemeClr w14:val="tx1"/>
            </w14:solidFill>
          </w14:textFill>
        </w:rPr>
        <w:t>产业政策符合性</w:t>
      </w:r>
    </w:p>
    <w:p w14:paraId="7758046D">
      <w:pPr>
        <w:pStyle w:val="5"/>
        <w:bidi w:val="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1.5.1.1与《产业结构调整指导目录（</w:t>
      </w:r>
      <w:r>
        <w:rPr>
          <w:rFonts w:hint="default"/>
          <w:color w:val="000000" w:themeColor="text1"/>
          <w:highlight w:val="none"/>
          <w:lang w:val="en-US" w:eastAsia="zh-CN"/>
          <w14:textFill>
            <w14:solidFill>
              <w14:schemeClr w14:val="tx1"/>
            </w14:solidFill>
          </w14:textFill>
        </w:rPr>
        <w:t>2024</w:t>
      </w:r>
      <w:r>
        <w:rPr>
          <w:rFonts w:hint="eastAsia"/>
          <w:color w:val="000000" w:themeColor="text1"/>
          <w:highlight w:val="none"/>
          <w:lang w:val="en-US" w:eastAsia="zh-CN"/>
          <w14:textFill>
            <w14:solidFill>
              <w14:schemeClr w14:val="tx1"/>
            </w14:solidFill>
          </w14:textFill>
        </w:rPr>
        <w:t>年本）》符合性分析</w:t>
      </w:r>
    </w:p>
    <w:p w14:paraId="05560629">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拟建项目生产的减水剂、</w:t>
      </w:r>
      <w:r>
        <w:rPr>
          <w:rFonts w:hint="eastAsia"/>
          <w:color w:val="000000" w:themeColor="text1"/>
          <w:highlight w:val="none"/>
          <w:lang w:val="en-US" w:eastAsia="zh-CN"/>
          <w14:textFill>
            <w14:solidFill>
              <w14:schemeClr w14:val="tx1"/>
            </w14:solidFill>
          </w14:textFill>
        </w:rPr>
        <w:t>硫酸铝外加剂、</w:t>
      </w:r>
      <w:r>
        <w:rPr>
          <w:rFonts w:hint="default"/>
          <w:color w:val="000000" w:themeColor="text1"/>
          <w:highlight w:val="none"/>
          <w:lang w:val="en-US" w:eastAsia="zh-CN"/>
          <w14:textFill>
            <w14:solidFill>
              <w14:schemeClr w14:val="tx1"/>
            </w14:solidFill>
          </w14:textFill>
        </w:rPr>
        <w:t>速凝剂属于混凝土外加剂。对照国家发展改革委令第7号《产业结构调整指导目录</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2024年本</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》，减水剂、速凝剂均不属于目录中的鼓励类、限制类和淘汰类项目，即属于允许类，符合国家产业政策。</w:t>
      </w:r>
    </w:p>
    <w:p w14:paraId="0D5B1C85">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项目已取得昌吉高新技术产业开发区产业发展科技局备案证（项目代码：2504-652312-04-01-866757；备案证号：2504181706652300000152）。</w:t>
      </w:r>
    </w:p>
    <w:p w14:paraId="74F7F0BD">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1.5.1.2与《市场准入负面清单（</w:t>
      </w:r>
      <w:r>
        <w:rPr>
          <w:rFonts w:hint="default"/>
          <w:color w:val="000000" w:themeColor="text1"/>
          <w:highlight w:val="none"/>
          <w:lang w:val="en-US" w:eastAsia="zh-CN"/>
          <w14:textFill>
            <w14:solidFill>
              <w14:schemeClr w14:val="tx1"/>
            </w14:solidFill>
          </w14:textFill>
        </w:rPr>
        <w:t>2025</w:t>
      </w:r>
      <w:r>
        <w:rPr>
          <w:rFonts w:hint="eastAsia"/>
          <w:color w:val="000000" w:themeColor="text1"/>
          <w:highlight w:val="none"/>
          <w:lang w:val="en-US" w:eastAsia="zh-CN"/>
          <w14:textFill>
            <w14:solidFill>
              <w14:schemeClr w14:val="tx1"/>
            </w14:solidFill>
          </w14:textFill>
        </w:rPr>
        <w:t xml:space="preserve">年版）》符合性分析 </w:t>
      </w:r>
    </w:p>
    <w:p w14:paraId="4473EB95">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根据《市场准入负面清单（</w:t>
      </w:r>
      <w:r>
        <w:rPr>
          <w:rFonts w:hint="default"/>
          <w:color w:val="000000" w:themeColor="text1"/>
          <w:highlight w:val="none"/>
          <w:lang w:val="en-US" w:eastAsia="zh-CN"/>
          <w14:textFill>
            <w14:solidFill>
              <w14:schemeClr w14:val="tx1"/>
            </w14:solidFill>
          </w14:textFill>
        </w:rPr>
        <w:t>2025</w:t>
      </w:r>
      <w:r>
        <w:rPr>
          <w:rFonts w:hint="eastAsia"/>
          <w:color w:val="000000" w:themeColor="text1"/>
          <w:highlight w:val="none"/>
          <w:lang w:val="en-US" w:eastAsia="zh-CN"/>
          <w14:textFill>
            <w14:solidFill>
              <w14:schemeClr w14:val="tx1"/>
            </w14:solidFill>
          </w14:textFill>
        </w:rPr>
        <w:t>年版）》（发改体改规〔</w:t>
      </w:r>
      <w:r>
        <w:rPr>
          <w:rFonts w:hint="default"/>
          <w:color w:val="000000" w:themeColor="text1"/>
          <w:highlight w:val="none"/>
          <w:lang w:val="en-US" w:eastAsia="zh-CN"/>
          <w14:textFill>
            <w14:solidFill>
              <w14:schemeClr w14:val="tx1"/>
            </w14:solidFill>
          </w14:textFill>
        </w:rPr>
        <w:t>2025</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466</w:t>
      </w:r>
      <w:r>
        <w:rPr>
          <w:rFonts w:hint="eastAsia"/>
          <w:color w:val="000000" w:themeColor="text1"/>
          <w:highlight w:val="none"/>
          <w:lang w:val="en-US" w:eastAsia="zh-CN"/>
          <w14:textFill>
            <w14:solidFill>
              <w14:schemeClr w14:val="tx1"/>
            </w14:solidFill>
          </w14:textFill>
        </w:rPr>
        <w:t>号）对制造业的禁止或许可事项、禁止措施的描述，本项目属于</w:t>
      </w:r>
      <w:r>
        <w:rPr>
          <w:rFonts w:hint="eastAsia"/>
          <w:color w:val="000000" w:themeColor="text1"/>
          <w:highlight w:val="none"/>
          <w14:textFill>
            <w14:solidFill>
              <w14:schemeClr w14:val="tx1"/>
            </w14:solidFill>
          </w14:textFill>
        </w:rPr>
        <w:t>专用化学产品制造</w:t>
      </w:r>
      <w:r>
        <w:rPr>
          <w:rFonts w:hint="eastAsia"/>
          <w:color w:val="000000" w:themeColor="text1"/>
          <w:highlight w:val="none"/>
          <w:lang w:val="en-US" w:eastAsia="zh-CN"/>
          <w14:textFill>
            <w14:solidFill>
              <w14:schemeClr w14:val="tx1"/>
            </w14:solidFill>
          </w14:textFill>
        </w:rPr>
        <w:t>，不属于《市场准入负面清单（</w:t>
      </w:r>
      <w:r>
        <w:rPr>
          <w:rFonts w:hint="default"/>
          <w:color w:val="000000" w:themeColor="text1"/>
          <w:highlight w:val="none"/>
          <w:lang w:val="en-US" w:eastAsia="zh-CN"/>
          <w14:textFill>
            <w14:solidFill>
              <w14:schemeClr w14:val="tx1"/>
            </w14:solidFill>
          </w14:textFill>
        </w:rPr>
        <w:t>2025</w:t>
      </w:r>
      <w:r>
        <w:rPr>
          <w:rFonts w:hint="eastAsia"/>
          <w:color w:val="000000" w:themeColor="text1"/>
          <w:highlight w:val="none"/>
          <w:lang w:val="en-US" w:eastAsia="zh-CN"/>
          <w14:textFill>
            <w14:solidFill>
              <w14:schemeClr w14:val="tx1"/>
            </w14:solidFill>
          </w14:textFill>
        </w:rPr>
        <w:t>年版）》中禁止准入类及许可准入类事项。</w:t>
      </w:r>
    </w:p>
    <w:p w14:paraId="64B26D0A">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1.5.2相关技术规范符合性分析</w:t>
      </w:r>
    </w:p>
    <w:p w14:paraId="536A22C5">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1.5.2.3与《新疆维吾尔自治区新建化工项目准入条件（试行）》符合性分析</w:t>
      </w:r>
    </w:p>
    <w:p w14:paraId="30A0835E">
      <w:pPr>
        <w:keepNext w:val="0"/>
        <w:keepLines w:val="0"/>
        <w:widowControl/>
        <w:suppressLineNumbers w:val="0"/>
        <w:jc w:val="left"/>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本项目与《新疆维吾尔自治区新建化工项目准入条件（试行）》（新工信石化〔</w:t>
      </w:r>
      <w:r>
        <w:rPr>
          <w:rFonts w:hint="default"/>
          <w:color w:val="000000" w:themeColor="text1"/>
          <w:highlight w:val="none"/>
          <w:lang w:val="en-US" w:eastAsia="zh-CN"/>
          <w14:textFill>
            <w14:solidFill>
              <w14:schemeClr w14:val="tx1"/>
            </w14:solidFill>
          </w14:textFill>
        </w:rPr>
        <w:t>2021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号）</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的符合性分析见下表。</w:t>
      </w:r>
    </w:p>
    <w:p w14:paraId="48EBCD7E">
      <w:pPr>
        <w:pStyle w:val="25"/>
        <w:bidi w:val="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表1.5.2-1   本项目与《新疆维吾尔自治区新建化工项目准入条件（试行）》的符合性分析</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52"/>
        <w:gridCol w:w="4090"/>
        <w:gridCol w:w="3040"/>
        <w:gridCol w:w="989"/>
      </w:tblGrid>
      <w:tr w14:paraId="6249AB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42" w:type="dxa"/>
            <w:gridSpan w:val="2"/>
            <w:tcBorders>
              <w:bottom w:val="single" w:color="auto" w:sz="12" w:space="0"/>
            </w:tcBorders>
            <w:noWrap w:val="0"/>
            <w:vAlign w:val="center"/>
          </w:tcPr>
          <w:p w14:paraId="7D71E441">
            <w:pPr>
              <w:pStyle w:val="26"/>
              <w:bidi w:val="0"/>
              <w:jc w:val="center"/>
              <w:rPr>
                <w:rFonts w:hint="eastAsia" w:ascii="Times New Roman" w:hAnsi="Times New Roman" w:eastAsia="宋体" w:cs="Times New Roman"/>
                <w:b/>
                <w:bCs/>
                <w:color w:val="000000" w:themeColor="text1"/>
                <w:highlight w:val="none"/>
                <w:lang w:val="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准入条件</w:t>
            </w:r>
          </w:p>
        </w:tc>
        <w:tc>
          <w:tcPr>
            <w:tcW w:w="3040" w:type="dxa"/>
            <w:tcBorders>
              <w:bottom w:val="single" w:color="auto" w:sz="12" w:space="0"/>
            </w:tcBorders>
            <w:noWrap w:val="0"/>
            <w:vAlign w:val="center"/>
          </w:tcPr>
          <w:p w14:paraId="5B48FB39">
            <w:pPr>
              <w:pStyle w:val="26"/>
              <w:bidi w:val="0"/>
              <w:jc w:val="center"/>
              <w:rPr>
                <w:rFonts w:hint="eastAsia" w:ascii="Times New Roman" w:hAnsi="Times New Roman" w:eastAsia="宋体" w:cs="Times New Roman"/>
                <w:b/>
                <w:bCs/>
                <w:color w:val="000000" w:themeColor="text1"/>
                <w:highlight w:val="none"/>
                <w:lang w:val="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本项目情况</w:t>
            </w:r>
          </w:p>
        </w:tc>
        <w:tc>
          <w:tcPr>
            <w:tcW w:w="989" w:type="dxa"/>
            <w:tcBorders>
              <w:bottom w:val="single" w:color="auto" w:sz="12" w:space="0"/>
            </w:tcBorders>
            <w:noWrap w:val="0"/>
            <w:vAlign w:val="center"/>
          </w:tcPr>
          <w:p w14:paraId="73656974">
            <w:pPr>
              <w:pStyle w:val="26"/>
              <w:bidi w:val="0"/>
              <w:jc w:val="center"/>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符合性</w:t>
            </w:r>
          </w:p>
        </w:tc>
      </w:tr>
      <w:tr w14:paraId="7E31C2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2" w:type="dxa"/>
            <w:vMerge w:val="restart"/>
            <w:tcBorders>
              <w:top w:val="single" w:color="auto" w:sz="12" w:space="0"/>
              <w:tl2br w:val="nil"/>
              <w:tr2bl w:val="nil"/>
            </w:tcBorders>
            <w:noWrap w:val="0"/>
            <w:vAlign w:val="center"/>
          </w:tcPr>
          <w:p w14:paraId="5795929D">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规划空间布局准入</w:t>
            </w:r>
          </w:p>
        </w:tc>
        <w:tc>
          <w:tcPr>
            <w:tcW w:w="4090" w:type="dxa"/>
            <w:tcBorders>
              <w:top w:val="single" w:color="auto" w:sz="12" w:space="0"/>
              <w:tl2br w:val="nil"/>
              <w:tr2bl w:val="nil"/>
            </w:tcBorders>
            <w:noWrap w:val="0"/>
            <w:vAlign w:val="center"/>
          </w:tcPr>
          <w:p w14:paraId="341CF679">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一）严守规划分区管控，严格执行生态保护红线、永久基本农田管控要求，禁止新（改、扩）建化工项目违规占用生态保护红线和永久基本农田。已经建设化工项目涉及违规占用生态保护红线和永久基本农田的，按照有关规定，限期退出。</w:t>
            </w:r>
          </w:p>
        </w:tc>
        <w:tc>
          <w:tcPr>
            <w:tcW w:w="3040" w:type="dxa"/>
            <w:tcBorders>
              <w:top w:val="single" w:color="auto" w:sz="12" w:space="0"/>
              <w:tl2br w:val="nil"/>
              <w:tr2bl w:val="nil"/>
            </w:tcBorders>
            <w:noWrap w:val="0"/>
            <w:vAlign w:val="center"/>
          </w:tcPr>
          <w:p w14:paraId="37F31D28">
            <w:pPr>
              <w:pStyle w:val="26"/>
              <w:bidi w:val="0"/>
              <w:jc w:val="both"/>
              <w:rPr>
                <w:rFonts w:hint="eastAsia" w:ascii="Times New Roman" w:hAnsi="Times New Roman" w:eastAsia="宋体" w:cs="Times New Roman"/>
                <w:color w:val="000000" w:themeColor="text1"/>
                <w:highlight w:val="none"/>
                <w:lang w:val="zh-CN"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本项目严格执行生态保护红线、永久基本农田管控要求，项目占地均为工业用地</w:t>
            </w:r>
          </w:p>
        </w:tc>
        <w:tc>
          <w:tcPr>
            <w:tcW w:w="989" w:type="dxa"/>
            <w:tcBorders>
              <w:top w:val="single" w:color="auto" w:sz="12" w:space="0"/>
              <w:tl2br w:val="nil"/>
              <w:tr2bl w:val="nil"/>
            </w:tcBorders>
            <w:noWrap w:val="0"/>
            <w:vAlign w:val="center"/>
          </w:tcPr>
          <w:p w14:paraId="04D56ABF">
            <w:pPr>
              <w:pStyle w:val="26"/>
              <w:bidi w:val="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符合</w:t>
            </w:r>
          </w:p>
        </w:tc>
      </w:tr>
      <w:tr w14:paraId="47B0C4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2" w:type="dxa"/>
            <w:vMerge w:val="continue"/>
            <w:tcBorders>
              <w:tl2br w:val="nil"/>
              <w:tr2bl w:val="nil"/>
            </w:tcBorders>
            <w:noWrap w:val="0"/>
            <w:vAlign w:val="center"/>
          </w:tcPr>
          <w:p w14:paraId="2217609B">
            <w:pPr>
              <w:pStyle w:val="26"/>
              <w:bidi w:val="0"/>
              <w:jc w:val="center"/>
              <w:rPr>
                <w:rFonts w:hint="eastAsia" w:ascii="Times New Roman" w:hAnsi="Times New Roman" w:eastAsia="宋体" w:cs="Times New Roman"/>
                <w:color w:val="000000" w:themeColor="text1"/>
                <w:highlight w:val="none"/>
                <w:lang w:val="zh-CN" w:eastAsia="zh-CN"/>
                <w14:textFill>
                  <w14:solidFill>
                    <w14:schemeClr w14:val="tx1"/>
                  </w14:solidFill>
                </w14:textFill>
              </w:rPr>
            </w:pPr>
          </w:p>
        </w:tc>
        <w:tc>
          <w:tcPr>
            <w:tcW w:w="4090" w:type="dxa"/>
            <w:tcBorders>
              <w:tl2br w:val="nil"/>
              <w:tr2bl w:val="nil"/>
            </w:tcBorders>
            <w:noWrap w:val="0"/>
            <w:vAlign w:val="center"/>
          </w:tcPr>
          <w:p w14:paraId="48CBAB81">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（二）严格岸线管理。在塔里木河、伊犁河、额尔齐斯河干流及主要支流岸线</w:t>
            </w:r>
            <w:r>
              <w:rPr>
                <w:rFonts w:hint="default" w:ascii="Times New Roman" w:hAnsi="Times New Roman" w:eastAsia="宋体" w:cs="Times New Roman"/>
                <w:color w:val="000000" w:themeColor="text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公里范围内，除提升安全、环保、节能、智能化、产品质量水平的技术改造项目外，严格禁止新建、扩建化工项目，不得布局新的化工园区（含化工集中区，下同）；已批未开工项目，停止建设，按要求重新选址；已经开工建设的，严格进行检查评估，不符合岸线规划和环保、安全要求的，全部依法依规停建搬迁。</w:t>
            </w:r>
          </w:p>
        </w:tc>
        <w:tc>
          <w:tcPr>
            <w:tcW w:w="3040" w:type="dxa"/>
            <w:tcBorders>
              <w:tl2br w:val="nil"/>
              <w:tr2bl w:val="nil"/>
            </w:tcBorders>
            <w:noWrap w:val="0"/>
            <w:vAlign w:val="center"/>
          </w:tcPr>
          <w:p w14:paraId="6E2CA086">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项目位于昌吉国家高新技术产业开发区内，不涉及塔里木河、伊犁河、额尔齐斯河干流及主要支流岸线。</w:t>
            </w:r>
          </w:p>
        </w:tc>
        <w:tc>
          <w:tcPr>
            <w:tcW w:w="989" w:type="dxa"/>
            <w:tcBorders>
              <w:tl2br w:val="nil"/>
              <w:tr2bl w:val="nil"/>
            </w:tcBorders>
            <w:noWrap w:val="0"/>
            <w:vAlign w:val="center"/>
          </w:tcPr>
          <w:p w14:paraId="4D9633AC">
            <w:pPr>
              <w:pStyle w:val="26"/>
              <w:bidi w:val="0"/>
              <w:jc w:val="center"/>
              <w:rPr>
                <w:rFonts w:hint="eastAsia" w:ascii="Times New Roman" w:hAnsi="Times New Roman" w:eastAsia="宋体" w:cs="Times New Roman"/>
                <w:color w:val="000000" w:themeColor="text1"/>
                <w:highlight w:val="none"/>
                <w:lang w:val="zh-CN"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符合</w:t>
            </w:r>
          </w:p>
        </w:tc>
      </w:tr>
      <w:tr w14:paraId="458E15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2" w:type="dxa"/>
            <w:tcBorders>
              <w:tl2br w:val="nil"/>
              <w:tr2bl w:val="nil"/>
            </w:tcBorders>
            <w:noWrap w:val="0"/>
            <w:vAlign w:val="center"/>
          </w:tcPr>
          <w:p w14:paraId="22C16B5A">
            <w:pPr>
              <w:pStyle w:val="26"/>
              <w:bidi w:val="0"/>
              <w:jc w:val="center"/>
              <w:rPr>
                <w:rFonts w:hint="eastAsia" w:ascii="Times New Roman" w:hAnsi="Times New Roman" w:eastAsia="宋体" w:cs="Times New Roman"/>
                <w:color w:val="000000" w:themeColor="text1"/>
                <w:highlight w:val="none"/>
                <w:lang w:val="zh-CN"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安全环保准入</w:t>
            </w:r>
          </w:p>
        </w:tc>
        <w:tc>
          <w:tcPr>
            <w:tcW w:w="4090" w:type="dxa"/>
            <w:tcBorders>
              <w:tl2br w:val="nil"/>
              <w:tr2bl w:val="nil"/>
            </w:tcBorders>
            <w:noWrap w:val="0"/>
            <w:vAlign w:val="center"/>
          </w:tcPr>
          <w:p w14:paraId="7EDE30A5">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改、扩）建化工项目应符合“三线一单”（生态保护红线、环境质量底线、资源利用上线和生态环境准入清单）生态环境分区管控要求，并符合园区产业定位、园区规划及规划环评要求，按照有关规定设置合理的环境防护距离，环境保护距离内不得有居民区、学校、医院等环境敏感目标，避免邻避效应。新（改、扩）建化工项目应按照国家及自治区相关排放标准，采取有效措施从严控制特征污染物的逸散与排放，无组织排放应达到相应标准，严禁生产废水直接外排，产生的生化污泥或盐泥等固体废物要按照国家及自治区相关标准收集、贮存、运输、利用和处置，蒸发塘、晾晒池、氧化塘、暂存池等要严格按照相关标准进行建设。新（改、扩）建化工项目满足重点污染物排放总量控制指标、相应行业建设项目环境准入条件、环评文件审批原则要求，依据区域环境质量改善目标，制定配套污染物削减方案，采取有效的污染物削减措施，腾出足够的环境容量。</w:t>
            </w:r>
          </w:p>
        </w:tc>
        <w:tc>
          <w:tcPr>
            <w:tcW w:w="3040" w:type="dxa"/>
            <w:tcBorders>
              <w:tl2br w:val="nil"/>
              <w:tr2bl w:val="nil"/>
            </w:tcBorders>
            <w:noWrap w:val="0"/>
            <w:vAlign w:val="center"/>
          </w:tcPr>
          <w:p w14:paraId="1411442D">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项目符合自治区级昌吉州生态环境分区管控要求，符合园区产业定位、园区规划及规划环评要求；根据预测，项目厂界污染物均无超标，</w:t>
            </w:r>
            <w:r>
              <w:rPr>
                <w:rFonts w:hint="eastAsia" w:cs="Times New Roman"/>
                <w:color w:val="000000" w:themeColor="text1"/>
                <w:highlight w:val="none"/>
                <w:lang w:val="en-US" w:eastAsia="zh-CN"/>
                <w14:textFill>
                  <w14:solidFill>
                    <w14:schemeClr w14:val="tx1"/>
                  </w14:solidFill>
                </w14:textFill>
              </w:rPr>
              <w:t>无须设置</w:t>
            </w:r>
            <w:r>
              <w:rPr>
                <w:rFonts w:hint="eastAsia" w:ascii="Times New Roman" w:hAnsi="Times New Roman" w:eastAsia="宋体" w:cs="Times New Roman"/>
                <w:color w:val="000000" w:themeColor="text1"/>
                <w:highlight w:val="none"/>
                <w:lang w:val="en-US" w:eastAsia="zh-CN"/>
                <w14:textFill>
                  <w14:solidFill>
                    <w14:schemeClr w14:val="tx1"/>
                  </w14:solidFill>
                </w14:textFill>
              </w:rPr>
              <w:t>环境防护距离；项目满足重点污染物排放总量控制指标、相应行业环境准入条件、环评文件审批原则要求。</w:t>
            </w:r>
          </w:p>
        </w:tc>
        <w:tc>
          <w:tcPr>
            <w:tcW w:w="989" w:type="dxa"/>
            <w:tcBorders>
              <w:tl2br w:val="nil"/>
              <w:tr2bl w:val="nil"/>
            </w:tcBorders>
            <w:noWrap w:val="0"/>
            <w:vAlign w:val="center"/>
          </w:tcPr>
          <w:p w14:paraId="00302D3C">
            <w:pPr>
              <w:pStyle w:val="26"/>
              <w:bidi w:val="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符合</w:t>
            </w:r>
          </w:p>
        </w:tc>
      </w:tr>
    </w:tbl>
    <w:p w14:paraId="2E592B0C">
      <w:pPr>
        <w:pStyle w:val="4"/>
        <w:bidi w:val="0"/>
        <w:rPr>
          <w:rFonts w:hint="default"/>
          <w:color w:val="000000" w:themeColor="text1"/>
          <w:highlight w:val="none"/>
          <w:lang w:val="en-US" w:eastAsia="zh-CN"/>
          <w14:textFill>
            <w14:solidFill>
              <w14:schemeClr w14:val="tx1"/>
            </w14:solidFill>
          </w14:textFill>
        </w:rPr>
      </w:pPr>
      <w:bookmarkStart w:id="88" w:name="_Toc20023"/>
      <w:r>
        <w:rPr>
          <w:rFonts w:hint="eastAsia"/>
          <w:color w:val="000000" w:themeColor="text1"/>
          <w:highlight w:val="none"/>
          <w:lang w:val="en-US" w:eastAsia="zh-CN"/>
          <w14:textFill>
            <w14:solidFill>
              <w14:schemeClr w14:val="tx1"/>
            </w14:solidFill>
          </w14:textFill>
        </w:rPr>
        <w:t>1.5.3规划符合性分析</w:t>
      </w:r>
      <w:bookmarkEnd w:id="88"/>
    </w:p>
    <w:p w14:paraId="256D63B6">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1.5.3.1与</w:t>
      </w:r>
      <w:r>
        <w:rPr>
          <w:rFonts w:ascii="宋体" w:hAnsi="宋体" w:eastAsia="宋体" w:cs="宋体"/>
          <w:color w:val="000000" w:themeColor="text1"/>
          <w:sz w:val="24"/>
          <w:szCs w:val="24"/>
          <w:highlight w:val="none"/>
          <w14:textFill>
            <w14:solidFill>
              <w14:schemeClr w14:val="tx1"/>
            </w14:solidFill>
          </w14:textFill>
        </w:rPr>
        <w:t>《新疆维吾尔自治区国民经济和社会发展第十五个五年规划纲要》</w:t>
      </w:r>
      <w:r>
        <w:rPr>
          <w:rFonts w:hint="eastAsia"/>
          <w:color w:val="000000" w:themeColor="text1"/>
          <w:highlight w:val="none"/>
          <w:lang w:val="en-US" w:eastAsia="zh-CN"/>
          <w14:textFill>
            <w14:solidFill>
              <w14:schemeClr w14:val="tx1"/>
            </w14:solidFill>
          </w14:textFill>
        </w:rPr>
        <w:t>符合性分析</w:t>
      </w:r>
    </w:p>
    <w:p w14:paraId="5DEAE661">
      <w:pPr>
        <w:bidi w:val="0"/>
        <w:rPr>
          <w:rFonts w:hint="eastAsia" w:eastAsia="宋体"/>
          <w:color w:val="000000" w:themeColor="text1"/>
          <w:highlight w:val="none"/>
          <w:lang w:eastAsia="zh-CN"/>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《新疆维吾尔自治区国民经济和社会发展第十五个五年规划纲要</w:t>
      </w:r>
      <w:r>
        <w:rPr>
          <w:rFonts w:hint="eastAsia"/>
          <w:color w:val="000000" w:themeColor="text1"/>
          <w:highlight w:val="none"/>
          <w:lang w:val="en-US" w:eastAsia="zh-CN"/>
          <w14:textFill>
            <w14:solidFill>
              <w14:schemeClr w14:val="tx1"/>
            </w14:solidFill>
          </w14:textFill>
        </w:rPr>
        <w:t>》中</w:t>
      </w:r>
      <w:r>
        <w:rPr>
          <w:rFonts w:ascii="宋体" w:hAnsi="宋体" w:eastAsia="宋体" w:cs="宋体"/>
          <w:color w:val="000000" w:themeColor="text1"/>
          <w:sz w:val="24"/>
          <w:szCs w:val="24"/>
          <w:highlight w:val="none"/>
          <w14:textFill>
            <w14:solidFill>
              <w14:schemeClr w14:val="tx1"/>
            </w14:solidFill>
          </w14:textFill>
        </w:rPr>
        <w:t>自治区“十五五”生态环境保护相关部署，</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ascii="宋体" w:hAnsi="宋体" w:eastAsia="宋体" w:cs="宋体"/>
          <w:color w:val="000000" w:themeColor="text1"/>
          <w:sz w:val="24"/>
          <w:szCs w:val="24"/>
          <w:highlight w:val="none"/>
          <w14:textFill>
            <w14:solidFill>
              <w14:schemeClr w14:val="tx1"/>
            </w14:solidFill>
          </w14:textFill>
        </w:rPr>
        <w:t>持续深入打好蓝天、碧水、净土保卫战，推进产业绿色低碳转型，强化 VOCs、颗粒物、酸性废气等多污染物协同管控，严守生态安全底线，推动绿色建材配套助剂产业高质量发展，严控“两高”项目准入，坚持减污、扩绿、增长协同推进</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55439FD3">
      <w:pPr>
        <w:bidi w:val="0"/>
        <w:rPr>
          <w:color w:val="000000" w:themeColor="text1"/>
          <w:highlight w:val="none"/>
          <w14:textFill>
            <w14:solidFill>
              <w14:schemeClr w14:val="tx1"/>
            </w14:solidFill>
          </w14:textFill>
        </w:rPr>
      </w:pPr>
    </w:p>
    <w:p w14:paraId="2C008864">
      <w:pPr>
        <w:bidi w:val="0"/>
        <w:rPr>
          <w:rFonts w:hint="default"/>
          <w:color w:val="000000" w:themeColor="text1"/>
          <w:highlight w:val="none"/>
          <w:lang w:val="en-US"/>
          <w14:textFill>
            <w14:solidFill>
              <w14:schemeClr w14:val="tx1"/>
            </w14:solidFill>
          </w14:textFill>
        </w:rPr>
      </w:pPr>
      <w:r>
        <w:rPr>
          <w:color w:val="000000" w:themeColor="text1"/>
          <w:highlight w:val="none"/>
          <w14:textFill>
            <w14:solidFill>
              <w14:schemeClr w14:val="tx1"/>
            </w14:solidFill>
          </w14:textFill>
        </w:rPr>
        <w:t>本项目为减水剂、硫酸铝、速凝剂等建材外加剂生产项目，产品服务于建筑工程、混凝土工程领域，属于绿色建材配套新材料产业，不属于钢铁、煤电、现代煤化工等“两高”行业，项目建设符合自治区“十五五”培育新材料产业、推动传统基建配套材料提质升级的导向，有利于支撑区域基础设施建设、建筑业绿色化发展，不属于规划中限制、淘汰类产业。项目选址位于工业园区，符合园区规划及规划环评要求，不占用基本农田、重点生态保护红线区域，选址避开生态敏感区，落实“三线一单” 分区管控要求，符合自治区“十五五”优化产业空间布局、工业项目入园集聚发展的总体安排。</w:t>
      </w:r>
    </w:p>
    <w:p w14:paraId="736A0B9C">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1.5.3.2与《昌吉高新技术产业开发区国土空间专项规划（</w:t>
      </w:r>
      <w:r>
        <w:rPr>
          <w:rFonts w:hint="default"/>
          <w:color w:val="000000" w:themeColor="text1"/>
          <w:highlight w:val="none"/>
          <w:lang w:val="en-US" w:eastAsia="zh-CN"/>
          <w14:textFill>
            <w14:solidFill>
              <w14:schemeClr w14:val="tx1"/>
            </w14:solidFill>
          </w14:textFill>
        </w:rPr>
        <w:t>2021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2035</w:t>
      </w:r>
      <w:r>
        <w:rPr>
          <w:rFonts w:hint="eastAsia"/>
          <w:color w:val="000000" w:themeColor="text1"/>
          <w:highlight w:val="none"/>
          <w:lang w:val="en-US" w:eastAsia="zh-CN"/>
          <w14:textFill>
            <w14:solidFill>
              <w14:schemeClr w14:val="tx1"/>
            </w14:solidFill>
          </w14:textFill>
        </w:rPr>
        <w:t>年）》符</w:t>
      </w:r>
      <w:r>
        <w:rPr>
          <w:rFonts w:hint="eastAsia" w:ascii="宋体" w:hAnsi="宋体" w:eastAsia="宋体" w:cs="宋体"/>
          <w:b/>
          <w:bCs/>
          <w:color w:val="000000" w:themeColor="text1"/>
          <w:kern w:val="0"/>
          <w:sz w:val="24"/>
          <w:szCs w:val="24"/>
          <w:highlight w:val="none"/>
          <w:lang w:val="en-US" w:eastAsia="zh-CN" w:bidi="ar"/>
          <w14:textFill>
            <w14:solidFill>
              <w14:schemeClr w14:val="tx1"/>
            </w14:solidFill>
          </w14:textFill>
        </w:rPr>
        <w:t xml:space="preserve">合性分析 </w:t>
      </w:r>
    </w:p>
    <w:p w14:paraId="427441E2">
      <w:pPr>
        <w:bidi w:val="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2021年，昌吉高新区委托编制了《</w:t>
      </w:r>
      <w:r>
        <w:rPr>
          <w:rFonts w:hint="default"/>
          <w:color w:val="000000" w:themeColor="text1"/>
          <w:highlight w:val="none"/>
          <w:lang w:val="en-US" w:eastAsia="zh-CN"/>
          <w14:textFill>
            <w14:solidFill>
              <w14:schemeClr w14:val="tx1"/>
            </w14:solidFill>
          </w14:textFill>
        </w:rPr>
        <w:t>昌吉高新技术产业开发区国土空间专项规划(2021-2035年)</w:t>
      </w:r>
      <w:r>
        <w:rPr>
          <w:rFonts w:hint="eastAsia"/>
          <w:color w:val="000000" w:themeColor="text1"/>
          <w:highlight w:val="none"/>
          <w:lang w:val="en-US" w:eastAsia="zh-CN"/>
          <w14:textFill>
            <w14:solidFill>
              <w14:schemeClr w14:val="tx1"/>
            </w14:solidFill>
          </w14:textFill>
        </w:rPr>
        <w:t>》，该</w:t>
      </w:r>
      <w:r>
        <w:rPr>
          <w:color w:val="000000" w:themeColor="text1"/>
          <w:highlight w:val="none"/>
          <w:lang w:val="en-US" w:eastAsia="zh-CN"/>
          <w14:textFill>
            <w14:solidFill>
              <w14:schemeClr w14:val="tx1"/>
            </w14:solidFill>
          </w14:textFill>
        </w:rPr>
        <w:t>规划</w:t>
      </w:r>
      <w:r>
        <w:rPr>
          <w:rFonts w:hint="eastAsia"/>
          <w:color w:val="000000" w:themeColor="text1"/>
          <w:highlight w:val="none"/>
          <w:lang w:val="en-US" w:eastAsia="zh-CN"/>
          <w14:textFill>
            <w14:solidFill>
              <w14:schemeClr w14:val="tx1"/>
            </w14:solidFill>
          </w14:textFill>
        </w:rPr>
        <w:t>作为</w:t>
      </w:r>
      <w:r>
        <w:rPr>
          <w:color w:val="000000" w:themeColor="text1"/>
          <w:highlight w:val="none"/>
          <w:lang w:val="en-US" w:eastAsia="zh-CN"/>
          <w14:textFill>
            <w14:solidFill>
              <w14:schemeClr w14:val="tx1"/>
            </w14:solidFill>
          </w14:textFill>
        </w:rPr>
        <w:t>昌吉高新技术产业开发区范围内国土空间开发保护在空间和时间上做出的总体安排和综合部署，指导各类开发建设活动、开展国土资源保护利用与修复、制定空间发展政策和实施国土空间用途管制的空间蓝图，编制详细规划的依据、相关专项规划的基础</w:t>
      </w:r>
      <w:r>
        <w:rPr>
          <w:rFonts w:hint="eastAsia"/>
          <w:color w:val="000000" w:themeColor="text1"/>
          <w:highlight w:val="none"/>
          <w:lang w:val="en-US" w:eastAsia="zh-CN"/>
          <w14:textFill>
            <w14:solidFill>
              <w14:schemeClr w14:val="tx1"/>
            </w14:solidFill>
          </w14:textFill>
        </w:rPr>
        <w:t>，是目前</w:t>
      </w:r>
      <w:r>
        <w:rPr>
          <w:rFonts w:hint="default"/>
          <w:color w:val="000000" w:themeColor="text1"/>
          <w:highlight w:val="none"/>
          <w:lang w:val="en-US" w:eastAsia="zh-CN"/>
          <w14:textFill>
            <w14:solidFill>
              <w14:schemeClr w14:val="tx1"/>
            </w14:solidFill>
          </w14:textFill>
        </w:rPr>
        <w:t>昌吉高新技术产业开发区</w:t>
      </w:r>
      <w:r>
        <w:rPr>
          <w:rFonts w:hint="eastAsia"/>
          <w:color w:val="000000" w:themeColor="text1"/>
          <w:highlight w:val="none"/>
          <w:lang w:val="en-US" w:eastAsia="zh-CN"/>
          <w14:textFill>
            <w14:solidFill>
              <w14:schemeClr w14:val="tx1"/>
            </w14:solidFill>
          </w14:textFill>
        </w:rPr>
        <w:t>现行的最新规划，该规划于2024年7月13日由新疆维吾尔自治区人民政府发布实施（新政函[2024]137号），暂未开展规划环评。</w:t>
      </w:r>
    </w:p>
    <w:p w14:paraId="7E94A79A">
      <w:pPr>
        <w:keepNext w:val="0"/>
        <w:keepLines w:val="0"/>
        <w:widowControl/>
        <w:suppressLineNumbers w:val="0"/>
        <w:jc w:val="left"/>
        <w:rPr>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根据《昌吉高新技术产业开发区国土空间专项规划（</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2021</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2035</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年）》“国土空间总体格局。融入区域协同发展格局，以乌昌大道为发展主动脉，以管委会所在区域和榆树沟镇区为一体化发展基础，结合现状产业布局，整合发挥集群优势，构建</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双核十字轴、两极多园区</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 xml:space="preserve">的空间发展结构，促进区镇一体化发展”。双核：高新文化中心和榆树沟服务中心，助力高新区完成产业转型和产城融合升级。十字轴：东西向“乌昌创新发展轴”，内部连接两大核心，外部东向连接昌吉市、乌鲁木齐市，西向连接石河子，直抵延边开放口岸；南北向“综合服务发展轴”，串联起步服务区、科创教育园两大引擎，北向连接昌吉农高区，南向连接军户农场，助力高新区实现产城融合转型升级。两极：特变电工科技城和蓝山屯河科技城两处增长极。多园区：包括新材料产业区、装备制造产业区、生物科技区、曙光园、高新活力区、镇区活力区。 </w:t>
      </w:r>
    </w:p>
    <w:p w14:paraId="1CA300BF">
      <w:pPr>
        <w:keepNext w:val="0"/>
        <w:keepLines w:val="0"/>
        <w:widowControl/>
        <w:suppressLineNumbers w:val="0"/>
        <w:jc w:val="left"/>
        <w:rPr>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“第五章优化产业空间布局。加强园区核心产业延链补链和改造升级，聚力发展新材料、装备制造、生物科技三大产业区，重点打造特变电工科技城与蓝山屯河科技城，培育壮大曙光园与高新文化中心，构建</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三区两城、一园一心</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 xml:space="preserve">的产业空间布局”。三区：新材料产业区主要位于乌昌大道以南、吉祥路以西区域，谋划布局硅基新材料、铝基新材料、碳基新材料等功能组团，配套电商组团、仓储组团。装备制造产业区主要位于乌昌大道以北、吉祥路以西区域，推进电力装备、机械设备、医疗装备等组团建设，加快新能源汽车、光伏发电设备、风电设备等新能源关联产业发展。生物科技区主要位于光明路以东，省道S325以南、环城南路以北区域，重点打造生物制造、生物能源、生物环保、生物医药等组团，开展生物科技关键技术集成与产业化示范。两城：特变电工科技城围绕输变电产业，加快推进装备制造产业发展。蓝山屯河科技城打造生物基原料、生物基新材料、下游制品研发生产基地，带动新材料产业区发展。一园：曙光园以曙光村为依托，聚焦发展新型建材、绿色装配式建筑等领域，打造区镇一体化样板地区。一心：管委会周边布局高等级公共服务、科创服务设施，助力高新区完成产业转型、产城融合升级。 </w:t>
      </w:r>
    </w:p>
    <w:p w14:paraId="49AE7076">
      <w:pPr>
        <w:keepNext w:val="0"/>
        <w:keepLines w:val="0"/>
        <w:widowControl/>
        <w:suppressLineNumbers w:val="0"/>
        <w:jc w:val="left"/>
        <w:rPr>
          <w:rFonts w:hint="default"/>
          <w:color w:val="000000" w:themeColor="text1"/>
          <w:highlight w:val="none"/>
          <w:lang w:val="en-US"/>
          <w14:textFill>
            <w14:solidFill>
              <w14:schemeClr w14:val="tx1"/>
            </w14:solidFill>
          </w14:textFill>
        </w:rPr>
      </w:pPr>
      <w:r>
        <w:rPr>
          <w:rFonts w:hint="eastAsia" w:ascii="宋体" w:hAnsi="宋体" w:cs="宋体"/>
          <w:color w:val="000000" w:themeColor="text1"/>
          <w:kern w:val="0"/>
          <w:sz w:val="24"/>
          <w:szCs w:val="24"/>
          <w:highlight w:val="none"/>
          <w:lang w:val="en-US" w:eastAsia="zh-CN" w:bidi="ar"/>
          <w14:textFill>
            <w14:solidFill>
              <w14:schemeClr w14:val="tx1"/>
            </w14:solidFill>
          </w14:textFill>
        </w:rPr>
        <w:t>根据</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《昌吉高新技术产业开发区国土空间专项规划（</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2021</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2035</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年）》本项目位于昌吉国家高新技术产业开发区曙光园片区内，项目生产建材生产用的减水剂等添加剂，符合园区聚焦发展新型建材、绿色装配式建筑发展的布局要求，符合《昌吉高新技术产业开发区国土空间专项规划（</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2021</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2035</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年）</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要求。项目在昌吉高新技术产业开发区国土空间专项规划位</w:t>
      </w:r>
      <w:r>
        <w:rPr>
          <w:rFonts w:hint="eastAsia"/>
          <w:color w:val="000000" w:themeColor="text1"/>
          <w:highlight w:val="none"/>
          <w:lang w:val="en-US" w:eastAsia="zh-CN"/>
          <w14:textFill>
            <w14:solidFill>
              <w14:schemeClr w14:val="tx1"/>
            </w14:solidFill>
          </w14:textFill>
        </w:rPr>
        <w:t>置图见图1.5-1。</w:t>
      </w:r>
    </w:p>
    <w:p w14:paraId="6CD30ACB">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1.5.3.3与《昌吉高新技术产业开发区总体规划（</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）环境影响报告书》及审查意见（新环函〔</w:t>
      </w:r>
      <w:r>
        <w:rPr>
          <w:rFonts w:hint="default"/>
          <w:color w:val="000000" w:themeColor="text1"/>
          <w:highlight w:val="none"/>
          <w:lang w:val="en-US" w:eastAsia="zh-CN"/>
          <w14:textFill>
            <w14:solidFill>
              <w14:schemeClr w14:val="tx1"/>
            </w14:solidFill>
          </w14:textFill>
        </w:rPr>
        <w:t>2015</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306 </w:t>
      </w:r>
      <w:r>
        <w:rPr>
          <w:rFonts w:hint="eastAsia"/>
          <w:color w:val="000000" w:themeColor="text1"/>
          <w:highlight w:val="none"/>
          <w:lang w:val="en-US" w:eastAsia="zh-CN"/>
          <w14:textFill>
            <w14:solidFill>
              <w14:schemeClr w14:val="tx1"/>
            </w14:solidFill>
          </w14:textFill>
        </w:rPr>
        <w:t xml:space="preserve">号）符合性分析 </w:t>
      </w:r>
    </w:p>
    <w:p w14:paraId="2ABF639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2021年，昌吉高新区委托编制了《</w:t>
      </w:r>
      <w:r>
        <w:rPr>
          <w:rFonts w:hint="default"/>
          <w:color w:val="000000" w:themeColor="text1"/>
          <w:highlight w:val="none"/>
          <w:lang w:val="en-US" w:eastAsia="zh-CN"/>
          <w14:textFill>
            <w14:solidFill>
              <w14:schemeClr w14:val="tx1"/>
            </w14:solidFill>
          </w14:textFill>
        </w:rPr>
        <w:t>昌吉高新技术产业开发区国土空间专项规划(2021-2035年)</w:t>
      </w:r>
      <w:r>
        <w:rPr>
          <w:rFonts w:hint="eastAsia"/>
          <w:color w:val="000000" w:themeColor="text1"/>
          <w:highlight w:val="none"/>
          <w:lang w:val="en-US" w:eastAsia="zh-CN"/>
          <w14:textFill>
            <w14:solidFill>
              <w14:schemeClr w14:val="tx1"/>
            </w14:solidFill>
          </w14:textFill>
        </w:rPr>
        <w:t>》，该</w:t>
      </w:r>
      <w:r>
        <w:rPr>
          <w:color w:val="000000" w:themeColor="text1"/>
          <w:highlight w:val="none"/>
          <w:lang w:val="en-US" w:eastAsia="zh-CN"/>
          <w14:textFill>
            <w14:solidFill>
              <w14:schemeClr w14:val="tx1"/>
            </w14:solidFill>
          </w14:textFill>
        </w:rPr>
        <w:t>规划</w:t>
      </w:r>
      <w:r>
        <w:rPr>
          <w:rFonts w:hint="eastAsia"/>
          <w:color w:val="000000" w:themeColor="text1"/>
          <w:highlight w:val="none"/>
          <w:lang w:val="en-US" w:eastAsia="zh-CN"/>
          <w14:textFill>
            <w14:solidFill>
              <w14:schemeClr w14:val="tx1"/>
            </w14:solidFill>
          </w14:textFill>
        </w:rPr>
        <w:t>作为</w:t>
      </w:r>
      <w:r>
        <w:rPr>
          <w:color w:val="000000" w:themeColor="text1"/>
          <w:highlight w:val="none"/>
          <w:lang w:val="en-US" w:eastAsia="zh-CN"/>
          <w14:textFill>
            <w14:solidFill>
              <w14:schemeClr w14:val="tx1"/>
            </w14:solidFill>
          </w14:textFill>
        </w:rPr>
        <w:t>昌吉高新技术产业开发区范围内国土空间开发保护在空间和时间上做出的总体安排和综合部署，指导各类开发建设活动、开展国土资源保护利用与修复、制定空间发展政策和实施国土空间用途管制的空间蓝图，编制详细规划的依据、相关专项规划的基础</w:t>
      </w:r>
      <w:r>
        <w:rPr>
          <w:rFonts w:hint="eastAsia"/>
          <w:color w:val="000000" w:themeColor="text1"/>
          <w:highlight w:val="none"/>
          <w:lang w:val="en-US" w:eastAsia="zh-CN"/>
          <w14:textFill>
            <w14:solidFill>
              <w14:schemeClr w14:val="tx1"/>
            </w14:solidFill>
          </w14:textFill>
        </w:rPr>
        <w:t>，是目前</w:t>
      </w:r>
      <w:r>
        <w:rPr>
          <w:rFonts w:hint="default"/>
          <w:color w:val="000000" w:themeColor="text1"/>
          <w:highlight w:val="none"/>
          <w:lang w:val="en-US" w:eastAsia="zh-CN"/>
          <w14:textFill>
            <w14:solidFill>
              <w14:schemeClr w14:val="tx1"/>
            </w14:solidFill>
          </w14:textFill>
        </w:rPr>
        <w:t>昌吉高新技术产业开发区</w:t>
      </w:r>
      <w:r>
        <w:rPr>
          <w:rFonts w:hint="eastAsia"/>
          <w:color w:val="000000" w:themeColor="text1"/>
          <w:highlight w:val="none"/>
          <w:lang w:val="en-US" w:eastAsia="zh-CN"/>
          <w14:textFill>
            <w14:solidFill>
              <w14:schemeClr w14:val="tx1"/>
            </w14:solidFill>
          </w14:textFill>
        </w:rPr>
        <w:t>现行的最新规划，该规划于2024年7月13日由新疆维吾尔自治区人民政府发布实施（新政函[2024]137号），暂未开展规划环评，因此本次评价分析与《昌吉高新技术产业开发区总体规划（</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）环境影响报告书》及审查意见（新环函〔</w:t>
      </w:r>
      <w:r>
        <w:rPr>
          <w:rFonts w:hint="default"/>
          <w:color w:val="000000" w:themeColor="text1"/>
          <w:highlight w:val="none"/>
          <w:lang w:val="en-US" w:eastAsia="zh-CN"/>
          <w14:textFill>
            <w14:solidFill>
              <w14:schemeClr w14:val="tx1"/>
            </w14:solidFill>
          </w14:textFill>
        </w:rPr>
        <w:t>2015</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306</w:t>
      </w:r>
      <w:r>
        <w:rPr>
          <w:rFonts w:hint="eastAsia"/>
          <w:color w:val="000000" w:themeColor="text1"/>
          <w:highlight w:val="none"/>
          <w:lang w:val="en-US" w:eastAsia="zh-CN"/>
          <w14:textFill>
            <w14:solidFill>
              <w14:schemeClr w14:val="tx1"/>
            </w14:solidFill>
          </w14:textFill>
        </w:rPr>
        <w:t>号）的符合性。</w:t>
      </w:r>
    </w:p>
    <w:p w14:paraId="06B554F8">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根据《昌吉高新技术产业开发区总体规划（</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）环境影响报告书》及审查意见（新环函〔</w:t>
      </w:r>
      <w:r>
        <w:rPr>
          <w:rFonts w:hint="default"/>
          <w:color w:val="000000" w:themeColor="text1"/>
          <w:highlight w:val="none"/>
          <w:lang w:val="en-US" w:eastAsia="zh-CN"/>
          <w14:textFill>
            <w14:solidFill>
              <w14:schemeClr w14:val="tx1"/>
            </w14:solidFill>
          </w14:textFill>
        </w:rPr>
        <w:t>2015</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306</w:t>
      </w:r>
      <w:r>
        <w:rPr>
          <w:rFonts w:hint="eastAsia"/>
          <w:color w:val="000000" w:themeColor="text1"/>
          <w:highlight w:val="none"/>
          <w:lang w:val="en-US" w:eastAsia="zh-CN"/>
          <w14:textFill>
            <w14:solidFill>
              <w14:schemeClr w14:val="tx1"/>
            </w14:solidFill>
          </w14:textFill>
        </w:rPr>
        <w:t xml:space="preserve">号），园区发展定位以装备制造业、新材料产业、生物科技和食品产业为主，配套现代服务业，将园区打造成为全区重要先进制造业基地，昌吉州生产性服务业创新中心。要求坚持实行入园企业环保准入审核制度，与产业定位方向不符的项目一律不得入园，对于入园的建设项目必须开展建设项目环境影响评价，并严格执行建设项目“三同时”环境管理制度。园区范围内企业，应办理合法的环保手续，不符合园区规划布局、产业定位的企业应予以搬迁。园区项目须严格落实污染总量控制要求，提出污染物减排具体方案和保障措施。企业生活、生产废水须经处理达到相应标准后，方可排入园区污水处理厂。严格设置园区企业的环境准入标准，积极开展清洁生产审核，入园企业的清洁生产水平必须达到国内先进水平，与园区产业类型不符合和达不到环境准入条件的建设项目禁止入园。 </w:t>
      </w:r>
    </w:p>
    <w:p w14:paraId="3814E325">
      <w:pPr>
        <w:keepNext w:val="0"/>
        <w:keepLines w:val="0"/>
        <w:widowControl/>
        <w:suppressLineNumbers w:val="0"/>
        <w:jc w:val="left"/>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本项目位于总体规划中的</w:t>
      </w:r>
      <w:r>
        <w:rPr>
          <w:color w:val="000000" w:themeColor="text1"/>
          <w:highlight w:val="none"/>
          <w14:textFill>
            <w14:solidFill>
              <w14:schemeClr w14:val="tx1"/>
            </w14:solidFill>
          </w14:textFill>
        </w:rPr>
        <w:t>新材料产业区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生产产品为建材生产用的减水剂等，添加剂</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符合园区产业定位，用地为园区规划的二类工业用地，项目各类污染物排放能够满足国家和自治区最新污染物排放标准要求。本项目符合国家产业政策，符合</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园区</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企业环保准入审核制度，不属于规划及规划环评中禁止建设类型，符合园区产业规划定位及规划环评审查意见相关要求。</w:t>
      </w:r>
    </w:p>
    <w:p w14:paraId="78F3A1D4">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1.5.4生态分区管控符合性分析</w:t>
      </w:r>
    </w:p>
    <w:p w14:paraId="77BFE3E3">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1.5.4.1与《</w:t>
      </w:r>
      <w:r>
        <w:rPr>
          <w:rFonts w:hint="default"/>
          <w:color w:val="000000" w:themeColor="text1"/>
          <w:highlight w:val="none"/>
          <w:lang w:val="en-US" w:eastAsia="zh-CN"/>
          <w14:textFill>
            <w14:solidFill>
              <w14:schemeClr w14:val="tx1"/>
            </w14:solidFill>
          </w14:textFill>
        </w:rPr>
        <w:t>新疆维吾尔自治区生态环境分区管控动态更新成果</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符合性</w:t>
      </w:r>
      <w:r>
        <w:rPr>
          <w:rFonts w:hint="eastAsia"/>
          <w:color w:val="000000" w:themeColor="text1"/>
          <w:highlight w:val="none"/>
          <w:lang w:val="en-US" w:eastAsia="zh-CN"/>
          <w14:textFill>
            <w14:solidFill>
              <w14:schemeClr w14:val="tx1"/>
            </w14:solidFill>
          </w14:textFill>
        </w:rPr>
        <w:t>分析</w:t>
      </w:r>
    </w:p>
    <w:p w14:paraId="67BFACF9">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项目与《关于印发</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新疆维吾尔自治区生态环境分区管控动态更新成果</w:t>
      </w:r>
      <w:r>
        <w:rPr>
          <w:rFonts w:hint="eastAsia"/>
          <w:color w:val="000000" w:themeColor="text1"/>
          <w:highlight w:val="none"/>
          <w:lang w:val="en-US" w:eastAsia="zh-CN"/>
          <w14:textFill>
            <w14:solidFill>
              <w14:schemeClr w14:val="tx1"/>
            </w14:solidFill>
          </w14:textFill>
        </w:rPr>
        <w:t>〉的通知》</w:t>
      </w:r>
      <w:r>
        <w:rPr>
          <w:rFonts w:hint="default"/>
          <w:color w:val="000000" w:themeColor="text1"/>
          <w:highlight w:val="none"/>
          <w:lang w:val="en-US" w:eastAsia="zh-CN"/>
          <w14:textFill>
            <w14:solidFill>
              <w14:schemeClr w14:val="tx1"/>
            </w14:solidFill>
          </w14:textFill>
        </w:rPr>
        <w:t>（新环环评发〔2024〕157号）符合性分析详见下表。</w:t>
      </w:r>
    </w:p>
    <w:p w14:paraId="70EDD6A3">
      <w:pPr>
        <w:pStyle w:val="25"/>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zh-CN" w:eastAsia="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1.5.4-1</w:t>
      </w:r>
      <w:r>
        <w:rPr>
          <w:rFonts w:hint="default"/>
          <w:color w:val="000000" w:themeColor="text1"/>
          <w:highlight w:val="none"/>
          <w:lang w:val="zh-CN"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zh-CN" w:eastAsia="zh-CN"/>
          <w14:textFill>
            <w14:solidFill>
              <w14:schemeClr w14:val="tx1"/>
            </w14:solidFill>
          </w14:textFill>
        </w:rPr>
        <w:t>项目与自治区生态环境分区管控要求符合性</w:t>
      </w:r>
      <w:r>
        <w:rPr>
          <w:rFonts w:hint="default"/>
          <w:color w:val="000000" w:themeColor="text1"/>
          <w:highlight w:val="none"/>
          <w:lang w:val="en-US" w:eastAsia="zh-CN"/>
          <w14:textFill>
            <w14:solidFill>
              <w14:schemeClr w14:val="tx1"/>
            </w14:solidFill>
          </w14:textFill>
        </w:rPr>
        <w:t>分析</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659"/>
        <w:gridCol w:w="881"/>
        <w:gridCol w:w="4533"/>
        <w:gridCol w:w="1816"/>
        <w:gridCol w:w="1182"/>
      </w:tblGrid>
      <w:tr w14:paraId="5D3C8C3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540" w:type="dxa"/>
            <w:gridSpan w:val="2"/>
            <w:tcBorders>
              <w:bottom w:val="single" w:color="000000" w:sz="12" w:space="0"/>
            </w:tcBorders>
            <w:vAlign w:val="center"/>
          </w:tcPr>
          <w:p w14:paraId="45890678">
            <w:pPr>
              <w:pStyle w:val="26"/>
              <w:bidi w:val="0"/>
              <w:rPr>
                <w:b/>
                <w:bCs/>
                <w:color w:val="000000" w:themeColor="text1"/>
                <w:highlight w:val="none"/>
                <w14:textFill>
                  <w14:solidFill>
                    <w14:schemeClr w14:val="tx1"/>
                  </w14:solidFill>
                </w14:textFill>
              </w:rPr>
            </w:pPr>
            <w:r>
              <w:rPr>
                <w:rFonts w:hint="default"/>
                <w:b/>
                <w:bCs/>
                <w:color w:val="000000" w:themeColor="text1"/>
                <w:highlight w:val="none"/>
                <w14:textFill>
                  <w14:solidFill>
                    <w14:schemeClr w14:val="tx1"/>
                  </w14:solidFill>
                </w14:textFill>
              </w:rPr>
              <w:t>管控维度</w:t>
            </w:r>
          </w:p>
        </w:tc>
        <w:tc>
          <w:tcPr>
            <w:tcW w:w="4533" w:type="dxa"/>
            <w:tcBorders>
              <w:bottom w:val="single" w:color="000000" w:sz="12" w:space="0"/>
            </w:tcBorders>
            <w:vAlign w:val="center"/>
          </w:tcPr>
          <w:p w14:paraId="094C6E91">
            <w:pPr>
              <w:pStyle w:val="26"/>
              <w:bidi w:val="0"/>
              <w:rPr>
                <w:b/>
                <w:bCs/>
                <w:color w:val="000000" w:themeColor="text1"/>
                <w:highlight w:val="none"/>
                <w14:textFill>
                  <w14:solidFill>
                    <w14:schemeClr w14:val="tx1"/>
                  </w14:solidFill>
                </w14:textFill>
              </w:rPr>
            </w:pPr>
            <w:r>
              <w:rPr>
                <w:rFonts w:hint="default"/>
                <w:b/>
                <w:bCs/>
                <w:color w:val="000000" w:themeColor="text1"/>
                <w:highlight w:val="none"/>
                <w14:textFill>
                  <w14:solidFill>
                    <w14:schemeClr w14:val="tx1"/>
                  </w14:solidFill>
                </w14:textFill>
              </w:rPr>
              <w:t>管控要求</w:t>
            </w:r>
          </w:p>
        </w:tc>
        <w:tc>
          <w:tcPr>
            <w:tcW w:w="1816" w:type="dxa"/>
            <w:tcBorders>
              <w:bottom w:val="single" w:color="000000" w:sz="12" w:space="0"/>
            </w:tcBorders>
            <w:vAlign w:val="center"/>
          </w:tcPr>
          <w:p w14:paraId="7397F7CF">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本项目建设情况</w:t>
            </w:r>
          </w:p>
        </w:tc>
        <w:tc>
          <w:tcPr>
            <w:tcW w:w="1182" w:type="dxa"/>
            <w:tcBorders>
              <w:bottom w:val="single" w:color="000000" w:sz="12" w:space="0"/>
            </w:tcBorders>
            <w:vAlign w:val="center"/>
          </w:tcPr>
          <w:p w14:paraId="5DED78F9">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是否符合</w:t>
            </w:r>
          </w:p>
        </w:tc>
      </w:tr>
      <w:tr w14:paraId="437A53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restart"/>
            <w:tcBorders>
              <w:top w:val="single" w:color="000000" w:sz="12" w:space="0"/>
              <w:tl2br w:val="nil"/>
              <w:tr2bl w:val="nil"/>
            </w:tcBorders>
            <w:vAlign w:val="center"/>
          </w:tcPr>
          <w:p w14:paraId="1C20EF97">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A1空间布局约束</w:t>
            </w:r>
          </w:p>
        </w:tc>
        <w:tc>
          <w:tcPr>
            <w:tcW w:w="881" w:type="dxa"/>
            <w:vMerge w:val="restart"/>
            <w:tcBorders>
              <w:top w:val="single" w:color="000000" w:sz="12" w:space="0"/>
              <w:tl2br w:val="nil"/>
              <w:tr2bl w:val="nil"/>
            </w:tcBorders>
            <w:vAlign w:val="center"/>
          </w:tcPr>
          <w:p w14:paraId="3A01D399">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A1.1禁止开发建设的活动</w:t>
            </w:r>
          </w:p>
        </w:tc>
        <w:tc>
          <w:tcPr>
            <w:tcW w:w="4533" w:type="dxa"/>
            <w:tcBorders>
              <w:top w:val="single" w:color="000000" w:sz="12" w:space="0"/>
              <w:tl2br w:val="nil"/>
              <w:tr2bl w:val="nil"/>
            </w:tcBorders>
            <w:vAlign w:val="center"/>
          </w:tcPr>
          <w:p w14:paraId="608683A7">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〔A1.1-1〕禁止新建、扩建《产业结构调整指导目录</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2024年本</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》中淘汰类项目。禁止引入《市场准入负面清单</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2022年版</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》禁止准入类事项。</w:t>
            </w:r>
          </w:p>
        </w:tc>
        <w:tc>
          <w:tcPr>
            <w:tcW w:w="1816" w:type="dxa"/>
            <w:tcBorders>
              <w:top w:val="single" w:color="000000" w:sz="12" w:space="0"/>
              <w:tl2br w:val="nil"/>
              <w:tr2bl w:val="nil"/>
            </w:tcBorders>
            <w:noWrap/>
            <w:vAlign w:val="center"/>
          </w:tcPr>
          <w:p w14:paraId="4F0A6AA4">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本项目不属于《产业结构调整指导目录</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2024年本</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》中淘汰类项目</w:t>
            </w:r>
          </w:p>
        </w:tc>
        <w:tc>
          <w:tcPr>
            <w:tcW w:w="1182" w:type="dxa"/>
            <w:tcBorders>
              <w:top w:val="single" w:color="000000" w:sz="12" w:space="0"/>
              <w:tl2br w:val="nil"/>
              <w:tr2bl w:val="nil"/>
            </w:tcBorders>
            <w:noWrap/>
            <w:vAlign w:val="center"/>
          </w:tcPr>
          <w:p w14:paraId="05595AD3">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17F657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3E07622D">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37E23A06">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395A8E8E">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〔A1.1-2〕禁止建设不符合国家和自治区环境保护标准的项目。</w:t>
            </w:r>
          </w:p>
        </w:tc>
        <w:tc>
          <w:tcPr>
            <w:tcW w:w="1816" w:type="dxa"/>
            <w:tcBorders>
              <w:tl2br w:val="nil"/>
              <w:tr2bl w:val="nil"/>
            </w:tcBorders>
            <w:noWrap/>
            <w:vAlign w:val="center"/>
          </w:tcPr>
          <w:p w14:paraId="72FDDB48">
            <w:pPr>
              <w:pStyle w:val="26"/>
              <w:bidi w:val="0"/>
              <w:jc w:val="both"/>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本项目不属于不符合国家和自治区环境保护标准的项目</w:t>
            </w:r>
          </w:p>
        </w:tc>
        <w:tc>
          <w:tcPr>
            <w:tcW w:w="1182" w:type="dxa"/>
            <w:tcBorders>
              <w:tl2br w:val="nil"/>
              <w:tr2bl w:val="nil"/>
            </w:tcBorders>
            <w:noWrap/>
            <w:vAlign w:val="center"/>
          </w:tcPr>
          <w:p w14:paraId="29B086E6">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0D1AE2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514FFD62">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62EA578B">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256D3A66">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〔A1.1-6〕禁止在自治区行政区域内引进能</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水</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耗不符合相关国家标准中准入值要求且污染物排放和环境风险防控不符合国家</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地方</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标准及有关产业准入条件的高污染</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排放</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、高能</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水</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耗、高环境风险的工业项目。</w:t>
            </w:r>
          </w:p>
        </w:tc>
        <w:tc>
          <w:tcPr>
            <w:tcW w:w="1816" w:type="dxa"/>
            <w:tcBorders>
              <w:tl2br w:val="nil"/>
              <w:tr2bl w:val="nil"/>
            </w:tcBorders>
            <w:noWrap/>
            <w:vAlign w:val="center"/>
          </w:tcPr>
          <w:p w14:paraId="7680EF2A">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本项目不属于高污染</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排放</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、高能</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水</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耗、高环境风险的工业项目</w:t>
            </w:r>
          </w:p>
        </w:tc>
        <w:tc>
          <w:tcPr>
            <w:tcW w:w="1182" w:type="dxa"/>
            <w:tcBorders>
              <w:tl2br w:val="nil"/>
              <w:tr2bl w:val="nil"/>
            </w:tcBorders>
            <w:noWrap/>
            <w:vAlign w:val="center"/>
          </w:tcPr>
          <w:p w14:paraId="2FEE84F3">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2FA656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2FD4DB3C">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37E69110">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6A1C15BB">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1.1-7〕①坚决遏制高耗能高排放低水平项目盲目发展。严把高耗能高排放低水平项目准入关口，严格落实污染物排放区域削减要求，对不符合规定的项目坚决停批停建。依法依规淘汰落后产能和化解过剩产能。②重点行业企业纳入重污染天气绩效分级，制定“一厂一策”应急减排清单，实现应纳尽纳；引导重点企业在秋冬季安排停产检修计划，减少冬季和采暖期排放。推进重点行业深度治理，实施全工况脱硫脱硝提标改造，加大无组织排放治理力度，深度开展工业炉窑综合整治，全面提升电解铝、活性炭、硅冶炼、纯碱、电石、聚氯乙烯、石化等行业污染治理水平。</w:t>
            </w:r>
          </w:p>
        </w:tc>
        <w:tc>
          <w:tcPr>
            <w:tcW w:w="1816" w:type="dxa"/>
            <w:tcBorders>
              <w:tl2br w:val="nil"/>
              <w:tr2bl w:val="nil"/>
            </w:tcBorders>
            <w:noWrap/>
            <w:vAlign w:val="center"/>
          </w:tcPr>
          <w:p w14:paraId="15826C7E">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本项目不属于高耗能高排放低水平项目</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投产后</w:t>
            </w:r>
            <w:r>
              <w:rPr>
                <w:color w:val="000000" w:themeColor="text1"/>
                <w:highlight w:val="none"/>
                <w14:textFill>
                  <w14:solidFill>
                    <w14:schemeClr w14:val="tx1"/>
                  </w14:solidFill>
                </w14:textFill>
              </w:rPr>
              <w:t>重污染天气绩效分级，制定“一厂一策”应急减排清单</w:t>
            </w:r>
          </w:p>
        </w:tc>
        <w:tc>
          <w:tcPr>
            <w:tcW w:w="1182" w:type="dxa"/>
            <w:tcBorders>
              <w:tl2br w:val="nil"/>
              <w:tr2bl w:val="nil"/>
            </w:tcBorders>
            <w:noWrap/>
            <w:vAlign w:val="center"/>
          </w:tcPr>
          <w:p w14:paraId="684A39D7">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7CE04E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32068035">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1977D1BF">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3F413112">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〔A1.1-8〕严格执行危险化学品“禁限控”目录，新建危险化学品生产项目必须进入一般或较低安全风险的化工园区</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与其他行业生产装置配套建设的项目除外</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引导其他石化化工项目在化工园区发展。</w:t>
            </w:r>
          </w:p>
        </w:tc>
        <w:tc>
          <w:tcPr>
            <w:tcW w:w="1816" w:type="dxa"/>
            <w:tcBorders>
              <w:tl2br w:val="nil"/>
              <w:tr2bl w:val="nil"/>
            </w:tcBorders>
            <w:noWrap/>
            <w:vAlign w:val="center"/>
          </w:tcPr>
          <w:p w14:paraId="4A7F6243">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本项目不涉及危险化学品生产</w:t>
            </w:r>
          </w:p>
        </w:tc>
        <w:tc>
          <w:tcPr>
            <w:tcW w:w="1182" w:type="dxa"/>
            <w:tcBorders>
              <w:tl2br w:val="nil"/>
              <w:tr2bl w:val="nil"/>
            </w:tcBorders>
            <w:noWrap/>
            <w:vAlign w:val="center"/>
          </w:tcPr>
          <w:p w14:paraId="6BA22FE6">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2BAF11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06121017">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5A3C2A9F">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52215458">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〔A1.1-9〕严禁新建自治区《禁止、控制和限制危险化学品目录》中淘汰类、禁止类危险化学品化工项目。严格执行生态保护红线、永久基本农田管控要求，禁止新</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改、扩</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建化工项目违规占用生态保护红线和永久基本农田。在塔里木河、伊犁河、额尔齐斯河干流及主要支流岸线1公里范围内，除提升安全、环保、节能、智能化、产品质量水平的技术改造项目外，严格禁止新建、扩建化工项目，不得布局新的化工园区</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含化工集中区</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w:t>
            </w:r>
          </w:p>
        </w:tc>
        <w:tc>
          <w:tcPr>
            <w:tcW w:w="1816" w:type="dxa"/>
            <w:tcBorders>
              <w:tl2br w:val="nil"/>
              <w:tr2bl w:val="nil"/>
            </w:tcBorders>
            <w:noWrap/>
            <w:vAlign w:val="center"/>
          </w:tcPr>
          <w:p w14:paraId="716EAFB0">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不属于</w:t>
            </w:r>
            <w:r>
              <w:rPr>
                <w:color w:val="000000" w:themeColor="text1"/>
                <w:highlight w:val="none"/>
                <w14:textFill>
                  <w14:solidFill>
                    <w14:schemeClr w14:val="tx1"/>
                  </w14:solidFill>
                </w14:textFill>
              </w:rPr>
              <w:t>自治区《禁止、控制和限制危险化学品目录》中淘汰类、禁止类危险化学品化工项目</w:t>
            </w:r>
          </w:p>
        </w:tc>
        <w:tc>
          <w:tcPr>
            <w:tcW w:w="1182" w:type="dxa"/>
            <w:tcBorders>
              <w:tl2br w:val="nil"/>
              <w:tr2bl w:val="nil"/>
            </w:tcBorders>
            <w:noWrap/>
            <w:vAlign w:val="center"/>
          </w:tcPr>
          <w:p w14:paraId="6B7447D7">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07DC47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1C8727FE">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3D0957D0">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20348A1B">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〔A1.1-10〕推动涉重金属产业集中优化发展，禁止新建用汞的电石法</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聚</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氯乙烯生产工艺，新建、扩建的重有色金属冶炼、电镀、制革企业优先选择布设在依法合规设立并依法开展规划环境影响评价的产业园区。</w:t>
            </w:r>
          </w:p>
        </w:tc>
        <w:tc>
          <w:tcPr>
            <w:tcW w:w="1816" w:type="dxa"/>
            <w:tcBorders>
              <w:tl2br w:val="nil"/>
              <w:tr2bl w:val="nil"/>
            </w:tcBorders>
            <w:noWrap/>
            <w:vAlign w:val="center"/>
          </w:tcPr>
          <w:p w14:paraId="3B01CE9F">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本项目不涉及重金属生产工艺</w:t>
            </w:r>
          </w:p>
        </w:tc>
        <w:tc>
          <w:tcPr>
            <w:tcW w:w="1182" w:type="dxa"/>
            <w:tcBorders>
              <w:tl2br w:val="nil"/>
              <w:tr2bl w:val="nil"/>
            </w:tcBorders>
            <w:noWrap/>
            <w:vAlign w:val="center"/>
          </w:tcPr>
          <w:p w14:paraId="14804C1C">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433E88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4F21D291">
            <w:pPr>
              <w:pStyle w:val="26"/>
              <w:bidi w:val="0"/>
              <w:rPr>
                <w:color w:val="000000" w:themeColor="text1"/>
                <w:highlight w:val="none"/>
                <w14:textFill>
                  <w14:solidFill>
                    <w14:schemeClr w14:val="tx1"/>
                  </w14:solidFill>
                </w14:textFill>
              </w:rPr>
            </w:pPr>
          </w:p>
        </w:tc>
        <w:tc>
          <w:tcPr>
            <w:tcW w:w="881" w:type="dxa"/>
            <w:vMerge w:val="restart"/>
            <w:tcBorders>
              <w:tl2br w:val="nil"/>
              <w:tr2bl w:val="nil"/>
            </w:tcBorders>
            <w:vAlign w:val="center"/>
          </w:tcPr>
          <w:p w14:paraId="1C4869D8">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A1.2限制开发建设的活动</w:t>
            </w:r>
          </w:p>
        </w:tc>
        <w:tc>
          <w:tcPr>
            <w:tcW w:w="4533" w:type="dxa"/>
            <w:tcBorders>
              <w:tl2br w:val="nil"/>
              <w:tr2bl w:val="nil"/>
            </w:tcBorders>
            <w:vAlign w:val="center"/>
          </w:tcPr>
          <w:p w14:paraId="68E3DE12">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〔A1.2-1〕严格控制缺水地区、水污染严重区域和敏感区域高耗水、高污染行业发展。</w:t>
            </w:r>
          </w:p>
        </w:tc>
        <w:tc>
          <w:tcPr>
            <w:tcW w:w="1816" w:type="dxa"/>
            <w:tcBorders>
              <w:tl2br w:val="nil"/>
              <w:tr2bl w:val="nil"/>
            </w:tcBorders>
            <w:noWrap/>
            <w:vAlign w:val="center"/>
          </w:tcPr>
          <w:p w14:paraId="764BC80A">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本项目不属于高耗水、高污染行业</w:t>
            </w:r>
          </w:p>
        </w:tc>
        <w:tc>
          <w:tcPr>
            <w:tcW w:w="1182" w:type="dxa"/>
            <w:tcBorders>
              <w:tl2br w:val="nil"/>
              <w:tr2bl w:val="nil"/>
            </w:tcBorders>
            <w:noWrap/>
            <w:vAlign w:val="center"/>
          </w:tcPr>
          <w:p w14:paraId="30529431">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3EF5E4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17C4C634">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05A372A0">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099D9DDF">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1816" w:type="dxa"/>
            <w:tcBorders>
              <w:tl2br w:val="nil"/>
              <w:tr2bl w:val="nil"/>
            </w:tcBorders>
            <w:noWrap/>
            <w:vAlign w:val="center"/>
          </w:tcPr>
          <w:p w14:paraId="58992137">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不</w:t>
            </w:r>
            <w:r>
              <w:rPr>
                <w:color w:val="000000" w:themeColor="text1"/>
                <w:highlight w:val="none"/>
                <w14:textFill>
                  <w14:solidFill>
                    <w14:schemeClr w14:val="tx1"/>
                  </w14:solidFill>
                </w14:textFill>
              </w:rPr>
              <w:t>占用永久基本农田</w:t>
            </w:r>
          </w:p>
        </w:tc>
        <w:tc>
          <w:tcPr>
            <w:tcW w:w="1182" w:type="dxa"/>
            <w:tcBorders>
              <w:tl2br w:val="nil"/>
              <w:tr2bl w:val="nil"/>
            </w:tcBorders>
            <w:noWrap/>
            <w:vAlign w:val="center"/>
          </w:tcPr>
          <w:p w14:paraId="713C2186">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59D69A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599DC0AB">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4838CA04">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4B7A8F4E">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〔A1.2-3〕以用途变更为住宅、公共管理与公共服务用地的地块为重点，严格建设用地准入管理和风险管控，未依法完成土壤污染状况调查或风险评估的地块，不得开工建设与风险管控和修复无关的项目。</w:t>
            </w:r>
          </w:p>
        </w:tc>
        <w:tc>
          <w:tcPr>
            <w:tcW w:w="1816" w:type="dxa"/>
            <w:tcBorders>
              <w:tl2br w:val="nil"/>
              <w:tr2bl w:val="nil"/>
            </w:tcBorders>
            <w:noWrap/>
            <w:vAlign w:val="center"/>
          </w:tcPr>
          <w:p w14:paraId="122BB4AB">
            <w:pPr>
              <w:pStyle w:val="26"/>
              <w:bidi w:val="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用地为工业用地</w:t>
            </w:r>
          </w:p>
        </w:tc>
        <w:tc>
          <w:tcPr>
            <w:tcW w:w="1182" w:type="dxa"/>
            <w:tcBorders>
              <w:tl2br w:val="nil"/>
              <w:tr2bl w:val="nil"/>
            </w:tcBorders>
            <w:noWrap/>
            <w:vAlign w:val="center"/>
          </w:tcPr>
          <w:p w14:paraId="489ACFD6">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6310303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633241FE">
            <w:pPr>
              <w:pStyle w:val="26"/>
              <w:bidi w:val="0"/>
              <w:rPr>
                <w:color w:val="000000" w:themeColor="text1"/>
                <w:highlight w:val="none"/>
                <w14:textFill>
                  <w14:solidFill>
                    <w14:schemeClr w14:val="tx1"/>
                  </w14:solidFill>
                </w14:textFill>
              </w:rPr>
            </w:pPr>
          </w:p>
        </w:tc>
        <w:tc>
          <w:tcPr>
            <w:tcW w:w="881" w:type="dxa"/>
            <w:vMerge w:val="restart"/>
            <w:tcBorders>
              <w:tl2br w:val="nil"/>
              <w:tr2bl w:val="nil"/>
            </w:tcBorders>
            <w:vAlign w:val="center"/>
          </w:tcPr>
          <w:p w14:paraId="118D3CC6">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A1.4</w:t>
            </w:r>
            <w:r>
              <w:rPr>
                <w:rFonts w:hint="eastAsia"/>
                <w:color w:val="000000" w:themeColor="text1"/>
                <w:highlight w:val="none"/>
                <w:lang w:eastAsia="zh-CN"/>
                <w14:textFill>
                  <w14:solidFill>
                    <w14:schemeClr w14:val="tx1"/>
                  </w14:solidFill>
                </w14:textFill>
              </w:rPr>
              <w:t>其他</w:t>
            </w:r>
            <w:r>
              <w:rPr>
                <w:color w:val="000000" w:themeColor="text1"/>
                <w:highlight w:val="none"/>
                <w14:textFill>
                  <w14:solidFill>
                    <w14:schemeClr w14:val="tx1"/>
                  </w14:solidFill>
                </w14:textFill>
              </w:rPr>
              <w:t>布局要求</w:t>
            </w:r>
          </w:p>
        </w:tc>
        <w:tc>
          <w:tcPr>
            <w:tcW w:w="4533" w:type="dxa"/>
            <w:tcBorders>
              <w:tl2br w:val="nil"/>
              <w:tr2bl w:val="nil"/>
            </w:tcBorders>
            <w:vAlign w:val="center"/>
          </w:tcPr>
          <w:p w14:paraId="49257DF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1816" w:type="dxa"/>
            <w:tcBorders>
              <w:tl2br w:val="nil"/>
              <w:tr2bl w:val="nil"/>
            </w:tcBorders>
            <w:noWrap/>
            <w:vAlign w:val="center"/>
          </w:tcPr>
          <w:p w14:paraId="77172628">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本项目符合国家、自治区主体功能区规划、自治区和各地颁布实施的生态环境功能区划、国民经济发展规划、产业发展规划、国土空间规划等相关规划及重点生态功能区负面清单要求</w:t>
            </w:r>
            <w:r>
              <w:rPr>
                <w:rFonts w:hint="eastAsia"/>
                <w:color w:val="000000" w:themeColor="text1"/>
                <w:highlight w:val="none"/>
                <w:lang w:eastAsia="zh-CN"/>
                <w14:textFill>
                  <w14:solidFill>
                    <w14:schemeClr w14:val="tx1"/>
                  </w14:solidFill>
                </w14:textFill>
              </w:rPr>
              <w:t>。</w:t>
            </w:r>
          </w:p>
        </w:tc>
        <w:tc>
          <w:tcPr>
            <w:tcW w:w="1182" w:type="dxa"/>
            <w:tcBorders>
              <w:tl2br w:val="nil"/>
              <w:tr2bl w:val="nil"/>
            </w:tcBorders>
            <w:noWrap/>
            <w:vAlign w:val="center"/>
          </w:tcPr>
          <w:p w14:paraId="2F031ED0">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13A629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4836489C">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44D07A1E">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6A0F01EF">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〔A1.4-2〕新建、扩建石化、化工、焦化、有色金属冶炼、平板玻璃项目应布设在依法合规设立并经规划环评的产业园区。</w:t>
            </w:r>
          </w:p>
        </w:tc>
        <w:tc>
          <w:tcPr>
            <w:tcW w:w="1816" w:type="dxa"/>
            <w:tcBorders>
              <w:tl2br w:val="nil"/>
              <w:tr2bl w:val="nil"/>
            </w:tcBorders>
            <w:noWrap/>
            <w:vAlign w:val="center"/>
          </w:tcPr>
          <w:p w14:paraId="3E9721A3">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位于昌吉高新区，园区</w:t>
            </w:r>
            <w:r>
              <w:rPr>
                <w:color w:val="000000" w:themeColor="text1"/>
                <w:highlight w:val="none"/>
                <w14:textFill>
                  <w14:solidFill>
                    <w14:schemeClr w14:val="tx1"/>
                  </w14:solidFill>
                </w14:textFill>
              </w:rPr>
              <w:t>依法合规设立并经规划环评</w:t>
            </w:r>
          </w:p>
        </w:tc>
        <w:tc>
          <w:tcPr>
            <w:tcW w:w="1182" w:type="dxa"/>
            <w:tcBorders>
              <w:tl2br w:val="nil"/>
              <w:tr2bl w:val="nil"/>
            </w:tcBorders>
            <w:noWrap/>
            <w:vAlign w:val="center"/>
          </w:tcPr>
          <w:p w14:paraId="0ED227BA">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187F25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1BF7B9B0">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308D8C7A">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38A60C0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1.4-3〕危险化学品生产企业搬迁改造及新建化工项目必须进入国家及自治区各级人民政府正式批准设立，规划环评通过审查，规划通过审批且环保基础设施完善的工业园区，并符合国土空间规划、产业发展规划和生态红线管控要求。</w:t>
            </w:r>
          </w:p>
        </w:tc>
        <w:tc>
          <w:tcPr>
            <w:tcW w:w="1816" w:type="dxa"/>
            <w:tcBorders>
              <w:tl2br w:val="nil"/>
              <w:tr2bl w:val="nil"/>
            </w:tcBorders>
            <w:noWrap/>
            <w:vAlign w:val="center"/>
          </w:tcPr>
          <w:p w14:paraId="5AFA337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不属于</w:t>
            </w:r>
            <w:r>
              <w:rPr>
                <w:color w:val="000000" w:themeColor="text1"/>
                <w:highlight w:val="none"/>
                <w14:textFill>
                  <w14:solidFill>
                    <w14:schemeClr w14:val="tx1"/>
                  </w14:solidFill>
                </w14:textFill>
              </w:rPr>
              <w:t>危险化学品生产企业</w:t>
            </w:r>
          </w:p>
        </w:tc>
        <w:tc>
          <w:tcPr>
            <w:tcW w:w="1182" w:type="dxa"/>
            <w:tcBorders>
              <w:tl2br w:val="nil"/>
              <w:tr2bl w:val="nil"/>
            </w:tcBorders>
            <w:noWrap/>
            <w:vAlign w:val="center"/>
          </w:tcPr>
          <w:p w14:paraId="4823569F">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2B24D2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restart"/>
            <w:tcBorders>
              <w:tl2br w:val="nil"/>
              <w:tr2bl w:val="nil"/>
            </w:tcBorders>
            <w:vAlign w:val="center"/>
          </w:tcPr>
          <w:p w14:paraId="07C733DB">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A2污染物排放管控</w:t>
            </w:r>
          </w:p>
        </w:tc>
        <w:tc>
          <w:tcPr>
            <w:tcW w:w="881" w:type="dxa"/>
            <w:vMerge w:val="restart"/>
            <w:tcBorders>
              <w:tl2br w:val="nil"/>
              <w:tr2bl w:val="nil"/>
            </w:tcBorders>
            <w:vAlign w:val="center"/>
          </w:tcPr>
          <w:p w14:paraId="78701D15">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A2.1污染物削减/替代要求</w:t>
            </w:r>
          </w:p>
        </w:tc>
        <w:tc>
          <w:tcPr>
            <w:tcW w:w="4533" w:type="dxa"/>
            <w:tcBorders>
              <w:tl2br w:val="nil"/>
              <w:tr2bl w:val="nil"/>
            </w:tcBorders>
            <w:vAlign w:val="center"/>
          </w:tcPr>
          <w:p w14:paraId="36E3F21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2.1-1〕新、改、扩建重点行业建设项目应符合“三线一单”、产业政策、区域环评、规划环评和行业环境准入管控要求。重点区域的新、改、扩建重点行业建设项目应遵循重点重金属污染物排放“减量替代”原则。</w:t>
            </w:r>
          </w:p>
        </w:tc>
        <w:tc>
          <w:tcPr>
            <w:tcW w:w="1816" w:type="dxa"/>
            <w:tcBorders>
              <w:tl2br w:val="nil"/>
              <w:tr2bl w:val="nil"/>
            </w:tcBorders>
            <w:noWrap/>
            <w:vAlign w:val="center"/>
          </w:tcPr>
          <w:p w14:paraId="3735AE86">
            <w:pPr>
              <w:pStyle w:val="26"/>
              <w:bidi w:val="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符合园区规划及规划环评要求</w:t>
            </w:r>
          </w:p>
        </w:tc>
        <w:tc>
          <w:tcPr>
            <w:tcW w:w="1182" w:type="dxa"/>
            <w:tcBorders>
              <w:tl2br w:val="nil"/>
              <w:tr2bl w:val="nil"/>
            </w:tcBorders>
            <w:noWrap/>
            <w:vAlign w:val="center"/>
          </w:tcPr>
          <w:p w14:paraId="3403EA53">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6BBCD4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7C9529AE">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2616FB8B">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37D96460">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〔A2.1-2〕以石化、化工、涂装、医药、包装印刷、油品储运销等行业领域为重点，安全高效推进挥发性有机物综合治理，实施原辅材料和产品源头替代工程。</w:t>
            </w:r>
          </w:p>
        </w:tc>
        <w:tc>
          <w:tcPr>
            <w:tcW w:w="1816" w:type="dxa"/>
            <w:tcBorders>
              <w:tl2br w:val="nil"/>
              <w:tr2bl w:val="nil"/>
            </w:tcBorders>
            <w:noWrap/>
            <w:vAlign w:val="center"/>
          </w:tcPr>
          <w:p w14:paraId="0BB41A2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本项目挥发性有机物</w:t>
            </w:r>
            <w:r>
              <w:rPr>
                <w:rFonts w:hint="eastAsia"/>
                <w:color w:val="000000" w:themeColor="text1"/>
                <w:highlight w:val="none"/>
                <w:lang w:val="en-US" w:eastAsia="zh-CN"/>
                <w14:textFill>
                  <w14:solidFill>
                    <w14:schemeClr w14:val="tx1"/>
                  </w14:solidFill>
                </w14:textFill>
              </w:rPr>
              <w:t>进行</w:t>
            </w:r>
            <w:r>
              <w:rPr>
                <w:color w:val="000000" w:themeColor="text1"/>
                <w:highlight w:val="none"/>
                <w14:textFill>
                  <w14:solidFill>
                    <w14:schemeClr w14:val="tx1"/>
                  </w14:solidFill>
                </w14:textFill>
              </w:rPr>
              <w:t>综合治理</w:t>
            </w:r>
          </w:p>
        </w:tc>
        <w:tc>
          <w:tcPr>
            <w:tcW w:w="1182" w:type="dxa"/>
            <w:tcBorders>
              <w:tl2br w:val="nil"/>
              <w:tr2bl w:val="nil"/>
            </w:tcBorders>
            <w:noWrap/>
            <w:vAlign w:val="center"/>
          </w:tcPr>
          <w:p w14:paraId="127D547F">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59E2DF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7699F7EC">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57484F2C">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34AE52C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2.1-3〕促进大气污染物与温室气体协同控制。实施污染物和温室气体协同控制，实现减污降碳协同效应。开展工业、农业温室气体和污染减排协同控制研究，减少温室气体和污染物排放。强化污水、垃圾等集中处置设施环境管理，协同控制氢氟碳化物、甲烷、氧化亚氮等温室气体。加强节约能源与大气污染防治协同有效衔接，促进大气污染防治协同增效。</w:t>
            </w:r>
          </w:p>
        </w:tc>
        <w:tc>
          <w:tcPr>
            <w:tcW w:w="1816" w:type="dxa"/>
            <w:tcBorders>
              <w:tl2br w:val="nil"/>
              <w:tr2bl w:val="nil"/>
            </w:tcBorders>
            <w:noWrap/>
            <w:vAlign w:val="center"/>
          </w:tcPr>
          <w:p w14:paraId="73E9D9F7">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本项目实施污染物和温室气体协同控制</w:t>
            </w:r>
          </w:p>
        </w:tc>
        <w:tc>
          <w:tcPr>
            <w:tcW w:w="1182" w:type="dxa"/>
            <w:tcBorders>
              <w:tl2br w:val="nil"/>
              <w:tr2bl w:val="nil"/>
            </w:tcBorders>
            <w:noWrap/>
            <w:vAlign w:val="center"/>
          </w:tcPr>
          <w:p w14:paraId="2AD44648">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2E4AFE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222E288F">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02BF7AA8">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22A0F566">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〔A2.1-4〕严控建材、铸造、冶炼等行业无组织排放，推进石化、化工、涂装、医药、包装印刷、油品储运销等行业项目挥发性有机物</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VOCs</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防治。严格有色金属冶炼、石油加工、化工、焦化等行业项目的土壤、地下水污染防治措施要求。推进工业园区和企业集群建设涉VOCs“绿岛”项目，统筹规划建设一批集中涂装中心、活性炭集中处理中心、溶剂回收中心等，实现VOCs集中高效处理。</w:t>
            </w:r>
          </w:p>
        </w:tc>
        <w:tc>
          <w:tcPr>
            <w:tcW w:w="1816" w:type="dxa"/>
            <w:tcBorders>
              <w:tl2br w:val="nil"/>
              <w:tr2bl w:val="nil"/>
            </w:tcBorders>
            <w:noWrap/>
            <w:vAlign w:val="center"/>
          </w:tcPr>
          <w:p w14:paraId="02C36B2C">
            <w:pPr>
              <w:pStyle w:val="26"/>
              <w:bidi w:val="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挥发性有机物产生量极少</w:t>
            </w:r>
          </w:p>
        </w:tc>
        <w:tc>
          <w:tcPr>
            <w:tcW w:w="1182" w:type="dxa"/>
            <w:tcBorders>
              <w:tl2br w:val="nil"/>
              <w:tr2bl w:val="nil"/>
            </w:tcBorders>
            <w:noWrap/>
            <w:vAlign w:val="center"/>
          </w:tcPr>
          <w:p w14:paraId="6F04B826">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58C72C3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27EF1149">
            <w:pPr>
              <w:pStyle w:val="26"/>
              <w:bidi w:val="0"/>
              <w:rPr>
                <w:color w:val="000000" w:themeColor="text1"/>
                <w:highlight w:val="none"/>
                <w14:textFill>
                  <w14:solidFill>
                    <w14:schemeClr w14:val="tx1"/>
                  </w14:solidFill>
                </w14:textFill>
              </w:rPr>
            </w:pPr>
          </w:p>
        </w:tc>
        <w:tc>
          <w:tcPr>
            <w:tcW w:w="881" w:type="dxa"/>
            <w:vMerge w:val="restart"/>
            <w:tcBorders>
              <w:tl2br w:val="nil"/>
              <w:tr2bl w:val="nil"/>
            </w:tcBorders>
            <w:vAlign w:val="center"/>
          </w:tcPr>
          <w:p w14:paraId="3F7E240C">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A2.2污染控制措施要求</w:t>
            </w:r>
          </w:p>
        </w:tc>
        <w:tc>
          <w:tcPr>
            <w:tcW w:w="4533" w:type="dxa"/>
            <w:tcBorders>
              <w:tl2br w:val="nil"/>
              <w:tr2bl w:val="nil"/>
            </w:tcBorders>
            <w:vAlign w:val="center"/>
          </w:tcPr>
          <w:p w14:paraId="7B9A07B9">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2.2-1〕推动能源、钢铁、建材、有色、电力、化工等重点领域技术升级，控制工业过程温室气体排放，推动工业领域绿色低碳发展。积极鼓励发展二氧化碳捕集利用与封存等低碳技术。促进大气污染物与温室气体协同控制。实施污染物和温室气体协同控制，实现减污降碳协同效应。强化污水、垃圾等集中处置设施环境管理，协同控制氢氟碳化物、甲烷、氧化亚氮等温室气体。加强节约能源与大气污染防治协同有效衔接，促进大气污染防治协同增效。</w:t>
            </w:r>
          </w:p>
        </w:tc>
        <w:tc>
          <w:tcPr>
            <w:tcW w:w="1816" w:type="dxa"/>
            <w:tcBorders>
              <w:tl2br w:val="nil"/>
              <w:tr2bl w:val="nil"/>
            </w:tcBorders>
            <w:noWrap/>
            <w:vAlign w:val="center"/>
          </w:tcPr>
          <w:p w14:paraId="753710FA">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本项目实施污染物和温室气体协同控制</w:t>
            </w:r>
          </w:p>
        </w:tc>
        <w:tc>
          <w:tcPr>
            <w:tcW w:w="1182" w:type="dxa"/>
            <w:tcBorders>
              <w:tl2br w:val="nil"/>
              <w:tr2bl w:val="nil"/>
            </w:tcBorders>
            <w:noWrap/>
            <w:vAlign w:val="center"/>
          </w:tcPr>
          <w:p w14:paraId="18D48D59">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124996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702199A0">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0DEAE8F2">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5BF0B9BA">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2.2-2〕实施重点行业氮氧化物等污染物深度治理。持续推进钢铁、水泥、焦化行业超低排放改造。推进玻璃、陶瓷、铸造、铁合金、有色、煤化和石化等行业采取清洁生产、提标改造、深度治理等综合措施。加强自备燃煤机组污染治理设施运行管控，确保按照超低排放标准运行。针对铸造、铁合金、焦化、水泥、砖瓦、石灰、耐火材料、金属冶炼以及煤化工、石油化工等行业，严格控制物料储存、输送及生产工艺过程无组织排放。重点涉气排放企业逐步取消烟气旁路，因安全生产无法取消的，安装在线监控系统。</w:t>
            </w:r>
          </w:p>
        </w:tc>
        <w:tc>
          <w:tcPr>
            <w:tcW w:w="1816" w:type="dxa"/>
            <w:tcBorders>
              <w:tl2br w:val="nil"/>
              <w:tr2bl w:val="nil"/>
            </w:tcBorders>
            <w:noWrap/>
            <w:vAlign w:val="center"/>
          </w:tcPr>
          <w:p w14:paraId="39079E3F">
            <w:pPr>
              <w:pStyle w:val="26"/>
              <w:bidi w:val="0"/>
              <w:jc w:val="both"/>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本项目不涉及钢铁、水泥、焦化行业</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不涉及</w:t>
            </w:r>
            <w:r>
              <w:rPr>
                <w:color w:val="000000" w:themeColor="text1"/>
                <w:highlight w:val="none"/>
                <w14:textFill>
                  <w14:solidFill>
                    <w14:schemeClr w14:val="tx1"/>
                  </w14:solidFill>
                </w14:textFill>
              </w:rPr>
              <w:t>氮氧化物</w:t>
            </w:r>
            <w:r>
              <w:rPr>
                <w:rFonts w:hint="eastAsia"/>
                <w:color w:val="000000" w:themeColor="text1"/>
                <w:highlight w:val="none"/>
                <w:lang w:val="en-US" w:eastAsia="zh-CN"/>
                <w14:textFill>
                  <w14:solidFill>
                    <w14:schemeClr w14:val="tx1"/>
                  </w14:solidFill>
                </w14:textFill>
              </w:rPr>
              <w:t>排放</w:t>
            </w:r>
          </w:p>
        </w:tc>
        <w:tc>
          <w:tcPr>
            <w:tcW w:w="1182" w:type="dxa"/>
            <w:tcBorders>
              <w:tl2br w:val="nil"/>
              <w:tr2bl w:val="nil"/>
            </w:tcBorders>
            <w:noWrap/>
            <w:vAlign w:val="center"/>
          </w:tcPr>
          <w:p w14:paraId="5C07C9EB">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184D20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29AC5523">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1170599F">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6F833727">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2.2-3〕强化重点区域大气污染联防联控，合理确定产业布局，推动区域内统一产业准入和排放标准。实施水泥行业错峰生产，推进散煤整治、挥发性有机污染物综合治理、钢铁、水泥、焦化和燃煤工业锅炉行业超低排放改造、燃气锅炉低氮燃烧改造、工业园区内轨道运输</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大宗货物“公转铁”</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、柴油货车治理、锅炉炉窑综合治理等工程项目。全面推行绿色施工，持续推动城市建成区重污染企业搬迁或关闭退出。</w:t>
            </w:r>
          </w:p>
        </w:tc>
        <w:tc>
          <w:tcPr>
            <w:tcW w:w="1816" w:type="dxa"/>
            <w:tcBorders>
              <w:tl2br w:val="nil"/>
              <w:tr2bl w:val="nil"/>
            </w:tcBorders>
            <w:noWrap/>
            <w:vAlign w:val="center"/>
          </w:tcPr>
          <w:p w14:paraId="64C22137">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本项目不涉及散煤整治、挥发性有机污染物综合治理、钢铁、水泥、焦化和燃煤工业锅炉行业</w:t>
            </w:r>
          </w:p>
        </w:tc>
        <w:tc>
          <w:tcPr>
            <w:tcW w:w="1182" w:type="dxa"/>
            <w:tcBorders>
              <w:tl2br w:val="nil"/>
              <w:tr2bl w:val="nil"/>
            </w:tcBorders>
            <w:noWrap/>
            <w:vAlign w:val="center"/>
          </w:tcPr>
          <w:p w14:paraId="24F2CC60">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39EAB1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5A2CBD7E">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64D67FB6">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45FD1F31">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〔A2.2-4〕强化用水定额管理。推进地下水超采综合治理。开展河湖生态流量</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水量</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确定工作，强化生态用水保障。</w:t>
            </w:r>
          </w:p>
        </w:tc>
        <w:tc>
          <w:tcPr>
            <w:tcW w:w="1816" w:type="dxa"/>
            <w:tcBorders>
              <w:tl2br w:val="nil"/>
              <w:tr2bl w:val="nil"/>
            </w:tcBorders>
            <w:noWrap/>
            <w:vAlign w:val="center"/>
          </w:tcPr>
          <w:p w14:paraId="304068C8">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本项目不涉及地下水开采</w:t>
            </w:r>
          </w:p>
        </w:tc>
        <w:tc>
          <w:tcPr>
            <w:tcW w:w="1182" w:type="dxa"/>
            <w:tcBorders>
              <w:tl2br w:val="nil"/>
              <w:tr2bl w:val="nil"/>
            </w:tcBorders>
            <w:noWrap/>
            <w:vAlign w:val="center"/>
          </w:tcPr>
          <w:p w14:paraId="782BA879">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7F8EB1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6F72181E">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4A19E781">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1866C1C2">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2.2-5〕持续推进伊犁河、额尔齐斯河、额敏河、玛纳斯河、乌伦古湖、博斯腾湖等流域生态治理，加强生态修复。推动重点行业、重点企业绿色发展，严格落实水污染物排放标准。加强农副食品加工、化工、印染、棉浆粕、粘胶纤维等企业综合治理和清洁化改造。</w:t>
            </w:r>
          </w:p>
        </w:tc>
        <w:tc>
          <w:tcPr>
            <w:tcW w:w="1816" w:type="dxa"/>
            <w:tcBorders>
              <w:tl2br w:val="nil"/>
              <w:tr2bl w:val="nil"/>
            </w:tcBorders>
            <w:noWrap/>
            <w:vAlign w:val="center"/>
          </w:tcPr>
          <w:p w14:paraId="59E72897">
            <w:pPr>
              <w:pStyle w:val="26"/>
              <w:bidi w:val="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生产废水不外排，生活污水排入园区污水管网</w:t>
            </w:r>
          </w:p>
        </w:tc>
        <w:tc>
          <w:tcPr>
            <w:tcW w:w="1182" w:type="dxa"/>
            <w:tcBorders>
              <w:tl2br w:val="nil"/>
              <w:tr2bl w:val="nil"/>
            </w:tcBorders>
            <w:noWrap/>
            <w:vAlign w:val="center"/>
          </w:tcPr>
          <w:p w14:paraId="5F7CAB84">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5D02D64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5EEF97BF">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6072F3DD">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239B441C">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2.2-6〕推进地表水与地下水协同防治。以傍河型地下水饮用水水源为重点，防范受污染河段侧渗和垂直补给对地下水污染。加强化学品生产企业、工业聚集区、矿山开采区等污染源的地表、地下协同防治与环境风险管控。加强工业污染防治。推动重点行业、重点企业绿色发展，严格落实水污染物排放标准和排污许可制度。加强农副食品加工、化工、印染、棉浆粕、粘胶纤维、制糖等企业综合治理和清洁化改造。支持企业积极实施节水技术改造，加强工业园区污水集中处理设施运行管理，加快再生水回用设施建设，提升园区水资源循环利用水平。</w:t>
            </w:r>
          </w:p>
        </w:tc>
        <w:tc>
          <w:tcPr>
            <w:tcW w:w="1816" w:type="dxa"/>
            <w:tcBorders>
              <w:tl2br w:val="nil"/>
              <w:tr2bl w:val="nil"/>
            </w:tcBorders>
            <w:noWrap/>
            <w:vAlign w:val="center"/>
          </w:tcPr>
          <w:p w14:paraId="02DBCE3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生产废水循环利用不外排，生活污水排入园区污水管网</w:t>
            </w:r>
          </w:p>
        </w:tc>
        <w:tc>
          <w:tcPr>
            <w:tcW w:w="1182" w:type="dxa"/>
            <w:tcBorders>
              <w:tl2br w:val="nil"/>
              <w:tr2bl w:val="nil"/>
            </w:tcBorders>
            <w:noWrap/>
            <w:vAlign w:val="center"/>
          </w:tcPr>
          <w:p w14:paraId="6258AF23">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47E241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3E25B414">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5B22E4D9">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43B8D3D9">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2.2-7〕强化重点区域地下水环境风险管控，对化学品生产企业、工业集聚区、尾矿库、矿山开采区、危险废物处置场、垃圾填埋场等地下水污染源及周边区域，逐步开展地下水环境状况调查评估，加强风险管控。</w:t>
            </w:r>
          </w:p>
        </w:tc>
        <w:tc>
          <w:tcPr>
            <w:tcW w:w="1816" w:type="dxa"/>
            <w:tcBorders>
              <w:tl2br w:val="nil"/>
              <w:tr2bl w:val="nil"/>
            </w:tcBorders>
            <w:noWrap/>
            <w:vAlign w:val="center"/>
          </w:tcPr>
          <w:p w14:paraId="1586114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对危废贮存点采取重点防渗措施，有效促进了</w:t>
            </w:r>
            <w:r>
              <w:rPr>
                <w:color w:val="000000" w:themeColor="text1"/>
                <w:highlight w:val="none"/>
                <w14:textFill>
                  <w14:solidFill>
                    <w14:schemeClr w14:val="tx1"/>
                  </w14:solidFill>
                </w14:textFill>
              </w:rPr>
              <w:t>地下水环境风险管控</w:t>
            </w:r>
          </w:p>
        </w:tc>
        <w:tc>
          <w:tcPr>
            <w:tcW w:w="1182" w:type="dxa"/>
            <w:tcBorders>
              <w:tl2br w:val="nil"/>
              <w:tr2bl w:val="nil"/>
            </w:tcBorders>
            <w:noWrap/>
            <w:vAlign w:val="center"/>
          </w:tcPr>
          <w:p w14:paraId="4CCF9E9E">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15D547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restart"/>
            <w:tcBorders>
              <w:tl2br w:val="nil"/>
              <w:tr2bl w:val="nil"/>
            </w:tcBorders>
            <w:vAlign w:val="center"/>
          </w:tcPr>
          <w:p w14:paraId="31DB6BAF">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A3环境风险防控</w:t>
            </w:r>
          </w:p>
        </w:tc>
        <w:tc>
          <w:tcPr>
            <w:tcW w:w="881" w:type="dxa"/>
            <w:tcBorders>
              <w:tl2br w:val="nil"/>
              <w:tr2bl w:val="nil"/>
            </w:tcBorders>
            <w:vAlign w:val="center"/>
          </w:tcPr>
          <w:p w14:paraId="033BF3D0">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A3.1人居环境要求</w:t>
            </w:r>
          </w:p>
        </w:tc>
        <w:tc>
          <w:tcPr>
            <w:tcW w:w="4533" w:type="dxa"/>
            <w:tcBorders>
              <w:tl2br w:val="nil"/>
              <w:tr2bl w:val="nil"/>
            </w:tcBorders>
            <w:vAlign w:val="center"/>
          </w:tcPr>
          <w:p w14:paraId="0C2CBF0F">
            <w:pPr>
              <w:pStyle w:val="26"/>
              <w:bidi w:val="0"/>
              <w:ind w:left="0" w:leftChars="0" w:right="0" w:rightChars="0" w:firstLine="0" w:firstLineChars="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〔A3.1-3〕强化重污染天气监测预报预警能力，建立和完善重污染天气兵地联合应急预案、预警应急机制和会商联动机制，加强轻、中度污染天气管控。</w:t>
            </w:r>
          </w:p>
        </w:tc>
        <w:tc>
          <w:tcPr>
            <w:tcW w:w="1816" w:type="dxa"/>
            <w:tcBorders>
              <w:tl2br w:val="nil"/>
              <w:tr2bl w:val="nil"/>
            </w:tcBorders>
            <w:noWrap/>
            <w:vAlign w:val="center"/>
          </w:tcPr>
          <w:p w14:paraId="2BD372A6">
            <w:pPr>
              <w:pStyle w:val="26"/>
              <w:bidi w:val="0"/>
              <w:ind w:left="0" w:leftChars="0" w:right="0" w:rightChars="0" w:firstLine="0" w:firstLineChars="0"/>
              <w:jc w:val="both"/>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冬季不生产</w:t>
            </w:r>
          </w:p>
        </w:tc>
        <w:tc>
          <w:tcPr>
            <w:tcW w:w="1182" w:type="dxa"/>
            <w:tcBorders>
              <w:tl2br w:val="nil"/>
              <w:tr2bl w:val="nil"/>
            </w:tcBorders>
            <w:noWrap/>
            <w:vAlign w:val="center"/>
          </w:tcPr>
          <w:p w14:paraId="1409ABF9">
            <w:pPr>
              <w:pStyle w:val="26"/>
              <w:bidi w:val="0"/>
              <w:ind w:left="0" w:leftChars="0" w:right="0" w:rightChars="0" w:firstLine="0" w:firstLineChars="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4196E0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675698AC">
            <w:pPr>
              <w:pStyle w:val="26"/>
              <w:bidi w:val="0"/>
              <w:rPr>
                <w:color w:val="000000" w:themeColor="text1"/>
                <w:highlight w:val="none"/>
                <w14:textFill>
                  <w14:solidFill>
                    <w14:schemeClr w14:val="tx1"/>
                  </w14:solidFill>
                </w14:textFill>
              </w:rPr>
            </w:pPr>
          </w:p>
        </w:tc>
        <w:tc>
          <w:tcPr>
            <w:tcW w:w="881" w:type="dxa"/>
            <w:vMerge w:val="restart"/>
            <w:tcBorders>
              <w:tl2br w:val="nil"/>
              <w:tr2bl w:val="nil"/>
            </w:tcBorders>
            <w:vAlign w:val="center"/>
          </w:tcPr>
          <w:p w14:paraId="60A337CC">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A3.2联防联控要求</w:t>
            </w:r>
          </w:p>
        </w:tc>
        <w:tc>
          <w:tcPr>
            <w:tcW w:w="4533" w:type="dxa"/>
            <w:tcBorders>
              <w:tl2br w:val="nil"/>
              <w:tr2bl w:val="nil"/>
            </w:tcBorders>
            <w:vAlign w:val="center"/>
          </w:tcPr>
          <w:p w14:paraId="10D31465">
            <w:pPr>
              <w:pStyle w:val="26"/>
              <w:bidi w:val="0"/>
              <w:ind w:left="0" w:leftChars="0" w:right="0" w:rightChars="0" w:firstLine="0" w:firstLineChars="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〔A3.2-2〕依法推行农用地分类管理制度，强化受污染耕地安全利用和风险管控。因地制宜制定实施安全利用方案，鼓励采取种植结构调整等措施，确保受污染耕地全部实现安全利用。</w:t>
            </w:r>
          </w:p>
        </w:tc>
        <w:tc>
          <w:tcPr>
            <w:tcW w:w="1816" w:type="dxa"/>
            <w:tcBorders>
              <w:tl2br w:val="nil"/>
              <w:tr2bl w:val="nil"/>
            </w:tcBorders>
            <w:noWrap/>
            <w:vAlign w:val="center"/>
          </w:tcPr>
          <w:p w14:paraId="058AE175">
            <w:pPr>
              <w:pStyle w:val="26"/>
              <w:bidi w:val="0"/>
              <w:ind w:left="0" w:leftChars="0" w:right="0" w:rightChars="0" w:firstLine="0" w:firstLineChars="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位于工业园区，</w:t>
            </w:r>
            <w:r>
              <w:rPr>
                <w:color w:val="000000" w:themeColor="text1"/>
                <w:highlight w:val="none"/>
                <w14:textFill>
                  <w14:solidFill>
                    <w14:schemeClr w14:val="tx1"/>
                  </w14:solidFill>
                </w14:textFill>
              </w:rPr>
              <w:t>不涉及耕地安全利用和风险管控</w:t>
            </w:r>
          </w:p>
        </w:tc>
        <w:tc>
          <w:tcPr>
            <w:tcW w:w="1182" w:type="dxa"/>
            <w:tcBorders>
              <w:tl2br w:val="nil"/>
              <w:tr2bl w:val="nil"/>
            </w:tcBorders>
            <w:noWrap/>
            <w:vAlign w:val="center"/>
          </w:tcPr>
          <w:p w14:paraId="681A1B09">
            <w:pPr>
              <w:pStyle w:val="26"/>
              <w:bidi w:val="0"/>
              <w:ind w:left="0" w:leftChars="0" w:right="0" w:rightChars="0" w:firstLine="0" w:firstLineChars="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27FB47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5F58569D">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5B1C8ED8">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25DD5700">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3.2-4〕加强环境风险预警防控。加强涉危险废物企业、涉重金属企业、化工园区、集中式饮用水水源地及重点流域环境风险调查评估，实施分类分级风险管控，协同推进重点区域、流域生态环境污染综合防治、风险防控与生态修复。</w:t>
            </w:r>
          </w:p>
        </w:tc>
        <w:tc>
          <w:tcPr>
            <w:tcW w:w="1816" w:type="dxa"/>
            <w:tcBorders>
              <w:tl2br w:val="nil"/>
              <w:tr2bl w:val="nil"/>
            </w:tcBorders>
            <w:noWrap/>
            <w:vAlign w:val="center"/>
          </w:tcPr>
          <w:p w14:paraId="075D2BEE">
            <w:pPr>
              <w:pStyle w:val="26"/>
              <w:bidi w:val="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建成后编制突发事件环境应急预案，并加强和园区突发事件环境应急预案的联动</w:t>
            </w:r>
          </w:p>
        </w:tc>
        <w:tc>
          <w:tcPr>
            <w:tcW w:w="1182" w:type="dxa"/>
            <w:tcBorders>
              <w:tl2br w:val="nil"/>
              <w:tr2bl w:val="nil"/>
            </w:tcBorders>
            <w:noWrap/>
            <w:vAlign w:val="center"/>
          </w:tcPr>
          <w:p w14:paraId="74089F39">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1DE445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5664DD13">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4F4C3924">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36FA03C9">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3.2-5〕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1816" w:type="dxa"/>
            <w:tcBorders>
              <w:tl2br w:val="nil"/>
              <w:tr2bl w:val="nil"/>
            </w:tcBorders>
            <w:noWrap/>
            <w:vAlign w:val="center"/>
          </w:tcPr>
          <w:p w14:paraId="1F6AFF06">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w:t>
            </w:r>
            <w:r>
              <w:rPr>
                <w:rFonts w:hint="eastAsia"/>
                <w:color w:val="000000" w:themeColor="text1"/>
                <w:highlight w:val="none"/>
                <w:lang w:eastAsia="zh-CN"/>
                <w14:textFill>
                  <w14:solidFill>
                    <w14:schemeClr w14:val="tx1"/>
                  </w14:solidFill>
                </w14:textFill>
              </w:rPr>
              <w:t>项目</w:t>
            </w:r>
            <w:r>
              <w:rPr>
                <w:color w:val="000000" w:themeColor="text1"/>
                <w:highlight w:val="none"/>
                <w14:textFill>
                  <w14:solidFill>
                    <w14:schemeClr w14:val="tx1"/>
                  </w14:solidFill>
                </w14:textFill>
              </w:rPr>
              <w:t>建设完成后应尽快编制突发环境事件应急预案</w:t>
            </w:r>
          </w:p>
        </w:tc>
        <w:tc>
          <w:tcPr>
            <w:tcW w:w="1182" w:type="dxa"/>
            <w:tcBorders>
              <w:tl2br w:val="nil"/>
              <w:tr2bl w:val="nil"/>
            </w:tcBorders>
            <w:noWrap/>
            <w:vAlign w:val="center"/>
          </w:tcPr>
          <w:p w14:paraId="26E5039B">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322C15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restart"/>
            <w:tcBorders>
              <w:tl2br w:val="nil"/>
              <w:tr2bl w:val="nil"/>
            </w:tcBorders>
            <w:vAlign w:val="center"/>
          </w:tcPr>
          <w:p w14:paraId="6840FBA3">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A4资源利用要求</w:t>
            </w:r>
          </w:p>
        </w:tc>
        <w:tc>
          <w:tcPr>
            <w:tcW w:w="881" w:type="dxa"/>
            <w:tcBorders>
              <w:tl2br w:val="nil"/>
              <w:tr2bl w:val="nil"/>
            </w:tcBorders>
            <w:vAlign w:val="center"/>
          </w:tcPr>
          <w:p w14:paraId="5B52750C">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A4.1水资源</w:t>
            </w:r>
          </w:p>
        </w:tc>
        <w:tc>
          <w:tcPr>
            <w:tcW w:w="4533" w:type="dxa"/>
            <w:tcBorders>
              <w:tl2br w:val="nil"/>
              <w:tr2bl w:val="nil"/>
            </w:tcBorders>
            <w:vAlign w:val="center"/>
          </w:tcPr>
          <w:p w14:paraId="2C32236E">
            <w:pPr>
              <w:pStyle w:val="26"/>
              <w:bidi w:val="0"/>
              <w:ind w:left="0" w:leftChars="0" w:right="0" w:rightChars="0" w:firstLine="0" w:firstLineChars="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〔A4.1-4〕地下水资源利用实行总量控制和水位控制。取用地下水资源，应当按照国家和自治区有关规定申请取水许可。地下水利用应当以浅层地下水为主。</w:t>
            </w:r>
          </w:p>
        </w:tc>
        <w:tc>
          <w:tcPr>
            <w:tcW w:w="1816" w:type="dxa"/>
            <w:tcBorders>
              <w:tl2br w:val="nil"/>
              <w:tr2bl w:val="nil"/>
            </w:tcBorders>
            <w:noWrap/>
            <w:vAlign w:val="center"/>
          </w:tcPr>
          <w:p w14:paraId="252BBABF">
            <w:pPr>
              <w:pStyle w:val="26"/>
              <w:bidi w:val="0"/>
              <w:ind w:left="0" w:leftChars="0" w:right="0" w:rightChars="0" w:firstLine="0" w:firstLineChars="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不涉及地下水开采，用水由园区供水管网供给</w:t>
            </w:r>
          </w:p>
        </w:tc>
        <w:tc>
          <w:tcPr>
            <w:tcW w:w="1182" w:type="dxa"/>
            <w:tcBorders>
              <w:tl2br w:val="nil"/>
              <w:tr2bl w:val="nil"/>
            </w:tcBorders>
            <w:noWrap/>
            <w:vAlign w:val="center"/>
          </w:tcPr>
          <w:p w14:paraId="4374F32F">
            <w:pPr>
              <w:pStyle w:val="26"/>
              <w:bidi w:val="0"/>
              <w:ind w:left="0" w:leftChars="0" w:right="0" w:righ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275363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3C0B6322">
            <w:pPr>
              <w:pStyle w:val="26"/>
              <w:bidi w:val="0"/>
              <w:rPr>
                <w:color w:val="000000" w:themeColor="text1"/>
                <w:highlight w:val="none"/>
                <w14:textFill>
                  <w14:solidFill>
                    <w14:schemeClr w14:val="tx1"/>
                  </w14:solidFill>
                </w14:textFill>
              </w:rPr>
            </w:pPr>
          </w:p>
        </w:tc>
        <w:tc>
          <w:tcPr>
            <w:tcW w:w="881" w:type="dxa"/>
            <w:tcBorders>
              <w:tl2br w:val="nil"/>
              <w:tr2bl w:val="nil"/>
            </w:tcBorders>
            <w:vAlign w:val="center"/>
          </w:tcPr>
          <w:p w14:paraId="29B676F8">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A4.2土地资源</w:t>
            </w:r>
          </w:p>
        </w:tc>
        <w:tc>
          <w:tcPr>
            <w:tcW w:w="4533" w:type="dxa"/>
            <w:tcBorders>
              <w:tl2br w:val="nil"/>
              <w:tr2bl w:val="nil"/>
            </w:tcBorders>
            <w:vAlign w:val="center"/>
          </w:tcPr>
          <w:p w14:paraId="23A0F652">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〔A4.2-1〕土地资源</w:t>
            </w:r>
            <w:r>
              <w:rPr>
                <w:rFonts w:hint="eastAsia"/>
                <w:color w:val="000000" w:themeColor="text1"/>
                <w:highlight w:val="none"/>
                <w:lang w:eastAsia="zh-CN"/>
                <w14:textFill>
                  <w14:solidFill>
                    <w14:schemeClr w14:val="tx1"/>
                  </w14:solidFill>
                </w14:textFill>
              </w:rPr>
              <w:t>上限</w:t>
            </w:r>
            <w:r>
              <w:rPr>
                <w:color w:val="000000" w:themeColor="text1"/>
                <w:highlight w:val="none"/>
                <w14:textFill>
                  <w14:solidFill>
                    <w14:schemeClr w14:val="tx1"/>
                  </w14:solidFill>
                </w14:textFill>
              </w:rPr>
              <w:t>指标控制在最终批复的国土空间规划控制指标内。</w:t>
            </w:r>
          </w:p>
        </w:tc>
        <w:tc>
          <w:tcPr>
            <w:tcW w:w="1816" w:type="dxa"/>
            <w:tcBorders>
              <w:tl2br w:val="nil"/>
              <w:tr2bl w:val="nil"/>
            </w:tcBorders>
            <w:noWrap/>
            <w:vAlign w:val="center"/>
          </w:tcPr>
          <w:p w14:paraId="27EDE54E">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为租赁</w:t>
            </w:r>
            <w:r>
              <w:rPr>
                <w:color w:val="000000" w:themeColor="text1"/>
                <w:highlight w:val="none"/>
                <w14:textFill>
                  <w14:solidFill>
                    <w14:schemeClr w14:val="tx1"/>
                  </w14:solidFill>
                </w14:textFill>
              </w:rPr>
              <w:t>厂房，</w:t>
            </w:r>
            <w:r>
              <w:rPr>
                <w:rFonts w:hint="eastAsia"/>
                <w:color w:val="000000" w:themeColor="text1"/>
                <w:highlight w:val="none"/>
                <w:lang w:val="en-US" w:eastAsia="zh-CN"/>
                <w14:textFill>
                  <w14:solidFill>
                    <w14:schemeClr w14:val="tx1"/>
                  </w14:solidFill>
                </w14:textFill>
              </w:rPr>
              <w:t>不新增占地，</w:t>
            </w:r>
            <w:r>
              <w:rPr>
                <w:color w:val="000000" w:themeColor="text1"/>
                <w:highlight w:val="none"/>
                <w14:textFill>
                  <w14:solidFill>
                    <w14:schemeClr w14:val="tx1"/>
                  </w14:solidFill>
                </w14:textFill>
              </w:rPr>
              <w:t>符合土地资源上线</w:t>
            </w:r>
          </w:p>
        </w:tc>
        <w:tc>
          <w:tcPr>
            <w:tcW w:w="1182" w:type="dxa"/>
            <w:tcBorders>
              <w:tl2br w:val="nil"/>
              <w:tr2bl w:val="nil"/>
            </w:tcBorders>
            <w:noWrap/>
            <w:vAlign w:val="center"/>
          </w:tcPr>
          <w:p w14:paraId="0C50CA57">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0A72B1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6970D7E7">
            <w:pPr>
              <w:pStyle w:val="26"/>
              <w:bidi w:val="0"/>
              <w:rPr>
                <w:color w:val="000000" w:themeColor="text1"/>
                <w:highlight w:val="none"/>
                <w14:textFill>
                  <w14:solidFill>
                    <w14:schemeClr w14:val="tx1"/>
                  </w14:solidFill>
                </w14:textFill>
              </w:rPr>
            </w:pPr>
          </w:p>
        </w:tc>
        <w:tc>
          <w:tcPr>
            <w:tcW w:w="881" w:type="dxa"/>
            <w:vMerge w:val="restart"/>
            <w:tcBorders>
              <w:tl2br w:val="nil"/>
              <w:tr2bl w:val="nil"/>
            </w:tcBorders>
            <w:vAlign w:val="center"/>
          </w:tcPr>
          <w:p w14:paraId="478FDB9B">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A4.3能源利用</w:t>
            </w:r>
          </w:p>
        </w:tc>
        <w:tc>
          <w:tcPr>
            <w:tcW w:w="4533" w:type="dxa"/>
            <w:tcBorders>
              <w:tl2br w:val="nil"/>
              <w:tr2bl w:val="nil"/>
            </w:tcBorders>
            <w:vAlign w:val="center"/>
          </w:tcPr>
          <w:p w14:paraId="75D84E0D">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〔A4.3-4〕鼓励使用清洁能源或电厂热力、工业余热等替代锅炉、炉窑燃料用煤。</w:t>
            </w:r>
          </w:p>
        </w:tc>
        <w:tc>
          <w:tcPr>
            <w:tcW w:w="1816" w:type="dxa"/>
            <w:tcBorders>
              <w:tl2br w:val="nil"/>
              <w:tr2bl w:val="nil"/>
            </w:tcBorders>
            <w:noWrap/>
            <w:vAlign w:val="center"/>
          </w:tcPr>
          <w:p w14:paraId="04D225BB">
            <w:pPr>
              <w:pStyle w:val="26"/>
              <w:bidi w:val="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生产用热使用电加热，</w:t>
            </w:r>
            <w:r>
              <w:rPr>
                <w:rFonts w:hint="default"/>
                <w:color w:val="000000" w:themeColor="text1"/>
                <w:highlight w:val="none"/>
                <w14:textFill>
                  <w14:solidFill>
                    <w14:schemeClr w14:val="tx1"/>
                  </w14:solidFill>
                </w14:textFill>
              </w:rPr>
              <w:t>冬季取暖</w:t>
            </w:r>
            <w:r>
              <w:rPr>
                <w:rFonts w:hint="eastAsia"/>
                <w:color w:val="000000" w:themeColor="text1"/>
                <w:highlight w:val="none"/>
                <w:lang w:val="en-US" w:eastAsia="zh-CN"/>
                <w14:textFill>
                  <w14:solidFill>
                    <w14:schemeClr w14:val="tx1"/>
                  </w14:solidFill>
                </w14:textFill>
              </w:rPr>
              <w:t>使用电加热</w:t>
            </w:r>
          </w:p>
        </w:tc>
        <w:tc>
          <w:tcPr>
            <w:tcW w:w="1182" w:type="dxa"/>
            <w:tcBorders>
              <w:tl2br w:val="nil"/>
              <w:tr2bl w:val="nil"/>
            </w:tcBorders>
            <w:noWrap/>
            <w:vAlign w:val="center"/>
          </w:tcPr>
          <w:p w14:paraId="7EF47581">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3EC475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057B18AD">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5FD8F576">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69D51049">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〔A4.3-5〕以碳达峰碳中和工作为引领，着力提高能源资源利用效率。引导重点行业深入实施清洁生产改造，钢铁、建材、石油化工等重点行业以及其他行业重点用能单位持续开展节能降耗。</w:t>
            </w:r>
          </w:p>
        </w:tc>
        <w:tc>
          <w:tcPr>
            <w:tcW w:w="1816" w:type="dxa"/>
            <w:tcBorders>
              <w:tl2br w:val="nil"/>
              <w:tr2bl w:val="nil"/>
            </w:tcBorders>
            <w:noWrap/>
            <w:vAlign w:val="center"/>
          </w:tcPr>
          <w:p w14:paraId="0C6B180E">
            <w:pPr>
              <w:pStyle w:val="26"/>
              <w:bidi w:val="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不适用化石能源</w:t>
            </w:r>
          </w:p>
        </w:tc>
        <w:tc>
          <w:tcPr>
            <w:tcW w:w="1182" w:type="dxa"/>
            <w:tcBorders>
              <w:tl2br w:val="nil"/>
              <w:tr2bl w:val="nil"/>
            </w:tcBorders>
            <w:noWrap/>
            <w:vAlign w:val="center"/>
          </w:tcPr>
          <w:p w14:paraId="5A3FF9F8">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49B387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0EFAE10F">
            <w:pPr>
              <w:pStyle w:val="26"/>
              <w:bidi w:val="0"/>
              <w:rPr>
                <w:color w:val="000000" w:themeColor="text1"/>
                <w:highlight w:val="none"/>
                <w14:textFill>
                  <w14:solidFill>
                    <w14:schemeClr w14:val="tx1"/>
                  </w14:solidFill>
                </w14:textFill>
              </w:rPr>
            </w:pPr>
          </w:p>
        </w:tc>
        <w:tc>
          <w:tcPr>
            <w:tcW w:w="881" w:type="dxa"/>
            <w:tcBorders>
              <w:tl2br w:val="nil"/>
              <w:tr2bl w:val="nil"/>
            </w:tcBorders>
            <w:vAlign w:val="center"/>
          </w:tcPr>
          <w:p w14:paraId="37988730">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A4.4禁燃区要求</w:t>
            </w:r>
          </w:p>
        </w:tc>
        <w:tc>
          <w:tcPr>
            <w:tcW w:w="4533" w:type="dxa"/>
            <w:tcBorders>
              <w:tl2br w:val="nil"/>
              <w:tr2bl w:val="nil"/>
            </w:tcBorders>
            <w:vAlign w:val="center"/>
          </w:tcPr>
          <w:p w14:paraId="1CD08A89">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〔A4.4-1〕在禁燃区内，禁止销售、燃用高污染燃料；禁止新建、扩建燃用高污染燃料的设施。已建成的，应当在规定期限内改用清洁能源。</w:t>
            </w:r>
          </w:p>
        </w:tc>
        <w:tc>
          <w:tcPr>
            <w:tcW w:w="1816" w:type="dxa"/>
            <w:tcBorders>
              <w:tl2br w:val="nil"/>
              <w:tr2bl w:val="nil"/>
            </w:tcBorders>
            <w:noWrap/>
            <w:vAlign w:val="center"/>
          </w:tcPr>
          <w:p w14:paraId="4859AE44">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本项目不涉及高污染燃料</w:t>
            </w:r>
          </w:p>
        </w:tc>
        <w:tc>
          <w:tcPr>
            <w:tcW w:w="1182" w:type="dxa"/>
            <w:tcBorders>
              <w:tl2br w:val="nil"/>
              <w:tr2bl w:val="nil"/>
            </w:tcBorders>
            <w:noWrap/>
            <w:vAlign w:val="center"/>
          </w:tcPr>
          <w:p w14:paraId="0BDF9625">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r w14:paraId="1BD88B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3DD098B2">
            <w:pPr>
              <w:pStyle w:val="26"/>
              <w:bidi w:val="0"/>
              <w:rPr>
                <w:color w:val="000000" w:themeColor="text1"/>
                <w:highlight w:val="none"/>
                <w14:textFill>
                  <w14:solidFill>
                    <w14:schemeClr w14:val="tx1"/>
                  </w14:solidFill>
                </w14:textFill>
              </w:rPr>
            </w:pPr>
          </w:p>
        </w:tc>
        <w:tc>
          <w:tcPr>
            <w:tcW w:w="881" w:type="dxa"/>
            <w:vMerge w:val="restart"/>
            <w:tcBorders>
              <w:tl2br w:val="nil"/>
              <w:tr2bl w:val="nil"/>
            </w:tcBorders>
            <w:vAlign w:val="center"/>
          </w:tcPr>
          <w:p w14:paraId="3C70E5D0">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A4.5资源综合利用</w:t>
            </w:r>
          </w:p>
        </w:tc>
        <w:tc>
          <w:tcPr>
            <w:tcW w:w="4533" w:type="dxa"/>
            <w:tcBorders>
              <w:tl2br w:val="nil"/>
              <w:tr2bl w:val="nil"/>
            </w:tcBorders>
            <w:vAlign w:val="center"/>
          </w:tcPr>
          <w:p w14:paraId="1E5BB1B7">
            <w:pPr>
              <w:pStyle w:val="26"/>
              <w:bidi w:val="0"/>
              <w:ind w:left="0" w:leftChars="0" w:right="0" w:rightChars="0" w:firstLine="0" w:firstLineChars="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〔A4.5-2〕推动工业固废按元素价值综合开发利用，加快推进尾矿</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共伴生矿</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粉煤灰、煤矸石、冶炼渣、工业副产石膏、赤泥、化工废渣等工业固废在有价组分提取、建材生产、市政设施建设、井下充填、生态修复、土壤治理等领域的规模化利用。着力提升工业固废在生产纤维材料、微晶玻璃、超细化填料、低碳水泥、固废基高性能混凝土、预制件、节能型建筑材料等领域的高值化利用水平。</w:t>
            </w:r>
          </w:p>
        </w:tc>
        <w:tc>
          <w:tcPr>
            <w:tcW w:w="1816" w:type="dxa"/>
            <w:tcBorders>
              <w:tl2br w:val="nil"/>
              <w:tr2bl w:val="nil"/>
            </w:tcBorders>
            <w:noWrap/>
            <w:vAlign w:val="center"/>
          </w:tcPr>
          <w:p w14:paraId="68D84859">
            <w:pPr>
              <w:pStyle w:val="26"/>
              <w:bidi w:val="0"/>
              <w:ind w:left="0" w:leftChars="0" w:right="0" w:rightChars="0" w:firstLine="0" w:firstLineChars="0"/>
              <w:jc w:val="both"/>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产生的固体废物优先回用于生产，或外售废品回收站综合利用</w:t>
            </w:r>
          </w:p>
        </w:tc>
        <w:tc>
          <w:tcPr>
            <w:tcW w:w="1182" w:type="dxa"/>
            <w:tcBorders>
              <w:tl2br w:val="nil"/>
              <w:tr2bl w:val="nil"/>
            </w:tcBorders>
            <w:noWrap/>
            <w:vAlign w:val="center"/>
          </w:tcPr>
          <w:p w14:paraId="7F077902">
            <w:pPr>
              <w:pStyle w:val="26"/>
              <w:bidi w:val="0"/>
              <w:ind w:left="0" w:leftChars="0" w:right="0" w:righ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符合</w:t>
            </w:r>
          </w:p>
        </w:tc>
      </w:tr>
      <w:tr w14:paraId="071677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59" w:type="dxa"/>
            <w:vMerge w:val="continue"/>
            <w:tcBorders>
              <w:tl2br w:val="nil"/>
              <w:tr2bl w:val="nil"/>
            </w:tcBorders>
            <w:vAlign w:val="center"/>
          </w:tcPr>
          <w:p w14:paraId="3F0DC309">
            <w:pPr>
              <w:pStyle w:val="26"/>
              <w:bidi w:val="0"/>
              <w:rPr>
                <w:color w:val="000000" w:themeColor="text1"/>
                <w:highlight w:val="none"/>
                <w14:textFill>
                  <w14:solidFill>
                    <w14:schemeClr w14:val="tx1"/>
                  </w14:solidFill>
                </w14:textFill>
              </w:rPr>
            </w:pPr>
          </w:p>
        </w:tc>
        <w:tc>
          <w:tcPr>
            <w:tcW w:w="881" w:type="dxa"/>
            <w:vMerge w:val="continue"/>
            <w:tcBorders>
              <w:tl2br w:val="nil"/>
              <w:tr2bl w:val="nil"/>
            </w:tcBorders>
            <w:vAlign w:val="center"/>
          </w:tcPr>
          <w:p w14:paraId="77FAD624">
            <w:pPr>
              <w:pStyle w:val="26"/>
              <w:bidi w:val="0"/>
              <w:rPr>
                <w:color w:val="000000" w:themeColor="text1"/>
                <w:highlight w:val="none"/>
                <w14:textFill>
                  <w14:solidFill>
                    <w14:schemeClr w14:val="tx1"/>
                  </w14:solidFill>
                </w14:textFill>
              </w:rPr>
            </w:pPr>
          </w:p>
        </w:tc>
        <w:tc>
          <w:tcPr>
            <w:tcW w:w="4533" w:type="dxa"/>
            <w:tcBorders>
              <w:tl2br w:val="nil"/>
              <w:tr2bl w:val="nil"/>
            </w:tcBorders>
            <w:vAlign w:val="center"/>
          </w:tcPr>
          <w:p w14:paraId="71A57CA6">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4.5-3〕结合工业领域减污降碳要求，加快探索钢铁、有色、化工、建材等重点行业工业固体废物减量化路径，全面推行清洁生产。全面推进绿色矿山、“无废”矿区建设，推广尾矿等大宗工业固体废物环境友好型井下充填回填，减少尾矿库贮存量。推动大宗工业固体废物在提取有价组分、生产建材、筑路、生态修复、土壤治理等领域的规模化利用。</w:t>
            </w:r>
          </w:p>
        </w:tc>
        <w:tc>
          <w:tcPr>
            <w:tcW w:w="1816" w:type="dxa"/>
            <w:tcBorders>
              <w:tl2br w:val="nil"/>
              <w:tr2bl w:val="nil"/>
            </w:tcBorders>
            <w:noWrap/>
            <w:vAlign w:val="center"/>
          </w:tcPr>
          <w:p w14:paraId="043167BB">
            <w:pPr>
              <w:pStyle w:val="26"/>
              <w:bidi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产生的固体废物优先回用于生产，或外售废品回收站综合利用</w:t>
            </w:r>
          </w:p>
        </w:tc>
        <w:tc>
          <w:tcPr>
            <w:tcW w:w="1182" w:type="dxa"/>
            <w:tcBorders>
              <w:tl2br w:val="nil"/>
              <w:tr2bl w:val="nil"/>
            </w:tcBorders>
            <w:noWrap/>
            <w:vAlign w:val="center"/>
          </w:tcPr>
          <w:p w14:paraId="4C7A80DB">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符合</w:t>
            </w:r>
          </w:p>
        </w:tc>
      </w:tr>
    </w:tbl>
    <w:p w14:paraId="78E07F71">
      <w:pPr>
        <w:autoSpaceDE w:val="0"/>
        <w:autoSpaceDN w:val="0"/>
        <w:adjustRightInd w:val="0"/>
        <w:snapToGrid w:val="0"/>
        <w:spacing w:line="360" w:lineRule="auto"/>
        <w:ind w:firstLine="480" w:firstLineChars="200"/>
        <w:jc w:val="left"/>
        <w:rPr>
          <w:rFonts w:hint="eastAsia"/>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综上，本项目的建设符合《新疆维吾尔自治区生态环境分区管控动态更新成果》（新环环评发〔2024〕157号）</w:t>
      </w:r>
      <w:r>
        <w:rPr>
          <w:rFonts w:hint="eastAsia"/>
          <w:color w:val="000000" w:themeColor="text1"/>
          <w:sz w:val="24"/>
          <w:highlight w:val="none"/>
          <w:lang w:val="en-US" w:eastAsia="zh-CN"/>
          <w14:textFill>
            <w14:solidFill>
              <w14:schemeClr w14:val="tx1"/>
            </w14:solidFill>
          </w14:textFill>
        </w:rPr>
        <w:t>要求。</w:t>
      </w:r>
    </w:p>
    <w:p w14:paraId="78B2613F">
      <w:pPr>
        <w:pStyle w:val="5"/>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1.5.4.2</w:t>
      </w:r>
      <w:r>
        <w:rPr>
          <w:rFonts w:hint="default"/>
          <w:color w:val="000000" w:themeColor="text1"/>
          <w:highlight w:val="none"/>
          <w:lang w:val="en-US" w:eastAsia="zh-CN"/>
          <w14:textFill>
            <w14:solidFill>
              <w14:schemeClr w14:val="tx1"/>
            </w14:solidFill>
          </w14:textFill>
        </w:rPr>
        <w:t>与《</w:t>
      </w:r>
      <w:r>
        <w:rPr>
          <w:rFonts w:hint="eastAsia"/>
          <w:color w:val="000000" w:themeColor="text1"/>
          <w:highlight w:val="none"/>
          <w:lang w:val="en-US" w:eastAsia="zh-CN"/>
          <w14:textFill>
            <w14:solidFill>
              <w14:schemeClr w14:val="tx1"/>
            </w14:solidFill>
          </w14:textFill>
        </w:rPr>
        <w:t>昌吉州生态环境分区管控动态更新成果</w:t>
      </w:r>
      <w:r>
        <w:rPr>
          <w:rFonts w:hint="default"/>
          <w:color w:val="000000" w:themeColor="text1"/>
          <w:highlight w:val="none"/>
          <w:lang w:val="en-US" w:eastAsia="zh-CN"/>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年）》的符合性分析</w:t>
      </w:r>
    </w:p>
    <w:p w14:paraId="30ED2A7D">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本项目位于新疆维吾尔自治区昌吉高新技术产业开发区，周边无自然保护区、风景名胜区、同时不在生态</w:t>
      </w:r>
      <w:r>
        <w:rPr>
          <w:rFonts w:hint="eastAsia"/>
          <w:color w:val="000000" w:themeColor="text1"/>
          <w:highlight w:val="none"/>
          <w:lang w:val="en-US" w:eastAsia="zh-CN"/>
          <w14:textFill>
            <w14:solidFill>
              <w14:schemeClr w14:val="tx1"/>
            </w14:solidFill>
          </w14:textFill>
        </w:rPr>
        <w:t>保护</w:t>
      </w:r>
      <w:r>
        <w:rPr>
          <w:rFonts w:hint="eastAsia"/>
          <w:color w:val="000000" w:themeColor="text1"/>
          <w:highlight w:val="none"/>
          <w14:textFill>
            <w14:solidFill>
              <w14:schemeClr w14:val="tx1"/>
            </w14:solidFill>
          </w14:textFill>
        </w:rPr>
        <w:t>红线范围内。</w:t>
      </w:r>
    </w:p>
    <w:p w14:paraId="3672B198">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14:textFill>
            <w14:solidFill>
              <w14:schemeClr w14:val="tx1"/>
            </w14:solidFill>
          </w14:textFill>
        </w:rPr>
        <w:t>根据</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关于发布昌吉回族自治州生态环境分区管控动态更新成果的公告</w:t>
      </w:r>
      <w:r>
        <w:rPr>
          <w:rFonts w:hint="default"/>
          <w:color w:val="000000" w:themeColor="text1"/>
          <w:highlight w:val="none"/>
          <w:lang w:val="en-US" w:eastAsia="zh-CN"/>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本项目环境管控单元编码为“ZH6523012000</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”，属于“</w:t>
      </w:r>
      <w:r>
        <w:rPr>
          <w:color w:val="000000" w:themeColor="text1"/>
          <w:highlight w:val="none"/>
          <w14:textFill>
            <w14:solidFill>
              <w14:schemeClr w14:val="tx1"/>
            </w14:solidFill>
          </w14:textFill>
        </w:rPr>
        <w:t>昌吉市城镇集中建设区</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本项目与</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昌吉州生态环境分区管控动态更新成果</w:t>
      </w:r>
      <w:r>
        <w:rPr>
          <w:rFonts w:hint="default"/>
          <w:color w:val="000000" w:themeColor="text1"/>
          <w:highlight w:val="none"/>
          <w:lang w:val="en-US" w:eastAsia="zh-CN"/>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年）》</w:t>
      </w:r>
      <w:r>
        <w:rPr>
          <w:color w:val="000000" w:themeColor="text1"/>
          <w:highlight w:val="none"/>
          <w14:textFill>
            <w14:solidFill>
              <w14:schemeClr w14:val="tx1"/>
            </w14:solidFill>
          </w14:textFill>
        </w:rPr>
        <w:t>的符合性分析见</w:t>
      </w:r>
      <w:r>
        <w:rPr>
          <w:rFonts w:hint="eastAsia"/>
          <w:color w:val="000000" w:themeColor="text1"/>
          <w:highlight w:val="none"/>
          <w:lang w:val="en-US" w:eastAsia="zh-CN"/>
          <w14:textFill>
            <w14:solidFill>
              <w14:schemeClr w14:val="tx1"/>
            </w14:solidFill>
          </w14:textFill>
        </w:rPr>
        <w:t>下</w:t>
      </w: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，项目在昌吉回族自治州生态环境分区管控动态更新成果位置图见附图1.5-4。</w:t>
      </w:r>
    </w:p>
    <w:p w14:paraId="022BDC69">
      <w:pPr>
        <w:pStyle w:val="25"/>
        <w:bidi w:val="0"/>
        <w:rPr>
          <w:rFonts w:hint="default"/>
          <w:color w:val="000000" w:themeColor="text1"/>
          <w:highlight w:val="none"/>
          <w:lang w:val="zh-CN" w:eastAsia="zh-CN"/>
          <w14:textFill>
            <w14:solidFill>
              <w14:schemeClr w14:val="tx1"/>
            </w14:solidFill>
          </w14:textFill>
        </w:rPr>
      </w:pPr>
      <w:r>
        <w:rPr>
          <w:rFonts w:hint="eastAsia"/>
          <w:color w:val="000000" w:themeColor="text1"/>
          <w:highlight w:val="none"/>
          <w:lang w:val="zh-CN" w:eastAsia="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1.5.4-2  项目与关昌吉州生态环境分区管控动态更新成果符合性分析一览表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689"/>
        <w:gridCol w:w="5033"/>
        <w:gridCol w:w="2541"/>
        <w:gridCol w:w="808"/>
      </w:tblGrid>
      <w:tr w14:paraId="098C72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80" w:type="pct"/>
            <w:tcBorders>
              <w:bottom w:val="single" w:color="000000" w:sz="12" w:space="0"/>
            </w:tcBorders>
            <w:shd w:val="clear" w:color="auto" w:fill="FFFFFF"/>
            <w:noWrap w:val="0"/>
            <w:vAlign w:val="center"/>
          </w:tcPr>
          <w:p w14:paraId="0F3AA417">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管控类别</w:t>
            </w:r>
          </w:p>
        </w:tc>
        <w:tc>
          <w:tcPr>
            <w:tcW w:w="2773" w:type="pct"/>
            <w:tcBorders>
              <w:bottom w:val="single" w:color="000000" w:sz="12" w:space="0"/>
            </w:tcBorders>
            <w:shd w:val="clear" w:color="auto" w:fill="FFFFFF"/>
            <w:noWrap w:val="0"/>
            <w:vAlign w:val="center"/>
          </w:tcPr>
          <w:p w14:paraId="58E164AE">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管控要求</w:t>
            </w:r>
          </w:p>
        </w:tc>
        <w:tc>
          <w:tcPr>
            <w:tcW w:w="1400" w:type="pct"/>
            <w:tcBorders>
              <w:bottom w:val="single" w:color="000000" w:sz="12" w:space="0"/>
            </w:tcBorders>
            <w:shd w:val="clear" w:color="auto" w:fill="FFFFFF"/>
            <w:noWrap/>
            <w:vAlign w:val="center"/>
          </w:tcPr>
          <w:p w14:paraId="0773A22F">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项目概况</w:t>
            </w:r>
          </w:p>
        </w:tc>
        <w:tc>
          <w:tcPr>
            <w:tcW w:w="445" w:type="pct"/>
            <w:tcBorders>
              <w:bottom w:val="single" w:color="000000" w:sz="12" w:space="0"/>
            </w:tcBorders>
            <w:shd w:val="clear" w:color="auto" w:fill="FFFFFF"/>
            <w:noWrap w:val="0"/>
            <w:vAlign w:val="center"/>
          </w:tcPr>
          <w:p w14:paraId="5138D979">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符合情况</w:t>
            </w:r>
          </w:p>
        </w:tc>
      </w:tr>
      <w:tr w14:paraId="31B671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380" w:type="pct"/>
            <w:tcBorders>
              <w:top w:val="single" w:color="000000" w:sz="12" w:space="0"/>
              <w:tl2br w:val="nil"/>
              <w:tr2bl w:val="nil"/>
            </w:tcBorders>
            <w:shd w:val="clear" w:color="auto" w:fill="FFFFFF"/>
            <w:noWrap w:val="0"/>
            <w:vAlign w:val="center"/>
          </w:tcPr>
          <w:p w14:paraId="183FD83C">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空间布局约束</w:t>
            </w:r>
          </w:p>
        </w:tc>
        <w:tc>
          <w:tcPr>
            <w:tcW w:w="2773" w:type="pct"/>
            <w:tcBorders>
              <w:top w:val="single" w:color="000000" w:sz="12" w:space="0"/>
              <w:tl2br w:val="nil"/>
              <w:tr2bl w:val="nil"/>
            </w:tcBorders>
            <w:shd w:val="clear" w:color="auto" w:fill="FFFFFF"/>
            <w:noWrap w:val="0"/>
            <w:vAlign w:val="center"/>
          </w:tcPr>
          <w:p w14:paraId="334B79DC">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1、城市建成区内不得建设高污染的火电、化工、冶金、造纸、钢铁、建材等工业项目；已经建成的，应当逐步搬迁。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2、在居民住宅区等人口密集区域和机关、医院、学校、幼儿园、养老院等其他需要特殊保护的区域及其周边，不得新建、改建和扩建易产生恶臭气体的生产项目，或者从事其他产生恶臭气体的生产经营活动。已建成的，应当逐步搬迁或者升级改造。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3、昌吉州“乌-昌-石”区域内不再新增自备燃煤机组。有序推进昌吉州“乌-昌-石”区域内自备电厂替代或退出。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4、不再新建每小时65蒸吨以下的燃煤锅炉。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5、“乌-昌-石”区域30万千瓦及以上热电联产电厂供热半径15公里范围内的燃煤锅炉和落后燃煤小热电实行关停整合。</w:t>
            </w:r>
          </w:p>
        </w:tc>
        <w:tc>
          <w:tcPr>
            <w:tcW w:w="1400" w:type="pct"/>
            <w:tcBorders>
              <w:top w:val="single" w:color="000000" w:sz="12" w:space="0"/>
              <w:tl2br w:val="nil"/>
              <w:tr2bl w:val="nil"/>
            </w:tcBorders>
            <w:shd w:val="clear" w:color="auto" w:fill="FFFFFF"/>
            <w:noWrap w:val="0"/>
            <w:vAlign w:val="center"/>
          </w:tcPr>
          <w:p w14:paraId="29101D29">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1.本项目不属于高污染的火电、化工、冶金、造纸、钢铁、建材等工业项目；</w:t>
            </w:r>
          </w:p>
          <w:p w14:paraId="156695C3">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2.项目占地为工业用地，不在居民住宅区等人口密集区域和机关、医院、学校、幼儿园、养老院等其他需要特殊保护的区域；</w:t>
            </w:r>
          </w:p>
          <w:p w14:paraId="09EE97DF">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3.本项目不新增自备燃煤机组；</w:t>
            </w:r>
          </w:p>
          <w:p w14:paraId="382866A1">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4.本项目不新建每小时65蒸吨以下的燃煤锅炉；</w:t>
            </w:r>
          </w:p>
          <w:p w14:paraId="6C916F28">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.本项目不使用煤炭。</w:t>
            </w:r>
          </w:p>
        </w:tc>
        <w:tc>
          <w:tcPr>
            <w:tcW w:w="445" w:type="pct"/>
            <w:tcBorders>
              <w:top w:val="single" w:color="000000" w:sz="12" w:space="0"/>
              <w:tl2br w:val="nil"/>
              <w:tr2bl w:val="nil"/>
            </w:tcBorders>
            <w:shd w:val="clear" w:color="auto" w:fill="FFFFFF"/>
            <w:noWrap w:val="0"/>
            <w:vAlign w:val="center"/>
          </w:tcPr>
          <w:p w14:paraId="3958EFF9">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符合</w:t>
            </w:r>
          </w:p>
        </w:tc>
      </w:tr>
      <w:tr w14:paraId="4CF5BE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380" w:type="pct"/>
            <w:tcBorders>
              <w:tl2br w:val="nil"/>
              <w:tr2bl w:val="nil"/>
            </w:tcBorders>
            <w:shd w:val="clear" w:color="auto" w:fill="FFFFFF"/>
            <w:noWrap w:val="0"/>
            <w:vAlign w:val="center"/>
          </w:tcPr>
          <w:p w14:paraId="06B99BA9">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污染物排放管 控</w:t>
            </w:r>
          </w:p>
        </w:tc>
        <w:tc>
          <w:tcPr>
            <w:tcW w:w="2773" w:type="pct"/>
            <w:tcBorders>
              <w:tl2br w:val="nil"/>
              <w:tr2bl w:val="nil"/>
            </w:tcBorders>
            <w:shd w:val="clear" w:color="auto" w:fill="FFFFFF"/>
            <w:noWrap w:val="0"/>
            <w:vAlign w:val="center"/>
          </w:tcPr>
          <w:p w14:paraId="14BB354C">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1、到2024年县级及以上城市建成区基本淘汰35蒸吨/小时及以下的燃煤锅炉，“乌—昌—石”区域基本淘汰65蒸吨/小时以下燃煤锅炉。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2、新（改、扩）建项目应执行最严格的大气污染物排放标准。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3、向城镇污水集中处理设施排放水污染物，应当达到《污水综合排放标准》（GB 8978-1996）要求。排污许可中另有要求的执行许可的标准限值。</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4、施工工地全面落实“六个百分之百”（施工工地周边围挡、物料堆放覆盖、出入车辆冲洗、施工现场地面硬化、拆迁工地湿法作业、渣土车辆密闭运输）。</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5、开展县级城市建成区内黑臭水体排查整治，加强城镇污水处理设施运行监管，推进城镇污水处理设施及配套管网建设和改造。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6、“乌-昌-石”区域内，已实施超低排放的涉气排污单位，其实施超低排放改造的污染因子执行超低排放限值，其他污染因子执行特别排放限值和特别控制要求。</w:t>
            </w:r>
          </w:p>
        </w:tc>
        <w:tc>
          <w:tcPr>
            <w:tcW w:w="1400" w:type="pct"/>
            <w:tcBorders>
              <w:tl2br w:val="nil"/>
              <w:tr2bl w:val="nil"/>
            </w:tcBorders>
            <w:shd w:val="clear" w:color="auto" w:fill="FFFFFF"/>
            <w:noWrap w:val="0"/>
            <w:vAlign w:val="center"/>
          </w:tcPr>
          <w:p w14:paraId="4B0F66CF">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1.本项目不建设燃煤锅炉；</w:t>
            </w:r>
          </w:p>
          <w:p w14:paraId="09831098">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2.本项目大气污染物已执行最严格的大气污染物排放标准；</w:t>
            </w:r>
          </w:p>
          <w:p w14:paraId="730FF470">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3.本项目生产废水不外排，生活污水排入园区污水管网；</w:t>
            </w:r>
          </w:p>
          <w:p w14:paraId="7EEEB7E8">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施工工地全面落实“六个百分之百”措施；</w:t>
            </w:r>
          </w:p>
          <w:p w14:paraId="3A6ECA39">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5.本项目生产废水不外排，生活污水排入园区污水管网；</w:t>
            </w:r>
          </w:p>
          <w:p w14:paraId="412DE259">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6.本项目大气污染物已执行最严格的大气污染物排放标准；</w:t>
            </w:r>
          </w:p>
        </w:tc>
        <w:tc>
          <w:tcPr>
            <w:tcW w:w="445" w:type="pct"/>
            <w:tcBorders>
              <w:tl2br w:val="nil"/>
              <w:tr2bl w:val="nil"/>
            </w:tcBorders>
            <w:shd w:val="clear" w:color="auto" w:fill="FFFFFF"/>
            <w:noWrap w:val="0"/>
            <w:vAlign w:val="center"/>
          </w:tcPr>
          <w:p w14:paraId="15EC399D">
            <w:pPr>
              <w:pStyle w:val="26"/>
              <w:bidi w:val="0"/>
              <w:rPr>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符合</w:t>
            </w:r>
          </w:p>
        </w:tc>
      </w:tr>
      <w:tr w14:paraId="2F675B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380" w:type="pct"/>
            <w:tcBorders>
              <w:tl2br w:val="nil"/>
              <w:tr2bl w:val="nil"/>
            </w:tcBorders>
            <w:shd w:val="clear" w:color="auto" w:fill="FFFFFF"/>
            <w:noWrap w:val="0"/>
            <w:vAlign w:val="center"/>
          </w:tcPr>
          <w:p w14:paraId="5B0D3312">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环境风险防控</w:t>
            </w:r>
          </w:p>
        </w:tc>
        <w:tc>
          <w:tcPr>
            <w:tcW w:w="2773" w:type="pct"/>
            <w:tcBorders>
              <w:tl2br w:val="nil"/>
              <w:tr2bl w:val="nil"/>
            </w:tcBorders>
            <w:shd w:val="clear" w:color="auto" w:fill="FFFFFF"/>
            <w:noWrap w:val="0"/>
            <w:vAlign w:val="center"/>
          </w:tcPr>
          <w:p w14:paraId="20C87305">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1、严格危险化学品废弃处置。对城镇人口密集区现有不符合安全和卫生防护距离要求的危险化学品生产企业，进行定量风险评估，就地改造达标、搬迁进入规范化工园区或关闭退出。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2、提升饮用水安全保障水平。以县级及以上集中式饮用水水源地为重点，推进饮用水水源保护区规范化建设，统筹推进备用水源或应急水源建设。强化饮用水水源保护区环境应急管理，完善重大突发环境事件的物资和技术储备。针对汇水区、补给区存在兵地跨界的，建立统一的饮用水水源应急和执法机制，共享应急物资。</w:t>
            </w:r>
          </w:p>
        </w:tc>
        <w:tc>
          <w:tcPr>
            <w:tcW w:w="1400" w:type="pct"/>
            <w:tcBorders>
              <w:tl2br w:val="nil"/>
              <w:tr2bl w:val="nil"/>
            </w:tcBorders>
            <w:shd w:val="clear" w:color="auto" w:fill="FFFFFF"/>
            <w:noWrap w:val="0"/>
            <w:vAlign w:val="center"/>
          </w:tcPr>
          <w:p w14:paraId="691C9AF6">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1.本项目所在园区建设有风险防控体系，可满足园区企业风险防控；</w:t>
            </w:r>
          </w:p>
          <w:p w14:paraId="541286C8">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2.本项目选址位于工业园区，不涉及饮用水水源地</w:t>
            </w:r>
          </w:p>
        </w:tc>
        <w:tc>
          <w:tcPr>
            <w:tcW w:w="445" w:type="pct"/>
            <w:tcBorders>
              <w:tl2br w:val="nil"/>
              <w:tr2bl w:val="nil"/>
            </w:tcBorders>
            <w:shd w:val="clear" w:color="auto" w:fill="FFFFFF"/>
            <w:noWrap w:val="0"/>
            <w:vAlign w:val="center"/>
          </w:tcPr>
          <w:p w14:paraId="6D3DE8DE">
            <w:pPr>
              <w:pStyle w:val="26"/>
              <w:bidi w:val="0"/>
              <w:rPr>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符合</w:t>
            </w:r>
          </w:p>
        </w:tc>
      </w:tr>
      <w:tr w14:paraId="03364D1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380" w:type="pct"/>
            <w:tcBorders>
              <w:tl2br w:val="nil"/>
              <w:tr2bl w:val="nil"/>
            </w:tcBorders>
            <w:shd w:val="clear" w:color="auto" w:fill="FFFFFF"/>
            <w:noWrap w:val="0"/>
            <w:vAlign w:val="center"/>
          </w:tcPr>
          <w:p w14:paraId="7449D44E">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资源利用效率 要求</w:t>
            </w:r>
          </w:p>
        </w:tc>
        <w:tc>
          <w:tcPr>
            <w:tcW w:w="2773" w:type="pct"/>
            <w:tcBorders>
              <w:tl2br w:val="nil"/>
              <w:tr2bl w:val="nil"/>
            </w:tcBorders>
            <w:shd w:val="clear" w:color="auto" w:fill="FFFFFF"/>
            <w:noWrap w:val="0"/>
            <w:vAlign w:val="center"/>
          </w:tcPr>
          <w:p w14:paraId="48EEFAD9">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禁燃区内禁止销售、燃用原煤、粉煤、各种可燃废物等高污染燃料；禁止新建、扩建燃用高污染燃料的设施，已建设成的，应当在规定的期限内改用清洁能源；严格控制引进高载能项目，禁止建设不符合国家和自治区环境保护标准的项目。
</w:t>
            </w:r>
            <w:r>
              <w:rPr>
                <w:rFonts w:hint="eastAsia" w:ascii="Times New Roman" w:hAnsi="Times New Roman" w:eastAsia="宋体" w:cs="Times New Roman"/>
                <w:color w:val="000000" w:themeColor="text1"/>
                <w:highlight w:val="none"/>
                <w:lang w:val="en-US" w:eastAsia="zh-CN"/>
                <w14:textFill>
                  <w14:solidFill>
                    <w14:schemeClr w14:val="tx1"/>
                  </w14:solidFill>
                </w14:textFill>
              </w:rPr>
              <w:br w:type="textWrapping"/>
            </w:r>
            <w:r>
              <w:rPr>
                <w:rFonts w:hint="eastAsia" w:ascii="Times New Roman" w:hAnsi="Times New Roman" w:eastAsia="宋体" w:cs="Times New Roman"/>
                <w:color w:val="000000" w:themeColor="text1"/>
                <w:highlight w:val="none"/>
                <w:lang w:val="en-US" w:eastAsia="zh-CN"/>
                <w14:textFill>
                  <w14:solidFill>
                    <w14:schemeClr w14:val="tx1"/>
                  </w14:solidFill>
                </w14:textFill>
              </w:rPr>
              <w:t>2、加大城镇污水再生利用工程建设力度，推进区域再生水循环利用。</w:t>
            </w:r>
          </w:p>
        </w:tc>
        <w:tc>
          <w:tcPr>
            <w:tcW w:w="1400" w:type="pct"/>
            <w:tcBorders>
              <w:tl2br w:val="nil"/>
              <w:tr2bl w:val="nil"/>
            </w:tcBorders>
            <w:shd w:val="clear" w:color="auto" w:fill="FFFFFF"/>
            <w:noWrap w:val="0"/>
            <w:vAlign w:val="center"/>
          </w:tcPr>
          <w:p w14:paraId="2F480DE3">
            <w:pPr>
              <w:pStyle w:val="26"/>
              <w:bidi w:val="0"/>
              <w:jc w:val="both"/>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1.本项目不适应高污染燃料；</w:t>
            </w:r>
          </w:p>
          <w:p w14:paraId="62F2D9D7">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2.本项目生产废水循环利用不外排；</w:t>
            </w:r>
          </w:p>
          <w:p w14:paraId="1AB83F6E">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445" w:type="pct"/>
            <w:tcBorders>
              <w:tl2br w:val="nil"/>
              <w:tr2bl w:val="nil"/>
            </w:tcBorders>
            <w:shd w:val="clear" w:color="auto" w:fill="FFFFFF"/>
            <w:noWrap w:val="0"/>
            <w:vAlign w:val="center"/>
          </w:tcPr>
          <w:p w14:paraId="6E3B9C14">
            <w:pPr>
              <w:pStyle w:val="26"/>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符合</w:t>
            </w:r>
          </w:p>
        </w:tc>
      </w:tr>
    </w:tbl>
    <w:p w14:paraId="03A9635A">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1.5.5项目选址合理性</w:t>
      </w:r>
    </w:p>
    <w:p w14:paraId="63C9DF88">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拟建项目位于昌吉高新技术产业开发区建材区，项目所在区域道路交通状况良好，交通条件优越；园区基础设施完备，给排水、供电等各项基础设施完善，可满足项目需要；同时项目所在区域环境空气、地表水、地下水、声环境、土壤环境质量良好，具有一定的环境容量；项目周边主要为已建的工业企业和园区规划的工业用地。</w:t>
      </w:r>
    </w:p>
    <w:p w14:paraId="10A3E1C7">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1.5.5.1区域环境承载力分析</w:t>
      </w:r>
    </w:p>
    <w:p w14:paraId="4372081E">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根据评价区环境质量现状监测与评价结果，项目区内环境空气、声环境质量现状良好，项目运行过程产生的废气经处理后达标排放，生产废水不外排，生活污水排入园区污水管网，产生的各类固废均合理处置，根据预测分析，项目在正常生产状况下，环保设施正常运行情况下，对周边环境质量较小，区域环境质量保持现有功能水平，符合规划环评中资源承载力。 </w:t>
      </w:r>
    </w:p>
    <w:p w14:paraId="2611E294">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1.5.5.2区域环境敏感性分析</w:t>
      </w:r>
    </w:p>
    <w:p w14:paraId="7EEFF793">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项目位于昌吉高新技术产业开发区，占地类型为工业用地，无国家级及省级确定的风景名胜区、历史遗迹等保护区，不属于敏感区。厂址所占用土地为规划的工业用地，区域内无特殊的具有自然观赏价值较高的景观，也不属于土地荒漠化地区。 </w:t>
      </w:r>
    </w:p>
    <w:p w14:paraId="07DFB827">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1.5.5.3区域基础设施建设的完善性分析</w:t>
      </w:r>
    </w:p>
    <w:p w14:paraId="2384453D">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从电力供应来看，</w:t>
      </w:r>
      <w:r>
        <w:rPr>
          <w:color w:val="000000" w:themeColor="text1"/>
          <w:highlight w:val="none"/>
          <w14:textFill>
            <w14:solidFill>
              <w14:schemeClr w14:val="tx1"/>
            </w14:solidFill>
          </w14:textFill>
        </w:rPr>
        <w:t>项目用电依托当地供电公司供应</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项目区</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现状有</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220kV</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变电站，</w:t>
      </w:r>
      <w:r>
        <w:rPr>
          <w:rFonts w:hint="eastAsia"/>
          <w:color w:val="000000" w:themeColor="text1"/>
          <w:highlight w:val="none"/>
          <w:lang w:val="en-US" w:eastAsia="zh-CN"/>
          <w14:textFill>
            <w14:solidFill>
              <w14:schemeClr w14:val="tx1"/>
            </w14:solidFill>
          </w14:textFill>
        </w:rPr>
        <w:t>能满足项目供电需求；从供水来看，园区现有供水能力能满足本项目供水需求，且</w:t>
      </w:r>
      <w:r>
        <w:rPr>
          <w:color w:val="000000" w:themeColor="text1"/>
          <w:highlight w:val="none"/>
          <w14:textFill>
            <w14:solidFill>
              <w14:schemeClr w14:val="tx1"/>
            </w14:solidFill>
          </w14:textFill>
        </w:rPr>
        <w:t>供水</w:t>
      </w:r>
      <w:r>
        <w:rPr>
          <w:rFonts w:hint="eastAsia"/>
          <w:color w:val="000000" w:themeColor="text1"/>
          <w:highlight w:val="none"/>
          <w:lang w:val="en-US" w:eastAsia="zh-CN"/>
          <w14:textFill>
            <w14:solidFill>
              <w14:schemeClr w14:val="tx1"/>
            </w14:solidFill>
          </w14:textFill>
        </w:rPr>
        <w:t>管网</w:t>
      </w:r>
      <w:r>
        <w:rPr>
          <w:color w:val="000000" w:themeColor="text1"/>
          <w:highlight w:val="none"/>
          <w14:textFill>
            <w14:solidFill>
              <w14:schemeClr w14:val="tx1"/>
            </w14:solidFill>
          </w14:textFill>
        </w:rPr>
        <w:t>铺设</w:t>
      </w:r>
      <w:r>
        <w:rPr>
          <w:rFonts w:hint="eastAsia"/>
          <w:color w:val="000000" w:themeColor="text1"/>
          <w:highlight w:val="none"/>
          <w:lang w:val="en-US" w:eastAsia="zh-CN"/>
          <w14:textFill>
            <w14:solidFill>
              <w14:schemeClr w14:val="tx1"/>
            </w14:solidFill>
          </w14:textFill>
        </w:rPr>
        <w:t>至项目厂区所在区域</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项目用水可以保证；从供暖来看，项目生产用热及供暖均采用电加热，</w:t>
      </w:r>
      <w:r>
        <w:rPr>
          <w:rFonts w:hint="eastAsia" w:ascii="Times New Roman" w:hAnsi="Times New Roman" w:eastAsia="宋体" w:cs="Times New Roman"/>
          <w:color w:val="000000" w:themeColor="text1"/>
          <w:highlight w:val="none"/>
          <w:lang w:val="en-US" w:eastAsia="zh-CN"/>
          <w14:textFill>
            <w14:solidFill>
              <w14:schemeClr w14:val="tx1"/>
            </w14:solidFill>
          </w14:textFill>
        </w:rPr>
        <w:t>项目用热可以保证</w:t>
      </w:r>
      <w:r>
        <w:rPr>
          <w:rFonts w:hint="eastAsia"/>
          <w:color w:val="000000" w:themeColor="text1"/>
          <w:highlight w:val="none"/>
          <w:lang w:val="en-US" w:eastAsia="zh-CN"/>
          <w14:textFill>
            <w14:solidFill>
              <w14:schemeClr w14:val="tx1"/>
            </w14:solidFill>
          </w14:textFill>
        </w:rPr>
        <w:t>；从排水来看，本项目生产废水不外排，生活污水排入园区污水管网，可以保证本项目废水得到有效处置。</w:t>
      </w:r>
    </w:p>
    <w:p w14:paraId="53139083">
      <w:pPr>
        <w:pStyle w:val="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1.5.5.4项目选址与产业布局及用地规划的符合性</w:t>
      </w:r>
    </w:p>
    <w:p w14:paraId="7210064C">
      <w:pPr>
        <w:bidi w:val="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本项目选址位于昌吉高新技术产业开发区</w:t>
      </w:r>
      <w:r>
        <w:rPr>
          <w:color w:val="000000" w:themeColor="text1"/>
          <w:highlight w:val="none"/>
          <w14:textFill>
            <w14:solidFill>
              <w14:schemeClr w14:val="tx1"/>
            </w14:solidFill>
          </w14:textFill>
        </w:rPr>
        <w:t>新材料产业区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该区发展定位为</w:t>
      </w:r>
      <w:r>
        <w:rPr>
          <w:color w:val="000000" w:themeColor="text1"/>
          <w:highlight w:val="none"/>
          <w14:textFill>
            <w14:solidFill>
              <w14:schemeClr w14:val="tx1"/>
            </w14:solidFill>
          </w14:textFill>
        </w:rPr>
        <w:t>以现有建材园区为基础，重点发展铝型材料下游产品制造、新型环保建筑材料等</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本项目</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生产产品为建材生产用的减水剂等添加剂，符合</w:t>
      </w:r>
      <w:r>
        <w:rPr>
          <w:color w:val="000000" w:themeColor="text1"/>
          <w:highlight w:val="none"/>
          <w14:textFill>
            <w14:solidFill>
              <w14:schemeClr w14:val="tx1"/>
            </w14:solidFill>
          </w14:textFill>
        </w:rPr>
        <w:t>规划</w:t>
      </w:r>
      <w:r>
        <w:rPr>
          <w:rFonts w:hint="eastAsia"/>
          <w:color w:val="000000" w:themeColor="text1"/>
          <w:highlight w:val="none"/>
          <w:lang w:val="en-US" w:eastAsia="zh-CN"/>
          <w14:textFill>
            <w14:solidFill>
              <w14:schemeClr w14:val="tx1"/>
            </w14:solidFill>
          </w14:textFill>
        </w:rPr>
        <w:t>产业</w:t>
      </w:r>
      <w:r>
        <w:rPr>
          <w:color w:val="000000" w:themeColor="text1"/>
          <w:highlight w:val="none"/>
          <w14:textFill>
            <w14:solidFill>
              <w14:schemeClr w14:val="tx1"/>
            </w14:solidFill>
          </w14:textFill>
        </w:rPr>
        <w:t>结构</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因此项目选址符合园区规划要求，项目用地属于工业用地，项目区周边无居民区、饮用水水源保护区等环境敏感目标。</w:t>
      </w:r>
    </w:p>
    <w:p w14:paraId="41BAECB0">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1.5.5.5项目选址与准入条件的符合性分析</w:t>
      </w:r>
    </w:p>
    <w:p w14:paraId="472B42D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项目选址位于昌吉高新技术产业开发区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项目区域不涉及风景名胜区、自然保护区、饮用水保护区和主要河流两岸边界外规定范围内等限制因素，采用的工艺、技术和设备符合《产业结构调整指导目录》等相关要求，未采用国家和自治区限制、淘汰或禁止使用的工艺、技术和设备，符合《新疆维吾尔自治区重点行业生态环境准入条件（</w:t>
      </w:r>
      <w:r>
        <w:rPr>
          <w:rFonts w:hint="default"/>
          <w:color w:val="000000" w:themeColor="text1"/>
          <w:highlight w:val="none"/>
          <w:lang w:val="en-US" w:eastAsia="zh-CN"/>
          <w14:textFill>
            <w14:solidFill>
              <w14:schemeClr w14:val="tx1"/>
            </w14:solidFill>
          </w14:textFill>
        </w:rPr>
        <w:t>2024</w:t>
      </w:r>
      <w:r>
        <w:rPr>
          <w:rFonts w:hint="eastAsia"/>
          <w:color w:val="000000" w:themeColor="text1"/>
          <w:highlight w:val="none"/>
          <w:lang w:val="en-US" w:eastAsia="zh-CN"/>
          <w14:textFill>
            <w14:solidFill>
              <w14:schemeClr w14:val="tx1"/>
            </w14:solidFill>
          </w14:textFill>
        </w:rPr>
        <w:t>年）》的准入要求。</w:t>
      </w:r>
    </w:p>
    <w:p w14:paraId="50CFE9E3">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综上，项目在正常生产状况下，环保设施正常运行情况下，对周边环境质量较小，区域环境质量保持现有功能水平，符合相关产业政策、环保政策要求，符合《昌吉高新技术产业开发区总体规划（</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）》、规划环评及其审查意见、《昌吉高新技术产业开发区国土空间专项规划（</w:t>
      </w:r>
      <w:r>
        <w:rPr>
          <w:rFonts w:hint="default"/>
          <w:color w:val="000000" w:themeColor="text1"/>
          <w:highlight w:val="none"/>
          <w:lang w:val="en-US" w:eastAsia="zh-CN"/>
          <w14:textFill>
            <w14:solidFill>
              <w14:schemeClr w14:val="tx1"/>
            </w14:solidFill>
          </w14:textFill>
        </w:rPr>
        <w:t xml:space="preserve">2021-2035 </w:t>
      </w:r>
      <w:r>
        <w:rPr>
          <w:rFonts w:hint="eastAsia"/>
          <w:color w:val="000000" w:themeColor="text1"/>
          <w:highlight w:val="none"/>
          <w:lang w:val="en-US" w:eastAsia="zh-CN"/>
          <w14:textFill>
            <w14:solidFill>
              <w14:schemeClr w14:val="tx1"/>
            </w14:solidFill>
          </w14:textFill>
        </w:rPr>
        <w:t>年）》符合“生态分区管控要求等，项目选址合理可行。</w:t>
      </w:r>
    </w:p>
    <w:p w14:paraId="1F9F9D50">
      <w:pPr>
        <w:pStyle w:val="3"/>
        <w:bidi w:val="0"/>
        <w:rPr>
          <w:color w:val="000000" w:themeColor="text1"/>
          <w:highlight w:val="none"/>
          <w14:textFill>
            <w14:solidFill>
              <w14:schemeClr w14:val="tx1"/>
            </w14:solidFill>
          </w14:textFill>
        </w:rPr>
      </w:pPr>
      <w:bookmarkStart w:id="89" w:name="_Toc4240"/>
      <w:bookmarkStart w:id="90" w:name="_Toc16765"/>
      <w:bookmarkStart w:id="91" w:name="_Toc25207"/>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6环境影响评价主要结论</w:t>
      </w:r>
      <w:bookmarkEnd w:id="89"/>
      <w:bookmarkEnd w:id="90"/>
      <w:bookmarkEnd w:id="91"/>
      <w:r>
        <w:rPr>
          <w:rFonts w:hint="eastAsia"/>
          <w:color w:val="000000" w:themeColor="text1"/>
          <w:highlight w:val="none"/>
          <w:lang w:val="en-US" w:eastAsia="zh-CN"/>
          <w14:textFill>
            <w14:solidFill>
              <w14:schemeClr w14:val="tx1"/>
            </w14:solidFill>
          </w14:textFill>
        </w:rPr>
        <w:t xml:space="preserve"> </w:t>
      </w:r>
    </w:p>
    <w:p w14:paraId="0081FB92">
      <w:pPr>
        <w:keepNext w:val="0"/>
        <w:keepLines w:val="0"/>
        <w:widowControl/>
        <w:suppressLineNumbers w:val="0"/>
        <w:jc w:val="left"/>
        <w:rPr>
          <w:rFonts w:hint="eastAsia"/>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本项目属于《产业结构调整指导目录（</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2024</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年本）》允许类，符合国家产业政策和相关发展规划、符合</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昌吉高新技术产业开发区</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规划及规划环评要求；在认真贯彻执行国家环保</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法律法规，严格</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落实环评规定的各项环保措施，加强环境管理情况下，污染物的排放可以满足达标排放和总量控制要求。因此，从环境保护的角度出发，本项目的建设是可行的。</w:t>
      </w:r>
    </w:p>
    <w:p w14:paraId="162B15B9">
      <w:pPr>
        <w:bidi w:val="0"/>
        <w:rPr>
          <w:rFonts w:hint="default"/>
          <w:color w:val="000000" w:themeColor="text1"/>
          <w:highlight w:val="none"/>
          <w:lang w:val="en-US" w:eastAsia="zh-CN"/>
          <w14:textFill>
            <w14:solidFill>
              <w14:schemeClr w14:val="tx1"/>
            </w14:solidFill>
          </w14:textFill>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29F717BD">
      <w:pPr>
        <w:pStyle w:val="2"/>
        <w:bidi w:val="0"/>
        <w:rPr>
          <w:rFonts w:hint="eastAsia"/>
          <w:color w:val="000000" w:themeColor="text1"/>
          <w:highlight w:val="none"/>
          <w14:textFill>
            <w14:solidFill>
              <w14:schemeClr w14:val="tx1"/>
            </w14:solidFill>
          </w14:textFill>
        </w:rPr>
      </w:pPr>
      <w:bookmarkStart w:id="92" w:name="_Toc24367"/>
      <w:bookmarkStart w:id="93" w:name="_Toc28321"/>
      <w:bookmarkStart w:id="94" w:name="_Toc2955"/>
      <w:r>
        <w:rPr>
          <w:rFonts w:hint="eastAsia"/>
          <w:color w:val="000000" w:themeColor="text1"/>
          <w:highlight w:val="none"/>
          <w:lang w:val="en-US" w:eastAsia="zh-CN"/>
          <w14:textFill>
            <w14:solidFill>
              <w14:schemeClr w14:val="tx1"/>
            </w14:solidFill>
          </w14:textFill>
        </w:rPr>
        <w:t xml:space="preserve">2 </w:t>
      </w:r>
      <w:r>
        <w:rPr>
          <w:rFonts w:hint="eastAsia"/>
          <w:color w:val="000000" w:themeColor="text1"/>
          <w:highlight w:val="none"/>
          <w14:textFill>
            <w14:solidFill>
              <w14:schemeClr w14:val="tx1"/>
            </w14:solidFill>
          </w14:textFill>
        </w:rPr>
        <w:t>总则</w:t>
      </w:r>
      <w:bookmarkEnd w:id="92"/>
      <w:bookmarkEnd w:id="93"/>
      <w:bookmarkEnd w:id="94"/>
    </w:p>
    <w:p w14:paraId="01303DCE">
      <w:pPr>
        <w:pStyle w:val="3"/>
        <w:bidi w:val="0"/>
        <w:rPr>
          <w:color w:val="000000" w:themeColor="text1"/>
          <w:highlight w:val="none"/>
          <w14:textFill>
            <w14:solidFill>
              <w14:schemeClr w14:val="tx1"/>
            </w14:solidFill>
          </w14:textFill>
        </w:rPr>
      </w:pPr>
      <w:bookmarkStart w:id="95" w:name="_Toc15588"/>
      <w:bookmarkStart w:id="96" w:name="_Toc10963"/>
      <w:bookmarkStart w:id="97" w:name="_Toc18749"/>
      <w:bookmarkStart w:id="98" w:name="_Toc6789"/>
      <w:bookmarkStart w:id="99" w:name="_Toc23673"/>
      <w:bookmarkStart w:id="100" w:name="_Toc9753"/>
      <w:bookmarkStart w:id="101" w:name="_Toc552"/>
      <w:bookmarkStart w:id="102" w:name="_Toc521581794"/>
      <w:bookmarkStart w:id="103" w:name="_Toc13753"/>
      <w:bookmarkStart w:id="104" w:name="_Toc10737"/>
      <w:bookmarkStart w:id="105" w:name="_Toc5240"/>
      <w:bookmarkStart w:id="106" w:name="_Toc8010"/>
      <w:bookmarkStart w:id="107" w:name="_Toc20084"/>
      <w:bookmarkStart w:id="108" w:name="_Toc4046"/>
      <w:bookmarkStart w:id="109" w:name="_Toc24179"/>
      <w:bookmarkStart w:id="110" w:name="_Toc6298"/>
      <w:bookmarkStart w:id="111" w:name="_Toc27606"/>
      <w:bookmarkStart w:id="112" w:name="_Toc26611"/>
      <w:bookmarkStart w:id="113" w:name="_Toc1436"/>
      <w:bookmarkStart w:id="114" w:name="_Toc26447"/>
      <w:bookmarkStart w:id="115" w:name="_Toc16264"/>
      <w:bookmarkStart w:id="116" w:name="_Toc7045"/>
      <w:bookmarkStart w:id="117" w:name="_Toc10328"/>
      <w:bookmarkStart w:id="118" w:name="_Toc3428"/>
      <w:bookmarkStart w:id="119" w:name="_Toc23017"/>
      <w:bookmarkStart w:id="120" w:name="_Toc8728"/>
      <w:bookmarkStart w:id="121" w:name="_Toc30101"/>
      <w:bookmarkStart w:id="122" w:name="_Toc30312"/>
      <w:bookmarkStart w:id="123" w:name="_Toc21120"/>
      <w:bookmarkStart w:id="124" w:name="_Toc3248"/>
      <w:bookmarkStart w:id="125" w:name="_Toc9151"/>
      <w:bookmarkStart w:id="126" w:name="_Toc29495"/>
      <w:bookmarkStart w:id="127" w:name="_Toc848"/>
      <w:bookmarkStart w:id="128" w:name="_Toc4633"/>
      <w:bookmarkStart w:id="129" w:name="_Toc18687"/>
      <w:bookmarkStart w:id="130" w:name="_Toc14788"/>
      <w:bookmarkStart w:id="131" w:name="_Toc4155"/>
      <w:bookmarkStart w:id="132" w:name="_Toc27192"/>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.1编制依据</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7A13E77D">
      <w:pPr>
        <w:pStyle w:val="4"/>
        <w:bidi w:val="0"/>
        <w:rPr>
          <w:color w:val="000000" w:themeColor="text1"/>
          <w:highlight w:val="none"/>
          <w14:textFill>
            <w14:solidFill>
              <w14:schemeClr w14:val="tx1"/>
            </w14:solidFill>
          </w14:textFill>
        </w:rPr>
      </w:pPr>
      <w:bookmarkStart w:id="133" w:name="_Toc20573"/>
      <w:bookmarkStart w:id="134" w:name="_Toc14968"/>
      <w:bookmarkStart w:id="135" w:name="_Toc20394"/>
      <w:bookmarkStart w:id="136" w:name="_Toc438639434"/>
      <w:bookmarkStart w:id="137" w:name="_Toc408228327"/>
      <w:bookmarkStart w:id="138" w:name="_Toc30319"/>
      <w:bookmarkStart w:id="139" w:name="_Toc26887"/>
      <w:bookmarkStart w:id="140" w:name="_Toc24106"/>
      <w:bookmarkStart w:id="141" w:name="_Toc19570"/>
      <w:bookmarkStart w:id="142" w:name="_Toc20971"/>
      <w:bookmarkStart w:id="143" w:name="_Toc521581795"/>
      <w:bookmarkStart w:id="144" w:name="_Toc36"/>
      <w:bookmarkStart w:id="145" w:name="_Toc27655"/>
      <w:bookmarkStart w:id="146" w:name="_Toc25742"/>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.1.1环境保护相关</w:t>
      </w:r>
      <w:r>
        <w:rPr>
          <w:rFonts w:hint="eastAsia"/>
          <w:color w:val="000000" w:themeColor="text1"/>
          <w:highlight w:val="none"/>
          <w:lang w:eastAsia="zh-CN"/>
          <w14:textFill>
            <w14:solidFill>
              <w14:schemeClr w14:val="tx1"/>
            </w14:solidFill>
          </w14:textFill>
        </w:rPr>
        <w:t>法律法规</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54C94710">
      <w:pPr>
        <w:ind w:firstLine="480"/>
        <w:rPr>
          <w:color w:val="000000" w:themeColor="text1"/>
          <w:highlight w:val="none"/>
          <w14:textFill>
            <w14:solidFill>
              <w14:schemeClr w14:val="tx1"/>
            </w14:solidFill>
          </w14:textFill>
        </w:rPr>
      </w:pPr>
      <w:bookmarkStart w:id="147" w:name="_Toc477180328"/>
      <w:bookmarkStart w:id="148" w:name="_Toc477180083"/>
      <w:bookmarkStart w:id="149" w:name="_Toc489734457"/>
      <w:bookmarkStart w:id="150" w:name="_Toc25667"/>
      <w:bookmarkStart w:id="151" w:name="_Toc13605"/>
      <w:bookmarkStart w:id="152" w:name="_Toc4115"/>
      <w:bookmarkStart w:id="153" w:name="_Toc5042"/>
      <w:r>
        <w:rPr>
          <w:rFonts w:hint="eastAsia"/>
          <w:color w:val="000000" w:themeColor="text1"/>
          <w:highlight w:val="none"/>
          <w14:textFill>
            <w14:solidFill>
              <w14:schemeClr w14:val="tx1"/>
            </w14:solidFill>
          </w14:textFill>
        </w:rPr>
        <w:t>（1）《中华人民共和国</w:t>
      </w:r>
      <w:r>
        <w:rPr>
          <w:rFonts w:hint="eastAsia"/>
          <w:color w:val="000000" w:themeColor="text1"/>
          <w:highlight w:val="none"/>
          <w:lang w:val="en-US" w:eastAsia="zh-CN"/>
          <w14:textFill>
            <w14:solidFill>
              <w14:schemeClr w14:val="tx1"/>
            </w14:solidFill>
          </w14:textFill>
        </w:rPr>
        <w:t>生态</w:t>
      </w:r>
      <w:r>
        <w:rPr>
          <w:rFonts w:hint="eastAsia"/>
          <w:color w:val="000000" w:themeColor="text1"/>
          <w:highlight w:val="none"/>
          <w14:textFill>
            <w14:solidFill>
              <w14:schemeClr w14:val="tx1"/>
            </w14:solidFill>
          </w14:textFill>
        </w:rPr>
        <w:t>环境</w:t>
      </w:r>
      <w:r>
        <w:rPr>
          <w:rFonts w:hint="eastAsia"/>
          <w:color w:val="000000" w:themeColor="text1"/>
          <w:highlight w:val="none"/>
          <w:lang w:val="en-US" w:eastAsia="zh-CN"/>
          <w14:textFill>
            <w14:solidFill>
              <w14:schemeClr w14:val="tx1"/>
            </w14:solidFill>
          </w14:textFill>
        </w:rPr>
        <w:t>法典</w:t>
      </w:r>
      <w:r>
        <w:rPr>
          <w:rFonts w:hint="eastAsia"/>
          <w:color w:val="000000" w:themeColor="text1"/>
          <w:highlight w:val="none"/>
          <w14:textFill>
            <w14:solidFill>
              <w14:schemeClr w14:val="tx1"/>
            </w14:solidFill>
          </w14:textFill>
        </w:rPr>
        <w:t>》（20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14:textFill>
            <w14:solidFill>
              <w14:schemeClr w14:val="tx1"/>
            </w14:solidFill>
          </w14:textFill>
        </w:rPr>
        <w:t>日起实施）；</w:t>
      </w:r>
    </w:p>
    <w:p w14:paraId="6D49CAE2">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）《中华人民共和国土地管理法》（</w:t>
      </w:r>
      <w:r>
        <w:rPr>
          <w:rFonts w:hint="eastAsia"/>
          <w:color w:val="000000" w:themeColor="text1"/>
          <w:highlight w:val="none"/>
          <w:lang w:val="en-US" w:eastAsia="zh-CN"/>
          <w14:textFill>
            <w14:solidFill>
              <w14:schemeClr w14:val="tx1"/>
            </w14:solidFill>
          </w14:textFill>
        </w:rPr>
        <w:t>2019年第三次修订，</w:t>
      </w:r>
      <w:r>
        <w:rPr>
          <w:rFonts w:hint="eastAsia"/>
          <w:color w:val="000000" w:themeColor="text1"/>
          <w:highlight w:val="none"/>
          <w14:textFill>
            <w14:solidFill>
              <w14:schemeClr w14:val="tx1"/>
            </w14:solidFill>
          </w14:textFill>
        </w:rPr>
        <w:t>2020年1</w:t>
      </w:r>
      <w:r>
        <w:rPr>
          <w:rFonts w:hint="eastAsia"/>
          <w:color w:val="000000" w:themeColor="text1"/>
          <w:highlight w:val="none"/>
          <w:lang w:eastAsia="zh-CN"/>
          <w14:textFill>
            <w14:solidFill>
              <w14:schemeClr w14:val="tx1"/>
            </w14:solidFill>
          </w14:textFill>
        </w:rPr>
        <w:t>月1日起实施</w:t>
      </w:r>
      <w:r>
        <w:rPr>
          <w:rFonts w:hint="eastAsia"/>
          <w:color w:val="000000" w:themeColor="text1"/>
          <w:highlight w:val="none"/>
          <w14:textFill>
            <w14:solidFill>
              <w14:schemeClr w14:val="tx1"/>
            </w14:solidFill>
          </w14:textFill>
        </w:rPr>
        <w:t>）；</w:t>
      </w:r>
    </w:p>
    <w:p w14:paraId="1BBD310A">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）《中华人民共和国水土保持法》（</w:t>
      </w:r>
      <w:r>
        <w:rPr>
          <w:rFonts w:hint="eastAsia"/>
          <w:color w:val="000000" w:themeColor="text1"/>
          <w:highlight w:val="none"/>
          <w:lang w:val="en-US" w:eastAsia="zh-CN"/>
          <w14:textFill>
            <w14:solidFill>
              <w14:schemeClr w14:val="tx1"/>
            </w14:solidFill>
          </w14:textFill>
        </w:rPr>
        <w:t>2010年12月25日修订，</w:t>
      </w:r>
      <w:r>
        <w:rPr>
          <w:rFonts w:hint="eastAsia"/>
          <w:color w:val="000000" w:themeColor="text1"/>
          <w:highlight w:val="none"/>
          <w14:textFill>
            <w14:solidFill>
              <w14:schemeClr w14:val="tx1"/>
            </w14:solidFill>
          </w14:textFill>
        </w:rPr>
        <w:t>2011年3</w:t>
      </w:r>
      <w:r>
        <w:rPr>
          <w:rFonts w:hint="eastAsia"/>
          <w:color w:val="000000" w:themeColor="text1"/>
          <w:highlight w:val="none"/>
          <w:lang w:eastAsia="zh-CN"/>
          <w14:textFill>
            <w14:solidFill>
              <w14:schemeClr w14:val="tx1"/>
            </w14:solidFill>
          </w14:textFill>
        </w:rPr>
        <w:t>月1日起实施</w:t>
      </w:r>
      <w:r>
        <w:rPr>
          <w:rFonts w:hint="eastAsia"/>
          <w:color w:val="000000" w:themeColor="text1"/>
          <w:highlight w:val="none"/>
          <w14:textFill>
            <w14:solidFill>
              <w14:schemeClr w14:val="tx1"/>
            </w14:solidFill>
          </w14:textFill>
        </w:rPr>
        <w:t>）；</w:t>
      </w:r>
    </w:p>
    <w:p w14:paraId="7DB59BB5">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）《建设项目环境保护管理条例》（2017年10</w:t>
      </w:r>
      <w:r>
        <w:rPr>
          <w:rFonts w:hint="eastAsia"/>
          <w:color w:val="000000" w:themeColor="text1"/>
          <w:highlight w:val="none"/>
          <w:lang w:eastAsia="zh-CN"/>
          <w14:textFill>
            <w14:solidFill>
              <w14:schemeClr w14:val="tx1"/>
            </w14:solidFill>
          </w14:textFill>
        </w:rPr>
        <w:t>月1日起实施</w:t>
      </w:r>
      <w:r>
        <w:rPr>
          <w:rFonts w:hint="eastAsia"/>
          <w:color w:val="000000" w:themeColor="text1"/>
          <w:highlight w:val="none"/>
          <w14:textFill>
            <w14:solidFill>
              <w14:schemeClr w14:val="tx1"/>
            </w14:solidFill>
          </w14:textFill>
        </w:rPr>
        <w:t>）；</w:t>
      </w:r>
    </w:p>
    <w:p w14:paraId="4D1F63CA">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《产业结构调整指导目录（20</w:t>
      </w:r>
      <w:r>
        <w:rPr>
          <w:rFonts w:hint="eastAsia"/>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t>年本）》（发改委令202</w:t>
      </w:r>
      <w:r>
        <w:rPr>
          <w:rFonts w:hint="eastAsia"/>
          <w:color w:val="000000" w:themeColor="text1"/>
          <w:highlight w:val="none"/>
          <w14:textFill>
            <w14:solidFill>
              <w14:schemeClr w14:val="tx1"/>
            </w14:solidFill>
          </w14:textFill>
        </w:rPr>
        <w:t>4年第7</w:t>
      </w:r>
      <w:r>
        <w:rPr>
          <w:color w:val="000000" w:themeColor="text1"/>
          <w:highlight w:val="none"/>
          <w14:textFill>
            <w14:solidFill>
              <w14:schemeClr w14:val="tx1"/>
            </w14:solidFill>
          </w14:textFill>
        </w:rPr>
        <w:t>号）；</w:t>
      </w:r>
    </w:p>
    <w:bookmarkEnd w:id="147"/>
    <w:bookmarkEnd w:id="148"/>
    <w:bookmarkEnd w:id="149"/>
    <w:p w14:paraId="73C7472A">
      <w:pPr>
        <w:ind w:firstLine="480"/>
        <w:rPr>
          <w:color w:val="000000" w:themeColor="text1"/>
          <w:highlight w:val="none"/>
          <w14:textFill>
            <w14:solidFill>
              <w14:schemeClr w14:val="tx1"/>
            </w14:solidFill>
          </w14:textFill>
        </w:rPr>
      </w:pPr>
      <w:bookmarkStart w:id="154" w:name="_Toc477180334"/>
      <w:bookmarkStart w:id="155" w:name="_Toc477180089"/>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）《环境影响评价公众参与办法》（</w:t>
      </w:r>
      <w:r>
        <w:rPr>
          <w:color w:val="000000" w:themeColor="text1"/>
          <w:highlight w:val="none"/>
          <w14:textFill>
            <w14:solidFill>
              <w14:schemeClr w14:val="tx1"/>
            </w14:solidFill>
          </w14:textFill>
        </w:rPr>
        <w:t>2019年1月1日起施行</w:t>
      </w:r>
      <w:r>
        <w:rPr>
          <w:rFonts w:hint="eastAsia"/>
          <w:color w:val="000000" w:themeColor="text1"/>
          <w:highlight w:val="none"/>
          <w14:textFill>
            <w14:solidFill>
              <w14:schemeClr w14:val="tx1"/>
            </w14:solidFill>
          </w14:textFill>
        </w:rPr>
        <w:t>）；</w:t>
      </w:r>
    </w:p>
    <w:p w14:paraId="08CDB30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）《国家危险废物名录（202</w:t>
      </w:r>
      <w:r>
        <w:rPr>
          <w:rFonts w:hint="eastAsia"/>
          <w:color w:val="000000" w:themeColor="text1"/>
          <w:highlight w:val="none"/>
          <w:lang w:val="en-US" w:eastAsia="zh-CN"/>
          <w14:textFill>
            <w14:solidFill>
              <w14:schemeClr w14:val="tx1"/>
            </w14:solidFill>
          </w14:textFill>
        </w:rPr>
        <w:t>5年</w:t>
      </w:r>
      <w:r>
        <w:rPr>
          <w:rFonts w:hint="eastAsia"/>
          <w:color w:val="000000" w:themeColor="text1"/>
          <w:highlight w:val="none"/>
          <w14:textFill>
            <w14:solidFill>
              <w14:schemeClr w14:val="tx1"/>
            </w14:solidFill>
          </w14:textFill>
        </w:rPr>
        <w:t>版）》（生态环境部</w:t>
      </w:r>
      <w:r>
        <w:rPr>
          <w:rFonts w:hint="eastAsia"/>
          <w:color w:val="000000" w:themeColor="text1"/>
          <w:highlight w:val="none"/>
          <w:lang w:val="en-US" w:eastAsia="zh-CN"/>
          <w14:textFill>
            <w14:solidFill>
              <w14:schemeClr w14:val="tx1"/>
            </w14:solidFill>
          </w14:textFill>
        </w:rPr>
        <w:t xml:space="preserve"> 部令第36号</w:t>
      </w:r>
      <w:r>
        <w:rPr>
          <w:rFonts w:hint="eastAsia"/>
          <w:color w:val="000000" w:themeColor="text1"/>
          <w:highlight w:val="none"/>
          <w14:textFill>
            <w14:solidFill>
              <w14:schemeClr w14:val="tx1"/>
            </w14:solidFill>
          </w14:textFill>
        </w:rPr>
        <w:t>）；</w:t>
      </w:r>
    </w:p>
    <w:p w14:paraId="18B441E8">
      <w:pPr>
        <w:tabs>
          <w:tab w:val="left" w:pos="420"/>
        </w:tabs>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中共中央、国务院</w:t>
      </w:r>
      <w:r>
        <w:rPr>
          <w:rFonts w:hint="eastAsia"/>
          <w:color w:val="000000" w:themeColor="text1"/>
          <w:highlight w:val="none"/>
          <w14:textFill>
            <w14:solidFill>
              <w14:schemeClr w14:val="tx1"/>
            </w14:solidFill>
          </w14:textFill>
        </w:rPr>
        <w:t>关于深入打好污染防治攻坚战的意见》</w:t>
      </w:r>
      <w:r>
        <w:rPr>
          <w:color w:val="000000" w:themeColor="text1"/>
          <w:highlight w:val="none"/>
          <w14:textFill>
            <w14:solidFill>
              <w14:schemeClr w14:val="tx1"/>
            </w14:solidFill>
          </w14:textFill>
        </w:rPr>
        <w:t>（中发〔2021〕40号）</w:t>
      </w:r>
      <w:r>
        <w:rPr>
          <w:rFonts w:hint="eastAsia"/>
          <w:color w:val="000000" w:themeColor="text1"/>
          <w:highlight w:val="none"/>
          <w:lang w:eastAsia="zh-CN"/>
          <w14:textFill>
            <w14:solidFill>
              <w14:schemeClr w14:val="tx1"/>
            </w14:solidFill>
          </w14:textFill>
        </w:rPr>
        <w:t>；</w:t>
      </w:r>
    </w:p>
    <w:p w14:paraId="210CEC1E">
      <w:pPr>
        <w:ind w:firstLine="480"/>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w:t>
      </w:r>
      <w:r>
        <w:rPr>
          <w:rFonts w:hint="eastAsia"/>
          <w:color w:val="000000" w:themeColor="text1"/>
          <w:kern w:val="0"/>
          <w:highlight w:val="none"/>
          <w:lang w:val="en-US" w:eastAsia="zh-CN"/>
          <w14:textFill>
            <w14:solidFill>
              <w14:schemeClr w14:val="tx1"/>
            </w14:solidFill>
          </w14:textFill>
        </w:rPr>
        <w:t>9</w:t>
      </w:r>
      <w:r>
        <w:rPr>
          <w:rFonts w:hint="eastAsia"/>
          <w:color w:val="000000" w:themeColor="text1"/>
          <w:kern w:val="0"/>
          <w:highlight w:val="none"/>
          <w14:textFill>
            <w14:solidFill>
              <w14:schemeClr w14:val="tx1"/>
            </w14:solidFill>
          </w14:textFill>
        </w:rPr>
        <w:t>）《国务院办公厅关于印发强化危险废物监管和利用处置能力改革实施方案的通知》（国办函〔2021〕47号）；</w:t>
      </w:r>
    </w:p>
    <w:p w14:paraId="411A3BC2">
      <w:pPr>
        <w:ind w:firstLine="480"/>
        <w:rPr>
          <w:rFonts w:hint="eastAsia"/>
          <w:color w:val="000000" w:themeColor="text1"/>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w:t>
      </w:r>
      <w:r>
        <w:rPr>
          <w:rFonts w:hint="eastAsia"/>
          <w:color w:val="000000" w:themeColor="text1"/>
          <w:kern w:val="0"/>
          <w:highlight w:val="none"/>
          <w:lang w:val="en-US" w:eastAsia="zh-CN"/>
          <w14:textFill>
            <w14:solidFill>
              <w14:schemeClr w14:val="tx1"/>
            </w14:solidFill>
          </w14:textFill>
        </w:rPr>
        <w:t>10</w:t>
      </w:r>
      <w:r>
        <w:rPr>
          <w:rFonts w:hint="eastAsia"/>
          <w:color w:val="000000" w:themeColor="text1"/>
          <w:kern w:val="0"/>
          <w:highlight w:val="none"/>
          <w14:textFill>
            <w14:solidFill>
              <w14:schemeClr w14:val="tx1"/>
            </w14:solidFill>
          </w14:textFill>
        </w:rPr>
        <w:t>）《关于完整准确全面贯彻新发展理念做好碳达峰碳中和工作的意见》（中发〔2021〕36号）；</w:t>
      </w:r>
    </w:p>
    <w:p w14:paraId="48B279F9">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11</w:t>
      </w:r>
      <w:r>
        <w:rPr>
          <w:rFonts w:hint="eastAsia"/>
          <w:color w:val="000000" w:themeColor="text1"/>
          <w:highlight w:val="none"/>
          <w14:textFill>
            <w14:solidFill>
              <w14:schemeClr w14:val="tx1"/>
            </w14:solidFill>
          </w14:textFill>
        </w:rPr>
        <w:t>）《环境影响评价与排污许可领域协同推进碳减排工作方案》（环办环评函〔2021〕277号）；</w:t>
      </w:r>
    </w:p>
    <w:p w14:paraId="69E9DDB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12</w:t>
      </w:r>
      <w:r>
        <w:rPr>
          <w:rFonts w:hint="eastAsia"/>
          <w:color w:val="000000" w:themeColor="text1"/>
          <w:highlight w:val="none"/>
          <w14:textFill>
            <w14:solidFill>
              <w14:schemeClr w14:val="tx1"/>
            </w14:solidFill>
          </w14:textFill>
        </w:rPr>
        <w:t>）《空气质量持续改善行动计划》（国发〔2023〕24号）；</w:t>
      </w:r>
    </w:p>
    <w:bookmarkEnd w:id="154"/>
    <w:bookmarkEnd w:id="155"/>
    <w:p w14:paraId="220701B9">
      <w:pPr>
        <w:pStyle w:val="4"/>
        <w:rPr>
          <w:rFonts w:hint="eastAsia"/>
          <w:color w:val="000000" w:themeColor="text1"/>
          <w:highlight w:val="none"/>
          <w14:textFill>
            <w14:solidFill>
              <w14:schemeClr w14:val="tx1"/>
            </w14:solidFill>
          </w14:textFill>
        </w:rPr>
      </w:pPr>
      <w:bookmarkStart w:id="156" w:name="_Toc27433"/>
      <w:bookmarkStart w:id="157" w:name="_Toc16930"/>
      <w:bookmarkStart w:id="158" w:name="_Toc27292"/>
      <w:bookmarkStart w:id="159" w:name="_Toc29466"/>
      <w:bookmarkStart w:id="160" w:name="_Toc19260"/>
      <w:bookmarkStart w:id="161" w:name="_Toc9708"/>
      <w:bookmarkStart w:id="162" w:name="_Toc18979"/>
      <w:r>
        <w:rPr>
          <w:rFonts w:hint="eastAsia"/>
          <w:color w:val="000000" w:themeColor="text1"/>
          <w:highlight w:val="none"/>
          <w14:textFill>
            <w14:solidFill>
              <w14:schemeClr w14:val="tx1"/>
            </w14:solidFill>
          </w14:textFill>
        </w:rPr>
        <w:t>2.1.2</w:t>
      </w:r>
      <w:bookmarkEnd w:id="150"/>
      <w:bookmarkEnd w:id="151"/>
      <w:bookmarkEnd w:id="152"/>
      <w:bookmarkEnd w:id="153"/>
      <w:bookmarkStart w:id="163" w:name="_Toc9543"/>
      <w:bookmarkStart w:id="164" w:name="_Toc5127"/>
      <w:bookmarkStart w:id="165" w:name="_Toc19790"/>
      <w:bookmarkStart w:id="166" w:name="_Toc30645"/>
      <w:r>
        <w:rPr>
          <w:rFonts w:hint="eastAsia"/>
          <w:color w:val="000000" w:themeColor="text1"/>
          <w:highlight w:val="none"/>
          <w14:textFill>
            <w14:solidFill>
              <w14:schemeClr w14:val="tx1"/>
            </w14:solidFill>
          </w14:textFill>
        </w:rPr>
        <w:t>地方相关法规政策</w:t>
      </w:r>
      <w:bookmarkEnd w:id="156"/>
      <w:bookmarkEnd w:id="157"/>
      <w:bookmarkEnd w:id="158"/>
      <w:bookmarkEnd w:id="159"/>
      <w:bookmarkEnd w:id="160"/>
      <w:bookmarkEnd w:id="161"/>
      <w:bookmarkEnd w:id="162"/>
      <w:bookmarkEnd w:id="163"/>
      <w:bookmarkEnd w:id="164"/>
      <w:bookmarkEnd w:id="165"/>
      <w:bookmarkEnd w:id="166"/>
    </w:p>
    <w:p w14:paraId="63273C90">
      <w:pPr>
        <w:ind w:firstLine="480"/>
        <w:rPr>
          <w:color w:val="000000" w:themeColor="text1"/>
          <w:highlight w:val="none"/>
          <w14:textFill>
            <w14:solidFill>
              <w14:schemeClr w14:val="tx1"/>
            </w14:solidFill>
          </w14:textFill>
        </w:rPr>
      </w:pPr>
      <w:bookmarkStart w:id="167" w:name="_Toc2512"/>
      <w:bookmarkStart w:id="168" w:name="_Toc11199"/>
      <w:bookmarkStart w:id="169" w:name="_Toc32759"/>
      <w:bookmarkStart w:id="170" w:name="_Toc3548"/>
      <w:r>
        <w:rPr>
          <w:color w:val="000000" w:themeColor="text1"/>
          <w:highlight w:val="none"/>
          <w14:textFill>
            <w14:solidFill>
              <w14:schemeClr w14:val="tx1"/>
            </w14:solidFill>
          </w14:textFill>
        </w:rPr>
        <w:t>（1）《新疆维吾尔自治区水环境功能区划》</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新疆维吾尔自治区人民政府，2002</w:t>
      </w:r>
      <w:r>
        <w:rPr>
          <w:rFonts w:hint="eastAsia"/>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12</w:t>
      </w:r>
      <w:r>
        <w:rPr>
          <w:rFonts w:hint="eastAsia"/>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w:t>
      </w:r>
    </w:p>
    <w:p w14:paraId="1F252D3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）《新疆生态功能区划》</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新疆维吾尔自治区人民政府，2005</w:t>
      </w:r>
      <w:r>
        <w:rPr>
          <w:rFonts w:hint="eastAsia"/>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14</w:t>
      </w:r>
      <w:r>
        <w:rPr>
          <w:rFonts w:hint="eastAsia"/>
          <w:color w:val="000000" w:themeColor="text1"/>
          <w:highlight w:val="none"/>
          <w14:textFill>
            <w14:solidFill>
              <w14:schemeClr w14:val="tx1"/>
            </w14:solidFill>
          </w14:textFill>
        </w:rPr>
        <w:t>日）</w:t>
      </w:r>
      <w:r>
        <w:rPr>
          <w:color w:val="000000" w:themeColor="text1"/>
          <w:highlight w:val="none"/>
          <w14:textFill>
            <w14:solidFill>
              <w14:schemeClr w14:val="tx1"/>
            </w14:solidFill>
          </w14:textFill>
        </w:rPr>
        <w:t>；</w:t>
      </w:r>
    </w:p>
    <w:p w14:paraId="0155139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《新疆维吾尔自治区</w:t>
      </w:r>
      <w:r>
        <w:rPr>
          <w:rFonts w:hint="default"/>
          <w:color w:val="000000" w:themeColor="text1"/>
          <w:highlight w:val="none"/>
          <w:lang w:val="en-US" w:eastAsia="zh-CN"/>
          <w14:textFill>
            <w14:solidFill>
              <w14:schemeClr w14:val="tx1"/>
            </w14:solidFill>
          </w14:textFill>
        </w:rPr>
        <w:t>2025</w:t>
      </w:r>
      <w:r>
        <w:rPr>
          <w:rFonts w:hint="eastAsia"/>
          <w:color w:val="000000" w:themeColor="text1"/>
          <w:highlight w:val="none"/>
          <w:lang w:val="en-US" w:eastAsia="zh-CN"/>
          <w14:textFill>
            <w14:solidFill>
              <w14:schemeClr w14:val="tx1"/>
            </w14:solidFill>
          </w14:textFill>
        </w:rPr>
        <w:t>年空气质量持续改善行动实施方案》（新政办发〔</w:t>
      </w:r>
      <w:r>
        <w:rPr>
          <w:rFonts w:hint="default"/>
          <w:color w:val="000000" w:themeColor="text1"/>
          <w:highlight w:val="none"/>
          <w:lang w:val="en-US" w:eastAsia="zh-CN"/>
          <w14:textFill>
            <w14:solidFill>
              <w14:schemeClr w14:val="tx1"/>
            </w14:solidFill>
          </w14:textFill>
        </w:rPr>
        <w:t>2024</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58</w:t>
      </w:r>
      <w:r>
        <w:rPr>
          <w:rFonts w:hint="eastAsia"/>
          <w:color w:val="000000" w:themeColor="text1"/>
          <w:highlight w:val="none"/>
          <w:lang w:val="en-US" w:eastAsia="zh-CN"/>
          <w14:textFill>
            <w14:solidFill>
              <w14:schemeClr w14:val="tx1"/>
            </w14:solidFill>
          </w14:textFill>
        </w:rPr>
        <w:t>号）</w:t>
      </w:r>
      <w:r>
        <w:rPr>
          <w:rFonts w:hint="eastAsia"/>
          <w:color w:val="000000" w:themeColor="text1"/>
          <w:highlight w:val="none"/>
          <w14:textFill>
            <w14:solidFill>
              <w14:schemeClr w14:val="tx1"/>
            </w14:solidFill>
          </w14:textFill>
        </w:rPr>
        <w:t>；</w:t>
      </w:r>
    </w:p>
    <w:p w14:paraId="475CEC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《新疆维吾尔自治区实施〈中华人民共和国水污染防治法〉办法》（2023年6月1日起施行）</w:t>
      </w:r>
      <w:r>
        <w:rPr>
          <w:rFonts w:hint="eastAsia"/>
          <w:color w:val="000000" w:themeColor="text1"/>
          <w:highlight w:val="none"/>
          <w14:textFill>
            <w14:solidFill>
              <w14:schemeClr w14:val="tx1"/>
            </w14:solidFill>
          </w14:textFill>
        </w:rPr>
        <w:t>；</w:t>
      </w:r>
    </w:p>
    <w:p w14:paraId="6265D225">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《新疆维吾尔自治区生态环境分区管控 动态更新成果》（新环环评发〔2024〕157号</w:t>
      </w:r>
      <w:r>
        <w:rPr>
          <w:rFonts w:hint="eastAsia"/>
          <w:color w:val="000000" w:themeColor="text1"/>
          <w:highlight w:val="none"/>
          <w14:textFill>
            <w14:solidFill>
              <w14:schemeClr w14:val="tx1"/>
            </w14:solidFill>
          </w14:textFill>
        </w:rPr>
        <w:t>；</w:t>
      </w:r>
    </w:p>
    <w:p w14:paraId="4C09B4F7">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）《新疆维吾尔自治区七大片区“三线一单”生态环境分区管控要求》（新环环评发〔2021〕162号）</w:t>
      </w:r>
      <w:r>
        <w:rPr>
          <w:rFonts w:hint="eastAsia"/>
          <w:color w:val="000000" w:themeColor="text1"/>
          <w:highlight w:val="none"/>
          <w:lang w:eastAsia="zh-CN"/>
          <w14:textFill>
            <w14:solidFill>
              <w14:schemeClr w14:val="tx1"/>
            </w14:solidFill>
          </w14:textFill>
        </w:rPr>
        <w:t>；</w:t>
      </w:r>
    </w:p>
    <w:p w14:paraId="75671518">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）《新疆维吾尔自治区自然保护区管理条例》（</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018年9月21日修订）；</w:t>
      </w:r>
    </w:p>
    <w:p w14:paraId="0F807CD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）《新疆维吾尔自治区大气污染防治条例》（2019年1</w:t>
      </w:r>
      <w:r>
        <w:rPr>
          <w:rFonts w:hint="eastAsia"/>
          <w:color w:val="000000" w:themeColor="text1"/>
          <w:highlight w:val="none"/>
          <w:lang w:eastAsia="zh-CN"/>
          <w14:textFill>
            <w14:solidFill>
              <w14:schemeClr w14:val="tx1"/>
            </w14:solidFill>
          </w14:textFill>
        </w:rPr>
        <w:t>月1日起实施</w:t>
      </w:r>
      <w:r>
        <w:rPr>
          <w:rFonts w:hint="eastAsia"/>
          <w:color w:val="000000" w:themeColor="text1"/>
          <w:highlight w:val="none"/>
          <w14:textFill>
            <w14:solidFill>
              <w14:schemeClr w14:val="tx1"/>
            </w14:solidFill>
          </w14:textFill>
        </w:rPr>
        <w:t>）；</w:t>
      </w:r>
    </w:p>
    <w:p w14:paraId="3B744F7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）《关于深入打好污染防治攻坚战的实施方案》</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新党发</w:t>
      </w:r>
      <w:r>
        <w:rPr>
          <w:rFonts w:hint="eastAsia"/>
          <w:color w:val="000000" w:themeColor="text1"/>
          <w:highlight w:val="none"/>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14号）</w:t>
      </w:r>
      <w:r>
        <w:rPr>
          <w:rFonts w:hint="eastAsia"/>
          <w:color w:val="000000" w:themeColor="text1"/>
          <w:highlight w:val="none"/>
          <w14:textFill>
            <w14:solidFill>
              <w14:schemeClr w14:val="tx1"/>
            </w14:solidFill>
          </w14:textFill>
        </w:rPr>
        <w:t>；</w:t>
      </w:r>
    </w:p>
    <w:p w14:paraId="74AEC0DB">
      <w:pPr>
        <w:bidi w:val="0"/>
        <w:rPr>
          <w:rFonts w:hint="eastAsia"/>
          <w:color w:val="000000" w:themeColor="text1"/>
          <w:highlight w:val="none"/>
          <w14:textFill>
            <w14:solidFill>
              <w14:schemeClr w14:val="tx1"/>
            </w14:solidFill>
          </w14:textFill>
        </w:rPr>
      </w:pPr>
      <w:r>
        <w:rPr>
          <w:rFonts w:hint="eastAsia" w:ascii="宋体" w:hAnsi="宋体" w:cs="宋体"/>
          <w:color w:val="000000" w:themeColor="text1"/>
          <w:kern w:val="0"/>
          <w:sz w:val="24"/>
          <w:szCs w:val="24"/>
          <w:highlight w:val="none"/>
          <w:lang w:val="en-US" w:eastAsia="zh-CN" w:bidi="ar"/>
          <w14:textFill>
            <w14:solidFill>
              <w14:schemeClr w14:val="tx1"/>
            </w14:solidFill>
          </w14:textFill>
        </w:rPr>
        <w:t>（10）</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《昌吉高新技术产业开发区国土空间专项规划（</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2021</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2035</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年）》</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w:t>
      </w:r>
    </w:p>
    <w:p w14:paraId="7765081B">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《昌吉高新技术产业开发区总体规划（2014-2030）》</w:t>
      </w:r>
      <w:r>
        <w:rPr>
          <w:rFonts w:hint="eastAsia"/>
          <w:color w:val="000000" w:themeColor="text1"/>
          <w:highlight w:val="none"/>
          <w14:textFill>
            <w14:solidFill>
              <w14:schemeClr w14:val="tx1"/>
            </w14:solidFill>
          </w14:textFill>
        </w:rPr>
        <w:t>；</w:t>
      </w:r>
    </w:p>
    <w:p w14:paraId="6AABA98C">
      <w:pPr>
        <w:bidi w:val="0"/>
        <w:rPr>
          <w:color w:val="000000" w:themeColor="text1"/>
          <w:highlight w:val="none"/>
          <w14:textFill>
            <w14:solidFill>
              <w14:schemeClr w14:val="tx1"/>
            </w14:solidFill>
          </w14:textFill>
        </w:rPr>
      </w:pPr>
      <w:bookmarkStart w:id="171" w:name="_Toc5751"/>
      <w:bookmarkStart w:id="172" w:name="_Toc29200"/>
      <w:bookmarkStart w:id="173" w:name="_Toc3826"/>
      <w:bookmarkStart w:id="174" w:name="_Toc22917"/>
      <w:bookmarkStart w:id="175" w:name="_Toc23697"/>
      <w:bookmarkStart w:id="176" w:name="_Toc3786"/>
      <w:bookmarkStart w:id="177" w:name="_Toc31659"/>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《昌吉高新技术产业开发区总体规划 （2014-2030）环境影响报告书》</w:t>
      </w:r>
      <w:r>
        <w:rPr>
          <w:rFonts w:hint="eastAsia"/>
          <w:color w:val="000000" w:themeColor="text1"/>
          <w:highlight w:val="none"/>
          <w14:textFill>
            <w14:solidFill>
              <w14:schemeClr w14:val="tx1"/>
            </w14:solidFill>
          </w14:textFill>
        </w:rPr>
        <w:t>及审查意见。</w:t>
      </w:r>
    </w:p>
    <w:p w14:paraId="13870F02">
      <w:pPr>
        <w:pStyle w:val="4"/>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2.1.3技术依据</w:t>
      </w:r>
      <w:bookmarkEnd w:id="167"/>
      <w:bookmarkEnd w:id="168"/>
      <w:bookmarkEnd w:id="169"/>
      <w:bookmarkEnd w:id="170"/>
      <w:bookmarkEnd w:id="171"/>
      <w:bookmarkEnd w:id="172"/>
      <w:bookmarkEnd w:id="173"/>
      <w:bookmarkEnd w:id="174"/>
      <w:bookmarkEnd w:id="175"/>
      <w:bookmarkEnd w:id="176"/>
      <w:bookmarkEnd w:id="177"/>
    </w:p>
    <w:p w14:paraId="12859895">
      <w:pPr>
        <w:ind w:firstLine="480"/>
        <w:rPr>
          <w:rFonts w:hint="eastAsia"/>
          <w:color w:val="000000" w:themeColor="text1"/>
          <w:highlight w:val="none"/>
          <w14:textFill>
            <w14:solidFill>
              <w14:schemeClr w14:val="tx1"/>
            </w14:solidFill>
          </w14:textFill>
        </w:rPr>
      </w:pPr>
      <w:bookmarkStart w:id="178" w:name="_Toc28025"/>
      <w:bookmarkStart w:id="179" w:name="_Toc25731"/>
      <w:bookmarkStart w:id="180" w:name="_Toc11293"/>
      <w:bookmarkStart w:id="181" w:name="_Toc30306"/>
      <w:r>
        <w:rPr>
          <w:rFonts w:hint="eastAsia"/>
          <w:color w:val="000000" w:themeColor="text1"/>
          <w:highlight w:val="none"/>
          <w14:textFill>
            <w14:solidFill>
              <w14:schemeClr w14:val="tx1"/>
            </w14:solidFill>
          </w14:textFill>
        </w:rPr>
        <w:t>（1）《建设项目环境影响评价技术导则  总纲》（HJ2.1-2016）；</w:t>
      </w:r>
    </w:p>
    <w:p w14:paraId="664E1E38">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（2）《环境影响评价技术导则  大气环境》（HJ2.2-2018）；</w:t>
      </w:r>
    </w:p>
    <w:p w14:paraId="49AB6F51">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（3）《环境影响评价技术导则  地表水环境》（HJ2.3-2018）；</w:t>
      </w:r>
    </w:p>
    <w:p w14:paraId="72392251">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（4）《环境影响评价技术导则  地下水环境》（HJ610－2016）；</w:t>
      </w:r>
    </w:p>
    <w:p w14:paraId="62A8F360">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（5）《环境影响评价技术导则  声环境》（HJ2.4-2021）；</w:t>
      </w:r>
    </w:p>
    <w:p w14:paraId="69202E4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（6）《环境影响评价技术导则  生态影响》（HJ19-2022）；</w:t>
      </w:r>
    </w:p>
    <w:p w14:paraId="72BA7523">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（7）《环境影响评价技术导则  土壤环境（试行）》（HJ964-2018）；</w:t>
      </w:r>
    </w:p>
    <w:p w14:paraId="37DA0B95">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（8）《建设项目环境风险评价技术导则》（HJ169-2018）；</w:t>
      </w:r>
    </w:p>
    <w:p w14:paraId="0559CCBD">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（9）《建设项目危险废物环境影响评价指南》（部</w:t>
      </w:r>
      <w:r>
        <w:rPr>
          <w:color w:val="000000" w:themeColor="text1"/>
          <w:highlight w:val="none"/>
          <w14:textFill>
            <w14:solidFill>
              <w14:schemeClr w14:val="tx1"/>
            </w14:solidFill>
          </w14:textFill>
        </w:rPr>
        <w:t>公告2017年 第43号</w:t>
      </w:r>
      <w:r>
        <w:rPr>
          <w:rFonts w:hint="eastAsia"/>
          <w:color w:val="000000" w:themeColor="text1"/>
          <w:highlight w:val="none"/>
          <w14:textFill>
            <w14:solidFill>
              <w14:schemeClr w14:val="tx1"/>
            </w14:solidFill>
          </w14:textFill>
        </w:rPr>
        <w:t>）；</w:t>
      </w:r>
    </w:p>
    <w:p w14:paraId="72E270D4">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（10）《排放源统计调查产排污核算方法和系数手册》（部公告 </w:t>
      </w:r>
      <w:r>
        <w:rPr>
          <w:rFonts w:hint="default"/>
          <w:color w:val="000000" w:themeColor="text1"/>
          <w:highlight w:val="none"/>
          <w:lang w:val="en-US" w:eastAsia="zh-CN"/>
          <w14:textFill>
            <w14:solidFill>
              <w14:schemeClr w14:val="tx1"/>
            </w14:solidFill>
          </w14:textFill>
        </w:rPr>
        <w:t>2021</w:t>
      </w:r>
      <w:r>
        <w:rPr>
          <w:rFonts w:hint="eastAsia"/>
          <w:color w:val="000000" w:themeColor="text1"/>
          <w:highlight w:val="none"/>
          <w:lang w:val="en-US" w:eastAsia="zh-CN"/>
          <w14:textFill>
            <w14:solidFill>
              <w14:schemeClr w14:val="tx1"/>
            </w14:solidFill>
          </w14:textFill>
        </w:rPr>
        <w:t>年第</w:t>
      </w:r>
      <w:r>
        <w:rPr>
          <w:rFonts w:hint="default"/>
          <w:color w:val="000000" w:themeColor="text1"/>
          <w:highlight w:val="none"/>
          <w:lang w:val="en-US" w:eastAsia="zh-CN"/>
          <w14:textFill>
            <w14:solidFill>
              <w14:schemeClr w14:val="tx1"/>
            </w14:solidFill>
          </w14:textFill>
        </w:rPr>
        <w:t>24</w:t>
      </w:r>
      <w:r>
        <w:rPr>
          <w:rFonts w:hint="eastAsia"/>
          <w:color w:val="000000" w:themeColor="text1"/>
          <w:highlight w:val="none"/>
          <w:lang w:val="en-US" w:eastAsia="zh-CN"/>
          <w14:textFill>
            <w14:solidFill>
              <w14:schemeClr w14:val="tx1"/>
            </w14:solidFill>
          </w14:textFill>
        </w:rPr>
        <w:t>号）；</w:t>
      </w:r>
    </w:p>
    <w:p w14:paraId="20FB58F2">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）《工业企业土壤和地下水自行监测技术指南（试行）》（</w:t>
      </w:r>
      <w:r>
        <w:rPr>
          <w:color w:val="000000" w:themeColor="text1"/>
          <w:highlight w:val="none"/>
          <w14:textFill>
            <w14:solidFill>
              <w14:schemeClr w14:val="tx1"/>
            </w14:solidFill>
          </w14:textFill>
        </w:rPr>
        <w:t>HJ1209-2021</w:t>
      </w:r>
      <w:r>
        <w:rPr>
          <w:rFonts w:hint="eastAsia"/>
          <w:color w:val="000000" w:themeColor="text1"/>
          <w:highlight w:val="none"/>
          <w14:textFill>
            <w14:solidFill>
              <w14:schemeClr w14:val="tx1"/>
            </w14:solidFill>
          </w14:textFill>
        </w:rPr>
        <w:t>）；</w:t>
      </w:r>
    </w:p>
    <w:p w14:paraId="756D0551">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（12）《关于调整〈新疆维吾尔自治区化工园区建设和认定管理实施细则（试行）〉有关条款的通知》；</w:t>
      </w:r>
    </w:p>
    <w:p w14:paraId="1BB8B745">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（13）《排污许可证申请与核发技术规范 专用化学产品制造工业》（HJ1103-2020）；</w:t>
      </w:r>
    </w:p>
    <w:p w14:paraId="3CF6C4D1">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（14）《排污单位自行监测技术指南总则》（HJ819-2017）；</w:t>
      </w:r>
    </w:p>
    <w:p w14:paraId="2D414BF2">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（15）《排污许可证申请与核发技术规范 工业噪声》（HJ1301-2023）。</w:t>
      </w:r>
    </w:p>
    <w:p w14:paraId="31BDFBE3">
      <w:pPr>
        <w:pStyle w:val="4"/>
        <w:bidi w:val="0"/>
        <w:rPr>
          <w:rFonts w:hint="eastAsia"/>
          <w:color w:val="000000" w:themeColor="text1"/>
          <w:highlight w:val="none"/>
          <w14:textFill>
            <w14:solidFill>
              <w14:schemeClr w14:val="tx1"/>
            </w14:solidFill>
          </w14:textFill>
        </w:rPr>
      </w:pPr>
      <w:bookmarkStart w:id="182" w:name="_Toc29351"/>
      <w:bookmarkStart w:id="183" w:name="_Toc27228"/>
      <w:bookmarkStart w:id="184" w:name="_Toc20405"/>
      <w:bookmarkStart w:id="185" w:name="_Toc22707"/>
      <w:bookmarkStart w:id="186" w:name="_Toc25549"/>
      <w:bookmarkStart w:id="187" w:name="_Toc31626"/>
      <w:bookmarkStart w:id="188" w:name="_Toc20409"/>
      <w:r>
        <w:rPr>
          <w:rFonts w:hint="eastAsia"/>
          <w:color w:val="000000" w:themeColor="text1"/>
          <w:highlight w:val="none"/>
          <w14:textFill>
            <w14:solidFill>
              <w14:schemeClr w14:val="tx1"/>
            </w14:solidFill>
          </w14:textFill>
        </w:rPr>
        <w:t>2.1.4其他资料</w:t>
      </w:r>
      <w:bookmarkEnd w:id="178"/>
      <w:bookmarkEnd w:id="179"/>
      <w:bookmarkEnd w:id="180"/>
      <w:bookmarkEnd w:id="181"/>
      <w:bookmarkEnd w:id="182"/>
      <w:bookmarkEnd w:id="183"/>
      <w:bookmarkEnd w:id="184"/>
      <w:bookmarkEnd w:id="185"/>
      <w:bookmarkEnd w:id="186"/>
      <w:bookmarkEnd w:id="187"/>
      <w:bookmarkEnd w:id="188"/>
    </w:p>
    <w:p w14:paraId="354414B4">
      <w:pPr>
        <w:ind w:firstLine="480"/>
        <w:rPr>
          <w:rFonts w:hint="eastAsia"/>
          <w:color w:val="000000" w:themeColor="text1"/>
          <w:highlight w:val="none"/>
          <w14:textFill>
            <w14:solidFill>
              <w14:schemeClr w14:val="tx1"/>
            </w14:solidFill>
          </w14:textFill>
        </w:rPr>
      </w:pPr>
      <w:bookmarkStart w:id="189" w:name="_Toc26378"/>
      <w:bookmarkStart w:id="190" w:name="_Toc24416"/>
      <w:bookmarkStart w:id="191" w:name="_Toc13953"/>
      <w:bookmarkStart w:id="192" w:name="_Toc9964"/>
      <w:bookmarkStart w:id="193" w:name="_Toc10900"/>
      <w:bookmarkStart w:id="194" w:name="_Toc14198"/>
      <w:bookmarkStart w:id="195" w:name="_Toc12783"/>
      <w:bookmarkStart w:id="196" w:name="_Toc16609"/>
      <w:bookmarkStart w:id="197" w:name="_Toc29464"/>
      <w:r>
        <w:rPr>
          <w:rFonts w:hint="eastAsia"/>
          <w:color w:val="000000" w:themeColor="text1"/>
          <w:highlight w:val="none"/>
          <w14:textFill>
            <w14:solidFill>
              <w14:schemeClr w14:val="tx1"/>
            </w14:solidFill>
          </w14:textFill>
        </w:rPr>
        <w:t>（1）建设项目环境影响评价委托书；</w:t>
      </w:r>
    </w:p>
    <w:p w14:paraId="2C03FB5A">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（2）《恒泰晋昇生产速凝剂及硫酸铝外加剂建设项目可行性研究报告》</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新疆恒泰晋昇新型建材有限公司</w:t>
      </w:r>
      <w:r>
        <w:rPr>
          <w:rFonts w:hint="eastAsia"/>
          <w:color w:val="000000" w:themeColor="text1"/>
          <w:highlight w:val="none"/>
          <w:lang w:val="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2025年3月）</w:t>
      </w:r>
      <w:r>
        <w:rPr>
          <w:rFonts w:hint="eastAsia"/>
          <w:color w:val="000000" w:themeColor="text1"/>
          <w:highlight w:val="none"/>
          <w14:textFill>
            <w14:solidFill>
              <w14:schemeClr w14:val="tx1"/>
            </w14:solidFill>
          </w14:textFill>
        </w:rPr>
        <w:t>；</w:t>
      </w:r>
    </w:p>
    <w:p w14:paraId="3359A30E">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项目立项备案文件（备案证号：2504181706652300000152，昌吉高新技术产业开发区产业发展科技局）；</w:t>
      </w:r>
    </w:p>
    <w:p w14:paraId="4390DB45">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4）《年产1万吨高性能外加剂建设项目环境影响报告表》（2019年6月，新疆水木清华环保咨询有限公司）；</w:t>
      </w:r>
    </w:p>
    <w:p w14:paraId="38E9CF76">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5）《关于</w:t>
      </w:r>
      <w:r>
        <w:rPr>
          <w:rFonts w:hint="eastAsia"/>
          <w:color w:val="000000" w:themeColor="text1"/>
          <w:highlight w:val="none"/>
          <w14:textFill>
            <w14:solidFill>
              <w14:schemeClr w14:val="tx1"/>
            </w14:solidFill>
          </w14:textFill>
        </w:rPr>
        <w:t>新疆恒泰晋昇新型建材有限公司</w:t>
      </w:r>
      <w:r>
        <w:rPr>
          <w:rFonts w:hint="eastAsia"/>
          <w:color w:val="000000" w:themeColor="text1"/>
          <w:highlight w:val="none"/>
          <w:lang w:val="en-US" w:eastAsia="zh-CN"/>
          <w14:textFill>
            <w14:solidFill>
              <w14:schemeClr w14:val="tx1"/>
            </w14:solidFill>
          </w14:textFill>
        </w:rPr>
        <w:t>年产1万吨高性能外加剂建设项目环境影响报告表的批复》（昌吉高新技术产业开发区管理委员会环境保护局，2019年7月4日）；</w:t>
      </w:r>
    </w:p>
    <w:p w14:paraId="31E5119A">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6）《年产1万吨高性能外加剂建设项目竣工环境保护验收监测报告表》（2019年8月，新疆蓝庆坤环保科技有限公司）；</w:t>
      </w:r>
    </w:p>
    <w:p w14:paraId="16E6AFAD">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建设单位提供的其他资料。</w:t>
      </w:r>
    </w:p>
    <w:p w14:paraId="7CEDB8C3">
      <w:pPr>
        <w:pStyle w:val="3"/>
        <w:rPr>
          <w:rFonts w:hint="eastAsia"/>
          <w:color w:val="000000" w:themeColor="text1"/>
          <w:highlight w:val="none"/>
          <w14:textFill>
            <w14:solidFill>
              <w14:schemeClr w14:val="tx1"/>
            </w14:solidFill>
          </w14:textFill>
        </w:rPr>
      </w:pPr>
      <w:bookmarkStart w:id="198" w:name="_Toc342"/>
      <w:bookmarkStart w:id="199" w:name="_Toc17910"/>
      <w:bookmarkStart w:id="200" w:name="_Toc2230"/>
      <w:bookmarkStart w:id="201" w:name="_Toc14450"/>
      <w:bookmarkStart w:id="202" w:name="_Toc9870"/>
      <w:bookmarkStart w:id="203" w:name="_Toc10008"/>
      <w:bookmarkStart w:id="204" w:name="_Toc2995"/>
      <w:bookmarkStart w:id="205" w:name="_Toc28228"/>
      <w:bookmarkStart w:id="206" w:name="_Toc5863"/>
      <w:bookmarkStart w:id="207" w:name="_Toc9511"/>
      <w:bookmarkStart w:id="208" w:name="_Toc12856"/>
      <w:bookmarkStart w:id="209" w:name="_Toc27198"/>
      <w:bookmarkStart w:id="210" w:name="_Toc21761"/>
      <w:bookmarkStart w:id="211" w:name="_Toc31403"/>
      <w:bookmarkStart w:id="212" w:name="_Toc28641"/>
      <w:bookmarkStart w:id="213" w:name="_Toc3556"/>
      <w:bookmarkStart w:id="214" w:name="_Toc17392"/>
      <w:bookmarkStart w:id="215" w:name="_Toc19269"/>
      <w:bookmarkStart w:id="216" w:name="_Toc32102"/>
      <w:bookmarkStart w:id="217" w:name="_Toc1216"/>
      <w:bookmarkStart w:id="218" w:name="_Toc25722"/>
      <w:bookmarkStart w:id="219" w:name="_Toc29457"/>
      <w:bookmarkStart w:id="220" w:name="_Toc18800"/>
      <w:bookmarkStart w:id="221" w:name="_Toc3181"/>
      <w:bookmarkStart w:id="222" w:name="_Toc10224"/>
      <w:bookmarkStart w:id="223" w:name="_Toc28579"/>
      <w:bookmarkStart w:id="224" w:name="_Toc3978"/>
      <w:bookmarkStart w:id="225" w:name="_Toc1801"/>
      <w:bookmarkStart w:id="226" w:name="_Toc13229"/>
      <w:bookmarkStart w:id="227" w:name="_Toc16899"/>
      <w:r>
        <w:rPr>
          <w:rFonts w:hint="eastAsia"/>
          <w:color w:val="000000" w:themeColor="text1"/>
          <w:highlight w:val="none"/>
          <w14:textFill>
            <w14:solidFill>
              <w14:schemeClr w14:val="tx1"/>
            </w14:solidFill>
          </w14:textFill>
        </w:rPr>
        <w:t>2.2评价目的及评价原则</w:t>
      </w:r>
      <w:bookmarkEnd w:id="189"/>
      <w:bookmarkEnd w:id="190"/>
      <w:bookmarkEnd w:id="191"/>
      <w:bookmarkEnd w:id="192"/>
      <w:bookmarkEnd w:id="193"/>
      <w:bookmarkEnd w:id="194"/>
      <w:bookmarkEnd w:id="195"/>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7854487F">
      <w:pPr>
        <w:pStyle w:val="4"/>
        <w:rPr>
          <w:rFonts w:hint="eastAsia"/>
          <w:color w:val="000000" w:themeColor="text1"/>
          <w:highlight w:val="none"/>
          <w14:textFill>
            <w14:solidFill>
              <w14:schemeClr w14:val="tx1"/>
            </w14:solidFill>
          </w14:textFill>
        </w:rPr>
      </w:pPr>
      <w:bookmarkStart w:id="228" w:name="_Toc28475"/>
      <w:bookmarkStart w:id="229" w:name="_Toc22718"/>
      <w:bookmarkStart w:id="230" w:name="_Toc13777"/>
      <w:bookmarkStart w:id="231" w:name="_Toc32553"/>
      <w:bookmarkStart w:id="232" w:name="_Toc12828"/>
      <w:bookmarkStart w:id="233" w:name="_Toc6725"/>
      <w:bookmarkStart w:id="234" w:name="_Toc18350"/>
      <w:bookmarkStart w:id="235" w:name="_Toc16848"/>
      <w:bookmarkStart w:id="236" w:name="_Toc32551"/>
      <w:bookmarkStart w:id="237" w:name="_Toc20220"/>
      <w:bookmarkStart w:id="238" w:name="_Toc22401"/>
      <w:r>
        <w:rPr>
          <w:rFonts w:hint="eastAsia"/>
          <w:color w:val="000000" w:themeColor="text1"/>
          <w:highlight w:val="none"/>
          <w14:textFill>
            <w14:solidFill>
              <w14:schemeClr w14:val="tx1"/>
            </w14:solidFill>
          </w14:textFill>
        </w:rPr>
        <w:t>2.2.1评价目的</w:t>
      </w:r>
      <w:bookmarkEnd w:id="228"/>
      <w:bookmarkEnd w:id="229"/>
      <w:bookmarkEnd w:id="230"/>
      <w:bookmarkEnd w:id="231"/>
      <w:bookmarkEnd w:id="232"/>
      <w:bookmarkEnd w:id="233"/>
      <w:bookmarkEnd w:id="234"/>
      <w:bookmarkEnd w:id="235"/>
      <w:bookmarkEnd w:id="236"/>
      <w:bookmarkEnd w:id="237"/>
      <w:bookmarkEnd w:id="238"/>
    </w:p>
    <w:p w14:paraId="4B670F52">
      <w:pPr>
        <w:ind w:firstLine="480"/>
        <w:rPr>
          <w:color w:val="000000" w:themeColor="text1"/>
          <w:highlight w:val="none"/>
          <w14:textFill>
            <w14:solidFill>
              <w14:schemeClr w14:val="tx1"/>
            </w14:solidFill>
          </w14:textFill>
        </w:rPr>
      </w:pPr>
      <w:bookmarkStart w:id="239" w:name="_Toc1686"/>
      <w:bookmarkStart w:id="240" w:name="_Toc14920"/>
      <w:bookmarkStart w:id="241" w:name="_Toc3317"/>
      <w:bookmarkStart w:id="242" w:name="_Toc27377"/>
      <w:bookmarkStart w:id="243" w:name="_Toc23528"/>
      <w:bookmarkStart w:id="244" w:name="_Toc19436"/>
      <w:bookmarkStart w:id="245" w:name="_Toc6757"/>
      <w:bookmarkStart w:id="246" w:name="_Toc16965"/>
      <w:r>
        <w:rPr>
          <w:rFonts w:hint="eastAsia"/>
          <w:color w:val="000000" w:themeColor="text1"/>
          <w:highlight w:val="none"/>
          <w14:textFill>
            <w14:solidFill>
              <w14:schemeClr w14:val="tx1"/>
            </w14:solidFill>
          </w14:textFill>
        </w:rPr>
        <w:t xml:space="preserve">（1）通过调查、收集资料与实测，了解本项目评价范围内的社会环境、自然环境和环境质量现状； </w:t>
      </w:r>
    </w:p>
    <w:p w14:paraId="338BA1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（2）通过工程分析，明确本项目的主要污染源、污染物种类、排放源强，并对污染物达标排放进行分析； </w:t>
      </w:r>
    </w:p>
    <w:p w14:paraId="41C29A5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（3）论证本项目采取的环境保护措施的可行性及合理性，并针对存在的问题，提出预防或者减轻不良环境影响的对策和措施； </w:t>
      </w:r>
    </w:p>
    <w:p w14:paraId="273D6B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（4）论证项目与产业政策的符合性、与当地建设规划的相容性、资源利用可行性以及环境可行性； </w:t>
      </w:r>
    </w:p>
    <w:p w14:paraId="3C73D1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（5）分析本项目可能存在的</w:t>
      </w:r>
      <w:r>
        <w:rPr>
          <w:rFonts w:hint="eastAsia"/>
          <w:color w:val="000000" w:themeColor="text1"/>
          <w:highlight w:val="none"/>
          <w:lang w:val="en-US" w:eastAsia="zh-CN"/>
          <w14:textFill>
            <w14:solidFill>
              <w14:schemeClr w14:val="tx1"/>
            </w14:solidFill>
          </w14:textFill>
        </w:rPr>
        <w:t>环境风险</w:t>
      </w:r>
      <w:r>
        <w:rPr>
          <w:rFonts w:hint="eastAsia"/>
          <w:color w:val="000000" w:themeColor="text1"/>
          <w:highlight w:val="none"/>
          <w14:textFill>
            <w14:solidFill>
              <w14:schemeClr w14:val="tx1"/>
            </w14:solidFill>
          </w14:textFill>
        </w:rPr>
        <w:t xml:space="preserve">，预测可能产生的环境风险程度，提出具体的环境风险防范措施。 </w:t>
      </w:r>
    </w:p>
    <w:p w14:paraId="6955774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通过上述评价，论证项目在环境方面的可行性，给出环境影响评价结论，为环境保护主管部门提供决策依据。 </w:t>
      </w:r>
    </w:p>
    <w:p w14:paraId="607684D9">
      <w:pPr>
        <w:pStyle w:val="4"/>
        <w:rPr>
          <w:color w:val="000000" w:themeColor="text1"/>
          <w:highlight w:val="none"/>
          <w14:textFill>
            <w14:solidFill>
              <w14:schemeClr w14:val="tx1"/>
            </w14:solidFill>
          </w14:textFill>
        </w:rPr>
      </w:pPr>
      <w:bookmarkStart w:id="247" w:name="_Toc8814"/>
      <w:bookmarkStart w:id="248" w:name="_Toc118"/>
      <w:bookmarkStart w:id="249" w:name="_Toc4468"/>
      <w:r>
        <w:rPr>
          <w:rFonts w:hint="eastAsia"/>
          <w:color w:val="000000" w:themeColor="text1"/>
          <w:highlight w:val="none"/>
          <w14:textFill>
            <w14:solidFill>
              <w14:schemeClr w14:val="tx1"/>
            </w14:solidFill>
          </w14:textFill>
        </w:rPr>
        <w:t>2.2.2评价原则</w:t>
      </w:r>
      <w:bookmarkEnd w:id="239"/>
      <w:bookmarkEnd w:id="240"/>
      <w:bookmarkEnd w:id="241"/>
      <w:bookmarkEnd w:id="242"/>
      <w:bookmarkEnd w:id="243"/>
      <w:bookmarkEnd w:id="244"/>
      <w:bookmarkEnd w:id="245"/>
      <w:bookmarkEnd w:id="246"/>
      <w:bookmarkEnd w:id="247"/>
      <w:bookmarkEnd w:id="248"/>
      <w:bookmarkEnd w:id="249"/>
    </w:p>
    <w:p w14:paraId="1CE8862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突出环境影响评价的源头预防作用，坚持保护和改善环境质量。 </w:t>
      </w:r>
    </w:p>
    <w:p w14:paraId="7E38509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（1）依法评价 </w:t>
      </w:r>
    </w:p>
    <w:p w14:paraId="33C4FEF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贯彻执行我国环境保护相关法律法规、标准、政策和规划等，优化项目建设，服务环境管理。 </w:t>
      </w:r>
    </w:p>
    <w:p w14:paraId="471342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（2）科学评价 </w:t>
      </w:r>
    </w:p>
    <w:p w14:paraId="076E72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规范环境影响评价方法，科学分析项目建设对环境质量的影响。 </w:t>
      </w:r>
    </w:p>
    <w:p w14:paraId="1FDEA1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（3）突出重点 </w:t>
      </w:r>
    </w:p>
    <w:p w14:paraId="70A40AB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根据建设项目的工程内容及其特点，明确与环境要素间的作用效应关系，根据规划环境影响评价结论和审查意见，充分利用符合时效的数据资料及成果，对建设项目主要环境影响予以重点分析和评价。 </w:t>
      </w:r>
    </w:p>
    <w:p w14:paraId="17072DED">
      <w:pPr>
        <w:pStyle w:val="4"/>
        <w:rPr>
          <w:rFonts w:hint="eastAsia"/>
          <w:color w:val="000000" w:themeColor="text1"/>
          <w:highlight w:val="none"/>
          <w14:textFill>
            <w14:solidFill>
              <w14:schemeClr w14:val="tx1"/>
            </w14:solidFill>
          </w14:textFill>
        </w:rPr>
      </w:pPr>
      <w:bookmarkStart w:id="250" w:name="_Toc21097"/>
      <w:bookmarkStart w:id="251" w:name="_Toc17576"/>
      <w:bookmarkStart w:id="252" w:name="_Toc19129"/>
      <w:bookmarkStart w:id="253" w:name="_Toc19546"/>
      <w:bookmarkStart w:id="254" w:name="_Toc11470"/>
      <w:bookmarkStart w:id="255" w:name="_Toc24241"/>
      <w:bookmarkStart w:id="256" w:name="_Toc19550"/>
      <w:bookmarkStart w:id="257" w:name="_Toc27138"/>
      <w:bookmarkStart w:id="258" w:name="_Toc6731"/>
      <w:bookmarkStart w:id="259" w:name="_Toc1357"/>
      <w:bookmarkStart w:id="260" w:name="_Toc32075"/>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3评价时段</w:t>
      </w:r>
      <w:bookmarkEnd w:id="250"/>
      <w:bookmarkEnd w:id="251"/>
      <w:bookmarkEnd w:id="252"/>
      <w:bookmarkEnd w:id="253"/>
      <w:bookmarkEnd w:id="254"/>
      <w:bookmarkEnd w:id="255"/>
      <w:bookmarkEnd w:id="256"/>
      <w:bookmarkEnd w:id="257"/>
      <w:bookmarkEnd w:id="258"/>
      <w:bookmarkEnd w:id="259"/>
      <w:bookmarkEnd w:id="260"/>
    </w:p>
    <w:p w14:paraId="6C8B19E0">
      <w:pPr>
        <w:ind w:firstLine="480"/>
        <w:rPr>
          <w:rFonts w:hint="eastAsia"/>
          <w:color w:val="000000" w:themeColor="text1"/>
          <w:highlight w:val="none"/>
          <w14:textFill>
            <w14:solidFill>
              <w14:schemeClr w14:val="tx1"/>
            </w14:solidFill>
          </w14:textFill>
        </w:rPr>
      </w:pPr>
      <w:bookmarkStart w:id="261" w:name="_Toc16408"/>
      <w:bookmarkStart w:id="262" w:name="_Toc24056"/>
      <w:bookmarkStart w:id="263" w:name="_Toc3195"/>
      <w:bookmarkStart w:id="264" w:name="_Toc17327"/>
      <w:bookmarkStart w:id="265" w:name="_Toc28814"/>
      <w:bookmarkStart w:id="266" w:name="_Toc20862"/>
      <w:bookmarkStart w:id="267" w:name="_Toc32229"/>
      <w:bookmarkStart w:id="268" w:name="_Toc10327"/>
      <w:bookmarkStart w:id="269" w:name="_Toc17923"/>
      <w:bookmarkStart w:id="270" w:name="_Toc8123"/>
      <w:r>
        <w:rPr>
          <w:color w:val="000000" w:themeColor="text1"/>
          <w:highlight w:val="none"/>
          <w14:textFill>
            <w14:solidFill>
              <w14:schemeClr w14:val="tx1"/>
            </w14:solidFill>
          </w14:textFill>
        </w:rPr>
        <w:t>根据项目</w:t>
      </w:r>
      <w:r>
        <w:rPr>
          <w:rFonts w:hint="eastAsia"/>
          <w:color w:val="000000" w:themeColor="text1"/>
          <w:highlight w:val="none"/>
          <w14:textFill>
            <w14:solidFill>
              <w14:schemeClr w14:val="tx1"/>
            </w14:solidFill>
          </w14:textFill>
        </w:rPr>
        <w:t>的建设规模和性质，确定本工程的环境影响评价时段</w:t>
      </w:r>
      <w:r>
        <w:rPr>
          <w:color w:val="000000" w:themeColor="text1"/>
          <w:highlight w:val="none"/>
          <w14:textFill>
            <w14:solidFill>
              <w14:schemeClr w14:val="tx1"/>
            </w14:solidFill>
          </w14:textFill>
        </w:rPr>
        <w:t>为施工期、运营期</w:t>
      </w:r>
      <w:r>
        <w:rPr>
          <w:rFonts w:hint="eastAsia"/>
          <w:color w:val="000000" w:themeColor="text1"/>
          <w:highlight w:val="none"/>
          <w14:textFill>
            <w14:solidFill>
              <w14:schemeClr w14:val="tx1"/>
            </w14:solidFill>
          </w14:textFill>
        </w:rPr>
        <w:t>两</w:t>
      </w:r>
      <w:r>
        <w:rPr>
          <w:color w:val="000000" w:themeColor="text1"/>
          <w:highlight w:val="none"/>
          <w14:textFill>
            <w14:solidFill>
              <w14:schemeClr w14:val="tx1"/>
            </w14:solidFill>
          </w14:textFill>
        </w:rPr>
        <w:t>个阶段。</w:t>
      </w:r>
    </w:p>
    <w:p w14:paraId="2B1976D9">
      <w:pPr>
        <w:pStyle w:val="3"/>
        <w:rPr>
          <w:color w:val="000000" w:themeColor="text1"/>
          <w:highlight w:val="none"/>
          <w14:textFill>
            <w14:solidFill>
              <w14:schemeClr w14:val="tx1"/>
            </w14:solidFill>
          </w14:textFill>
        </w:rPr>
      </w:pPr>
      <w:bookmarkStart w:id="271" w:name="_Toc4883"/>
      <w:bookmarkStart w:id="272" w:name="_Toc19478"/>
      <w:bookmarkStart w:id="273" w:name="_Toc26723"/>
      <w:bookmarkStart w:id="274" w:name="_Toc25260"/>
      <w:bookmarkStart w:id="275" w:name="_Toc31470"/>
      <w:bookmarkStart w:id="276" w:name="_Toc216"/>
      <w:bookmarkStart w:id="277" w:name="_Toc4265"/>
      <w:bookmarkStart w:id="278" w:name="_Toc30622"/>
      <w:bookmarkStart w:id="279" w:name="_Toc517"/>
      <w:bookmarkStart w:id="280" w:name="_Toc17204"/>
      <w:bookmarkStart w:id="281" w:name="_Toc27762"/>
      <w:bookmarkStart w:id="282" w:name="_Toc29233"/>
      <w:bookmarkStart w:id="283" w:name="_Toc19496"/>
      <w:bookmarkStart w:id="284" w:name="_Toc10842"/>
      <w:bookmarkStart w:id="285" w:name="_Toc15555"/>
      <w:bookmarkStart w:id="286" w:name="_Toc32466"/>
      <w:bookmarkStart w:id="287" w:name="_Toc17794"/>
      <w:bookmarkStart w:id="288" w:name="_Toc12006"/>
      <w:bookmarkStart w:id="289" w:name="_Toc17346"/>
      <w:bookmarkStart w:id="290" w:name="_Toc11288"/>
      <w:bookmarkStart w:id="291" w:name="_Toc32010"/>
      <w:bookmarkStart w:id="292" w:name="_Toc5630"/>
      <w:bookmarkStart w:id="293" w:name="_Toc22602"/>
      <w:bookmarkStart w:id="294" w:name="_Toc2336"/>
      <w:bookmarkStart w:id="295" w:name="_Toc21596"/>
      <w:bookmarkStart w:id="296" w:name="_Toc18335"/>
      <w:bookmarkStart w:id="297" w:name="_Toc27403"/>
      <w:r>
        <w:rPr>
          <w:rFonts w:hint="eastAsia"/>
          <w:color w:val="000000" w:themeColor="text1"/>
          <w:highlight w:val="none"/>
          <w14:textFill>
            <w14:solidFill>
              <w14:schemeClr w14:val="tx1"/>
            </w14:solidFill>
          </w14:textFill>
        </w:rPr>
        <w:t>2.3</w:t>
      </w:r>
      <w:r>
        <w:rPr>
          <w:rFonts w:hint="eastAsia"/>
          <w:color w:val="000000" w:themeColor="text1"/>
          <w:highlight w:val="none"/>
          <w:lang w:val="en-US"/>
          <w14:textFill>
            <w14:solidFill>
              <w14:schemeClr w14:val="tx1"/>
            </w14:solidFill>
          </w14:textFill>
        </w:rPr>
        <w:t xml:space="preserve"> </w:t>
      </w:r>
      <w:r>
        <w:rPr>
          <w:rFonts w:hint="eastAsia"/>
          <w:color w:val="000000" w:themeColor="text1"/>
          <w:highlight w:val="none"/>
          <w14:textFill>
            <w14:solidFill>
              <w14:schemeClr w14:val="tx1"/>
            </w14:solidFill>
          </w14:textFill>
        </w:rPr>
        <w:t>环境影响识别与评价因子筛选</w:t>
      </w:r>
      <w:bookmarkEnd w:id="196"/>
      <w:bookmarkEnd w:id="197"/>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Fonts w:hint="eastAsia"/>
          <w:color w:val="000000" w:themeColor="text1"/>
          <w:highlight w:val="none"/>
          <w14:textFill>
            <w14:solidFill>
              <w14:schemeClr w14:val="tx1"/>
            </w14:solidFill>
          </w14:textFill>
        </w:rPr>
        <w:t xml:space="preserve"> </w:t>
      </w:r>
    </w:p>
    <w:p w14:paraId="2B2AE9C7">
      <w:pPr>
        <w:pStyle w:val="4"/>
        <w:rPr>
          <w:color w:val="000000" w:themeColor="text1"/>
          <w:highlight w:val="none"/>
          <w14:textFill>
            <w14:solidFill>
              <w14:schemeClr w14:val="tx1"/>
            </w14:solidFill>
          </w14:textFill>
        </w:rPr>
      </w:pPr>
      <w:bookmarkStart w:id="298" w:name="_Toc18865"/>
      <w:bookmarkStart w:id="299" w:name="_Toc3961"/>
      <w:bookmarkStart w:id="300" w:name="_Toc28260"/>
      <w:bookmarkStart w:id="301" w:name="_Toc19265"/>
      <w:bookmarkStart w:id="302" w:name="_Toc27031"/>
      <w:bookmarkStart w:id="303" w:name="_Toc4084"/>
      <w:bookmarkStart w:id="304" w:name="_Toc9583"/>
      <w:bookmarkStart w:id="305" w:name="_Toc15344"/>
      <w:bookmarkStart w:id="306" w:name="_Toc26811"/>
      <w:bookmarkStart w:id="307" w:name="_Toc29212"/>
      <w:bookmarkStart w:id="308" w:name="_Toc9776"/>
      <w:r>
        <w:rPr>
          <w:rFonts w:hint="eastAsia"/>
          <w:color w:val="000000" w:themeColor="text1"/>
          <w:highlight w:val="none"/>
          <w14:textFill>
            <w14:solidFill>
              <w14:schemeClr w14:val="tx1"/>
            </w14:solidFill>
          </w14:textFill>
        </w:rPr>
        <w:t>2.3.1环境影响识别</w:t>
      </w:r>
      <w:bookmarkEnd w:id="298"/>
      <w:bookmarkEnd w:id="299"/>
      <w:bookmarkEnd w:id="300"/>
      <w:bookmarkEnd w:id="301"/>
      <w:bookmarkEnd w:id="302"/>
      <w:bookmarkEnd w:id="303"/>
      <w:bookmarkEnd w:id="304"/>
      <w:bookmarkEnd w:id="305"/>
      <w:bookmarkEnd w:id="306"/>
      <w:bookmarkEnd w:id="307"/>
      <w:bookmarkEnd w:id="308"/>
    </w:p>
    <w:p w14:paraId="2F367AD7">
      <w:pPr>
        <w:ind w:firstLine="480"/>
        <w:rPr>
          <w:color w:val="000000" w:themeColor="text1"/>
          <w:highlight w:val="none"/>
          <w14:textFill>
            <w14:solidFill>
              <w14:schemeClr w14:val="tx1"/>
            </w14:solidFill>
          </w14:textFill>
        </w:rPr>
      </w:pPr>
      <w:bookmarkStart w:id="309" w:name="_Toc25717"/>
      <w:bookmarkStart w:id="310" w:name="_Toc13317"/>
      <w:bookmarkStart w:id="311" w:name="_Toc9961"/>
      <w:bookmarkStart w:id="312" w:name="_Toc4820"/>
      <w:bookmarkStart w:id="313" w:name="_Toc22021"/>
      <w:r>
        <w:rPr>
          <w:color w:val="000000" w:themeColor="text1"/>
          <w:highlight w:val="none"/>
          <w14:textFill>
            <w14:solidFill>
              <w14:schemeClr w14:val="tx1"/>
            </w14:solidFill>
          </w14:textFill>
        </w:rPr>
        <w:t>本项目对环境的主要影响为施工期和运营期。根据项目的性质、工程特点及其所在区域的环境特征，识别可能对环境产生影响的因素。</w:t>
      </w:r>
    </w:p>
    <w:p w14:paraId="724BC9F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w:t>
      </w:r>
      <w:r>
        <w:rPr>
          <w:color w:val="000000" w:themeColor="text1"/>
          <w:highlight w:val="none"/>
          <w14:textFill>
            <w14:solidFill>
              <w14:schemeClr w14:val="tx1"/>
            </w14:solidFill>
          </w14:textFill>
        </w:rPr>
        <w:t>各阶段的环境影响因素筛选和识别见表</w:t>
      </w:r>
      <w:r>
        <w:rPr>
          <w:rFonts w:hint="eastAsia"/>
          <w:color w:val="000000" w:themeColor="text1"/>
          <w:highlight w:val="none"/>
          <w14:textFill>
            <w14:solidFill>
              <w14:schemeClr w14:val="tx1"/>
            </w14:solidFill>
          </w14:textFill>
        </w:rPr>
        <w:t>2.3.1</w:t>
      </w:r>
      <w:r>
        <w:rPr>
          <w:color w:val="000000" w:themeColor="text1"/>
          <w:highlight w:val="none"/>
          <w14:textFill>
            <w14:solidFill>
              <w14:schemeClr w14:val="tx1"/>
            </w14:solidFill>
          </w14:textFill>
        </w:rPr>
        <w:t>-1。</w:t>
      </w:r>
    </w:p>
    <w:p w14:paraId="081BB94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施工期</w:t>
      </w:r>
    </w:p>
    <w:p w14:paraId="20CDD49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施工期主要环境影响因素见表2.</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.1-1。</w:t>
      </w:r>
    </w:p>
    <w:p w14:paraId="2B561C68">
      <w:pPr>
        <w:pStyle w:val="25"/>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.1-1</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施工期环境影响因素识别结果</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705"/>
        <w:gridCol w:w="1397"/>
        <w:gridCol w:w="4411"/>
        <w:gridCol w:w="2558"/>
      </w:tblGrid>
      <w:tr w14:paraId="5BBD3D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705" w:type="dxa"/>
            <w:tcBorders>
              <w:bottom w:val="single" w:color="000000" w:sz="12" w:space="0"/>
            </w:tcBorders>
            <w:noWrap w:val="0"/>
            <w:vAlign w:val="center"/>
          </w:tcPr>
          <w:p w14:paraId="7DDDCAE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1397" w:type="dxa"/>
            <w:tcBorders>
              <w:bottom w:val="single" w:color="000000" w:sz="12" w:space="0"/>
            </w:tcBorders>
            <w:noWrap w:val="0"/>
            <w:vAlign w:val="center"/>
          </w:tcPr>
          <w:p w14:paraId="655BEE1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环境要素</w:t>
            </w:r>
          </w:p>
        </w:tc>
        <w:tc>
          <w:tcPr>
            <w:tcW w:w="4411" w:type="dxa"/>
            <w:tcBorders>
              <w:bottom w:val="single" w:color="000000" w:sz="12" w:space="0"/>
            </w:tcBorders>
            <w:noWrap w:val="0"/>
            <w:vAlign w:val="center"/>
          </w:tcPr>
          <w:p w14:paraId="57AD9E9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产生影响的主要内容</w:t>
            </w:r>
          </w:p>
        </w:tc>
        <w:tc>
          <w:tcPr>
            <w:tcW w:w="2558" w:type="dxa"/>
            <w:tcBorders>
              <w:bottom w:val="single" w:color="000000" w:sz="12" w:space="0"/>
            </w:tcBorders>
            <w:noWrap w:val="0"/>
            <w:vAlign w:val="center"/>
          </w:tcPr>
          <w:p w14:paraId="09610A6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主要影响因素</w:t>
            </w:r>
          </w:p>
        </w:tc>
      </w:tr>
      <w:tr w14:paraId="77DA05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705" w:type="dxa"/>
            <w:vMerge w:val="restart"/>
            <w:tcBorders>
              <w:top w:val="single" w:color="000000" w:sz="12" w:space="0"/>
            </w:tcBorders>
            <w:noWrap w:val="0"/>
            <w:vAlign w:val="center"/>
          </w:tcPr>
          <w:p w14:paraId="7C540FA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397" w:type="dxa"/>
            <w:vMerge w:val="restart"/>
            <w:tcBorders>
              <w:top w:val="single" w:color="000000" w:sz="12" w:space="0"/>
            </w:tcBorders>
            <w:noWrap w:val="0"/>
            <w:vAlign w:val="center"/>
          </w:tcPr>
          <w:p w14:paraId="48E0ADD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环境空气</w:t>
            </w:r>
          </w:p>
        </w:tc>
        <w:tc>
          <w:tcPr>
            <w:tcW w:w="4411" w:type="dxa"/>
            <w:tcBorders>
              <w:top w:val="single" w:color="000000" w:sz="12" w:space="0"/>
            </w:tcBorders>
            <w:noWrap w:val="0"/>
            <w:vAlign w:val="center"/>
          </w:tcPr>
          <w:p w14:paraId="6DCD4CB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土石方、建材储运、使用</w:t>
            </w:r>
          </w:p>
        </w:tc>
        <w:tc>
          <w:tcPr>
            <w:tcW w:w="2558" w:type="dxa"/>
            <w:tcBorders>
              <w:top w:val="single" w:color="000000" w:sz="12" w:space="0"/>
            </w:tcBorders>
            <w:noWrap w:val="0"/>
            <w:vAlign w:val="center"/>
          </w:tcPr>
          <w:p w14:paraId="21C310C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扬尘</w:t>
            </w:r>
          </w:p>
        </w:tc>
      </w:tr>
      <w:tr w14:paraId="593C72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705" w:type="dxa"/>
            <w:vMerge w:val="continue"/>
            <w:noWrap w:val="0"/>
            <w:vAlign w:val="center"/>
          </w:tcPr>
          <w:p w14:paraId="2D93D129">
            <w:pPr>
              <w:pStyle w:val="26"/>
              <w:rPr>
                <w:color w:val="000000" w:themeColor="text1"/>
                <w:highlight w:val="none"/>
                <w14:textFill>
                  <w14:solidFill>
                    <w14:schemeClr w14:val="tx1"/>
                  </w14:solidFill>
                </w14:textFill>
              </w:rPr>
            </w:pPr>
          </w:p>
        </w:tc>
        <w:tc>
          <w:tcPr>
            <w:tcW w:w="1397" w:type="dxa"/>
            <w:vMerge w:val="continue"/>
            <w:noWrap w:val="0"/>
            <w:vAlign w:val="center"/>
          </w:tcPr>
          <w:p w14:paraId="561E4246">
            <w:pPr>
              <w:pStyle w:val="26"/>
              <w:rPr>
                <w:color w:val="000000" w:themeColor="text1"/>
                <w:highlight w:val="none"/>
                <w14:textFill>
                  <w14:solidFill>
                    <w14:schemeClr w14:val="tx1"/>
                  </w14:solidFill>
                </w14:textFill>
              </w:rPr>
            </w:pPr>
          </w:p>
        </w:tc>
        <w:tc>
          <w:tcPr>
            <w:tcW w:w="4411" w:type="dxa"/>
            <w:noWrap w:val="0"/>
            <w:vAlign w:val="center"/>
          </w:tcPr>
          <w:p w14:paraId="62B704B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施工车辆尾气</w:t>
            </w:r>
          </w:p>
        </w:tc>
        <w:tc>
          <w:tcPr>
            <w:tcW w:w="2558" w:type="dxa"/>
            <w:noWrap w:val="0"/>
            <w:vAlign w:val="center"/>
          </w:tcPr>
          <w:p w14:paraId="1711B10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NOx、SO</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、CO</w:t>
            </w:r>
          </w:p>
        </w:tc>
      </w:tr>
      <w:tr w14:paraId="115208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705" w:type="dxa"/>
            <w:noWrap w:val="0"/>
            <w:vAlign w:val="center"/>
          </w:tcPr>
          <w:p w14:paraId="390F173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397" w:type="dxa"/>
            <w:noWrap w:val="0"/>
            <w:vAlign w:val="center"/>
          </w:tcPr>
          <w:p w14:paraId="0B8C6BE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水环境</w:t>
            </w:r>
          </w:p>
        </w:tc>
        <w:tc>
          <w:tcPr>
            <w:tcW w:w="4411" w:type="dxa"/>
            <w:noWrap w:val="0"/>
            <w:vAlign w:val="center"/>
          </w:tcPr>
          <w:p w14:paraId="05A9575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施工人员生活污水等</w:t>
            </w:r>
          </w:p>
        </w:tc>
        <w:tc>
          <w:tcPr>
            <w:tcW w:w="2558" w:type="dxa"/>
            <w:noWrap w:val="0"/>
            <w:vAlign w:val="center"/>
          </w:tcPr>
          <w:p w14:paraId="3424662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CODcr、BOD</w:t>
            </w:r>
            <w:r>
              <w:rPr>
                <w:color w:val="000000" w:themeColor="text1"/>
                <w:highlight w:val="none"/>
                <w:vertAlign w:val="subscript"/>
                <w14:textFill>
                  <w14:solidFill>
                    <w14:schemeClr w14:val="tx1"/>
                  </w14:solidFill>
                </w14:textFill>
              </w:rPr>
              <w:t>5</w:t>
            </w:r>
            <w:r>
              <w:rPr>
                <w:color w:val="000000" w:themeColor="text1"/>
                <w:highlight w:val="none"/>
                <w14:textFill>
                  <w14:solidFill>
                    <w14:schemeClr w14:val="tx1"/>
                  </w14:solidFill>
                </w14:textFill>
              </w:rPr>
              <w:t>、SS</w:t>
            </w:r>
          </w:p>
        </w:tc>
      </w:tr>
      <w:tr w14:paraId="5D0B89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705" w:type="dxa"/>
            <w:noWrap w:val="0"/>
            <w:vAlign w:val="center"/>
          </w:tcPr>
          <w:p w14:paraId="19304E2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397" w:type="dxa"/>
            <w:noWrap w:val="0"/>
            <w:vAlign w:val="center"/>
          </w:tcPr>
          <w:p w14:paraId="246FBCF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声环境</w:t>
            </w:r>
          </w:p>
        </w:tc>
        <w:tc>
          <w:tcPr>
            <w:tcW w:w="4411" w:type="dxa"/>
            <w:noWrap w:val="0"/>
            <w:vAlign w:val="center"/>
          </w:tcPr>
          <w:p w14:paraId="023315D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施工机械、车辆作业噪声</w:t>
            </w:r>
          </w:p>
        </w:tc>
        <w:tc>
          <w:tcPr>
            <w:tcW w:w="2558" w:type="dxa"/>
            <w:noWrap w:val="0"/>
            <w:vAlign w:val="center"/>
          </w:tcPr>
          <w:p w14:paraId="4391543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噪声</w:t>
            </w:r>
          </w:p>
        </w:tc>
      </w:tr>
      <w:tr w14:paraId="2BF7FC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705" w:type="dxa"/>
            <w:noWrap w:val="0"/>
            <w:vAlign w:val="center"/>
          </w:tcPr>
          <w:p w14:paraId="4304EF0F">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4</w:t>
            </w:r>
          </w:p>
        </w:tc>
        <w:tc>
          <w:tcPr>
            <w:tcW w:w="1397" w:type="dxa"/>
            <w:noWrap w:val="0"/>
            <w:vAlign w:val="center"/>
          </w:tcPr>
          <w:p w14:paraId="78ECE5F2">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固体废物</w:t>
            </w:r>
          </w:p>
        </w:tc>
        <w:tc>
          <w:tcPr>
            <w:tcW w:w="4411" w:type="dxa"/>
            <w:noWrap w:val="0"/>
            <w:vAlign w:val="center"/>
          </w:tcPr>
          <w:p w14:paraId="32BE974C">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施工垃圾、生活垃圾</w:t>
            </w:r>
          </w:p>
        </w:tc>
        <w:tc>
          <w:tcPr>
            <w:tcW w:w="2558" w:type="dxa"/>
            <w:noWrap w:val="0"/>
            <w:vAlign w:val="center"/>
          </w:tcPr>
          <w:p w14:paraId="73428496">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占地影响</w:t>
            </w:r>
          </w:p>
        </w:tc>
      </w:tr>
      <w:tr w14:paraId="5C6CDDA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705" w:type="dxa"/>
            <w:noWrap w:val="0"/>
            <w:vAlign w:val="center"/>
          </w:tcPr>
          <w:p w14:paraId="4C3E08FB">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5</w:t>
            </w:r>
          </w:p>
        </w:tc>
        <w:tc>
          <w:tcPr>
            <w:tcW w:w="1397" w:type="dxa"/>
            <w:noWrap w:val="0"/>
            <w:vAlign w:val="center"/>
          </w:tcPr>
          <w:p w14:paraId="3634DE36">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生态环境</w:t>
            </w:r>
          </w:p>
        </w:tc>
        <w:tc>
          <w:tcPr>
            <w:tcW w:w="4411" w:type="dxa"/>
            <w:noWrap w:val="0"/>
            <w:vAlign w:val="center"/>
          </w:tcPr>
          <w:p w14:paraId="6FE9B96F">
            <w:pPr>
              <w:pStyle w:val="26"/>
              <w:ind w:left="0" w:leftChars="0" w:right="0" w:rightChars="0" w:firstLine="0" w:firstLineChars="0"/>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土石方、建材堆存</w:t>
            </w:r>
          </w:p>
        </w:tc>
        <w:tc>
          <w:tcPr>
            <w:tcW w:w="2558" w:type="dxa"/>
            <w:noWrap w:val="0"/>
            <w:vAlign w:val="center"/>
          </w:tcPr>
          <w:p w14:paraId="0858F6C0">
            <w:pPr>
              <w:pStyle w:val="26"/>
              <w:ind w:left="0" w:leftChars="0" w:right="0" w:rightChars="0"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占地影响</w:t>
            </w:r>
          </w:p>
        </w:tc>
      </w:tr>
    </w:tbl>
    <w:p w14:paraId="1F31EC9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营运期</w:t>
      </w:r>
    </w:p>
    <w:p w14:paraId="20CBC6B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项目运营期将产生废气、废水、噪声以及固废等污染因素，将相应对厂址周围的环境空气、地表水、地下水环境及声环境等产生不同程度的影响。综上所述，本项目运营期环境影响因素识别见表2.</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.1-2。</w:t>
      </w:r>
    </w:p>
    <w:p w14:paraId="068C3CD3">
      <w:pPr>
        <w:pStyle w:val="2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.1-2</w:t>
      </w:r>
      <w:r>
        <w:rPr>
          <w:rFonts w:hint="eastAsia"/>
          <w:color w:val="000000" w:themeColor="text1"/>
          <w:highlight w:val="none"/>
          <w14:textFill>
            <w14:solidFill>
              <w14:schemeClr w14:val="tx1"/>
            </w14:solidFill>
          </w14:textFill>
        </w:rPr>
        <w:t xml:space="preserve">      运营期环境影响因素识别结果</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647"/>
        <w:gridCol w:w="2688"/>
        <w:gridCol w:w="1727"/>
        <w:gridCol w:w="1506"/>
        <w:gridCol w:w="1503"/>
      </w:tblGrid>
      <w:tr w14:paraId="70EE0AB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1647" w:type="dxa"/>
            <w:vMerge w:val="restart"/>
            <w:noWrap w:val="0"/>
            <w:vAlign w:val="center"/>
          </w:tcPr>
          <w:p w14:paraId="25CDC58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环境要素</w:t>
            </w:r>
          </w:p>
        </w:tc>
        <w:tc>
          <w:tcPr>
            <w:tcW w:w="7424" w:type="dxa"/>
            <w:gridSpan w:val="4"/>
            <w:tcBorders>
              <w:bottom w:val="single" w:color="000000" w:sz="4" w:space="0"/>
              <w:right w:val="nil"/>
            </w:tcBorders>
            <w:noWrap w:val="0"/>
            <w:vAlign w:val="center"/>
          </w:tcPr>
          <w:p w14:paraId="08D0393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环境影响因素</w:t>
            </w:r>
          </w:p>
        </w:tc>
      </w:tr>
      <w:tr w14:paraId="28917B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54" w:hRule="atLeast"/>
          <w:jc w:val="center"/>
        </w:trPr>
        <w:tc>
          <w:tcPr>
            <w:tcW w:w="1647" w:type="dxa"/>
            <w:vMerge w:val="continue"/>
            <w:noWrap w:val="0"/>
            <w:vAlign w:val="center"/>
          </w:tcPr>
          <w:p w14:paraId="2D530569">
            <w:pPr>
              <w:pStyle w:val="26"/>
              <w:rPr>
                <w:b/>
                <w:bCs/>
                <w:color w:val="000000" w:themeColor="text1"/>
                <w:highlight w:val="none"/>
                <w14:textFill>
                  <w14:solidFill>
                    <w14:schemeClr w14:val="tx1"/>
                  </w14:solidFill>
                </w14:textFill>
              </w:rPr>
            </w:pPr>
          </w:p>
        </w:tc>
        <w:tc>
          <w:tcPr>
            <w:tcW w:w="2688" w:type="dxa"/>
            <w:tcBorders>
              <w:top w:val="single" w:color="000000" w:sz="4" w:space="0"/>
              <w:bottom w:val="single" w:color="000000" w:sz="12" w:space="0"/>
              <w:right w:val="single" w:color="000000" w:sz="4" w:space="0"/>
            </w:tcBorders>
            <w:noWrap w:val="0"/>
            <w:vAlign w:val="center"/>
          </w:tcPr>
          <w:p w14:paraId="306F58A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废气</w:t>
            </w:r>
          </w:p>
        </w:tc>
        <w:tc>
          <w:tcPr>
            <w:tcW w:w="1727" w:type="dxa"/>
            <w:tcBorders>
              <w:top w:val="single" w:color="000000" w:sz="4" w:space="0"/>
              <w:left w:val="single" w:color="000000" w:sz="4" w:space="0"/>
              <w:bottom w:val="single" w:color="000000" w:sz="4" w:space="0"/>
              <w:right w:val="single" w:color="000000" w:sz="4" w:space="0"/>
            </w:tcBorders>
            <w:noWrap w:val="0"/>
            <w:vAlign w:val="center"/>
          </w:tcPr>
          <w:p w14:paraId="2C182EA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废水</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D7E115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噪声</w:t>
            </w:r>
          </w:p>
        </w:tc>
        <w:tc>
          <w:tcPr>
            <w:tcW w:w="1503" w:type="dxa"/>
            <w:tcBorders>
              <w:top w:val="single" w:color="000000" w:sz="4" w:space="0"/>
              <w:left w:val="single" w:color="000000" w:sz="4" w:space="0"/>
              <w:bottom w:val="single" w:color="000000" w:sz="4" w:space="0"/>
            </w:tcBorders>
            <w:noWrap w:val="0"/>
            <w:vAlign w:val="center"/>
          </w:tcPr>
          <w:p w14:paraId="7A84A5E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固废</w:t>
            </w:r>
          </w:p>
        </w:tc>
      </w:tr>
      <w:tr w14:paraId="3F905B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1647" w:type="dxa"/>
            <w:tcBorders>
              <w:top w:val="single" w:color="000000" w:sz="12" w:space="0"/>
            </w:tcBorders>
            <w:noWrap w:val="0"/>
            <w:vAlign w:val="center"/>
          </w:tcPr>
          <w:p w14:paraId="1884F27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环境空气</w:t>
            </w:r>
          </w:p>
        </w:tc>
        <w:tc>
          <w:tcPr>
            <w:tcW w:w="2688" w:type="dxa"/>
            <w:tcBorders>
              <w:top w:val="single" w:color="000000" w:sz="12" w:space="0"/>
            </w:tcBorders>
            <w:noWrap w:val="0"/>
            <w:vAlign w:val="center"/>
          </w:tcPr>
          <w:p w14:paraId="623A6D2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轻微影响</w:t>
            </w:r>
          </w:p>
        </w:tc>
        <w:tc>
          <w:tcPr>
            <w:tcW w:w="1727" w:type="dxa"/>
            <w:tcBorders>
              <w:top w:val="single" w:color="000000" w:sz="12" w:space="0"/>
            </w:tcBorders>
            <w:noWrap w:val="0"/>
            <w:vAlign w:val="center"/>
          </w:tcPr>
          <w:p w14:paraId="0FB57C6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506" w:type="dxa"/>
            <w:tcBorders>
              <w:top w:val="single" w:color="000000" w:sz="12" w:space="0"/>
            </w:tcBorders>
            <w:noWrap w:val="0"/>
            <w:vAlign w:val="center"/>
          </w:tcPr>
          <w:p w14:paraId="3A0C2A6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503" w:type="dxa"/>
            <w:tcBorders>
              <w:top w:val="single" w:color="000000" w:sz="12" w:space="0"/>
            </w:tcBorders>
            <w:noWrap w:val="0"/>
            <w:vAlign w:val="center"/>
          </w:tcPr>
          <w:p w14:paraId="297D068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轻微影响</w:t>
            </w:r>
          </w:p>
        </w:tc>
      </w:tr>
      <w:tr w14:paraId="204BE9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1647" w:type="dxa"/>
            <w:noWrap w:val="0"/>
            <w:vAlign w:val="center"/>
          </w:tcPr>
          <w:p w14:paraId="2DDFC8F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地表水</w:t>
            </w:r>
          </w:p>
        </w:tc>
        <w:tc>
          <w:tcPr>
            <w:tcW w:w="2688" w:type="dxa"/>
            <w:noWrap w:val="0"/>
            <w:vAlign w:val="center"/>
          </w:tcPr>
          <w:p w14:paraId="3CB8E42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727" w:type="dxa"/>
            <w:noWrap w:val="0"/>
            <w:vAlign w:val="center"/>
          </w:tcPr>
          <w:p w14:paraId="650512FB">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506" w:type="dxa"/>
            <w:noWrap w:val="0"/>
            <w:vAlign w:val="center"/>
          </w:tcPr>
          <w:p w14:paraId="08E4409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503" w:type="dxa"/>
            <w:noWrap w:val="0"/>
            <w:vAlign w:val="center"/>
          </w:tcPr>
          <w:p w14:paraId="1572C1E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442D16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1647" w:type="dxa"/>
            <w:noWrap w:val="0"/>
            <w:vAlign w:val="center"/>
          </w:tcPr>
          <w:p w14:paraId="5625A4F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地下水</w:t>
            </w:r>
          </w:p>
        </w:tc>
        <w:tc>
          <w:tcPr>
            <w:tcW w:w="2688" w:type="dxa"/>
            <w:noWrap w:val="0"/>
            <w:vAlign w:val="center"/>
          </w:tcPr>
          <w:p w14:paraId="7D3EB5C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727" w:type="dxa"/>
            <w:noWrap w:val="0"/>
            <w:vAlign w:val="center"/>
          </w:tcPr>
          <w:p w14:paraId="6AA8B60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轻微影响</w:t>
            </w:r>
          </w:p>
        </w:tc>
        <w:tc>
          <w:tcPr>
            <w:tcW w:w="1506" w:type="dxa"/>
            <w:noWrap w:val="0"/>
            <w:vAlign w:val="center"/>
          </w:tcPr>
          <w:p w14:paraId="38EDF05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503" w:type="dxa"/>
            <w:noWrap w:val="0"/>
            <w:vAlign w:val="center"/>
          </w:tcPr>
          <w:p w14:paraId="36367C1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轻微影响</w:t>
            </w:r>
          </w:p>
        </w:tc>
      </w:tr>
      <w:tr w14:paraId="4E55C7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1647" w:type="dxa"/>
            <w:noWrap w:val="0"/>
            <w:vAlign w:val="center"/>
          </w:tcPr>
          <w:p w14:paraId="18AB5BD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声环境</w:t>
            </w:r>
          </w:p>
        </w:tc>
        <w:tc>
          <w:tcPr>
            <w:tcW w:w="2688" w:type="dxa"/>
            <w:noWrap w:val="0"/>
            <w:vAlign w:val="center"/>
          </w:tcPr>
          <w:p w14:paraId="446A189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727" w:type="dxa"/>
            <w:noWrap w:val="0"/>
            <w:vAlign w:val="center"/>
          </w:tcPr>
          <w:p w14:paraId="3716238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506" w:type="dxa"/>
            <w:noWrap w:val="0"/>
            <w:vAlign w:val="center"/>
          </w:tcPr>
          <w:p w14:paraId="0BA1479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轻微影响</w:t>
            </w:r>
          </w:p>
        </w:tc>
        <w:tc>
          <w:tcPr>
            <w:tcW w:w="1503" w:type="dxa"/>
            <w:noWrap w:val="0"/>
            <w:vAlign w:val="center"/>
          </w:tcPr>
          <w:p w14:paraId="290E96E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029E39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1647" w:type="dxa"/>
            <w:noWrap w:val="0"/>
            <w:vAlign w:val="center"/>
          </w:tcPr>
          <w:p w14:paraId="501A8F0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生态</w:t>
            </w:r>
          </w:p>
        </w:tc>
        <w:tc>
          <w:tcPr>
            <w:tcW w:w="7424" w:type="dxa"/>
            <w:gridSpan w:val="4"/>
            <w:noWrap w:val="0"/>
            <w:vAlign w:val="center"/>
          </w:tcPr>
          <w:p w14:paraId="66159E1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轻微影响</w:t>
            </w:r>
          </w:p>
        </w:tc>
      </w:tr>
      <w:tr w14:paraId="6C7E59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1647" w:type="dxa"/>
            <w:noWrap w:val="0"/>
            <w:vAlign w:val="center"/>
          </w:tcPr>
          <w:p w14:paraId="5B461FB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土壤</w:t>
            </w:r>
          </w:p>
        </w:tc>
        <w:tc>
          <w:tcPr>
            <w:tcW w:w="4415" w:type="dxa"/>
            <w:gridSpan w:val="2"/>
            <w:noWrap w:val="0"/>
            <w:vAlign w:val="center"/>
          </w:tcPr>
          <w:p w14:paraId="0736CC5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轻微影响</w:t>
            </w:r>
          </w:p>
        </w:tc>
        <w:tc>
          <w:tcPr>
            <w:tcW w:w="1506" w:type="dxa"/>
            <w:noWrap w:val="0"/>
            <w:vAlign w:val="center"/>
          </w:tcPr>
          <w:p w14:paraId="138CAFD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503" w:type="dxa"/>
            <w:noWrap w:val="0"/>
            <w:vAlign w:val="center"/>
          </w:tcPr>
          <w:p w14:paraId="248F2C7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轻微影响</w:t>
            </w:r>
          </w:p>
        </w:tc>
      </w:tr>
    </w:tbl>
    <w:p w14:paraId="197348CB">
      <w:pPr>
        <w:pStyle w:val="4"/>
        <w:tabs>
          <w:tab w:val="left" w:pos="0"/>
        </w:tabs>
        <w:rPr>
          <w:color w:val="000000" w:themeColor="text1"/>
          <w:highlight w:val="none"/>
          <w14:textFill>
            <w14:solidFill>
              <w14:schemeClr w14:val="tx1"/>
            </w14:solidFill>
          </w14:textFill>
        </w:rPr>
      </w:pPr>
      <w:bookmarkStart w:id="314" w:name="_Toc12434"/>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.2评价因子筛选</w:t>
      </w:r>
      <w:bookmarkEnd w:id="309"/>
      <w:bookmarkEnd w:id="310"/>
      <w:bookmarkEnd w:id="311"/>
      <w:bookmarkEnd w:id="312"/>
      <w:bookmarkEnd w:id="313"/>
      <w:bookmarkEnd w:id="314"/>
    </w:p>
    <w:p w14:paraId="301C02A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根据项目建设和运行的特点，本工程评价因子筛选从生态环境、环境空气、声环境、地下水环境等几方面进行。</w:t>
      </w:r>
    </w:p>
    <w:p w14:paraId="30F4034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本工程评价因子筛选结果见表2</w:t>
      </w:r>
      <w:r>
        <w:rPr>
          <w:rFonts w:hint="eastAsia"/>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p>
    <w:p w14:paraId="689D08CA">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.3.2-1</w:t>
      </w:r>
      <w:r>
        <w:rPr>
          <w:color w:val="000000" w:themeColor="text1"/>
          <w:highlight w:val="none"/>
          <w14:textFill>
            <w14:solidFill>
              <w14:schemeClr w14:val="tx1"/>
            </w14:solidFill>
          </w14:textFill>
        </w:rPr>
        <w:t xml:space="preserve">    评价因子筛选表</w:t>
      </w:r>
    </w:p>
    <w:tbl>
      <w:tblPr>
        <w:tblStyle w:val="20"/>
        <w:tblW w:w="546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713"/>
        <w:gridCol w:w="1299"/>
        <w:gridCol w:w="1590"/>
        <w:gridCol w:w="5468"/>
      </w:tblGrid>
      <w:tr w14:paraId="1B2C62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tcBorders>
              <w:bottom w:val="single" w:color="000000" w:sz="12" w:space="0"/>
            </w:tcBorders>
            <w:noWrap w:val="0"/>
            <w:vAlign w:val="center"/>
          </w:tcPr>
          <w:p w14:paraId="21298997">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716" w:type="pct"/>
            <w:tcBorders>
              <w:bottom w:val="single" w:color="000000" w:sz="12" w:space="0"/>
            </w:tcBorders>
            <w:noWrap w:val="0"/>
            <w:vAlign w:val="center"/>
          </w:tcPr>
          <w:p w14:paraId="3AAB553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环境要素</w:t>
            </w:r>
          </w:p>
        </w:tc>
        <w:tc>
          <w:tcPr>
            <w:tcW w:w="876" w:type="pct"/>
            <w:tcBorders>
              <w:bottom w:val="single" w:color="000000" w:sz="12" w:space="0"/>
            </w:tcBorders>
            <w:noWrap w:val="0"/>
            <w:vAlign w:val="center"/>
          </w:tcPr>
          <w:p w14:paraId="0D476D9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专题</w:t>
            </w:r>
          </w:p>
        </w:tc>
        <w:tc>
          <w:tcPr>
            <w:tcW w:w="3013" w:type="pct"/>
            <w:tcBorders>
              <w:bottom w:val="single" w:color="000000" w:sz="12" w:space="0"/>
            </w:tcBorders>
            <w:noWrap w:val="0"/>
            <w:vAlign w:val="center"/>
          </w:tcPr>
          <w:p w14:paraId="1937987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评价因子</w:t>
            </w:r>
          </w:p>
        </w:tc>
      </w:tr>
      <w:tr w14:paraId="40EEEA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restart"/>
            <w:tcBorders>
              <w:top w:val="single" w:color="000000" w:sz="12" w:space="0"/>
            </w:tcBorders>
            <w:noWrap w:val="0"/>
            <w:vAlign w:val="center"/>
          </w:tcPr>
          <w:p w14:paraId="4976613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716" w:type="pct"/>
            <w:vMerge w:val="restart"/>
            <w:tcBorders>
              <w:top w:val="single" w:color="000000" w:sz="12" w:space="0"/>
            </w:tcBorders>
            <w:noWrap w:val="0"/>
            <w:vAlign w:val="center"/>
          </w:tcPr>
          <w:p w14:paraId="311F7C0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环境空气</w:t>
            </w:r>
          </w:p>
        </w:tc>
        <w:tc>
          <w:tcPr>
            <w:tcW w:w="876" w:type="pct"/>
            <w:tcBorders>
              <w:top w:val="single" w:color="000000" w:sz="12" w:space="0"/>
            </w:tcBorders>
            <w:noWrap w:val="0"/>
            <w:vAlign w:val="center"/>
          </w:tcPr>
          <w:p w14:paraId="12A1A60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现状评价</w:t>
            </w:r>
          </w:p>
        </w:tc>
        <w:tc>
          <w:tcPr>
            <w:tcW w:w="3013" w:type="pct"/>
            <w:tcBorders>
              <w:top w:val="single" w:color="000000" w:sz="12" w:space="0"/>
            </w:tcBorders>
            <w:noWrap w:val="0"/>
            <w:vAlign w:val="center"/>
          </w:tcPr>
          <w:p w14:paraId="164FE392">
            <w:pPr>
              <w:pStyle w:val="26"/>
              <w:jc w:val="both"/>
              <w:rPr>
                <w:rFonts w:hint="eastAsia"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SO</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、NO</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、PM</w:t>
            </w:r>
            <w:r>
              <w:rPr>
                <w:color w:val="000000" w:themeColor="text1"/>
                <w:highlight w:val="none"/>
                <w:vertAlign w:val="subscript"/>
                <w14:textFill>
                  <w14:solidFill>
                    <w14:schemeClr w14:val="tx1"/>
                  </w14:solidFill>
                </w14:textFill>
              </w:rPr>
              <w:t>10</w:t>
            </w:r>
            <w:r>
              <w:rPr>
                <w:color w:val="000000" w:themeColor="text1"/>
                <w:highlight w:val="none"/>
                <w14:textFill>
                  <w14:solidFill>
                    <w14:schemeClr w14:val="tx1"/>
                  </w14:solidFill>
                </w14:textFill>
              </w:rPr>
              <w:t>、PM</w:t>
            </w:r>
            <w:r>
              <w:rPr>
                <w:color w:val="000000" w:themeColor="text1"/>
                <w:highlight w:val="none"/>
                <w:vertAlign w:val="subscript"/>
                <w14:textFill>
                  <w14:solidFill>
                    <w14:schemeClr w14:val="tx1"/>
                  </w14:solidFill>
                </w14:textFill>
              </w:rPr>
              <w:t>2.5</w:t>
            </w:r>
            <w:r>
              <w:rPr>
                <w:color w:val="000000" w:themeColor="text1"/>
                <w:highlight w:val="none"/>
                <w14:textFill>
                  <w14:solidFill>
                    <w14:schemeClr w14:val="tx1"/>
                  </w14:solidFill>
                </w14:textFill>
              </w:rPr>
              <w:t>、CO、O</w:t>
            </w:r>
            <w:r>
              <w:rPr>
                <w:color w:val="000000" w:themeColor="text1"/>
                <w:highlight w:val="none"/>
                <w:vertAlign w:val="subscript"/>
                <w14:textFill>
                  <w14:solidFill>
                    <w14:schemeClr w14:val="tx1"/>
                  </w14:solidFill>
                </w14:textFill>
              </w:rPr>
              <w:t>3</w:t>
            </w:r>
            <w:r>
              <w:rPr>
                <w:color w:val="000000" w:themeColor="text1"/>
                <w:highlight w:val="none"/>
                <w14:textFill>
                  <w14:solidFill>
                    <w14:schemeClr w14:val="tx1"/>
                  </w14:solidFill>
                </w14:textFill>
              </w:rPr>
              <w:t>、TSP、</w:t>
            </w:r>
            <w:r>
              <w:rPr>
                <w:rFonts w:hint="eastAsia"/>
                <w:color w:val="000000" w:themeColor="text1"/>
                <w:highlight w:val="none"/>
                <w:lang w:val="en-US" w:eastAsia="zh-CN" w:bidi="ar"/>
                <w14:textFill>
                  <w14:solidFill>
                    <w14:schemeClr w14:val="tx1"/>
                  </w14:solidFill>
                </w14:textFill>
              </w:rPr>
              <w:t>硫酸雾、氟化物、非甲烷总烃</w:t>
            </w:r>
          </w:p>
        </w:tc>
      </w:tr>
      <w:tr w14:paraId="58562C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continue"/>
            <w:noWrap w:val="0"/>
            <w:vAlign w:val="center"/>
          </w:tcPr>
          <w:p w14:paraId="3634367A">
            <w:pPr>
              <w:pStyle w:val="26"/>
              <w:rPr>
                <w:color w:val="000000" w:themeColor="text1"/>
                <w:highlight w:val="none"/>
                <w:lang w:eastAsia="en-US"/>
                <w14:textFill>
                  <w14:solidFill>
                    <w14:schemeClr w14:val="tx1"/>
                  </w14:solidFill>
                </w14:textFill>
              </w:rPr>
            </w:pPr>
          </w:p>
        </w:tc>
        <w:tc>
          <w:tcPr>
            <w:tcW w:w="716" w:type="pct"/>
            <w:vMerge w:val="continue"/>
            <w:noWrap w:val="0"/>
            <w:vAlign w:val="center"/>
          </w:tcPr>
          <w:p w14:paraId="759D104C">
            <w:pPr>
              <w:pStyle w:val="26"/>
              <w:rPr>
                <w:color w:val="000000" w:themeColor="text1"/>
                <w:highlight w:val="none"/>
                <w:lang w:eastAsia="en-US"/>
                <w14:textFill>
                  <w14:solidFill>
                    <w14:schemeClr w14:val="tx1"/>
                  </w14:solidFill>
                </w14:textFill>
              </w:rPr>
            </w:pPr>
          </w:p>
        </w:tc>
        <w:tc>
          <w:tcPr>
            <w:tcW w:w="876" w:type="pct"/>
            <w:noWrap w:val="0"/>
            <w:vAlign w:val="center"/>
          </w:tcPr>
          <w:p w14:paraId="58C8B14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预测评价</w:t>
            </w:r>
          </w:p>
        </w:tc>
        <w:tc>
          <w:tcPr>
            <w:tcW w:w="3013" w:type="pct"/>
            <w:noWrap w:val="0"/>
            <w:vAlign w:val="center"/>
          </w:tcPr>
          <w:p w14:paraId="487B49AA">
            <w:pPr>
              <w:pStyle w:val="26"/>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TSP、</w:t>
            </w:r>
            <w:r>
              <w:rPr>
                <w:rFonts w:hint="eastAsia"/>
                <w:color w:val="000000" w:themeColor="text1"/>
                <w:highlight w:val="none"/>
                <w:lang w:val="en-US" w:eastAsia="zh-CN" w:bidi="ar"/>
                <w14:textFill>
                  <w14:solidFill>
                    <w14:schemeClr w14:val="tx1"/>
                  </w14:solidFill>
                </w14:textFill>
              </w:rPr>
              <w:t>硫酸雾、氟化物、非甲烷总烃</w:t>
            </w:r>
          </w:p>
        </w:tc>
      </w:tr>
      <w:tr w14:paraId="24CDF3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restart"/>
            <w:noWrap w:val="0"/>
            <w:vAlign w:val="center"/>
          </w:tcPr>
          <w:p w14:paraId="56475F7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716" w:type="pct"/>
            <w:vMerge w:val="restart"/>
            <w:noWrap w:val="0"/>
            <w:vAlign w:val="center"/>
          </w:tcPr>
          <w:p w14:paraId="76C667A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地下水环境</w:t>
            </w:r>
          </w:p>
        </w:tc>
        <w:tc>
          <w:tcPr>
            <w:tcW w:w="876" w:type="pct"/>
            <w:noWrap w:val="0"/>
            <w:vAlign w:val="center"/>
          </w:tcPr>
          <w:p w14:paraId="3270F70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现状评价</w:t>
            </w:r>
          </w:p>
        </w:tc>
        <w:tc>
          <w:tcPr>
            <w:tcW w:w="3013" w:type="pct"/>
            <w:noWrap w:val="0"/>
            <w:vAlign w:val="center"/>
          </w:tcPr>
          <w:p w14:paraId="4B59AD80">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pH、氨氮、硝酸盐、亚硝酸盐、挥发性酚类、氰化物、砷、汞、铬（六价）、总硬度、氟、镉、铁、锰、溶解性总固体、硫酸盐、氯化物、总大肠菌群、细菌总数、K+、Na</w:t>
            </w:r>
            <w:r>
              <w:rPr>
                <w:color w:val="000000" w:themeColor="text1"/>
                <w:highlight w:val="none"/>
                <w:vertAlign w:val="superscript"/>
                <w14:textFill>
                  <w14:solidFill>
                    <w14:schemeClr w14:val="tx1"/>
                  </w14:solidFill>
                </w14:textFill>
              </w:rPr>
              <w:t>+</w:t>
            </w:r>
            <w:r>
              <w:rPr>
                <w:color w:val="000000" w:themeColor="text1"/>
                <w:highlight w:val="none"/>
                <w14:textFill>
                  <w14:solidFill>
                    <w14:schemeClr w14:val="tx1"/>
                  </w14:solidFill>
                </w14:textFill>
              </w:rPr>
              <w:t>、Ca</w:t>
            </w:r>
            <w:r>
              <w:rPr>
                <w:color w:val="000000" w:themeColor="text1"/>
                <w:highlight w:val="none"/>
                <w:vertAlign w:val="superscript"/>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g</w:t>
            </w:r>
            <w:r>
              <w:rPr>
                <w:color w:val="000000" w:themeColor="text1"/>
                <w:highlight w:val="none"/>
                <w:vertAlign w:val="superscript"/>
                <w14:textFill>
                  <w14:solidFill>
                    <w14:schemeClr w14:val="tx1"/>
                  </w14:solidFill>
                </w14:textFill>
              </w:rPr>
              <w:t>2+</w:t>
            </w:r>
            <w:r>
              <w:rPr>
                <w:color w:val="000000" w:themeColor="text1"/>
                <w:highlight w:val="none"/>
                <w14:textFill>
                  <w14:solidFill>
                    <w14:schemeClr w14:val="tx1"/>
                  </w14:solidFill>
                </w14:textFill>
              </w:rPr>
              <w:t>、CO</w:t>
            </w:r>
            <w:r>
              <w:rPr>
                <w:color w:val="000000" w:themeColor="text1"/>
                <w:highlight w:val="none"/>
                <w:vertAlign w:val="subscript"/>
                <w14:textFill>
                  <w14:solidFill>
                    <w14:schemeClr w14:val="tx1"/>
                  </w14:solidFill>
                </w14:textFill>
              </w:rPr>
              <w:t>3</w:t>
            </w:r>
            <w:r>
              <w:rPr>
                <w:color w:val="000000" w:themeColor="text1"/>
                <w:highlight w:val="none"/>
                <w:vertAlign w:val="superscript"/>
                <w14:textFill>
                  <w14:solidFill>
                    <w14:schemeClr w14:val="tx1"/>
                  </w14:solidFill>
                </w14:textFill>
              </w:rPr>
              <w:t>2-</w:t>
            </w:r>
            <w:r>
              <w:rPr>
                <w:color w:val="000000" w:themeColor="text1"/>
                <w:highlight w:val="none"/>
                <w14:textFill>
                  <w14:solidFill>
                    <w14:schemeClr w14:val="tx1"/>
                  </w14:solidFill>
                </w14:textFill>
              </w:rPr>
              <w:t>、HCO</w:t>
            </w:r>
            <w:r>
              <w:rPr>
                <w:color w:val="000000" w:themeColor="text1"/>
                <w:highlight w:val="none"/>
                <w:vertAlign w:val="subscript"/>
                <w14:textFill>
                  <w14:solidFill>
                    <w14:schemeClr w14:val="tx1"/>
                  </w14:solidFill>
                </w14:textFill>
              </w:rPr>
              <w:t>3</w:t>
            </w:r>
            <w:r>
              <w:rPr>
                <w:color w:val="000000" w:themeColor="text1"/>
                <w:highlight w:val="none"/>
                <w:vertAlign w:val="superscript"/>
                <w14:textFill>
                  <w14:solidFill>
                    <w14:schemeClr w14:val="tx1"/>
                  </w14:solidFill>
                </w14:textFill>
              </w:rPr>
              <w:t>-</w:t>
            </w:r>
            <w:r>
              <w:rPr>
                <w:color w:val="000000" w:themeColor="text1"/>
                <w:highlight w:val="none"/>
                <w14:textFill>
                  <w14:solidFill>
                    <w14:schemeClr w14:val="tx1"/>
                  </w14:solidFill>
                </w14:textFill>
              </w:rPr>
              <w:t>、CL</w:t>
            </w:r>
            <w:r>
              <w:rPr>
                <w:color w:val="000000" w:themeColor="text1"/>
                <w:highlight w:val="none"/>
                <w:vertAlign w:val="superscript"/>
                <w14:textFill>
                  <w14:solidFill>
                    <w14:schemeClr w14:val="tx1"/>
                  </w14:solidFill>
                </w14:textFill>
              </w:rPr>
              <w:t>-</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SO</w:t>
            </w:r>
            <w:r>
              <w:rPr>
                <w:color w:val="000000" w:themeColor="text1"/>
                <w:highlight w:val="none"/>
                <w:vertAlign w:val="subscript"/>
                <w14:textFill>
                  <w14:solidFill>
                    <w14:schemeClr w14:val="tx1"/>
                  </w14:solidFill>
                </w14:textFill>
              </w:rPr>
              <w:t>4</w:t>
            </w:r>
            <w:r>
              <w:rPr>
                <w:color w:val="000000" w:themeColor="text1"/>
                <w:highlight w:val="none"/>
                <w:vertAlign w:val="superscript"/>
                <w14:textFill>
                  <w14:solidFill>
                    <w14:schemeClr w14:val="tx1"/>
                  </w14:solidFill>
                </w14:textFill>
              </w:rPr>
              <w:t>2-</w:t>
            </w:r>
          </w:p>
        </w:tc>
      </w:tr>
      <w:tr w14:paraId="014A3D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continue"/>
            <w:noWrap w:val="0"/>
            <w:vAlign w:val="center"/>
          </w:tcPr>
          <w:p w14:paraId="2790765C">
            <w:pPr>
              <w:pStyle w:val="26"/>
              <w:rPr>
                <w:color w:val="000000" w:themeColor="text1"/>
                <w:highlight w:val="none"/>
                <w14:textFill>
                  <w14:solidFill>
                    <w14:schemeClr w14:val="tx1"/>
                  </w14:solidFill>
                </w14:textFill>
              </w:rPr>
            </w:pPr>
          </w:p>
        </w:tc>
        <w:tc>
          <w:tcPr>
            <w:tcW w:w="716" w:type="pct"/>
            <w:vMerge w:val="continue"/>
            <w:noWrap w:val="0"/>
            <w:vAlign w:val="center"/>
          </w:tcPr>
          <w:p w14:paraId="648A9C81">
            <w:pPr>
              <w:pStyle w:val="26"/>
              <w:rPr>
                <w:color w:val="000000" w:themeColor="text1"/>
                <w:highlight w:val="none"/>
                <w14:textFill>
                  <w14:solidFill>
                    <w14:schemeClr w14:val="tx1"/>
                  </w14:solidFill>
                </w14:textFill>
              </w:rPr>
            </w:pPr>
          </w:p>
        </w:tc>
        <w:tc>
          <w:tcPr>
            <w:tcW w:w="876" w:type="pct"/>
            <w:noWrap w:val="0"/>
            <w:vAlign w:val="center"/>
          </w:tcPr>
          <w:p w14:paraId="274CA4E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预测评价</w:t>
            </w:r>
          </w:p>
        </w:tc>
        <w:tc>
          <w:tcPr>
            <w:tcW w:w="3013" w:type="pct"/>
            <w:noWrap w:val="0"/>
            <w:vAlign w:val="center"/>
          </w:tcPr>
          <w:p w14:paraId="09F2A23D">
            <w:pPr>
              <w:pStyle w:val="26"/>
              <w:rPr>
                <w:rFonts w:hint="default" w:eastAsia="宋体"/>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丙烯酸</w:t>
            </w:r>
            <w:r>
              <w:rPr>
                <w:rFonts w:hint="eastAsia"/>
                <w:color w:val="000000" w:themeColor="text1"/>
                <w:highlight w:val="none"/>
                <w:lang w:val="en-US" w:eastAsia="zh-CN"/>
                <w14:textFill>
                  <w14:solidFill>
                    <w14:schemeClr w14:val="tx1"/>
                  </w14:solidFill>
                </w14:textFill>
              </w:rPr>
              <w:t>、硫酸</w:t>
            </w:r>
          </w:p>
        </w:tc>
      </w:tr>
      <w:tr w14:paraId="71369B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restart"/>
            <w:noWrap w:val="0"/>
            <w:vAlign w:val="center"/>
          </w:tcPr>
          <w:p w14:paraId="7EFA92F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716" w:type="pct"/>
            <w:vMerge w:val="restart"/>
            <w:noWrap w:val="0"/>
            <w:vAlign w:val="center"/>
          </w:tcPr>
          <w:p w14:paraId="72AA54E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声环境</w:t>
            </w:r>
          </w:p>
        </w:tc>
        <w:tc>
          <w:tcPr>
            <w:tcW w:w="876" w:type="pct"/>
            <w:noWrap w:val="0"/>
            <w:vAlign w:val="center"/>
          </w:tcPr>
          <w:p w14:paraId="01D2DEA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现状评价</w:t>
            </w:r>
          </w:p>
        </w:tc>
        <w:tc>
          <w:tcPr>
            <w:tcW w:w="3013" w:type="pct"/>
            <w:noWrap w:val="0"/>
            <w:vAlign w:val="center"/>
          </w:tcPr>
          <w:p w14:paraId="6F1523F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等效连续A声级</w:t>
            </w:r>
          </w:p>
        </w:tc>
      </w:tr>
      <w:tr w14:paraId="181CDC3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continue"/>
            <w:noWrap w:val="0"/>
            <w:vAlign w:val="center"/>
          </w:tcPr>
          <w:p w14:paraId="64480E7A">
            <w:pPr>
              <w:pStyle w:val="26"/>
              <w:rPr>
                <w:color w:val="000000" w:themeColor="text1"/>
                <w:highlight w:val="none"/>
                <w:lang w:eastAsia="en-US"/>
                <w14:textFill>
                  <w14:solidFill>
                    <w14:schemeClr w14:val="tx1"/>
                  </w14:solidFill>
                </w14:textFill>
              </w:rPr>
            </w:pPr>
          </w:p>
        </w:tc>
        <w:tc>
          <w:tcPr>
            <w:tcW w:w="716" w:type="pct"/>
            <w:vMerge w:val="continue"/>
            <w:noWrap w:val="0"/>
            <w:vAlign w:val="center"/>
          </w:tcPr>
          <w:p w14:paraId="2E36454C">
            <w:pPr>
              <w:pStyle w:val="26"/>
              <w:rPr>
                <w:color w:val="000000" w:themeColor="text1"/>
                <w:highlight w:val="none"/>
                <w:lang w:eastAsia="en-US"/>
                <w14:textFill>
                  <w14:solidFill>
                    <w14:schemeClr w14:val="tx1"/>
                  </w14:solidFill>
                </w14:textFill>
              </w:rPr>
            </w:pPr>
          </w:p>
        </w:tc>
        <w:tc>
          <w:tcPr>
            <w:tcW w:w="876" w:type="pct"/>
            <w:noWrap w:val="0"/>
            <w:vAlign w:val="center"/>
          </w:tcPr>
          <w:p w14:paraId="47EB006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预测评价</w:t>
            </w:r>
          </w:p>
        </w:tc>
        <w:tc>
          <w:tcPr>
            <w:tcW w:w="3013" w:type="pct"/>
            <w:noWrap w:val="0"/>
            <w:vAlign w:val="center"/>
          </w:tcPr>
          <w:p w14:paraId="370FB7BB">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等效连续A声级</w:t>
            </w:r>
          </w:p>
        </w:tc>
      </w:tr>
      <w:tr w14:paraId="34EBFA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restart"/>
            <w:noWrap w:val="0"/>
            <w:vAlign w:val="center"/>
          </w:tcPr>
          <w:p w14:paraId="66A61F7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716" w:type="pct"/>
            <w:vMerge w:val="restart"/>
            <w:noWrap w:val="0"/>
            <w:vAlign w:val="center"/>
          </w:tcPr>
          <w:p w14:paraId="301ECF4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土壤环境</w:t>
            </w:r>
          </w:p>
        </w:tc>
        <w:tc>
          <w:tcPr>
            <w:tcW w:w="876" w:type="pct"/>
            <w:noWrap w:val="0"/>
            <w:vAlign w:val="center"/>
          </w:tcPr>
          <w:p w14:paraId="7F2EC85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现状评价</w:t>
            </w:r>
          </w:p>
        </w:tc>
        <w:tc>
          <w:tcPr>
            <w:tcW w:w="3013" w:type="pct"/>
            <w:noWrap w:val="0"/>
            <w:vAlign w:val="center"/>
          </w:tcPr>
          <w:p w14:paraId="5A914952">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pH值、铜、铅、锌、镉、汞、砷、镍、六价铬、酚、氰化物，四氯化碳、氯仿、氯甲烷、1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1-二氯乙烷、1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2-二氯乙烷、1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1-二氯乙烯、顺-1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2-二氯乙烯、反-1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2-二氯乙烯、二氯甲烷、1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2-二氯丙烷、1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2-四氯乙烷、1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-四氯乙烷、四氯乙烯、1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1-三氯乙烷、1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2-三氯乙烷、三氯乙烯、1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3-三氯丙烷、氯乙烯、苯、氯苯、1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2-二氯苯、1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4-二氯苯、乙苯、苯乙烯、甲苯、间二甲苯+对二甲苯、邻二甲苯、硝基苯、苯胺、2-氯酚、苯并</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蒽、苯并</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芘、苯并</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荧蒽、苯并</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k</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荧蒽、䓛、二苯并</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h</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蒽、茚并</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3-cd</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芘、萘，共计45项</w:t>
            </w:r>
            <w:r>
              <w:rPr>
                <w:rFonts w:hint="eastAsia"/>
                <w:color w:val="000000" w:themeColor="text1"/>
                <w:highlight w:val="none"/>
                <w14:textFill>
                  <w14:solidFill>
                    <w14:schemeClr w14:val="tx1"/>
                  </w14:solidFill>
                </w14:textFill>
              </w:rPr>
              <w:t>+pH</w:t>
            </w:r>
          </w:p>
        </w:tc>
      </w:tr>
      <w:tr w14:paraId="0A4FFB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continue"/>
            <w:noWrap w:val="0"/>
            <w:vAlign w:val="center"/>
          </w:tcPr>
          <w:p w14:paraId="6917BA75">
            <w:pPr>
              <w:pStyle w:val="26"/>
              <w:rPr>
                <w:color w:val="000000" w:themeColor="text1"/>
                <w:highlight w:val="none"/>
                <w14:textFill>
                  <w14:solidFill>
                    <w14:schemeClr w14:val="tx1"/>
                  </w14:solidFill>
                </w14:textFill>
              </w:rPr>
            </w:pPr>
          </w:p>
        </w:tc>
        <w:tc>
          <w:tcPr>
            <w:tcW w:w="716" w:type="pct"/>
            <w:vMerge w:val="continue"/>
            <w:noWrap w:val="0"/>
            <w:vAlign w:val="center"/>
          </w:tcPr>
          <w:p w14:paraId="112E7E98">
            <w:pPr>
              <w:pStyle w:val="26"/>
              <w:rPr>
                <w:color w:val="000000" w:themeColor="text1"/>
                <w:highlight w:val="none"/>
                <w14:textFill>
                  <w14:solidFill>
                    <w14:schemeClr w14:val="tx1"/>
                  </w14:solidFill>
                </w14:textFill>
              </w:rPr>
            </w:pPr>
          </w:p>
        </w:tc>
        <w:tc>
          <w:tcPr>
            <w:tcW w:w="876" w:type="pct"/>
            <w:noWrap w:val="0"/>
            <w:vAlign w:val="center"/>
          </w:tcPr>
          <w:p w14:paraId="121C006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预测评价</w:t>
            </w:r>
          </w:p>
        </w:tc>
        <w:tc>
          <w:tcPr>
            <w:tcW w:w="3013" w:type="pct"/>
            <w:noWrap w:val="0"/>
            <w:vAlign w:val="center"/>
          </w:tcPr>
          <w:p w14:paraId="1DCAEFB5">
            <w:pPr>
              <w:pStyle w:val="26"/>
              <w:rPr>
                <w:rFonts w:hint="eastAsia" w:eastAsia="宋体"/>
                <w:color w:val="000000" w:themeColor="text1"/>
                <w:highlight w:val="none"/>
                <w:lang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丙烯酸</w:t>
            </w:r>
            <w:r>
              <w:rPr>
                <w:rFonts w:hint="eastAsia"/>
                <w:color w:val="000000" w:themeColor="text1"/>
                <w:highlight w:val="none"/>
                <w:lang w:val="en-US" w:eastAsia="zh-CN"/>
                <w14:textFill>
                  <w14:solidFill>
                    <w14:schemeClr w14:val="tx1"/>
                  </w14:solidFill>
                </w14:textFill>
              </w:rPr>
              <w:t>、硫酸</w:t>
            </w:r>
          </w:p>
        </w:tc>
      </w:tr>
      <w:tr w14:paraId="0FB5BA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restart"/>
            <w:noWrap w:val="0"/>
            <w:vAlign w:val="center"/>
          </w:tcPr>
          <w:p w14:paraId="344F5B61">
            <w:pPr>
              <w:pStyle w:val="26"/>
              <w:rPr>
                <w:rFonts w:hint="eastAsia" w:eastAsia="宋体"/>
                <w:color w:val="000000" w:themeColor="text1"/>
                <w:highlight w:val="none"/>
                <w:lang w:val="en-US" w:eastAsia="zh-CN"/>
                <w14:textFill>
                  <w14:solidFill>
                    <w14:schemeClr w14:val="tx1"/>
                  </w14:solidFill>
                </w14:textFill>
              </w:rPr>
            </w:pPr>
            <w:bookmarkStart w:id="315" w:name="_Toc27244"/>
            <w:bookmarkStart w:id="316" w:name="_Toc12503"/>
            <w:bookmarkStart w:id="317" w:name="_Toc21649"/>
            <w:bookmarkStart w:id="318" w:name="_Toc25333"/>
            <w:bookmarkStart w:id="319" w:name="_Toc5146"/>
            <w:bookmarkStart w:id="320" w:name="_Toc16304"/>
            <w:bookmarkStart w:id="321" w:name="_Toc5739"/>
            <w:bookmarkStart w:id="322" w:name="_Toc6007"/>
            <w:bookmarkStart w:id="323" w:name="_Toc15374"/>
            <w:bookmarkStart w:id="324" w:name="_Toc27207"/>
            <w:bookmarkStart w:id="325" w:name="_Toc11701"/>
            <w:bookmarkStart w:id="326" w:name="_Toc1285"/>
            <w:bookmarkStart w:id="327" w:name="_Toc5457"/>
            <w:bookmarkStart w:id="328" w:name="_Toc12862"/>
            <w:bookmarkStart w:id="329" w:name="_Toc10541"/>
            <w:bookmarkStart w:id="330" w:name="_Toc24934"/>
            <w:bookmarkStart w:id="331" w:name="_Toc14708"/>
            <w:bookmarkStart w:id="332" w:name="_Toc15951"/>
            <w:bookmarkStart w:id="333" w:name="_Toc7456"/>
            <w:bookmarkStart w:id="334" w:name="_Toc29608"/>
            <w:bookmarkStart w:id="335" w:name="_Toc19343"/>
            <w:bookmarkStart w:id="336" w:name="_Toc21836"/>
            <w:bookmarkStart w:id="337" w:name="_Toc28130"/>
            <w:bookmarkStart w:id="338" w:name="_Toc28824"/>
            <w:bookmarkStart w:id="339" w:name="_Toc3512"/>
            <w:bookmarkStart w:id="340" w:name="_Toc28739"/>
            <w:bookmarkStart w:id="341" w:name="_Toc11372"/>
            <w:bookmarkStart w:id="342" w:name="_Toc17868"/>
            <w:bookmarkStart w:id="343" w:name="_Toc4652"/>
            <w:bookmarkStart w:id="344" w:name="_Toc10764"/>
            <w:bookmarkStart w:id="345" w:name="_Toc31351"/>
            <w:bookmarkStart w:id="346" w:name="_Toc32468"/>
            <w:r>
              <w:rPr>
                <w:rFonts w:hint="eastAsia"/>
                <w:color w:val="000000" w:themeColor="text1"/>
                <w:highlight w:val="none"/>
                <w:lang w:val="en-US" w:eastAsia="zh-CN"/>
                <w14:textFill>
                  <w14:solidFill>
                    <w14:schemeClr w14:val="tx1"/>
                  </w14:solidFill>
                </w14:textFill>
              </w:rPr>
              <w:t>5</w:t>
            </w:r>
          </w:p>
        </w:tc>
        <w:tc>
          <w:tcPr>
            <w:tcW w:w="716" w:type="pct"/>
            <w:vMerge w:val="restart"/>
            <w:noWrap w:val="0"/>
            <w:vAlign w:val="center"/>
          </w:tcPr>
          <w:p w14:paraId="762FE2FF">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生态环境</w:t>
            </w:r>
          </w:p>
        </w:tc>
        <w:tc>
          <w:tcPr>
            <w:tcW w:w="876" w:type="pct"/>
            <w:noWrap w:val="0"/>
            <w:vAlign w:val="center"/>
          </w:tcPr>
          <w:p w14:paraId="692318A3">
            <w:pPr>
              <w:pStyle w:val="26"/>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现状评价</w:t>
            </w:r>
          </w:p>
        </w:tc>
        <w:tc>
          <w:tcPr>
            <w:tcW w:w="3013" w:type="pct"/>
            <w:noWrap w:val="0"/>
            <w:vAlign w:val="center"/>
          </w:tcPr>
          <w:p w14:paraId="22087937">
            <w:pPr>
              <w:pStyle w:val="26"/>
              <w:jc w:val="both"/>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土壤类型、土地利用类型、植被类型、动物物种组成及分布等</w:t>
            </w:r>
          </w:p>
        </w:tc>
      </w:tr>
      <w:tr w14:paraId="71F1860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vMerge w:val="continue"/>
            <w:noWrap w:val="0"/>
            <w:vAlign w:val="center"/>
          </w:tcPr>
          <w:p w14:paraId="2CF38673">
            <w:pPr>
              <w:pStyle w:val="26"/>
              <w:rPr>
                <w:color w:val="000000" w:themeColor="text1"/>
                <w:highlight w:val="none"/>
                <w14:textFill>
                  <w14:solidFill>
                    <w14:schemeClr w14:val="tx1"/>
                  </w14:solidFill>
                </w14:textFill>
              </w:rPr>
            </w:pPr>
          </w:p>
        </w:tc>
        <w:tc>
          <w:tcPr>
            <w:tcW w:w="716" w:type="pct"/>
            <w:vMerge w:val="continue"/>
            <w:noWrap w:val="0"/>
            <w:vAlign w:val="center"/>
          </w:tcPr>
          <w:p w14:paraId="161676F9">
            <w:pPr>
              <w:pStyle w:val="26"/>
              <w:rPr>
                <w:color w:val="000000" w:themeColor="text1"/>
                <w:highlight w:val="none"/>
                <w14:textFill>
                  <w14:solidFill>
                    <w14:schemeClr w14:val="tx1"/>
                  </w14:solidFill>
                </w14:textFill>
              </w:rPr>
            </w:pPr>
          </w:p>
        </w:tc>
        <w:tc>
          <w:tcPr>
            <w:tcW w:w="876" w:type="pct"/>
            <w:noWrap w:val="0"/>
            <w:vAlign w:val="center"/>
          </w:tcPr>
          <w:p w14:paraId="519BBE1B">
            <w:pPr>
              <w:pStyle w:val="26"/>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预测评价</w:t>
            </w:r>
          </w:p>
        </w:tc>
        <w:tc>
          <w:tcPr>
            <w:tcW w:w="3013" w:type="pct"/>
            <w:noWrap w:val="0"/>
            <w:vAlign w:val="center"/>
          </w:tcPr>
          <w:p w14:paraId="72D99599">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水土流失、防沙治沙等</w:t>
            </w:r>
          </w:p>
        </w:tc>
      </w:tr>
      <w:tr w14:paraId="040B51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93" w:type="pct"/>
            <w:noWrap w:val="0"/>
            <w:vAlign w:val="center"/>
          </w:tcPr>
          <w:p w14:paraId="643FD13C">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p>
        </w:tc>
        <w:tc>
          <w:tcPr>
            <w:tcW w:w="716" w:type="pct"/>
            <w:noWrap w:val="0"/>
            <w:vAlign w:val="center"/>
          </w:tcPr>
          <w:p w14:paraId="7FFC2088">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环境风险</w:t>
            </w:r>
          </w:p>
        </w:tc>
        <w:tc>
          <w:tcPr>
            <w:tcW w:w="876" w:type="pct"/>
            <w:noWrap w:val="0"/>
            <w:vAlign w:val="center"/>
          </w:tcPr>
          <w:p w14:paraId="51C1BF4B">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3013" w:type="pct"/>
            <w:noWrap w:val="0"/>
            <w:vAlign w:val="center"/>
          </w:tcPr>
          <w:p w14:paraId="7496E03E">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危化品泄漏、火灾等</w:t>
            </w:r>
          </w:p>
        </w:tc>
      </w:tr>
    </w:tbl>
    <w:p w14:paraId="2EA15C1B">
      <w:pPr>
        <w:pStyle w:val="3"/>
        <w:rPr>
          <w:color w:val="000000" w:themeColor="text1"/>
          <w:highlight w:val="none"/>
          <w14:textFill>
            <w14:solidFill>
              <w14:schemeClr w14:val="tx1"/>
            </w14:solidFill>
          </w14:textFill>
        </w:rPr>
      </w:pPr>
      <w:bookmarkStart w:id="347" w:name="_Toc17664"/>
      <w:bookmarkStart w:id="348" w:name="_Toc25462"/>
      <w:bookmarkStart w:id="349" w:name="_Toc5249"/>
      <w:bookmarkStart w:id="350" w:name="_Toc5301"/>
      <w:bookmarkStart w:id="351" w:name="_Toc11146"/>
      <w:r>
        <w:rPr>
          <w:rFonts w:hint="eastAsia"/>
          <w:color w:val="000000" w:themeColor="text1"/>
          <w:highlight w:val="none"/>
          <w14:textFill>
            <w14:solidFill>
              <w14:schemeClr w14:val="tx1"/>
            </w14:solidFill>
          </w14:textFill>
        </w:rPr>
        <w:t>2.4环境功能区划</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Fonts w:hint="eastAsia"/>
          <w:color w:val="000000" w:themeColor="text1"/>
          <w:highlight w:val="none"/>
          <w14:textFill>
            <w14:solidFill>
              <w14:schemeClr w14:val="tx1"/>
            </w14:solidFill>
          </w14:textFill>
        </w:rPr>
        <w:t xml:space="preserve"> </w:t>
      </w:r>
    </w:p>
    <w:p w14:paraId="4A8D96B1">
      <w:pPr>
        <w:pStyle w:val="4"/>
        <w:rPr>
          <w:color w:val="000000" w:themeColor="text1"/>
          <w:highlight w:val="none"/>
          <w14:textFill>
            <w14:solidFill>
              <w14:schemeClr w14:val="tx1"/>
            </w14:solidFill>
          </w14:textFill>
        </w:rPr>
      </w:pPr>
      <w:bookmarkStart w:id="352" w:name="_Toc30320"/>
      <w:bookmarkStart w:id="353" w:name="_Toc31816"/>
      <w:bookmarkStart w:id="354" w:name="_Toc21040"/>
      <w:bookmarkStart w:id="355" w:name="_Toc2671"/>
      <w:bookmarkStart w:id="356" w:name="_Toc21343"/>
      <w:bookmarkStart w:id="357" w:name="_Toc9146"/>
      <w:bookmarkStart w:id="358" w:name="_Toc12735"/>
      <w:bookmarkStart w:id="359" w:name="_Toc30077"/>
      <w:bookmarkStart w:id="360" w:name="_Toc11169"/>
      <w:bookmarkStart w:id="361" w:name="_Toc13105"/>
      <w:bookmarkStart w:id="362" w:name="_Toc24991"/>
      <w:r>
        <w:rPr>
          <w:rFonts w:hint="eastAsia"/>
          <w:color w:val="000000" w:themeColor="text1"/>
          <w:highlight w:val="none"/>
          <w14:textFill>
            <w14:solidFill>
              <w14:schemeClr w14:val="tx1"/>
            </w14:solidFill>
          </w14:textFill>
        </w:rPr>
        <w:t>2.4.1</w:t>
      </w:r>
      <w:bookmarkEnd w:id="352"/>
      <w:bookmarkEnd w:id="353"/>
      <w:bookmarkEnd w:id="354"/>
      <w:r>
        <w:rPr>
          <w:rFonts w:hint="eastAsia"/>
          <w:color w:val="000000" w:themeColor="text1"/>
          <w:highlight w:val="none"/>
          <w14:textFill>
            <w14:solidFill>
              <w14:schemeClr w14:val="tx1"/>
            </w14:solidFill>
          </w14:textFill>
        </w:rPr>
        <w:t>环境空气功能区划</w:t>
      </w:r>
      <w:bookmarkEnd w:id="355"/>
      <w:bookmarkEnd w:id="356"/>
      <w:bookmarkEnd w:id="357"/>
      <w:bookmarkEnd w:id="358"/>
      <w:bookmarkEnd w:id="359"/>
      <w:bookmarkEnd w:id="360"/>
      <w:bookmarkEnd w:id="361"/>
      <w:bookmarkEnd w:id="362"/>
    </w:p>
    <w:p w14:paraId="040B4B80">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本项目位于</w:t>
      </w:r>
      <w:r>
        <w:rPr>
          <w:rFonts w:hint="eastAsia"/>
          <w:color w:val="000000" w:themeColor="text1"/>
          <w:highlight w:val="none"/>
          <w:lang w:val="en-US" w:eastAsia="zh-CN"/>
          <w14:textFill>
            <w14:solidFill>
              <w14:schemeClr w14:val="tx1"/>
            </w14:solidFill>
          </w14:textFill>
        </w:rPr>
        <w:t>州昌吉国家高新技术产业开发区</w:t>
      </w:r>
      <w:r>
        <w:rPr>
          <w:rFonts w:hint="eastAsia"/>
          <w:color w:val="000000" w:themeColor="text1"/>
          <w:highlight w:val="none"/>
          <w14:textFill>
            <w14:solidFill>
              <w14:schemeClr w14:val="tx1"/>
            </w14:solidFill>
          </w14:textFill>
        </w:rPr>
        <w:t>，根据《</w:t>
      </w:r>
      <w:r>
        <w:rPr>
          <w:rFonts w:hint="eastAsia"/>
          <w:color w:val="000000" w:themeColor="text1"/>
          <w:highlight w:val="none"/>
          <w:lang w:val="en-US" w:eastAsia="zh-CN"/>
          <w14:textFill>
            <w14:solidFill>
              <w14:schemeClr w14:val="tx1"/>
            </w14:solidFill>
          </w14:textFill>
        </w:rPr>
        <w:t>昌吉高新技术产业开发区总体规划（</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）环境影响报告书</w:t>
      </w:r>
      <w:r>
        <w:rPr>
          <w:rFonts w:hint="eastAsia"/>
          <w:color w:val="000000" w:themeColor="text1"/>
          <w:highlight w:val="none"/>
          <w14:textFill>
            <w14:solidFill>
              <w14:schemeClr w14:val="tx1"/>
            </w14:solidFill>
          </w14:textFill>
        </w:rPr>
        <w:t>》，本项目所在区域环境空气功能为二类功能区。</w:t>
      </w:r>
    </w:p>
    <w:p w14:paraId="0DE220A7">
      <w:pPr>
        <w:pStyle w:val="4"/>
        <w:rPr>
          <w:color w:val="000000" w:themeColor="text1"/>
          <w:highlight w:val="none"/>
          <w14:textFill>
            <w14:solidFill>
              <w14:schemeClr w14:val="tx1"/>
            </w14:solidFill>
          </w14:textFill>
        </w:rPr>
      </w:pPr>
      <w:bookmarkStart w:id="363" w:name="_Toc579"/>
      <w:bookmarkStart w:id="364" w:name="_Toc14325"/>
      <w:bookmarkStart w:id="365" w:name="_Toc27378"/>
      <w:bookmarkStart w:id="366" w:name="_Toc24683"/>
      <w:bookmarkStart w:id="367" w:name="_Toc29043"/>
      <w:bookmarkStart w:id="368" w:name="_Toc15280"/>
      <w:bookmarkStart w:id="369" w:name="_Toc23122"/>
      <w:bookmarkStart w:id="370" w:name="_Toc31920"/>
      <w:r>
        <w:rPr>
          <w:rFonts w:hint="eastAsia"/>
          <w:color w:val="000000" w:themeColor="text1"/>
          <w:highlight w:val="none"/>
          <w14:textFill>
            <w14:solidFill>
              <w14:schemeClr w14:val="tx1"/>
            </w14:solidFill>
          </w14:textFill>
        </w:rPr>
        <w:t>2.4.2地下水环境功能区划</w:t>
      </w:r>
      <w:bookmarkEnd w:id="363"/>
      <w:bookmarkEnd w:id="364"/>
      <w:bookmarkEnd w:id="365"/>
      <w:bookmarkEnd w:id="366"/>
      <w:bookmarkEnd w:id="367"/>
      <w:bookmarkEnd w:id="368"/>
      <w:bookmarkEnd w:id="369"/>
      <w:bookmarkEnd w:id="370"/>
    </w:p>
    <w:p w14:paraId="75273AB3">
      <w:pPr>
        <w:ind w:firstLine="480"/>
        <w:rPr>
          <w:rFonts w:hint="eastAsia"/>
          <w:color w:val="000000" w:themeColor="text1"/>
          <w:highlight w:val="none"/>
          <w14:textFill>
            <w14:solidFill>
              <w14:schemeClr w14:val="tx1"/>
            </w14:solidFill>
          </w14:textFill>
        </w:rPr>
      </w:pPr>
      <w:bookmarkStart w:id="371" w:name="_Toc28611"/>
      <w:r>
        <w:rPr>
          <w:rFonts w:hint="eastAsia"/>
          <w:color w:val="000000" w:themeColor="text1"/>
          <w:highlight w:val="none"/>
          <w14:textFill>
            <w14:solidFill>
              <w14:schemeClr w14:val="tx1"/>
            </w14:solidFill>
          </w14:textFill>
        </w:rPr>
        <w:t>项目</w:t>
      </w:r>
      <w:r>
        <w:rPr>
          <w:rFonts w:hint="eastAsia"/>
          <w:color w:val="000000" w:themeColor="text1"/>
          <w:highlight w:val="none"/>
          <w:lang w:val="en-US" w:eastAsia="zh-CN"/>
          <w14:textFill>
            <w14:solidFill>
              <w14:schemeClr w14:val="tx1"/>
            </w14:solidFill>
          </w14:textFill>
        </w:rPr>
        <w:t>区周边</w:t>
      </w:r>
      <w:r>
        <w:rPr>
          <w:rFonts w:hint="eastAsia"/>
          <w:color w:val="000000" w:themeColor="text1"/>
          <w:highlight w:val="none"/>
          <w14:textFill>
            <w14:solidFill>
              <w14:schemeClr w14:val="tx1"/>
            </w14:solidFill>
          </w14:textFill>
        </w:rPr>
        <w:t>无地表水体分布，本次不做地表水环境影响评价。根据《地下水质量标准》（GB/T14848-2017）中地下水分类标准，地下水为Ⅲ类功能区。</w:t>
      </w:r>
    </w:p>
    <w:p w14:paraId="197EA854">
      <w:pPr>
        <w:pStyle w:val="4"/>
        <w:rPr>
          <w:color w:val="000000" w:themeColor="text1"/>
          <w:highlight w:val="none"/>
          <w14:textFill>
            <w14:solidFill>
              <w14:schemeClr w14:val="tx1"/>
            </w14:solidFill>
          </w14:textFill>
        </w:rPr>
      </w:pPr>
      <w:bookmarkStart w:id="372" w:name="_Toc8468"/>
      <w:bookmarkStart w:id="373" w:name="_Toc17024"/>
      <w:bookmarkStart w:id="374" w:name="_Toc28932"/>
      <w:bookmarkStart w:id="375" w:name="_Toc3473"/>
      <w:bookmarkStart w:id="376" w:name="_Toc27954"/>
      <w:bookmarkStart w:id="377" w:name="_Toc32365"/>
      <w:bookmarkStart w:id="378" w:name="_Toc15532"/>
      <w:r>
        <w:rPr>
          <w:rFonts w:hint="eastAsia"/>
          <w:color w:val="000000" w:themeColor="text1"/>
          <w:highlight w:val="none"/>
          <w14:textFill>
            <w14:solidFill>
              <w14:schemeClr w14:val="tx1"/>
            </w14:solidFill>
          </w14:textFill>
        </w:rPr>
        <w:t>2.4.3声环境功能区划</w:t>
      </w:r>
      <w:bookmarkEnd w:id="371"/>
      <w:bookmarkEnd w:id="372"/>
      <w:bookmarkEnd w:id="373"/>
      <w:bookmarkEnd w:id="374"/>
      <w:bookmarkEnd w:id="375"/>
      <w:bookmarkEnd w:id="376"/>
      <w:bookmarkEnd w:id="377"/>
      <w:bookmarkEnd w:id="378"/>
    </w:p>
    <w:p w14:paraId="0D5A61C6">
      <w:pPr>
        <w:widowControl/>
        <w:ind w:firstLine="480"/>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本项目位于</w:t>
      </w:r>
      <w:r>
        <w:rPr>
          <w:rFonts w:hint="eastAsia"/>
          <w:color w:val="000000" w:themeColor="text1"/>
          <w:highlight w:val="none"/>
          <w:lang w:val="en-US" w:eastAsia="zh-CN"/>
          <w14:textFill>
            <w14:solidFill>
              <w14:schemeClr w14:val="tx1"/>
            </w14:solidFill>
          </w14:textFill>
        </w:rPr>
        <w:t>昌吉国家高新技术产业开发区</w:t>
      </w:r>
      <w:r>
        <w:rPr>
          <w:rFonts w:hint="eastAsia" w:ascii="宋体" w:hAnsi="宋体" w:cs="宋体"/>
          <w:color w:val="000000" w:themeColor="text1"/>
          <w:kern w:val="0"/>
          <w:highlight w:val="none"/>
          <w:lang w:bidi="ar"/>
          <w14:textFill>
            <w14:solidFill>
              <w14:schemeClr w14:val="tx1"/>
            </w14:solidFill>
          </w14:textFill>
        </w:rPr>
        <w:t>，根据</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昌吉高新技术产业开发区总体规划（</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）环境影响报告书</w:t>
      </w:r>
      <w:r>
        <w:rPr>
          <w:rFonts w:hint="eastAsia"/>
          <w:color w:val="000000" w:themeColor="text1"/>
          <w:highlight w:val="none"/>
          <w14:textFill>
            <w14:solidFill>
              <w14:schemeClr w14:val="tx1"/>
            </w14:solidFill>
          </w14:textFill>
        </w:rPr>
        <w:t>》</w:t>
      </w:r>
      <w:r>
        <w:rPr>
          <w:rFonts w:hint="eastAsia" w:ascii="宋体" w:hAnsi="宋体" w:cs="宋体"/>
          <w:color w:val="000000" w:themeColor="text1"/>
          <w:kern w:val="0"/>
          <w:highlight w:val="none"/>
          <w:lang w:bidi="ar"/>
          <w14:textFill>
            <w14:solidFill>
              <w14:schemeClr w14:val="tx1"/>
            </w14:solidFill>
          </w14:textFill>
        </w:rPr>
        <w:t>，确定产业园内为</w:t>
      </w:r>
      <w:r>
        <w:rPr>
          <w:color w:val="000000" w:themeColor="text1"/>
          <w:kern w:val="0"/>
          <w:highlight w:val="none"/>
          <w:lang w:bidi="ar"/>
          <w14:textFill>
            <w14:solidFill>
              <w14:schemeClr w14:val="tx1"/>
            </w14:solidFill>
          </w14:textFill>
        </w:rPr>
        <w:t>3</w:t>
      </w:r>
      <w:r>
        <w:rPr>
          <w:rFonts w:hint="eastAsia" w:ascii="宋体" w:hAnsi="宋体" w:cs="宋体"/>
          <w:color w:val="000000" w:themeColor="text1"/>
          <w:kern w:val="0"/>
          <w:highlight w:val="none"/>
          <w:lang w:bidi="ar"/>
          <w14:textFill>
            <w14:solidFill>
              <w14:schemeClr w14:val="tx1"/>
            </w14:solidFill>
          </w14:textFill>
        </w:rPr>
        <w:t>类声环境功能区。</w:t>
      </w:r>
    </w:p>
    <w:p w14:paraId="0F3C518C">
      <w:pPr>
        <w:pStyle w:val="4"/>
        <w:rPr>
          <w:color w:val="000000" w:themeColor="text1"/>
          <w:highlight w:val="none"/>
          <w14:textFill>
            <w14:solidFill>
              <w14:schemeClr w14:val="tx1"/>
            </w14:solidFill>
          </w14:textFill>
        </w:rPr>
      </w:pPr>
      <w:bookmarkStart w:id="379" w:name="_Toc9597"/>
      <w:bookmarkStart w:id="380" w:name="_Toc11501"/>
      <w:bookmarkStart w:id="381" w:name="_Toc7533"/>
      <w:bookmarkStart w:id="382" w:name="_Toc32299"/>
      <w:bookmarkStart w:id="383" w:name="_Toc7467"/>
      <w:bookmarkStart w:id="384" w:name="_Toc30953"/>
      <w:bookmarkStart w:id="385" w:name="_Toc24920"/>
      <w:bookmarkStart w:id="386" w:name="_Toc8677"/>
      <w:r>
        <w:rPr>
          <w:rFonts w:hint="eastAsia"/>
          <w:color w:val="000000" w:themeColor="text1"/>
          <w:highlight w:val="none"/>
          <w14:textFill>
            <w14:solidFill>
              <w14:schemeClr w14:val="tx1"/>
            </w14:solidFill>
          </w14:textFill>
        </w:rPr>
        <w:t>2.4.4生态功能区划</w:t>
      </w:r>
      <w:bookmarkEnd w:id="379"/>
      <w:bookmarkEnd w:id="380"/>
      <w:bookmarkEnd w:id="381"/>
      <w:bookmarkEnd w:id="382"/>
      <w:bookmarkEnd w:id="383"/>
      <w:bookmarkEnd w:id="384"/>
      <w:bookmarkEnd w:id="385"/>
      <w:bookmarkEnd w:id="386"/>
    </w:p>
    <w:p w14:paraId="7A885BE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根据《新疆生态功能区划》，</w:t>
      </w:r>
      <w:r>
        <w:rPr>
          <w:rFonts w:hint="eastAsia"/>
          <w:color w:val="000000" w:themeColor="text1"/>
          <w:highlight w:val="none"/>
          <w:lang w:val="en-US" w:eastAsia="zh-CN"/>
          <w14:textFill>
            <w14:solidFill>
              <w14:schemeClr w14:val="tx1"/>
            </w14:solidFill>
          </w14:textFill>
        </w:rPr>
        <w:t>根据《新疆维吾尔自治区生态功能区划》，项目区属于“</w:t>
      </w:r>
      <w:r>
        <w:rPr>
          <w:rFonts w:hint="default"/>
          <w:color w:val="000000" w:themeColor="text1"/>
          <w:highlight w:val="none"/>
          <w:lang w:val="en-US" w:eastAsia="zh-CN"/>
          <w14:textFill>
            <w14:solidFill>
              <w14:schemeClr w14:val="tx1"/>
            </w14:solidFill>
          </w14:textFill>
        </w:rPr>
        <w:t>Ⅱ</w:t>
      </w:r>
      <w:r>
        <w:rPr>
          <w:rFonts w:hint="eastAsia"/>
          <w:color w:val="000000" w:themeColor="text1"/>
          <w:highlight w:val="none"/>
          <w:lang w:val="en-US" w:eastAsia="zh-CN"/>
          <w14:textFill>
            <w14:solidFill>
              <w14:schemeClr w14:val="tx1"/>
            </w14:solidFill>
          </w14:textFill>
        </w:rPr>
        <w:t>准噶尔盆地温性荒漠与绿洲农业生态区－</w:t>
      </w:r>
      <w:r>
        <w:rPr>
          <w:rFonts w:hint="default"/>
          <w:color w:val="000000" w:themeColor="text1"/>
          <w:highlight w:val="none"/>
          <w:lang w:val="en-US" w:eastAsia="zh-CN"/>
          <w14:textFill>
            <w14:solidFill>
              <w14:schemeClr w14:val="tx1"/>
            </w14:solidFill>
          </w14:textFill>
        </w:rPr>
        <w:t>Ⅱ5</w:t>
      </w:r>
      <w:r>
        <w:rPr>
          <w:rFonts w:hint="eastAsia"/>
          <w:color w:val="000000" w:themeColor="text1"/>
          <w:highlight w:val="none"/>
          <w:lang w:val="en-US" w:eastAsia="zh-CN"/>
          <w14:textFill>
            <w14:solidFill>
              <w14:schemeClr w14:val="tx1"/>
            </w14:solidFill>
          </w14:textFill>
        </w:rPr>
        <w:t>准噶尔盆地南部荒漠绿洲农业生态亚区</w:t>
      </w:r>
      <w:r>
        <w:rPr>
          <w:rFonts w:hint="default"/>
          <w:color w:val="000000" w:themeColor="text1"/>
          <w:highlight w:val="none"/>
          <w:lang w:val="en-US" w:eastAsia="zh-CN"/>
          <w14:textFill>
            <w14:solidFill>
              <w14:schemeClr w14:val="tx1"/>
            </w14:solidFill>
          </w14:textFill>
        </w:rPr>
        <w:t>——26.</w:t>
      </w:r>
      <w:r>
        <w:rPr>
          <w:rFonts w:hint="eastAsia"/>
          <w:color w:val="000000" w:themeColor="text1"/>
          <w:highlight w:val="none"/>
          <w:lang w:val="en-US" w:eastAsia="zh-CN"/>
          <w14:textFill>
            <w14:solidFill>
              <w14:schemeClr w14:val="tx1"/>
            </w14:solidFill>
          </w14:textFill>
        </w:rPr>
        <w:t>乌苏—石河子—昌吉城镇与绿洲农业生态功能区”。</w:t>
      </w:r>
    </w:p>
    <w:p w14:paraId="63F5AE33">
      <w:pPr>
        <w:pStyle w:val="3"/>
        <w:rPr>
          <w:rFonts w:hint="eastAsia"/>
          <w:color w:val="000000" w:themeColor="text1"/>
          <w:highlight w:val="none"/>
          <w:lang w:val="en-US"/>
          <w14:textFill>
            <w14:solidFill>
              <w14:schemeClr w14:val="tx1"/>
            </w14:solidFill>
          </w14:textFill>
        </w:rPr>
      </w:pPr>
      <w:bookmarkStart w:id="387" w:name="_Toc10675"/>
      <w:bookmarkStart w:id="388" w:name="_Toc32552"/>
      <w:bookmarkStart w:id="389" w:name="_Toc14030"/>
      <w:bookmarkStart w:id="390" w:name="_Toc28145"/>
      <w:bookmarkStart w:id="391" w:name="_Toc32755"/>
      <w:bookmarkStart w:id="392" w:name="_Toc10822"/>
      <w:bookmarkStart w:id="393" w:name="_Toc30071"/>
      <w:bookmarkStart w:id="394" w:name="_Toc8221"/>
      <w:bookmarkStart w:id="395" w:name="_Toc30604"/>
      <w:bookmarkStart w:id="396" w:name="_Toc17924"/>
      <w:bookmarkStart w:id="397" w:name="_Toc24335"/>
      <w:bookmarkStart w:id="398" w:name="_Toc30855"/>
      <w:bookmarkStart w:id="399" w:name="_Toc2790"/>
      <w:bookmarkStart w:id="400" w:name="_Toc26222"/>
      <w:bookmarkStart w:id="401" w:name="_Toc15887"/>
      <w:bookmarkStart w:id="402" w:name="_Toc27069"/>
      <w:bookmarkStart w:id="403" w:name="_Toc26384"/>
      <w:bookmarkStart w:id="404" w:name="_Toc2889"/>
      <w:bookmarkStart w:id="405" w:name="_Toc1656"/>
      <w:bookmarkStart w:id="406" w:name="_Toc4009"/>
      <w:bookmarkStart w:id="407" w:name="_Toc8235"/>
      <w:bookmarkStart w:id="408" w:name="_Toc31041"/>
      <w:bookmarkStart w:id="409" w:name="_Toc31841"/>
      <w:bookmarkStart w:id="410" w:name="_Toc24139"/>
      <w:bookmarkStart w:id="411" w:name="_Toc1858"/>
      <w:bookmarkStart w:id="412" w:name="_Toc26495"/>
      <w:bookmarkStart w:id="413" w:name="_Toc1726"/>
      <w:bookmarkStart w:id="414" w:name="_Toc2019"/>
      <w:r>
        <w:rPr>
          <w:rFonts w:hint="eastAsia"/>
          <w:color w:val="000000" w:themeColor="text1"/>
          <w:highlight w:val="none"/>
          <w:lang w:val="en-US"/>
          <w14:textFill>
            <w14:solidFill>
              <w14:schemeClr w14:val="tx1"/>
            </w14:solidFill>
          </w14:textFill>
        </w:rPr>
        <w:t>2.5 评价标准</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13502D73">
      <w:pPr>
        <w:pStyle w:val="4"/>
        <w:rPr>
          <w:color w:val="000000" w:themeColor="text1"/>
          <w:highlight w:val="none"/>
          <w14:textFill>
            <w14:solidFill>
              <w14:schemeClr w14:val="tx1"/>
            </w14:solidFill>
          </w14:textFill>
        </w:rPr>
      </w:pPr>
      <w:bookmarkStart w:id="415" w:name="_Toc31804"/>
      <w:bookmarkStart w:id="416" w:name="_Toc11976"/>
      <w:bookmarkStart w:id="417" w:name="_Toc10386"/>
      <w:bookmarkStart w:id="418" w:name="_Toc21034"/>
      <w:bookmarkStart w:id="419" w:name="_Toc28191"/>
      <w:bookmarkStart w:id="420" w:name="_Toc27719"/>
      <w:bookmarkStart w:id="421" w:name="_Toc15956"/>
      <w:bookmarkStart w:id="422" w:name="_Toc5179"/>
      <w:r>
        <w:rPr>
          <w:rFonts w:hint="eastAsia"/>
          <w:color w:val="000000" w:themeColor="text1"/>
          <w:highlight w:val="none"/>
          <w14:textFill>
            <w14:solidFill>
              <w14:schemeClr w14:val="tx1"/>
            </w14:solidFill>
          </w14:textFill>
        </w:rPr>
        <w:t>2.5.1环境质量标准</w:t>
      </w:r>
      <w:bookmarkEnd w:id="415"/>
      <w:bookmarkEnd w:id="416"/>
      <w:bookmarkEnd w:id="417"/>
      <w:bookmarkEnd w:id="418"/>
      <w:bookmarkEnd w:id="419"/>
      <w:bookmarkEnd w:id="420"/>
      <w:bookmarkEnd w:id="421"/>
      <w:bookmarkEnd w:id="422"/>
    </w:p>
    <w:p w14:paraId="2FE8B1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（1）环境空气质量标准</w:t>
      </w:r>
    </w:p>
    <w:p w14:paraId="280DA81E">
      <w:pPr>
        <w:ind w:firstLine="480"/>
        <w:rPr>
          <w:rFonts w:hint="eastAsia"/>
          <w:color w:val="000000" w:themeColor="text1"/>
          <w:kern w:val="0"/>
          <w:szCs w:val="20"/>
          <w:highlight w:val="none"/>
          <w14:textFill>
            <w14:solidFill>
              <w14:schemeClr w14:val="tx1"/>
            </w14:solidFill>
          </w14:textFill>
        </w:rPr>
      </w:pPr>
      <w:r>
        <w:rPr>
          <w:rFonts w:hint="eastAsia"/>
          <w:color w:val="000000" w:themeColor="text1"/>
          <w:highlight w:val="none"/>
          <w14:textFill>
            <w14:solidFill>
              <w14:schemeClr w14:val="tx1"/>
            </w14:solidFill>
          </w14:textFill>
        </w:rPr>
        <w:t>项目区域</w:t>
      </w:r>
      <w:r>
        <w:rPr>
          <w:rFonts w:hint="default" w:ascii="Times New Roman" w:hAnsi="Times New Roman" w:eastAsia="宋体" w:cs="Times New Roman"/>
          <w:color w:val="000000" w:themeColor="text1"/>
          <w:sz w:val="24"/>
          <w:szCs w:val="24"/>
          <w:highlight w:val="none"/>
          <w14:textFill>
            <w14:solidFill>
              <w14:schemeClr w14:val="tx1"/>
            </w14:solidFill>
          </w14:textFill>
        </w:rPr>
        <w:t>基本污染物SO</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、NO</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、PM</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10</w:t>
      </w:r>
      <w:r>
        <w:rPr>
          <w:rFonts w:hint="default" w:ascii="Times New Roman" w:hAnsi="Times New Roman" w:eastAsia="宋体" w:cs="Times New Roman"/>
          <w:color w:val="000000" w:themeColor="text1"/>
          <w:sz w:val="24"/>
          <w:szCs w:val="24"/>
          <w:highlight w:val="none"/>
          <w14:textFill>
            <w14:solidFill>
              <w14:schemeClr w14:val="tx1"/>
            </w14:solidFill>
          </w14:textFill>
        </w:rPr>
        <w:t>、PM</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2.5</w:t>
      </w:r>
      <w:r>
        <w:rPr>
          <w:rFonts w:hint="default" w:ascii="Times New Roman" w:hAnsi="Times New Roman" w:eastAsia="宋体" w:cs="Times New Roman"/>
          <w:color w:val="000000" w:themeColor="text1"/>
          <w:sz w:val="24"/>
          <w:szCs w:val="24"/>
          <w:highlight w:val="none"/>
          <w14:textFill>
            <w14:solidFill>
              <w14:schemeClr w14:val="tx1"/>
            </w14:solidFill>
          </w14:textFill>
        </w:rPr>
        <w:t>、CO和O</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3</w:t>
      </w:r>
      <w:r>
        <w:rPr>
          <w:rFonts w:hint="eastAsia"/>
          <w:color w:val="000000" w:themeColor="text1"/>
          <w:highlight w:val="none"/>
          <w14:textFill>
            <w14:solidFill>
              <w14:schemeClr w14:val="tx1"/>
            </w14:solidFill>
          </w14:textFill>
        </w:rPr>
        <w:t>执行《环境空气质量标准》（GB3095-20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过渡阶段二级标准</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w:t>
      </w:r>
      <w:r>
        <w:rPr>
          <w:rFonts w:hint="eastAsia"/>
          <w:color w:val="000000" w:themeColor="text1"/>
          <w:highlight w:val="none"/>
          <w14:textFill>
            <w14:solidFill>
              <w14:schemeClr w14:val="tx1"/>
            </w14:solidFill>
          </w14:textFill>
        </w:rPr>
        <w:t>，TSP</w:t>
      </w:r>
      <w:r>
        <w:rPr>
          <w:color w:val="000000" w:themeColor="text1"/>
          <w:highlight w:val="none"/>
          <w14:textFill>
            <w14:solidFill>
              <w14:schemeClr w14:val="tx1"/>
            </w14:solidFill>
          </w14:textFill>
        </w:rPr>
        <w:t>执行</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中的二级标准限值</w:t>
      </w:r>
      <w:r>
        <w:rPr>
          <w:rFonts w:hint="eastAsia"/>
          <w:color w:val="000000" w:themeColor="text1"/>
          <w:highlight w:val="none"/>
          <w:lang w:eastAsia="zh-CN"/>
          <w14:textFill>
            <w14:solidFill>
              <w14:schemeClr w14:val="tx1"/>
            </w14:solidFill>
          </w14:textFill>
        </w:rPr>
        <w:t>，</w:t>
      </w:r>
      <w:r>
        <w:rPr>
          <w:bCs/>
          <w:color w:val="000000" w:themeColor="text1"/>
          <w:highlight w:val="none"/>
          <w14:textFill>
            <w14:solidFill>
              <w14:schemeClr w14:val="tx1"/>
            </w14:solidFill>
          </w14:textFill>
        </w:rPr>
        <w:t>氟化物</w:t>
      </w:r>
      <w:r>
        <w:rPr>
          <w:color w:val="000000" w:themeColor="text1"/>
          <w:highlight w:val="none"/>
          <w14:textFill>
            <w14:solidFill>
              <w14:schemeClr w14:val="tx1"/>
            </w14:solidFill>
          </w14:textFill>
        </w:rPr>
        <w:t>执行</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中的</w:t>
      </w:r>
      <w:r>
        <w:rPr>
          <w:rFonts w:hint="eastAsia"/>
          <w:color w:val="000000" w:themeColor="text1"/>
          <w:highlight w:val="none"/>
          <w:lang w:val="en-US" w:eastAsia="zh-CN"/>
          <w14:textFill>
            <w14:solidFill>
              <w14:schemeClr w14:val="tx1"/>
            </w14:solidFill>
          </w14:textFill>
        </w:rPr>
        <w:t>参考浓度</w:t>
      </w:r>
      <w:r>
        <w:rPr>
          <w:rFonts w:hint="eastAsia"/>
          <w:color w:val="000000" w:themeColor="text1"/>
          <w:highlight w:val="none"/>
          <w14:textFill>
            <w14:solidFill>
              <w14:schemeClr w14:val="tx1"/>
            </w14:solidFill>
          </w14:textFill>
        </w:rPr>
        <w:t>限值</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硫酸雾</w:t>
      </w:r>
      <w:r>
        <w:rPr>
          <w:rFonts w:hint="eastAsia"/>
          <w:color w:val="000000" w:themeColor="text1"/>
          <w:highlight w:val="none"/>
          <w:vertAlign w:val="baseline"/>
          <w:lang w:val="en-US" w:eastAsia="zh-CN"/>
          <w14:textFill>
            <w14:solidFill>
              <w14:schemeClr w14:val="tx1"/>
            </w14:solidFill>
          </w14:textFill>
        </w:rPr>
        <w:t>满足《环境影响评价技术导则 大气环境》（HJ2.2-2018）附录D中的浓度限值，</w:t>
      </w:r>
      <w:r>
        <w:rPr>
          <w:color w:val="000000" w:themeColor="text1"/>
          <w:highlight w:val="none"/>
          <w14:textFill>
            <w14:solidFill>
              <w14:schemeClr w14:val="tx1"/>
            </w14:solidFill>
          </w14:textFill>
        </w:rPr>
        <w:t>非甲烷总烃参照《大气污染物综合排放标准》详解标准限值</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具体限值见表</w:t>
      </w:r>
      <w:r>
        <w:rPr>
          <w:rFonts w:hint="eastAsia"/>
          <w:color w:val="000000" w:themeColor="text1"/>
          <w:highlight w:val="none"/>
          <w:lang w:val="en-US" w:eastAsia="zh-CN"/>
          <w14:textFill>
            <w14:solidFill>
              <w14:schemeClr w14:val="tx1"/>
            </w14:solidFill>
          </w14:textFill>
        </w:rPr>
        <w:t>2.5.1-1</w:t>
      </w:r>
      <w:r>
        <w:rPr>
          <w:rFonts w:hint="eastAsia"/>
          <w:color w:val="000000" w:themeColor="text1"/>
          <w:highlight w:val="none"/>
          <w14:textFill>
            <w14:solidFill>
              <w14:schemeClr w14:val="tx1"/>
            </w14:solidFill>
          </w14:textFill>
        </w:rPr>
        <w:t>。</w:t>
      </w:r>
    </w:p>
    <w:p w14:paraId="43348B92">
      <w:pPr>
        <w:pStyle w:val="25"/>
        <w:rPr>
          <w:rFonts w:hint="eastAsia"/>
          <w:color w:val="000000" w:themeColor="text1"/>
          <w:highlight w:val="none"/>
          <w:vertAlign w:val="superscript"/>
          <w14:textFill>
            <w14:solidFill>
              <w14:schemeClr w14:val="tx1"/>
            </w14:solidFill>
          </w14:textFill>
        </w:rPr>
      </w:pPr>
      <w:r>
        <w:rPr>
          <w:rFonts w:hint="eastAsia"/>
          <w:color w:val="000000" w:themeColor="text1"/>
          <w:highlight w:val="none"/>
          <w14:textFill>
            <w14:solidFill>
              <w14:schemeClr w14:val="tx1"/>
            </w14:solidFill>
          </w14:textFill>
        </w:rPr>
        <w:t>表2.5.1-1      环境空气质量标准   单位：</w:t>
      </w:r>
      <w:r>
        <w:rPr>
          <w:color w:val="000000" w:themeColor="text1"/>
          <w:highlight w:val="none"/>
          <w14:textFill>
            <w14:solidFill>
              <w14:schemeClr w14:val="tx1"/>
            </w14:solidFill>
          </w14:textFill>
        </w:rPr>
        <w:t>μ</w:t>
      </w:r>
      <w:r>
        <w:rPr>
          <w:rFonts w:hint="eastAsia"/>
          <w:color w:val="000000" w:themeColor="text1"/>
          <w:highlight w:val="none"/>
          <w14:textFill>
            <w14:solidFill>
              <w14:schemeClr w14:val="tx1"/>
            </w14:solidFill>
          </w14:textFill>
        </w:rPr>
        <w:t>g/m</w:t>
      </w:r>
      <w:r>
        <w:rPr>
          <w:rFonts w:hint="eastAsia"/>
          <w:color w:val="000000" w:themeColor="text1"/>
          <w:highlight w:val="none"/>
          <w:vertAlign w:val="superscript"/>
          <w14:textFill>
            <w14:solidFill>
              <w14:schemeClr w14:val="tx1"/>
            </w14:solidFill>
          </w14:textFill>
        </w:rPr>
        <w:t>3</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1746"/>
        <w:gridCol w:w="1949"/>
        <w:gridCol w:w="1791"/>
        <w:gridCol w:w="2291"/>
      </w:tblGrid>
      <w:tr w14:paraId="455B68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7" w:hRule="atLeast"/>
          <w:tblHeader/>
          <w:jc w:val="center"/>
        </w:trPr>
        <w:tc>
          <w:tcPr>
            <w:tcW w:w="713" w:type="pct"/>
            <w:vMerge w:val="restart"/>
            <w:noWrap w:val="0"/>
            <w:vAlign w:val="center"/>
          </w:tcPr>
          <w:p w14:paraId="6E2BF971">
            <w:pPr>
              <w:pStyle w:val="26"/>
              <w:rPr>
                <w:rFonts w:hint="eastAsia"/>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项目</w:t>
            </w:r>
          </w:p>
        </w:tc>
        <w:tc>
          <w:tcPr>
            <w:tcW w:w="3023" w:type="pct"/>
            <w:gridSpan w:val="3"/>
            <w:noWrap w:val="0"/>
            <w:vAlign w:val="center"/>
          </w:tcPr>
          <w:p w14:paraId="2AD1818C">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标准值（</w:t>
            </w:r>
            <w:r>
              <w:rPr>
                <w:b/>
                <w:bCs/>
                <w:color w:val="000000" w:themeColor="text1"/>
                <w:highlight w:val="none"/>
                <w14:textFill>
                  <w14:solidFill>
                    <w14:schemeClr w14:val="tx1"/>
                  </w14:solidFill>
                </w14:textFill>
              </w:rPr>
              <w:t>μg/m</w:t>
            </w:r>
            <w:r>
              <w:rPr>
                <w:b/>
                <w:bCs/>
                <w:color w:val="000000" w:themeColor="text1"/>
                <w:highlight w:val="none"/>
                <w:vertAlign w:val="superscript"/>
                <w14:textFill>
                  <w14:solidFill>
                    <w14:schemeClr w14:val="tx1"/>
                  </w14:solidFill>
                </w14:textFill>
              </w:rPr>
              <w:t>3</w:t>
            </w:r>
            <w:r>
              <w:rPr>
                <w:rFonts w:hint="eastAsia"/>
                <w:b/>
                <w:bCs/>
                <w:color w:val="000000" w:themeColor="text1"/>
                <w:highlight w:val="none"/>
                <w14:textFill>
                  <w14:solidFill>
                    <w14:schemeClr w14:val="tx1"/>
                  </w14:solidFill>
                </w14:textFill>
              </w:rPr>
              <w:t>）</w:t>
            </w:r>
          </w:p>
        </w:tc>
        <w:tc>
          <w:tcPr>
            <w:tcW w:w="1262" w:type="pct"/>
            <w:vMerge w:val="restart"/>
            <w:tcBorders>
              <w:bottom w:val="single" w:color="auto" w:sz="12" w:space="0"/>
            </w:tcBorders>
            <w:noWrap w:val="0"/>
            <w:vAlign w:val="center"/>
          </w:tcPr>
          <w:p w14:paraId="1306669C">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标准来源</w:t>
            </w:r>
          </w:p>
        </w:tc>
      </w:tr>
      <w:tr w14:paraId="14EFA1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tblHeader/>
          <w:jc w:val="center"/>
        </w:trPr>
        <w:tc>
          <w:tcPr>
            <w:tcW w:w="713" w:type="pct"/>
            <w:vMerge w:val="continue"/>
            <w:tcBorders>
              <w:bottom w:val="single" w:color="auto" w:sz="12" w:space="0"/>
            </w:tcBorders>
            <w:noWrap w:val="0"/>
            <w:vAlign w:val="center"/>
          </w:tcPr>
          <w:p w14:paraId="33CDA414">
            <w:pPr>
              <w:pStyle w:val="26"/>
              <w:rPr>
                <w:rFonts w:hint="eastAsia"/>
                <w:color w:val="000000" w:themeColor="text1"/>
                <w:highlight w:val="none"/>
                <w14:textFill>
                  <w14:solidFill>
                    <w14:schemeClr w14:val="tx1"/>
                  </w14:solidFill>
                </w14:textFill>
              </w:rPr>
            </w:pPr>
          </w:p>
        </w:tc>
        <w:tc>
          <w:tcPr>
            <w:tcW w:w="962" w:type="pct"/>
            <w:tcBorders>
              <w:bottom w:val="single" w:color="auto" w:sz="12" w:space="0"/>
            </w:tcBorders>
            <w:noWrap w:val="0"/>
            <w:vAlign w:val="center"/>
          </w:tcPr>
          <w:p w14:paraId="345224AC">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小时平均</w:t>
            </w:r>
          </w:p>
        </w:tc>
        <w:tc>
          <w:tcPr>
            <w:tcW w:w="1074" w:type="pct"/>
            <w:tcBorders>
              <w:bottom w:val="single" w:color="auto" w:sz="12" w:space="0"/>
            </w:tcBorders>
            <w:noWrap w:val="0"/>
            <w:vAlign w:val="center"/>
          </w:tcPr>
          <w:p w14:paraId="48CC3B5F">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日平均</w:t>
            </w:r>
          </w:p>
        </w:tc>
        <w:tc>
          <w:tcPr>
            <w:tcW w:w="987" w:type="pct"/>
            <w:tcBorders>
              <w:bottom w:val="single" w:color="auto" w:sz="12" w:space="0"/>
            </w:tcBorders>
            <w:noWrap w:val="0"/>
            <w:vAlign w:val="center"/>
          </w:tcPr>
          <w:p w14:paraId="541FA760">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年平均</w:t>
            </w:r>
          </w:p>
        </w:tc>
        <w:tc>
          <w:tcPr>
            <w:tcW w:w="1262" w:type="pct"/>
            <w:vMerge w:val="continue"/>
            <w:tcBorders>
              <w:top w:val="single" w:color="auto" w:sz="12" w:space="0"/>
              <w:bottom w:val="single" w:color="auto" w:sz="12" w:space="0"/>
            </w:tcBorders>
            <w:noWrap w:val="0"/>
            <w:vAlign w:val="center"/>
          </w:tcPr>
          <w:p w14:paraId="084C23FC">
            <w:pPr>
              <w:pStyle w:val="26"/>
              <w:rPr>
                <w:rFonts w:hint="eastAsia"/>
                <w:b/>
                <w:bCs/>
                <w:color w:val="000000" w:themeColor="text1"/>
                <w:highlight w:val="none"/>
                <w14:textFill>
                  <w14:solidFill>
                    <w14:schemeClr w14:val="tx1"/>
                  </w14:solidFill>
                </w14:textFill>
              </w:rPr>
            </w:pPr>
          </w:p>
        </w:tc>
      </w:tr>
      <w:tr w14:paraId="204439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713" w:type="pct"/>
            <w:tcBorders>
              <w:top w:val="single" w:color="auto" w:sz="12" w:space="0"/>
            </w:tcBorders>
            <w:noWrap w:val="0"/>
            <w:vAlign w:val="center"/>
          </w:tcPr>
          <w:p w14:paraId="45104584">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SO</w:t>
            </w:r>
            <w:r>
              <w:rPr>
                <w:rFonts w:hint="eastAsia"/>
                <w:color w:val="000000" w:themeColor="text1"/>
                <w:highlight w:val="none"/>
                <w:vertAlign w:val="subscript"/>
                <w14:textFill>
                  <w14:solidFill>
                    <w14:schemeClr w14:val="tx1"/>
                  </w14:solidFill>
                </w14:textFill>
              </w:rPr>
              <w:t>2</w:t>
            </w:r>
          </w:p>
        </w:tc>
        <w:tc>
          <w:tcPr>
            <w:tcW w:w="962" w:type="pct"/>
            <w:tcBorders>
              <w:top w:val="single" w:color="auto" w:sz="12" w:space="0"/>
            </w:tcBorders>
            <w:noWrap w:val="0"/>
            <w:vAlign w:val="center"/>
          </w:tcPr>
          <w:p w14:paraId="7C00B8D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500</w:t>
            </w:r>
          </w:p>
        </w:tc>
        <w:tc>
          <w:tcPr>
            <w:tcW w:w="1074" w:type="pct"/>
            <w:tcBorders>
              <w:top w:val="single" w:color="auto" w:sz="12" w:space="0"/>
            </w:tcBorders>
            <w:noWrap w:val="0"/>
            <w:vAlign w:val="center"/>
          </w:tcPr>
          <w:p w14:paraId="7873767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150</w:t>
            </w:r>
          </w:p>
        </w:tc>
        <w:tc>
          <w:tcPr>
            <w:tcW w:w="987" w:type="pct"/>
            <w:tcBorders>
              <w:top w:val="single" w:color="auto" w:sz="12" w:space="0"/>
            </w:tcBorders>
            <w:noWrap w:val="0"/>
            <w:vAlign w:val="center"/>
          </w:tcPr>
          <w:p w14:paraId="46C09CB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60</w:t>
            </w:r>
          </w:p>
        </w:tc>
        <w:tc>
          <w:tcPr>
            <w:tcW w:w="1262" w:type="pct"/>
            <w:vMerge w:val="restart"/>
            <w:tcBorders>
              <w:top w:val="single" w:color="auto" w:sz="12" w:space="0"/>
            </w:tcBorders>
            <w:noWrap w:val="0"/>
            <w:vAlign w:val="center"/>
          </w:tcPr>
          <w:p w14:paraId="6BC5C36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《环境空气质量标准》（GB3095-20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表1</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过渡阶段二级标准</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w:t>
            </w:r>
          </w:p>
        </w:tc>
      </w:tr>
      <w:tr w14:paraId="1A45BF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713" w:type="pct"/>
            <w:noWrap w:val="0"/>
            <w:vAlign w:val="center"/>
          </w:tcPr>
          <w:p w14:paraId="43959D40">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NO</w:t>
            </w:r>
            <w:r>
              <w:rPr>
                <w:rFonts w:hint="eastAsia"/>
                <w:color w:val="000000" w:themeColor="text1"/>
                <w:highlight w:val="none"/>
                <w:vertAlign w:val="subscript"/>
                <w14:textFill>
                  <w14:solidFill>
                    <w14:schemeClr w14:val="tx1"/>
                  </w14:solidFill>
                </w14:textFill>
              </w:rPr>
              <w:t>2</w:t>
            </w:r>
          </w:p>
        </w:tc>
        <w:tc>
          <w:tcPr>
            <w:tcW w:w="962" w:type="pct"/>
            <w:noWrap w:val="0"/>
            <w:vAlign w:val="center"/>
          </w:tcPr>
          <w:p w14:paraId="7A9FCC38">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200</w:t>
            </w:r>
          </w:p>
        </w:tc>
        <w:tc>
          <w:tcPr>
            <w:tcW w:w="1074" w:type="pct"/>
            <w:noWrap w:val="0"/>
            <w:vAlign w:val="center"/>
          </w:tcPr>
          <w:p w14:paraId="2C84F327">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80</w:t>
            </w:r>
          </w:p>
        </w:tc>
        <w:tc>
          <w:tcPr>
            <w:tcW w:w="987" w:type="pct"/>
            <w:noWrap w:val="0"/>
            <w:vAlign w:val="center"/>
          </w:tcPr>
          <w:p w14:paraId="62CB74D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40</w:t>
            </w:r>
          </w:p>
        </w:tc>
        <w:tc>
          <w:tcPr>
            <w:tcW w:w="1262" w:type="pct"/>
            <w:vMerge w:val="continue"/>
            <w:noWrap w:val="0"/>
            <w:vAlign w:val="center"/>
          </w:tcPr>
          <w:p w14:paraId="751E2204">
            <w:pPr>
              <w:pStyle w:val="26"/>
              <w:rPr>
                <w:rFonts w:hint="eastAsia"/>
                <w:color w:val="000000" w:themeColor="text1"/>
                <w:highlight w:val="none"/>
                <w14:textFill>
                  <w14:solidFill>
                    <w14:schemeClr w14:val="tx1"/>
                  </w14:solidFill>
                </w14:textFill>
              </w:rPr>
            </w:pPr>
          </w:p>
        </w:tc>
      </w:tr>
      <w:tr w14:paraId="642424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713" w:type="pct"/>
            <w:noWrap w:val="0"/>
            <w:vAlign w:val="center"/>
          </w:tcPr>
          <w:p w14:paraId="2127F548">
            <w:pPr>
              <w:pStyle w:val="26"/>
              <w:rPr>
                <w:rFonts w:hint="eastAsia"/>
                <w:color w:val="000000" w:themeColor="text1"/>
                <w:highlight w:val="none"/>
                <w14:textFill>
                  <w14:solidFill>
                    <w14:schemeClr w14:val="tx1"/>
                  </w14:solidFill>
                </w14:textFill>
              </w:rPr>
            </w:pPr>
            <w:bookmarkStart w:id="423" w:name="OLE_LINK10"/>
            <w:r>
              <w:rPr>
                <w:rFonts w:hint="eastAsia"/>
                <w:color w:val="000000" w:themeColor="text1"/>
                <w:highlight w:val="none"/>
                <w14:textFill>
                  <w14:solidFill>
                    <w14:schemeClr w14:val="tx1"/>
                  </w14:solidFill>
                </w14:textFill>
              </w:rPr>
              <w:t>PM</w:t>
            </w:r>
            <w:r>
              <w:rPr>
                <w:rFonts w:hint="eastAsia"/>
                <w:color w:val="000000" w:themeColor="text1"/>
                <w:highlight w:val="none"/>
                <w:vertAlign w:val="subscript"/>
                <w14:textFill>
                  <w14:solidFill>
                    <w14:schemeClr w14:val="tx1"/>
                  </w14:solidFill>
                </w14:textFill>
              </w:rPr>
              <w:t>10</w:t>
            </w:r>
            <w:bookmarkEnd w:id="423"/>
          </w:p>
        </w:tc>
        <w:tc>
          <w:tcPr>
            <w:tcW w:w="962" w:type="pct"/>
            <w:noWrap w:val="0"/>
            <w:vAlign w:val="center"/>
          </w:tcPr>
          <w:p w14:paraId="11D5A783">
            <w:pPr>
              <w:pStyle w:val="26"/>
              <w:rPr>
                <w:rFonts w:hint="eastAsia"/>
                <w:color w:val="000000" w:themeColor="text1"/>
                <w:highlight w:val="none"/>
                <w14:textFill>
                  <w14:solidFill>
                    <w14:schemeClr w14:val="tx1"/>
                  </w14:solidFill>
                </w14:textFill>
              </w:rPr>
            </w:pPr>
            <w:bookmarkStart w:id="424" w:name="OLE_LINK40"/>
            <w:r>
              <w:rPr>
                <w:rFonts w:hint="eastAsia"/>
                <w:color w:val="000000" w:themeColor="text1"/>
                <w:highlight w:val="none"/>
                <w14:textFill>
                  <w14:solidFill>
                    <w14:schemeClr w14:val="tx1"/>
                  </w14:solidFill>
                </w14:textFill>
              </w:rPr>
              <w:t>--</w:t>
            </w:r>
            <w:bookmarkEnd w:id="424"/>
          </w:p>
        </w:tc>
        <w:tc>
          <w:tcPr>
            <w:tcW w:w="1074" w:type="pct"/>
            <w:noWrap w:val="0"/>
            <w:vAlign w:val="center"/>
          </w:tcPr>
          <w:p w14:paraId="4851A7B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0</w:t>
            </w:r>
          </w:p>
        </w:tc>
        <w:tc>
          <w:tcPr>
            <w:tcW w:w="987" w:type="pct"/>
            <w:noWrap w:val="0"/>
            <w:vAlign w:val="center"/>
          </w:tcPr>
          <w:p w14:paraId="011CD8E1">
            <w:pPr>
              <w:pStyle w:val="26"/>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0</w:t>
            </w:r>
          </w:p>
        </w:tc>
        <w:tc>
          <w:tcPr>
            <w:tcW w:w="1262" w:type="pct"/>
            <w:vMerge w:val="continue"/>
            <w:noWrap w:val="0"/>
            <w:vAlign w:val="center"/>
          </w:tcPr>
          <w:p w14:paraId="2510501C">
            <w:pPr>
              <w:pStyle w:val="26"/>
              <w:rPr>
                <w:rFonts w:hint="eastAsia"/>
                <w:color w:val="000000" w:themeColor="text1"/>
                <w:highlight w:val="none"/>
                <w14:textFill>
                  <w14:solidFill>
                    <w14:schemeClr w14:val="tx1"/>
                  </w14:solidFill>
                </w14:textFill>
              </w:rPr>
            </w:pPr>
          </w:p>
        </w:tc>
      </w:tr>
      <w:tr w14:paraId="16589D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713" w:type="pct"/>
            <w:noWrap w:val="0"/>
            <w:vAlign w:val="center"/>
          </w:tcPr>
          <w:p w14:paraId="3BA962AF">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PM</w:t>
            </w:r>
            <w:r>
              <w:rPr>
                <w:rFonts w:hint="eastAsia"/>
                <w:color w:val="000000" w:themeColor="text1"/>
                <w:highlight w:val="none"/>
                <w:vertAlign w:val="subscript"/>
                <w14:textFill>
                  <w14:solidFill>
                    <w14:schemeClr w14:val="tx1"/>
                  </w14:solidFill>
                </w14:textFill>
              </w:rPr>
              <w:t>2.5</w:t>
            </w:r>
          </w:p>
        </w:tc>
        <w:tc>
          <w:tcPr>
            <w:tcW w:w="962" w:type="pct"/>
            <w:noWrap w:val="0"/>
            <w:vAlign w:val="center"/>
          </w:tcPr>
          <w:p w14:paraId="1520E045">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074" w:type="pct"/>
            <w:noWrap w:val="0"/>
            <w:vAlign w:val="center"/>
          </w:tcPr>
          <w:p w14:paraId="614C8894">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w:t>
            </w:r>
          </w:p>
        </w:tc>
        <w:tc>
          <w:tcPr>
            <w:tcW w:w="987" w:type="pct"/>
            <w:noWrap w:val="0"/>
            <w:vAlign w:val="center"/>
          </w:tcPr>
          <w:p w14:paraId="50BDF6BF">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w:t>
            </w:r>
          </w:p>
        </w:tc>
        <w:tc>
          <w:tcPr>
            <w:tcW w:w="1262" w:type="pct"/>
            <w:vMerge w:val="continue"/>
            <w:noWrap w:val="0"/>
            <w:vAlign w:val="center"/>
          </w:tcPr>
          <w:p w14:paraId="7E8FFB24">
            <w:pPr>
              <w:pStyle w:val="26"/>
              <w:rPr>
                <w:rFonts w:hint="eastAsia"/>
                <w:color w:val="000000" w:themeColor="text1"/>
                <w:highlight w:val="none"/>
                <w14:textFill>
                  <w14:solidFill>
                    <w14:schemeClr w14:val="tx1"/>
                  </w14:solidFill>
                </w14:textFill>
              </w:rPr>
            </w:pPr>
          </w:p>
        </w:tc>
      </w:tr>
      <w:tr w14:paraId="4D5312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3" w:type="pct"/>
            <w:noWrap w:val="0"/>
            <w:vAlign w:val="center"/>
          </w:tcPr>
          <w:p w14:paraId="1BC206F4">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CO</w:t>
            </w:r>
          </w:p>
        </w:tc>
        <w:tc>
          <w:tcPr>
            <w:tcW w:w="962" w:type="pct"/>
            <w:noWrap w:val="0"/>
            <w:vAlign w:val="center"/>
          </w:tcPr>
          <w:p w14:paraId="1EC4E9D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10000</w:t>
            </w:r>
          </w:p>
        </w:tc>
        <w:tc>
          <w:tcPr>
            <w:tcW w:w="1074" w:type="pct"/>
            <w:noWrap w:val="0"/>
            <w:vAlign w:val="center"/>
          </w:tcPr>
          <w:p w14:paraId="10D210E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4000</w:t>
            </w:r>
          </w:p>
        </w:tc>
        <w:tc>
          <w:tcPr>
            <w:tcW w:w="987" w:type="pct"/>
            <w:noWrap w:val="0"/>
            <w:vAlign w:val="center"/>
          </w:tcPr>
          <w:p w14:paraId="77CAAE13">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62" w:type="pct"/>
            <w:vMerge w:val="continue"/>
            <w:noWrap w:val="0"/>
            <w:vAlign w:val="center"/>
          </w:tcPr>
          <w:p w14:paraId="34C963D4">
            <w:pPr>
              <w:pStyle w:val="26"/>
              <w:rPr>
                <w:rFonts w:hint="eastAsia"/>
                <w:color w:val="000000" w:themeColor="text1"/>
                <w:highlight w:val="none"/>
                <w14:textFill>
                  <w14:solidFill>
                    <w14:schemeClr w14:val="tx1"/>
                  </w14:solidFill>
                </w14:textFill>
              </w:rPr>
            </w:pPr>
          </w:p>
        </w:tc>
      </w:tr>
      <w:tr w14:paraId="0EFFA8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13" w:type="pct"/>
            <w:noWrap w:val="0"/>
            <w:vAlign w:val="center"/>
          </w:tcPr>
          <w:p w14:paraId="1324A06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O</w:t>
            </w:r>
            <w:r>
              <w:rPr>
                <w:rFonts w:hint="eastAsia"/>
                <w:color w:val="000000" w:themeColor="text1"/>
                <w:highlight w:val="none"/>
                <w:vertAlign w:val="subscript"/>
                <w14:textFill>
                  <w14:solidFill>
                    <w14:schemeClr w14:val="tx1"/>
                  </w14:solidFill>
                </w14:textFill>
              </w:rPr>
              <w:t>3</w:t>
            </w:r>
          </w:p>
        </w:tc>
        <w:tc>
          <w:tcPr>
            <w:tcW w:w="962" w:type="pct"/>
            <w:noWrap w:val="0"/>
            <w:vAlign w:val="center"/>
          </w:tcPr>
          <w:p w14:paraId="708DA74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200</w:t>
            </w:r>
          </w:p>
        </w:tc>
        <w:tc>
          <w:tcPr>
            <w:tcW w:w="1074" w:type="pct"/>
            <w:noWrap w:val="0"/>
            <w:vAlign w:val="center"/>
          </w:tcPr>
          <w:p w14:paraId="692AA590">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160</w:t>
            </w:r>
          </w:p>
        </w:tc>
        <w:tc>
          <w:tcPr>
            <w:tcW w:w="987" w:type="pct"/>
            <w:noWrap w:val="0"/>
            <w:vAlign w:val="center"/>
          </w:tcPr>
          <w:p w14:paraId="3A654580">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62" w:type="pct"/>
            <w:vMerge w:val="continue"/>
            <w:noWrap w:val="0"/>
            <w:vAlign w:val="center"/>
          </w:tcPr>
          <w:p w14:paraId="54170E53">
            <w:pPr>
              <w:pStyle w:val="26"/>
              <w:rPr>
                <w:rFonts w:hint="eastAsia"/>
                <w:color w:val="000000" w:themeColor="text1"/>
                <w:highlight w:val="none"/>
                <w14:textFill>
                  <w14:solidFill>
                    <w14:schemeClr w14:val="tx1"/>
                  </w14:solidFill>
                </w14:textFill>
              </w:rPr>
            </w:pPr>
          </w:p>
        </w:tc>
      </w:tr>
      <w:tr w14:paraId="5D397B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13" w:type="pct"/>
            <w:noWrap w:val="0"/>
            <w:vAlign w:val="center"/>
          </w:tcPr>
          <w:p w14:paraId="312E016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TSP</w:t>
            </w:r>
          </w:p>
        </w:tc>
        <w:tc>
          <w:tcPr>
            <w:tcW w:w="962" w:type="pct"/>
            <w:noWrap w:val="0"/>
            <w:vAlign w:val="center"/>
          </w:tcPr>
          <w:p w14:paraId="03D7446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074" w:type="pct"/>
            <w:noWrap w:val="0"/>
            <w:vAlign w:val="center"/>
          </w:tcPr>
          <w:p w14:paraId="306C170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300</w:t>
            </w:r>
          </w:p>
        </w:tc>
        <w:tc>
          <w:tcPr>
            <w:tcW w:w="987" w:type="pct"/>
            <w:noWrap w:val="0"/>
            <w:vAlign w:val="center"/>
          </w:tcPr>
          <w:p w14:paraId="71317FD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200</w:t>
            </w:r>
          </w:p>
        </w:tc>
        <w:tc>
          <w:tcPr>
            <w:tcW w:w="1262" w:type="pct"/>
            <w:noWrap w:val="0"/>
            <w:vAlign w:val="center"/>
          </w:tcPr>
          <w:p w14:paraId="7B5EB128">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《环境空气质量标准》（GB3095-20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表2中二级标准限值</w:t>
            </w:r>
          </w:p>
        </w:tc>
      </w:tr>
      <w:tr w14:paraId="22318C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13" w:type="pct"/>
            <w:noWrap w:val="0"/>
            <w:vAlign w:val="center"/>
          </w:tcPr>
          <w:p w14:paraId="32E2E148">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氟化物</w:t>
            </w:r>
          </w:p>
        </w:tc>
        <w:tc>
          <w:tcPr>
            <w:tcW w:w="962" w:type="pct"/>
            <w:noWrap w:val="0"/>
            <w:vAlign w:val="center"/>
          </w:tcPr>
          <w:p w14:paraId="31DBB6CE">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c>
          <w:tcPr>
            <w:tcW w:w="1074" w:type="pct"/>
            <w:noWrap w:val="0"/>
            <w:vAlign w:val="center"/>
          </w:tcPr>
          <w:p w14:paraId="164E606C">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p>
        </w:tc>
        <w:tc>
          <w:tcPr>
            <w:tcW w:w="987" w:type="pct"/>
            <w:noWrap w:val="0"/>
            <w:vAlign w:val="center"/>
          </w:tcPr>
          <w:p w14:paraId="6D336494">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262" w:type="pct"/>
            <w:noWrap w:val="0"/>
            <w:vAlign w:val="center"/>
          </w:tcPr>
          <w:p w14:paraId="4597CDFA">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《环境空气质量标准》（GB3095-20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表2中参考浓度</w:t>
            </w:r>
            <w:r>
              <w:rPr>
                <w:rFonts w:hint="eastAsia"/>
                <w:color w:val="000000" w:themeColor="text1"/>
                <w:highlight w:val="none"/>
                <w14:textFill>
                  <w14:solidFill>
                    <w14:schemeClr w14:val="tx1"/>
                  </w14:solidFill>
                </w14:textFill>
              </w:rPr>
              <w:t>限值</w:t>
            </w:r>
          </w:p>
        </w:tc>
      </w:tr>
      <w:tr w14:paraId="6B361D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13" w:type="pct"/>
            <w:noWrap w:val="0"/>
            <w:vAlign w:val="center"/>
          </w:tcPr>
          <w:p w14:paraId="373386DC">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962" w:type="pct"/>
            <w:noWrap w:val="0"/>
            <w:vAlign w:val="center"/>
          </w:tcPr>
          <w:p w14:paraId="1BA25D8D">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1074" w:type="pct"/>
            <w:noWrap w:val="0"/>
            <w:vAlign w:val="center"/>
          </w:tcPr>
          <w:p w14:paraId="54752C2C">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w:t>
            </w:r>
          </w:p>
        </w:tc>
        <w:tc>
          <w:tcPr>
            <w:tcW w:w="987" w:type="pct"/>
            <w:noWrap w:val="0"/>
            <w:vAlign w:val="center"/>
          </w:tcPr>
          <w:p w14:paraId="19D99E80">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262" w:type="pct"/>
            <w:noWrap w:val="0"/>
            <w:vAlign w:val="center"/>
          </w:tcPr>
          <w:p w14:paraId="148CA2D6">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《环境影响评价技术导则 大气环境》（HJ2.2-2018）</w:t>
            </w:r>
            <w:r>
              <w:rPr>
                <w:rFonts w:hint="eastAsia" w:ascii="Times New Roman" w:hAnsi="Times New Roman" w:eastAsia="宋体" w:cs="Times New Roman"/>
                <w:color w:val="000000" w:themeColor="text1"/>
                <w:highlight w:val="none"/>
                <w:lang w:val="en-US" w:eastAsia="zh-CN"/>
                <w14:textFill>
                  <w14:solidFill>
                    <w14:schemeClr w14:val="tx1"/>
                  </w14:solidFill>
                </w14:textFill>
              </w:rPr>
              <w:t>附录D</w:t>
            </w:r>
          </w:p>
        </w:tc>
      </w:tr>
      <w:tr w14:paraId="1D30A0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13" w:type="pct"/>
            <w:noWrap w:val="0"/>
            <w:vAlign w:val="center"/>
          </w:tcPr>
          <w:p w14:paraId="0174DAB3">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非甲烷总烃</w:t>
            </w:r>
          </w:p>
        </w:tc>
        <w:tc>
          <w:tcPr>
            <w:tcW w:w="962" w:type="pct"/>
            <w:noWrap w:val="0"/>
            <w:vAlign w:val="center"/>
          </w:tcPr>
          <w:p w14:paraId="04BF438D">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2.0mg</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3</w:t>
            </w:r>
          </w:p>
        </w:tc>
        <w:tc>
          <w:tcPr>
            <w:tcW w:w="1074" w:type="pct"/>
            <w:noWrap w:val="0"/>
            <w:vAlign w:val="center"/>
          </w:tcPr>
          <w:p w14:paraId="7B81399D">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987" w:type="pct"/>
            <w:noWrap w:val="0"/>
            <w:vAlign w:val="center"/>
          </w:tcPr>
          <w:p w14:paraId="34CD4E10">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262" w:type="pct"/>
            <w:noWrap w:val="0"/>
            <w:vAlign w:val="center"/>
          </w:tcPr>
          <w:p w14:paraId="2393AE91">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《大气污染物综合排放标准》</w:t>
            </w:r>
            <w:r>
              <w:rPr>
                <w:rFonts w:hint="eastAsia" w:ascii="Times New Roman" w:hAnsi="Times New Roman" w:eastAsia="宋体" w:cs="Times New Roman"/>
                <w:color w:val="000000" w:themeColor="text1"/>
                <w:highlight w:val="none"/>
                <w14:textFill>
                  <w14:solidFill>
                    <w14:schemeClr w14:val="tx1"/>
                  </w14:solidFill>
                </w14:textFill>
              </w:rPr>
              <w:t>（GB16297-1996）详解</w:t>
            </w:r>
          </w:p>
        </w:tc>
      </w:tr>
    </w:tbl>
    <w:p w14:paraId="7696937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（2）水环境质量标准</w:t>
      </w:r>
    </w:p>
    <w:p w14:paraId="713DB4A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地下水环境质量标准执行《地下水质量标准》（GB/T14848-2017）</w:t>
      </w:r>
      <w:r>
        <w:rPr>
          <w:rFonts w:hint="eastAsia"/>
          <w:color w:val="000000" w:themeColor="text1"/>
          <w:highlight w:val="none"/>
          <w:lang w:val="en-US" w:eastAsia="zh-CN"/>
          <w14:textFill>
            <w14:solidFill>
              <w14:schemeClr w14:val="tx1"/>
            </w14:solidFill>
          </w14:textFill>
        </w:rPr>
        <w:t>中</w:t>
      </w:r>
      <w:r>
        <w:rPr>
          <w:rFonts w:hint="eastAsia"/>
          <w:color w:val="000000" w:themeColor="text1"/>
          <w:highlight w:val="none"/>
          <w14:textFill>
            <w14:solidFill>
              <w14:schemeClr w14:val="tx1"/>
            </w14:solidFill>
          </w14:textFill>
        </w:rPr>
        <w:t>Ⅲ类标准，评价因子标准限值浓度详见表2.5.1-2。</w:t>
      </w:r>
    </w:p>
    <w:p w14:paraId="51846EB0">
      <w:pPr>
        <w:pStyle w:val="2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表2.5.1-2   地下水质量标准   单位：mg/L，pH值无量纲</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190"/>
        <w:gridCol w:w="1266"/>
        <w:gridCol w:w="902"/>
        <w:gridCol w:w="2545"/>
        <w:gridCol w:w="1449"/>
      </w:tblGrid>
      <w:tr w14:paraId="26F0D4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bottom w:val="single" w:color="auto" w:sz="12" w:space="0"/>
            </w:tcBorders>
            <w:noWrap w:val="0"/>
            <w:vAlign w:val="center"/>
          </w:tcPr>
          <w:p w14:paraId="2938458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2190" w:type="dxa"/>
            <w:tcBorders>
              <w:bottom w:val="single" w:color="auto" w:sz="12" w:space="0"/>
            </w:tcBorders>
            <w:noWrap w:val="0"/>
            <w:vAlign w:val="center"/>
          </w:tcPr>
          <w:p w14:paraId="3F414A9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项目</w:t>
            </w:r>
          </w:p>
        </w:tc>
        <w:tc>
          <w:tcPr>
            <w:tcW w:w="1266" w:type="dxa"/>
            <w:tcBorders>
              <w:bottom w:val="single" w:color="auto" w:sz="12" w:space="0"/>
            </w:tcBorders>
            <w:noWrap w:val="0"/>
            <w:vAlign w:val="center"/>
          </w:tcPr>
          <w:p w14:paraId="51C88DD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标准值</w:t>
            </w:r>
          </w:p>
        </w:tc>
        <w:tc>
          <w:tcPr>
            <w:tcW w:w="902" w:type="dxa"/>
            <w:tcBorders>
              <w:bottom w:val="single" w:color="auto" w:sz="12" w:space="0"/>
            </w:tcBorders>
            <w:noWrap w:val="0"/>
            <w:vAlign w:val="center"/>
          </w:tcPr>
          <w:p w14:paraId="51AC873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2545" w:type="dxa"/>
            <w:tcBorders>
              <w:bottom w:val="single" w:color="auto" w:sz="12" w:space="0"/>
            </w:tcBorders>
            <w:noWrap w:val="0"/>
            <w:vAlign w:val="center"/>
          </w:tcPr>
          <w:p w14:paraId="1C00EC5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项目</w:t>
            </w:r>
          </w:p>
        </w:tc>
        <w:tc>
          <w:tcPr>
            <w:tcW w:w="1449" w:type="dxa"/>
            <w:tcBorders>
              <w:bottom w:val="single" w:color="auto" w:sz="12" w:space="0"/>
            </w:tcBorders>
            <w:noWrap w:val="0"/>
            <w:vAlign w:val="center"/>
          </w:tcPr>
          <w:p w14:paraId="04DD6FC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标准值</w:t>
            </w:r>
          </w:p>
        </w:tc>
      </w:tr>
      <w:tr w14:paraId="13A142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12" w:space="0"/>
            </w:tcBorders>
            <w:noWrap w:val="0"/>
            <w:vAlign w:val="center"/>
          </w:tcPr>
          <w:p w14:paraId="197315A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2190" w:type="dxa"/>
            <w:tcBorders>
              <w:top w:val="single" w:color="auto" w:sz="12" w:space="0"/>
            </w:tcBorders>
            <w:noWrap w:val="0"/>
            <w:vAlign w:val="center"/>
          </w:tcPr>
          <w:p w14:paraId="2A3B6153">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pH（无量纲）</w:t>
            </w:r>
          </w:p>
        </w:tc>
        <w:tc>
          <w:tcPr>
            <w:tcW w:w="1266" w:type="dxa"/>
            <w:tcBorders>
              <w:top w:val="single" w:color="auto" w:sz="12" w:space="0"/>
            </w:tcBorders>
            <w:noWrap w:val="0"/>
            <w:vAlign w:val="center"/>
          </w:tcPr>
          <w:p w14:paraId="6ED154F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6.5-8.5</w:t>
            </w:r>
          </w:p>
        </w:tc>
        <w:tc>
          <w:tcPr>
            <w:tcW w:w="902" w:type="dxa"/>
            <w:tcBorders>
              <w:top w:val="single" w:color="auto" w:sz="12" w:space="0"/>
            </w:tcBorders>
            <w:noWrap w:val="0"/>
            <w:vAlign w:val="center"/>
          </w:tcPr>
          <w:p w14:paraId="079468FA">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13</w:t>
            </w:r>
          </w:p>
        </w:tc>
        <w:tc>
          <w:tcPr>
            <w:tcW w:w="2545" w:type="dxa"/>
            <w:tcBorders>
              <w:top w:val="single" w:color="auto" w:sz="12" w:space="0"/>
            </w:tcBorders>
            <w:shd w:val="clear" w:color="auto" w:fill="auto"/>
            <w:noWrap w:val="0"/>
            <w:vAlign w:val="center"/>
          </w:tcPr>
          <w:p w14:paraId="7090220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氯化物</w:t>
            </w:r>
          </w:p>
        </w:tc>
        <w:tc>
          <w:tcPr>
            <w:tcW w:w="1449" w:type="dxa"/>
            <w:tcBorders>
              <w:top w:val="single" w:color="auto" w:sz="12" w:space="0"/>
            </w:tcBorders>
            <w:shd w:val="clear" w:color="auto" w:fill="auto"/>
            <w:noWrap w:val="0"/>
            <w:vAlign w:val="center"/>
          </w:tcPr>
          <w:p w14:paraId="1FB0501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250</w:t>
            </w:r>
          </w:p>
        </w:tc>
      </w:tr>
      <w:tr w14:paraId="69D7EF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50E804D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2190" w:type="dxa"/>
            <w:noWrap w:val="0"/>
            <w:vAlign w:val="center"/>
          </w:tcPr>
          <w:p w14:paraId="6BBD790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总硬度</w:t>
            </w:r>
          </w:p>
        </w:tc>
        <w:tc>
          <w:tcPr>
            <w:tcW w:w="1266" w:type="dxa"/>
            <w:noWrap w:val="0"/>
            <w:vAlign w:val="center"/>
          </w:tcPr>
          <w:p w14:paraId="095166FE">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450</w:t>
            </w:r>
          </w:p>
        </w:tc>
        <w:tc>
          <w:tcPr>
            <w:tcW w:w="902" w:type="dxa"/>
            <w:shd w:val="clear" w:color="auto" w:fill="auto"/>
            <w:noWrap w:val="0"/>
            <w:vAlign w:val="center"/>
          </w:tcPr>
          <w:p w14:paraId="7E8E8F0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14</w:t>
            </w:r>
          </w:p>
        </w:tc>
        <w:tc>
          <w:tcPr>
            <w:tcW w:w="2545" w:type="dxa"/>
            <w:shd w:val="clear" w:color="auto" w:fill="auto"/>
            <w:noWrap w:val="0"/>
            <w:vAlign w:val="center"/>
          </w:tcPr>
          <w:p w14:paraId="14CD40E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铁</w:t>
            </w:r>
          </w:p>
        </w:tc>
        <w:tc>
          <w:tcPr>
            <w:tcW w:w="1449" w:type="dxa"/>
            <w:shd w:val="clear" w:color="auto" w:fill="auto"/>
            <w:noWrap w:val="0"/>
            <w:vAlign w:val="center"/>
          </w:tcPr>
          <w:p w14:paraId="37204AE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0.3</w:t>
            </w:r>
          </w:p>
        </w:tc>
      </w:tr>
      <w:tr w14:paraId="090990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9" w:type="dxa"/>
            <w:noWrap w:val="0"/>
            <w:vAlign w:val="center"/>
          </w:tcPr>
          <w:p w14:paraId="3824EB1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2190" w:type="dxa"/>
            <w:noWrap w:val="0"/>
            <w:vAlign w:val="center"/>
          </w:tcPr>
          <w:p w14:paraId="37E677D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溶解性总固体</w:t>
            </w:r>
          </w:p>
        </w:tc>
        <w:tc>
          <w:tcPr>
            <w:tcW w:w="1266" w:type="dxa"/>
            <w:noWrap w:val="0"/>
            <w:vAlign w:val="center"/>
          </w:tcPr>
          <w:p w14:paraId="30E7AAD9">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1000</w:t>
            </w:r>
          </w:p>
        </w:tc>
        <w:tc>
          <w:tcPr>
            <w:tcW w:w="902" w:type="dxa"/>
            <w:shd w:val="clear" w:color="auto" w:fill="auto"/>
            <w:noWrap w:val="0"/>
            <w:vAlign w:val="center"/>
          </w:tcPr>
          <w:p w14:paraId="5AEFCEFF">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15</w:t>
            </w:r>
          </w:p>
        </w:tc>
        <w:tc>
          <w:tcPr>
            <w:tcW w:w="2545" w:type="dxa"/>
            <w:shd w:val="clear" w:color="auto" w:fill="auto"/>
            <w:noWrap w:val="0"/>
            <w:vAlign w:val="center"/>
          </w:tcPr>
          <w:p w14:paraId="6289651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锰</w:t>
            </w:r>
          </w:p>
        </w:tc>
        <w:tc>
          <w:tcPr>
            <w:tcW w:w="1449" w:type="dxa"/>
            <w:shd w:val="clear" w:color="auto" w:fill="auto"/>
            <w:noWrap w:val="0"/>
            <w:vAlign w:val="center"/>
          </w:tcPr>
          <w:p w14:paraId="1E3EFF9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0.1</w:t>
            </w:r>
          </w:p>
        </w:tc>
      </w:tr>
      <w:tr w14:paraId="7561CD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7182CE9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2190" w:type="dxa"/>
            <w:noWrap w:val="0"/>
            <w:vAlign w:val="center"/>
          </w:tcPr>
          <w:p w14:paraId="34CBCCDF">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铜</w:t>
            </w:r>
          </w:p>
        </w:tc>
        <w:tc>
          <w:tcPr>
            <w:tcW w:w="1266" w:type="dxa"/>
            <w:noWrap w:val="0"/>
            <w:vAlign w:val="center"/>
          </w:tcPr>
          <w:p w14:paraId="38EBC01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1</w:t>
            </w:r>
          </w:p>
        </w:tc>
        <w:tc>
          <w:tcPr>
            <w:tcW w:w="902" w:type="dxa"/>
            <w:shd w:val="clear" w:color="auto" w:fill="auto"/>
            <w:noWrap w:val="0"/>
            <w:vAlign w:val="center"/>
          </w:tcPr>
          <w:p w14:paraId="3AFBADB8">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16</w:t>
            </w:r>
          </w:p>
        </w:tc>
        <w:tc>
          <w:tcPr>
            <w:tcW w:w="2545" w:type="dxa"/>
            <w:shd w:val="clear" w:color="auto" w:fill="auto"/>
            <w:noWrap w:val="0"/>
            <w:vAlign w:val="center"/>
          </w:tcPr>
          <w:p w14:paraId="3B60C05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硝酸盐氮（以N计）</w:t>
            </w:r>
          </w:p>
        </w:tc>
        <w:tc>
          <w:tcPr>
            <w:tcW w:w="1449" w:type="dxa"/>
            <w:shd w:val="clear" w:color="auto" w:fill="auto"/>
            <w:noWrap w:val="0"/>
            <w:vAlign w:val="center"/>
          </w:tcPr>
          <w:p w14:paraId="78D0085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20</w:t>
            </w:r>
          </w:p>
        </w:tc>
      </w:tr>
      <w:tr w14:paraId="361959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505F8D2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2190" w:type="dxa"/>
            <w:noWrap w:val="0"/>
            <w:vAlign w:val="center"/>
          </w:tcPr>
          <w:p w14:paraId="04C28E53">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锌</w:t>
            </w:r>
          </w:p>
        </w:tc>
        <w:tc>
          <w:tcPr>
            <w:tcW w:w="1266" w:type="dxa"/>
            <w:noWrap w:val="0"/>
            <w:vAlign w:val="center"/>
          </w:tcPr>
          <w:p w14:paraId="6AE2E63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1</w:t>
            </w:r>
          </w:p>
        </w:tc>
        <w:tc>
          <w:tcPr>
            <w:tcW w:w="902" w:type="dxa"/>
            <w:shd w:val="clear" w:color="auto" w:fill="auto"/>
            <w:noWrap w:val="0"/>
            <w:vAlign w:val="center"/>
          </w:tcPr>
          <w:p w14:paraId="7C03428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17</w:t>
            </w:r>
          </w:p>
        </w:tc>
        <w:tc>
          <w:tcPr>
            <w:tcW w:w="2545" w:type="dxa"/>
            <w:shd w:val="clear" w:color="auto" w:fill="auto"/>
            <w:noWrap w:val="0"/>
            <w:vAlign w:val="center"/>
          </w:tcPr>
          <w:p w14:paraId="4E23575F">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亚硝酸盐氮（以N 计）</w:t>
            </w:r>
          </w:p>
        </w:tc>
        <w:tc>
          <w:tcPr>
            <w:tcW w:w="1449" w:type="dxa"/>
            <w:shd w:val="clear" w:color="auto" w:fill="auto"/>
            <w:noWrap w:val="0"/>
            <w:vAlign w:val="center"/>
          </w:tcPr>
          <w:p w14:paraId="5E2DB49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1</w:t>
            </w:r>
          </w:p>
        </w:tc>
      </w:tr>
      <w:tr w14:paraId="3B110A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0B4AC4F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2190" w:type="dxa"/>
            <w:noWrap w:val="0"/>
            <w:vAlign w:val="center"/>
          </w:tcPr>
          <w:p w14:paraId="5949293D">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砷</w:t>
            </w:r>
          </w:p>
        </w:tc>
        <w:tc>
          <w:tcPr>
            <w:tcW w:w="1266" w:type="dxa"/>
            <w:noWrap w:val="0"/>
            <w:vAlign w:val="center"/>
          </w:tcPr>
          <w:p w14:paraId="5A3F2CFC">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0.01</w:t>
            </w:r>
          </w:p>
        </w:tc>
        <w:tc>
          <w:tcPr>
            <w:tcW w:w="902" w:type="dxa"/>
            <w:shd w:val="clear" w:color="auto" w:fill="auto"/>
            <w:noWrap w:val="0"/>
            <w:vAlign w:val="center"/>
          </w:tcPr>
          <w:p w14:paraId="29ACA260">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18</w:t>
            </w:r>
          </w:p>
        </w:tc>
        <w:tc>
          <w:tcPr>
            <w:tcW w:w="2545" w:type="dxa"/>
            <w:shd w:val="clear" w:color="auto" w:fill="auto"/>
            <w:noWrap w:val="0"/>
            <w:vAlign w:val="center"/>
          </w:tcPr>
          <w:p w14:paraId="4108A050">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氨氮</w:t>
            </w:r>
          </w:p>
        </w:tc>
        <w:tc>
          <w:tcPr>
            <w:tcW w:w="1449" w:type="dxa"/>
            <w:shd w:val="clear" w:color="auto" w:fill="auto"/>
            <w:noWrap w:val="0"/>
            <w:vAlign w:val="center"/>
          </w:tcPr>
          <w:p w14:paraId="33DD686E">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0.5</w:t>
            </w:r>
          </w:p>
        </w:tc>
      </w:tr>
      <w:tr w14:paraId="73D6DB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5C980CD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p>
        </w:tc>
        <w:tc>
          <w:tcPr>
            <w:tcW w:w="2190" w:type="dxa"/>
            <w:noWrap w:val="0"/>
            <w:vAlign w:val="center"/>
          </w:tcPr>
          <w:p w14:paraId="606C4CA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镉</w:t>
            </w:r>
          </w:p>
        </w:tc>
        <w:tc>
          <w:tcPr>
            <w:tcW w:w="1266" w:type="dxa"/>
            <w:noWrap w:val="0"/>
            <w:vAlign w:val="center"/>
          </w:tcPr>
          <w:p w14:paraId="386350A0">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0.005</w:t>
            </w:r>
          </w:p>
        </w:tc>
        <w:tc>
          <w:tcPr>
            <w:tcW w:w="902" w:type="dxa"/>
            <w:shd w:val="clear" w:color="auto" w:fill="auto"/>
            <w:noWrap w:val="0"/>
            <w:vAlign w:val="center"/>
          </w:tcPr>
          <w:p w14:paraId="2ECF825B">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w:t>
            </w:r>
          </w:p>
        </w:tc>
        <w:tc>
          <w:tcPr>
            <w:tcW w:w="2545" w:type="dxa"/>
            <w:shd w:val="clear" w:color="auto" w:fill="auto"/>
            <w:noWrap w:val="0"/>
            <w:vAlign w:val="center"/>
          </w:tcPr>
          <w:p w14:paraId="5D726847">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硫化物</w:t>
            </w:r>
          </w:p>
        </w:tc>
        <w:tc>
          <w:tcPr>
            <w:tcW w:w="1449" w:type="dxa"/>
            <w:shd w:val="clear" w:color="auto" w:fill="auto"/>
            <w:noWrap w:val="0"/>
            <w:vAlign w:val="center"/>
          </w:tcPr>
          <w:p w14:paraId="161BF31D">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0.02</w:t>
            </w:r>
          </w:p>
        </w:tc>
      </w:tr>
      <w:tr w14:paraId="7E3947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0BC239C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w:t>
            </w:r>
          </w:p>
        </w:tc>
        <w:tc>
          <w:tcPr>
            <w:tcW w:w="2190" w:type="dxa"/>
            <w:noWrap w:val="0"/>
            <w:vAlign w:val="center"/>
          </w:tcPr>
          <w:p w14:paraId="7D192C3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铅</w:t>
            </w:r>
          </w:p>
        </w:tc>
        <w:tc>
          <w:tcPr>
            <w:tcW w:w="1266" w:type="dxa"/>
            <w:noWrap w:val="0"/>
            <w:vAlign w:val="center"/>
          </w:tcPr>
          <w:p w14:paraId="145368E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0.01</w:t>
            </w:r>
          </w:p>
        </w:tc>
        <w:tc>
          <w:tcPr>
            <w:tcW w:w="902" w:type="dxa"/>
            <w:shd w:val="clear" w:color="auto" w:fill="auto"/>
            <w:noWrap w:val="0"/>
            <w:vAlign w:val="center"/>
          </w:tcPr>
          <w:p w14:paraId="1BCA799B">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c>
          <w:tcPr>
            <w:tcW w:w="2545" w:type="dxa"/>
            <w:shd w:val="clear" w:color="auto" w:fill="auto"/>
            <w:noWrap w:val="0"/>
            <w:vAlign w:val="center"/>
          </w:tcPr>
          <w:p w14:paraId="425E72CF">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氟化物</w:t>
            </w:r>
          </w:p>
        </w:tc>
        <w:tc>
          <w:tcPr>
            <w:tcW w:w="1449" w:type="dxa"/>
            <w:shd w:val="clear" w:color="auto" w:fill="auto"/>
            <w:noWrap w:val="0"/>
            <w:vAlign w:val="center"/>
          </w:tcPr>
          <w:p w14:paraId="546E4573">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1.0</w:t>
            </w:r>
          </w:p>
        </w:tc>
      </w:tr>
      <w:tr w14:paraId="47E0A7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4CA40D9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w:t>
            </w:r>
          </w:p>
        </w:tc>
        <w:tc>
          <w:tcPr>
            <w:tcW w:w="2190" w:type="dxa"/>
            <w:noWrap w:val="0"/>
            <w:vAlign w:val="center"/>
          </w:tcPr>
          <w:p w14:paraId="65528A8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挥发酚</w:t>
            </w:r>
          </w:p>
        </w:tc>
        <w:tc>
          <w:tcPr>
            <w:tcW w:w="1266" w:type="dxa"/>
            <w:noWrap w:val="0"/>
            <w:vAlign w:val="center"/>
          </w:tcPr>
          <w:p w14:paraId="2666DA1E">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0.002</w:t>
            </w:r>
          </w:p>
        </w:tc>
        <w:tc>
          <w:tcPr>
            <w:tcW w:w="902" w:type="dxa"/>
            <w:shd w:val="clear" w:color="auto" w:fill="auto"/>
            <w:noWrap w:val="0"/>
            <w:vAlign w:val="center"/>
          </w:tcPr>
          <w:p w14:paraId="601B3FFE">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w:t>
            </w:r>
          </w:p>
        </w:tc>
        <w:tc>
          <w:tcPr>
            <w:tcW w:w="2545" w:type="dxa"/>
            <w:shd w:val="clear" w:color="auto" w:fill="auto"/>
            <w:noWrap w:val="0"/>
            <w:vAlign w:val="center"/>
          </w:tcPr>
          <w:p w14:paraId="44815949">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氰化物</w:t>
            </w:r>
          </w:p>
        </w:tc>
        <w:tc>
          <w:tcPr>
            <w:tcW w:w="1449" w:type="dxa"/>
            <w:shd w:val="clear" w:color="auto" w:fill="auto"/>
            <w:noWrap w:val="0"/>
            <w:vAlign w:val="center"/>
          </w:tcPr>
          <w:p w14:paraId="7E19054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0.05</w:t>
            </w:r>
          </w:p>
        </w:tc>
      </w:tr>
      <w:tr w14:paraId="356631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2AFFF445">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10</w:t>
            </w:r>
          </w:p>
        </w:tc>
        <w:tc>
          <w:tcPr>
            <w:tcW w:w="2190" w:type="dxa"/>
            <w:noWrap w:val="0"/>
            <w:vAlign w:val="center"/>
          </w:tcPr>
          <w:p w14:paraId="1A41D27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总大肠菌群MPN/100mL</w:t>
            </w:r>
          </w:p>
        </w:tc>
        <w:tc>
          <w:tcPr>
            <w:tcW w:w="1266" w:type="dxa"/>
            <w:noWrap w:val="0"/>
            <w:vAlign w:val="center"/>
          </w:tcPr>
          <w:p w14:paraId="509F44A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3</w:t>
            </w:r>
          </w:p>
        </w:tc>
        <w:tc>
          <w:tcPr>
            <w:tcW w:w="902" w:type="dxa"/>
            <w:shd w:val="clear" w:color="auto" w:fill="auto"/>
            <w:noWrap w:val="0"/>
            <w:vAlign w:val="center"/>
          </w:tcPr>
          <w:p w14:paraId="3ED0FF8B">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22</w:t>
            </w:r>
          </w:p>
        </w:tc>
        <w:tc>
          <w:tcPr>
            <w:tcW w:w="2545" w:type="dxa"/>
            <w:shd w:val="clear" w:color="auto" w:fill="auto"/>
            <w:noWrap w:val="0"/>
            <w:vAlign w:val="center"/>
          </w:tcPr>
          <w:p w14:paraId="1AB221A2">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汞</w:t>
            </w:r>
          </w:p>
        </w:tc>
        <w:tc>
          <w:tcPr>
            <w:tcW w:w="1449" w:type="dxa"/>
            <w:shd w:val="clear" w:color="auto" w:fill="auto"/>
            <w:noWrap w:val="0"/>
            <w:vAlign w:val="center"/>
          </w:tcPr>
          <w:p w14:paraId="0AB5078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0.001</w:t>
            </w:r>
          </w:p>
        </w:tc>
      </w:tr>
      <w:tr w14:paraId="7DFF86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29127D1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11</w:t>
            </w:r>
          </w:p>
        </w:tc>
        <w:tc>
          <w:tcPr>
            <w:tcW w:w="2190" w:type="dxa"/>
            <w:noWrap w:val="0"/>
            <w:vAlign w:val="center"/>
          </w:tcPr>
          <w:p w14:paraId="327899F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耗氧量</w:t>
            </w:r>
          </w:p>
        </w:tc>
        <w:tc>
          <w:tcPr>
            <w:tcW w:w="1266" w:type="dxa"/>
            <w:noWrap w:val="0"/>
            <w:vAlign w:val="center"/>
          </w:tcPr>
          <w:p w14:paraId="27EA9E5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3</w:t>
            </w:r>
          </w:p>
        </w:tc>
        <w:tc>
          <w:tcPr>
            <w:tcW w:w="902" w:type="dxa"/>
            <w:shd w:val="clear" w:color="auto" w:fill="auto"/>
            <w:noWrap w:val="0"/>
            <w:vAlign w:val="center"/>
          </w:tcPr>
          <w:p w14:paraId="6B348960">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w:t>
            </w:r>
          </w:p>
        </w:tc>
        <w:tc>
          <w:tcPr>
            <w:tcW w:w="2545" w:type="dxa"/>
            <w:shd w:val="clear" w:color="auto" w:fill="auto"/>
            <w:noWrap w:val="0"/>
            <w:vAlign w:val="center"/>
          </w:tcPr>
          <w:p w14:paraId="5D8465C1">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六价铬</w:t>
            </w:r>
          </w:p>
        </w:tc>
        <w:tc>
          <w:tcPr>
            <w:tcW w:w="1449" w:type="dxa"/>
            <w:shd w:val="clear" w:color="auto" w:fill="auto"/>
            <w:noWrap w:val="0"/>
            <w:vAlign w:val="center"/>
          </w:tcPr>
          <w:p w14:paraId="17A9084F">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0.05</w:t>
            </w:r>
          </w:p>
        </w:tc>
      </w:tr>
      <w:tr w14:paraId="4A31E5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noWrap w:val="0"/>
            <w:vAlign w:val="center"/>
          </w:tcPr>
          <w:p w14:paraId="103F24F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12</w:t>
            </w:r>
          </w:p>
        </w:tc>
        <w:tc>
          <w:tcPr>
            <w:tcW w:w="2190" w:type="dxa"/>
            <w:noWrap w:val="0"/>
            <w:vAlign w:val="center"/>
          </w:tcPr>
          <w:p w14:paraId="37EE279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硫酸盐</w:t>
            </w:r>
          </w:p>
        </w:tc>
        <w:tc>
          <w:tcPr>
            <w:tcW w:w="1266" w:type="dxa"/>
            <w:noWrap w:val="0"/>
            <w:vAlign w:val="center"/>
          </w:tcPr>
          <w:p w14:paraId="0F0CC42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250</w:t>
            </w:r>
          </w:p>
        </w:tc>
        <w:tc>
          <w:tcPr>
            <w:tcW w:w="902" w:type="dxa"/>
            <w:shd w:val="clear" w:color="auto" w:fill="auto"/>
            <w:noWrap w:val="0"/>
            <w:vAlign w:val="center"/>
          </w:tcPr>
          <w:p w14:paraId="38741D49">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w:t>
            </w:r>
          </w:p>
        </w:tc>
        <w:tc>
          <w:tcPr>
            <w:tcW w:w="2545" w:type="dxa"/>
            <w:noWrap w:val="0"/>
            <w:vAlign w:val="center"/>
          </w:tcPr>
          <w:p w14:paraId="7311BE19">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菌落总数CFU/mL</w:t>
            </w:r>
          </w:p>
        </w:tc>
        <w:tc>
          <w:tcPr>
            <w:tcW w:w="1449" w:type="dxa"/>
            <w:noWrap w:val="0"/>
            <w:vAlign w:val="center"/>
          </w:tcPr>
          <w:p w14:paraId="40F73EE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100</w:t>
            </w:r>
          </w:p>
        </w:tc>
      </w:tr>
    </w:tbl>
    <w:p w14:paraId="0EE1C6E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（3）声环境质量标准 </w:t>
      </w:r>
    </w:p>
    <w:p w14:paraId="7F94CEA2">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声环境质量评价标准采用《声环境质量标准》（GB3096-2008）的3类标准：昼间65dB（A）、夜间55dB（A）。</w:t>
      </w:r>
    </w:p>
    <w:p w14:paraId="6DDC876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）土壤环境质量标准</w:t>
      </w:r>
    </w:p>
    <w:p w14:paraId="1F49B13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项目区土壤质量采用《土壤环境质量 建设用地土壤污染风险管控标准（试行）》（GB 36600—2018）中建设项目用地土壤污染风险第二类用地筛选值标准要求</w:t>
      </w:r>
      <w:r>
        <w:rPr>
          <w:color w:val="000000" w:themeColor="text1"/>
          <w:highlight w:val="none"/>
          <w14:textFill>
            <w14:solidFill>
              <w14:schemeClr w14:val="tx1"/>
            </w14:solidFill>
          </w14:textFill>
        </w:rPr>
        <w:t>见表2.</w:t>
      </w:r>
      <w:r>
        <w:rPr>
          <w:rFonts w:hint="eastAsia"/>
          <w:color w:val="000000" w:themeColor="text1"/>
          <w:highlight w:val="none"/>
          <w14:textFill>
            <w14:solidFill>
              <w14:schemeClr w14:val="tx1"/>
            </w14:solidFill>
          </w14:textFill>
        </w:rPr>
        <w:t>5.1-3</w:t>
      </w:r>
      <w:r>
        <w:rPr>
          <w:color w:val="000000" w:themeColor="text1"/>
          <w:highlight w:val="none"/>
          <w14:textFill>
            <w14:solidFill>
              <w14:schemeClr w14:val="tx1"/>
            </w14:solidFill>
          </w14:textFill>
        </w:rPr>
        <w:t>。</w:t>
      </w:r>
    </w:p>
    <w:p w14:paraId="15FD18D8">
      <w:pPr>
        <w:pStyle w:val="25"/>
        <w:rPr>
          <w:rFonts w:hint="eastAsia"/>
          <w:color w:val="000000" w:themeColor="text1"/>
          <w:highlight w:val="none"/>
          <w:lang w:val="zh-CN"/>
          <w14:textFill>
            <w14:solidFill>
              <w14:schemeClr w14:val="tx1"/>
            </w14:solidFill>
          </w14:textFill>
        </w:rPr>
      </w:pPr>
      <w:bookmarkStart w:id="425" w:name="_Toc12376"/>
      <w:bookmarkStart w:id="426" w:name="_Toc12141"/>
      <w:bookmarkStart w:id="427" w:name="_Toc3948"/>
      <w:bookmarkStart w:id="428" w:name="_Toc24689"/>
      <w:bookmarkStart w:id="429" w:name="_Toc14794"/>
      <w:bookmarkStart w:id="430" w:name="_Toc18034"/>
      <w:bookmarkStart w:id="431" w:name="_Toc778"/>
      <w:bookmarkStart w:id="432" w:name="_Toc23188"/>
      <w:r>
        <w:rPr>
          <w:color w:val="000000" w:themeColor="text1"/>
          <w:highlight w:val="none"/>
          <w14:textFill>
            <w14:solidFill>
              <w14:schemeClr w14:val="tx1"/>
            </w14:solidFill>
          </w14:textFill>
        </w:rPr>
        <w:t>表</w:t>
      </w:r>
      <w:r>
        <w:rPr>
          <w:rFonts w:hint="eastAsia"/>
          <w:color w:val="000000" w:themeColor="text1"/>
          <w:highlight w:val="none"/>
          <w14:textFill>
            <w14:solidFill>
              <w14:schemeClr w14:val="tx1"/>
            </w14:solidFill>
          </w14:textFill>
        </w:rPr>
        <w:t>2.5.1-3     项目土壤环境</w:t>
      </w:r>
      <w:r>
        <w:rPr>
          <w:color w:val="000000" w:themeColor="text1"/>
          <w:highlight w:val="none"/>
          <w14:textFill>
            <w14:solidFill>
              <w14:schemeClr w14:val="tx1"/>
            </w14:solidFill>
          </w14:textFill>
        </w:rPr>
        <w:t>质量评价标准一览表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674"/>
        <w:gridCol w:w="2506"/>
        <w:gridCol w:w="1372"/>
        <w:gridCol w:w="671"/>
        <w:gridCol w:w="2640"/>
        <w:gridCol w:w="1208"/>
      </w:tblGrid>
      <w:tr w14:paraId="4011AFA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tcBorders>
              <w:bottom w:val="single" w:color="000000" w:sz="12" w:space="0"/>
            </w:tcBorders>
            <w:noWrap w:val="0"/>
            <w:vAlign w:val="top"/>
          </w:tcPr>
          <w:p w14:paraId="4860909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2506" w:type="dxa"/>
            <w:tcBorders>
              <w:bottom w:val="single" w:color="000000" w:sz="12" w:space="0"/>
            </w:tcBorders>
            <w:noWrap w:val="0"/>
            <w:vAlign w:val="top"/>
          </w:tcPr>
          <w:p w14:paraId="7A5905B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项目</w:t>
            </w:r>
          </w:p>
        </w:tc>
        <w:tc>
          <w:tcPr>
            <w:tcW w:w="1372" w:type="dxa"/>
            <w:tcBorders>
              <w:bottom w:val="single" w:color="000000" w:sz="12" w:space="0"/>
            </w:tcBorders>
            <w:noWrap w:val="0"/>
            <w:vAlign w:val="top"/>
          </w:tcPr>
          <w:p w14:paraId="4EEABB55">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筛选值</w:t>
            </w:r>
          </w:p>
        </w:tc>
        <w:tc>
          <w:tcPr>
            <w:tcW w:w="671" w:type="dxa"/>
            <w:tcBorders>
              <w:bottom w:val="single" w:color="000000" w:sz="12" w:space="0"/>
            </w:tcBorders>
            <w:noWrap w:val="0"/>
            <w:vAlign w:val="top"/>
          </w:tcPr>
          <w:p w14:paraId="073DC359">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序号</w:t>
            </w:r>
          </w:p>
        </w:tc>
        <w:tc>
          <w:tcPr>
            <w:tcW w:w="2640" w:type="dxa"/>
            <w:tcBorders>
              <w:bottom w:val="single" w:color="000000" w:sz="12" w:space="0"/>
            </w:tcBorders>
            <w:noWrap w:val="0"/>
            <w:vAlign w:val="top"/>
          </w:tcPr>
          <w:p w14:paraId="14A3637F">
            <w:pPr>
              <w:pStyle w:val="26"/>
              <w:rPr>
                <w:rFonts w:hint="eastAsia"/>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项目</w:t>
            </w:r>
          </w:p>
        </w:tc>
        <w:tc>
          <w:tcPr>
            <w:tcW w:w="1208" w:type="dxa"/>
            <w:tcBorders>
              <w:bottom w:val="single" w:color="000000" w:sz="12" w:space="0"/>
            </w:tcBorders>
            <w:noWrap w:val="0"/>
            <w:vAlign w:val="top"/>
          </w:tcPr>
          <w:p w14:paraId="37C8D820">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筛选值</w:t>
            </w:r>
          </w:p>
        </w:tc>
      </w:tr>
      <w:tr w14:paraId="5775704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tcBorders>
              <w:top w:val="single" w:color="000000" w:sz="12" w:space="0"/>
            </w:tcBorders>
            <w:noWrap w:val="0"/>
            <w:vAlign w:val="top"/>
          </w:tcPr>
          <w:p w14:paraId="477BED3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2506" w:type="dxa"/>
            <w:tcBorders>
              <w:top w:val="single" w:color="000000" w:sz="12" w:space="0"/>
            </w:tcBorders>
            <w:noWrap w:val="0"/>
            <w:vAlign w:val="center"/>
          </w:tcPr>
          <w:p w14:paraId="67FFB85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氯甲烷</w:t>
            </w:r>
          </w:p>
        </w:tc>
        <w:tc>
          <w:tcPr>
            <w:tcW w:w="1372" w:type="dxa"/>
            <w:tcBorders>
              <w:top w:val="single" w:color="000000" w:sz="12" w:space="0"/>
            </w:tcBorders>
            <w:noWrap w:val="0"/>
            <w:vAlign w:val="top"/>
          </w:tcPr>
          <w:p w14:paraId="7ED8289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37</w:t>
            </w:r>
          </w:p>
        </w:tc>
        <w:tc>
          <w:tcPr>
            <w:tcW w:w="671" w:type="dxa"/>
            <w:tcBorders>
              <w:top w:val="single" w:color="000000" w:sz="12" w:space="0"/>
            </w:tcBorders>
            <w:shd w:val="clear" w:color="auto" w:fill="auto"/>
            <w:noWrap w:val="0"/>
            <w:vAlign w:val="center"/>
          </w:tcPr>
          <w:p w14:paraId="5306B402">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24</w:t>
            </w:r>
          </w:p>
        </w:tc>
        <w:tc>
          <w:tcPr>
            <w:tcW w:w="2640" w:type="dxa"/>
            <w:tcBorders>
              <w:top w:val="single" w:color="000000" w:sz="12" w:space="0"/>
            </w:tcBorders>
            <w:shd w:val="clear" w:color="auto" w:fill="auto"/>
            <w:noWrap w:val="0"/>
            <w:vAlign w:val="center"/>
          </w:tcPr>
          <w:p w14:paraId="11897739">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2，3-三氯丙烷</w:t>
            </w:r>
          </w:p>
        </w:tc>
        <w:tc>
          <w:tcPr>
            <w:tcW w:w="1208" w:type="dxa"/>
            <w:tcBorders>
              <w:top w:val="single" w:color="000000" w:sz="12" w:space="0"/>
            </w:tcBorders>
            <w:shd w:val="clear" w:color="auto" w:fill="auto"/>
            <w:noWrap w:val="0"/>
            <w:vAlign w:val="center"/>
          </w:tcPr>
          <w:p w14:paraId="677F7755">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0.5</w:t>
            </w:r>
          </w:p>
        </w:tc>
      </w:tr>
      <w:tr w14:paraId="5EC31B2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7D4C67E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2506" w:type="dxa"/>
            <w:noWrap w:val="0"/>
            <w:vAlign w:val="center"/>
          </w:tcPr>
          <w:p w14:paraId="24A4866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砷</w:t>
            </w:r>
          </w:p>
        </w:tc>
        <w:tc>
          <w:tcPr>
            <w:tcW w:w="1372" w:type="dxa"/>
            <w:noWrap w:val="0"/>
            <w:vAlign w:val="top"/>
          </w:tcPr>
          <w:p w14:paraId="2A39BD0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60</w:t>
            </w:r>
          </w:p>
        </w:tc>
        <w:tc>
          <w:tcPr>
            <w:tcW w:w="671" w:type="dxa"/>
            <w:shd w:val="clear" w:color="auto" w:fill="auto"/>
            <w:noWrap w:val="0"/>
            <w:vAlign w:val="center"/>
          </w:tcPr>
          <w:p w14:paraId="3A80D52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25</w:t>
            </w:r>
          </w:p>
        </w:tc>
        <w:tc>
          <w:tcPr>
            <w:tcW w:w="2640" w:type="dxa"/>
            <w:shd w:val="clear" w:color="auto" w:fill="auto"/>
            <w:noWrap w:val="0"/>
            <w:vAlign w:val="center"/>
          </w:tcPr>
          <w:p w14:paraId="6F4A345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氯乙烯</w:t>
            </w:r>
          </w:p>
        </w:tc>
        <w:tc>
          <w:tcPr>
            <w:tcW w:w="1208" w:type="dxa"/>
            <w:shd w:val="clear" w:color="auto" w:fill="auto"/>
            <w:noWrap w:val="0"/>
            <w:vAlign w:val="center"/>
          </w:tcPr>
          <w:p w14:paraId="056C6A17">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0.43</w:t>
            </w:r>
          </w:p>
        </w:tc>
      </w:tr>
      <w:tr w14:paraId="0CA3FD3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54700A9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2506" w:type="dxa"/>
            <w:noWrap w:val="0"/>
            <w:vAlign w:val="center"/>
          </w:tcPr>
          <w:p w14:paraId="2E7F3E5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镉</w:t>
            </w:r>
          </w:p>
        </w:tc>
        <w:tc>
          <w:tcPr>
            <w:tcW w:w="1372" w:type="dxa"/>
            <w:noWrap w:val="0"/>
            <w:vAlign w:val="top"/>
          </w:tcPr>
          <w:p w14:paraId="7516D37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65</w:t>
            </w:r>
          </w:p>
        </w:tc>
        <w:tc>
          <w:tcPr>
            <w:tcW w:w="671" w:type="dxa"/>
            <w:shd w:val="clear" w:color="auto" w:fill="auto"/>
            <w:noWrap w:val="0"/>
            <w:vAlign w:val="center"/>
          </w:tcPr>
          <w:p w14:paraId="50C6901A">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26</w:t>
            </w:r>
          </w:p>
        </w:tc>
        <w:tc>
          <w:tcPr>
            <w:tcW w:w="2640" w:type="dxa"/>
            <w:shd w:val="clear" w:color="auto" w:fill="auto"/>
            <w:noWrap w:val="0"/>
            <w:vAlign w:val="center"/>
          </w:tcPr>
          <w:p w14:paraId="2AC1AB5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苯</w:t>
            </w:r>
          </w:p>
        </w:tc>
        <w:tc>
          <w:tcPr>
            <w:tcW w:w="1208" w:type="dxa"/>
            <w:shd w:val="clear" w:color="auto" w:fill="auto"/>
            <w:noWrap w:val="0"/>
            <w:vAlign w:val="center"/>
          </w:tcPr>
          <w:p w14:paraId="0FFA1719">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w:t>
            </w:r>
          </w:p>
        </w:tc>
      </w:tr>
      <w:tr w14:paraId="7CD3837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6217EF9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2506" w:type="dxa"/>
            <w:noWrap w:val="0"/>
            <w:vAlign w:val="center"/>
          </w:tcPr>
          <w:p w14:paraId="23840DD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铬（六价）</w:t>
            </w:r>
          </w:p>
        </w:tc>
        <w:tc>
          <w:tcPr>
            <w:tcW w:w="1372" w:type="dxa"/>
            <w:noWrap w:val="0"/>
            <w:vAlign w:val="top"/>
          </w:tcPr>
          <w:p w14:paraId="7AB264B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5.7</w:t>
            </w:r>
          </w:p>
        </w:tc>
        <w:tc>
          <w:tcPr>
            <w:tcW w:w="671" w:type="dxa"/>
            <w:shd w:val="clear" w:color="auto" w:fill="auto"/>
            <w:noWrap w:val="0"/>
            <w:vAlign w:val="center"/>
          </w:tcPr>
          <w:p w14:paraId="3B35D1B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27</w:t>
            </w:r>
          </w:p>
        </w:tc>
        <w:tc>
          <w:tcPr>
            <w:tcW w:w="2640" w:type="dxa"/>
            <w:shd w:val="clear" w:color="auto" w:fill="auto"/>
            <w:noWrap w:val="0"/>
            <w:vAlign w:val="center"/>
          </w:tcPr>
          <w:p w14:paraId="473AA3E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氯苯</w:t>
            </w:r>
          </w:p>
        </w:tc>
        <w:tc>
          <w:tcPr>
            <w:tcW w:w="1208" w:type="dxa"/>
            <w:shd w:val="clear" w:color="auto" w:fill="auto"/>
            <w:noWrap w:val="0"/>
            <w:vAlign w:val="center"/>
          </w:tcPr>
          <w:p w14:paraId="19DCDF29">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270</w:t>
            </w:r>
          </w:p>
        </w:tc>
      </w:tr>
      <w:tr w14:paraId="5E8DBA8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1A88B9F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2506" w:type="dxa"/>
            <w:noWrap w:val="0"/>
            <w:vAlign w:val="center"/>
          </w:tcPr>
          <w:p w14:paraId="5BE5161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铜</w:t>
            </w:r>
          </w:p>
        </w:tc>
        <w:tc>
          <w:tcPr>
            <w:tcW w:w="1372" w:type="dxa"/>
            <w:noWrap w:val="0"/>
            <w:vAlign w:val="top"/>
          </w:tcPr>
          <w:p w14:paraId="1166EA5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18000</w:t>
            </w:r>
          </w:p>
        </w:tc>
        <w:tc>
          <w:tcPr>
            <w:tcW w:w="671" w:type="dxa"/>
            <w:shd w:val="clear" w:color="auto" w:fill="auto"/>
            <w:noWrap w:val="0"/>
            <w:vAlign w:val="center"/>
          </w:tcPr>
          <w:p w14:paraId="0A5DFEF3">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28</w:t>
            </w:r>
          </w:p>
        </w:tc>
        <w:tc>
          <w:tcPr>
            <w:tcW w:w="2640" w:type="dxa"/>
            <w:shd w:val="clear" w:color="auto" w:fill="auto"/>
            <w:noWrap w:val="0"/>
            <w:vAlign w:val="center"/>
          </w:tcPr>
          <w:p w14:paraId="6F23BCA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2-二氯苯</w:t>
            </w:r>
          </w:p>
        </w:tc>
        <w:tc>
          <w:tcPr>
            <w:tcW w:w="1208" w:type="dxa"/>
            <w:shd w:val="clear" w:color="auto" w:fill="auto"/>
            <w:noWrap w:val="0"/>
            <w:vAlign w:val="center"/>
          </w:tcPr>
          <w:p w14:paraId="388CF579">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560</w:t>
            </w:r>
          </w:p>
        </w:tc>
      </w:tr>
      <w:tr w14:paraId="57D15B7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39143E9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2506" w:type="dxa"/>
            <w:noWrap w:val="0"/>
            <w:vAlign w:val="center"/>
          </w:tcPr>
          <w:p w14:paraId="481915F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铅</w:t>
            </w:r>
          </w:p>
        </w:tc>
        <w:tc>
          <w:tcPr>
            <w:tcW w:w="1372" w:type="dxa"/>
            <w:noWrap w:val="0"/>
            <w:vAlign w:val="top"/>
          </w:tcPr>
          <w:p w14:paraId="7B656B0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400</w:t>
            </w:r>
          </w:p>
        </w:tc>
        <w:tc>
          <w:tcPr>
            <w:tcW w:w="671" w:type="dxa"/>
            <w:shd w:val="clear" w:color="auto" w:fill="auto"/>
            <w:noWrap w:val="0"/>
            <w:vAlign w:val="center"/>
          </w:tcPr>
          <w:p w14:paraId="637F49D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29</w:t>
            </w:r>
          </w:p>
        </w:tc>
        <w:tc>
          <w:tcPr>
            <w:tcW w:w="2640" w:type="dxa"/>
            <w:shd w:val="clear" w:color="auto" w:fill="auto"/>
            <w:noWrap w:val="0"/>
            <w:vAlign w:val="center"/>
          </w:tcPr>
          <w:p w14:paraId="3CB5BCD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4-二氯苯</w:t>
            </w:r>
          </w:p>
        </w:tc>
        <w:tc>
          <w:tcPr>
            <w:tcW w:w="1208" w:type="dxa"/>
            <w:shd w:val="clear" w:color="auto" w:fill="auto"/>
            <w:noWrap w:val="0"/>
            <w:vAlign w:val="center"/>
          </w:tcPr>
          <w:p w14:paraId="6490B615">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20</w:t>
            </w:r>
          </w:p>
        </w:tc>
      </w:tr>
      <w:tr w14:paraId="3DB6480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26D4D1C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p>
        </w:tc>
        <w:tc>
          <w:tcPr>
            <w:tcW w:w="2506" w:type="dxa"/>
            <w:noWrap w:val="0"/>
            <w:vAlign w:val="center"/>
          </w:tcPr>
          <w:p w14:paraId="25679B7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汞</w:t>
            </w:r>
          </w:p>
        </w:tc>
        <w:tc>
          <w:tcPr>
            <w:tcW w:w="1372" w:type="dxa"/>
            <w:noWrap w:val="0"/>
            <w:vAlign w:val="top"/>
          </w:tcPr>
          <w:p w14:paraId="6F4C5AD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38</w:t>
            </w:r>
          </w:p>
        </w:tc>
        <w:tc>
          <w:tcPr>
            <w:tcW w:w="671" w:type="dxa"/>
            <w:shd w:val="clear" w:color="auto" w:fill="auto"/>
            <w:noWrap w:val="0"/>
            <w:vAlign w:val="center"/>
          </w:tcPr>
          <w:p w14:paraId="717C448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30</w:t>
            </w:r>
          </w:p>
        </w:tc>
        <w:tc>
          <w:tcPr>
            <w:tcW w:w="2640" w:type="dxa"/>
            <w:shd w:val="clear" w:color="auto" w:fill="auto"/>
            <w:noWrap w:val="0"/>
            <w:vAlign w:val="center"/>
          </w:tcPr>
          <w:p w14:paraId="467969C3">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乙苯</w:t>
            </w:r>
          </w:p>
        </w:tc>
        <w:tc>
          <w:tcPr>
            <w:tcW w:w="1208" w:type="dxa"/>
            <w:shd w:val="clear" w:color="auto" w:fill="auto"/>
            <w:noWrap w:val="0"/>
            <w:vAlign w:val="center"/>
          </w:tcPr>
          <w:p w14:paraId="49914E8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28</w:t>
            </w:r>
          </w:p>
        </w:tc>
      </w:tr>
      <w:tr w14:paraId="262A113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6226A6D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w:t>
            </w:r>
          </w:p>
        </w:tc>
        <w:tc>
          <w:tcPr>
            <w:tcW w:w="2506" w:type="dxa"/>
            <w:noWrap w:val="0"/>
            <w:vAlign w:val="center"/>
          </w:tcPr>
          <w:p w14:paraId="478F2A2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镍</w:t>
            </w:r>
          </w:p>
        </w:tc>
        <w:tc>
          <w:tcPr>
            <w:tcW w:w="1372" w:type="dxa"/>
            <w:noWrap w:val="0"/>
            <w:vAlign w:val="top"/>
          </w:tcPr>
          <w:p w14:paraId="0CA1003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900</w:t>
            </w:r>
          </w:p>
        </w:tc>
        <w:tc>
          <w:tcPr>
            <w:tcW w:w="671" w:type="dxa"/>
            <w:shd w:val="clear" w:color="auto" w:fill="auto"/>
            <w:noWrap w:val="0"/>
            <w:vAlign w:val="center"/>
          </w:tcPr>
          <w:p w14:paraId="4632E29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31</w:t>
            </w:r>
          </w:p>
        </w:tc>
        <w:tc>
          <w:tcPr>
            <w:tcW w:w="2640" w:type="dxa"/>
            <w:shd w:val="clear" w:color="auto" w:fill="auto"/>
            <w:noWrap w:val="0"/>
            <w:vAlign w:val="center"/>
          </w:tcPr>
          <w:p w14:paraId="5AFFBBF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苯乙烯</w:t>
            </w:r>
          </w:p>
        </w:tc>
        <w:tc>
          <w:tcPr>
            <w:tcW w:w="1208" w:type="dxa"/>
            <w:shd w:val="clear" w:color="auto" w:fill="auto"/>
            <w:noWrap w:val="0"/>
            <w:vAlign w:val="center"/>
          </w:tcPr>
          <w:p w14:paraId="2255B7A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1290</w:t>
            </w:r>
          </w:p>
        </w:tc>
      </w:tr>
      <w:tr w14:paraId="6568F2B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73A9976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w:t>
            </w:r>
          </w:p>
        </w:tc>
        <w:tc>
          <w:tcPr>
            <w:tcW w:w="2506" w:type="dxa"/>
            <w:noWrap w:val="0"/>
            <w:vAlign w:val="center"/>
          </w:tcPr>
          <w:p w14:paraId="1597473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四氯化碳</w:t>
            </w:r>
          </w:p>
        </w:tc>
        <w:tc>
          <w:tcPr>
            <w:tcW w:w="1372" w:type="dxa"/>
            <w:noWrap w:val="0"/>
            <w:vAlign w:val="top"/>
          </w:tcPr>
          <w:p w14:paraId="526674C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w:t>
            </w:r>
          </w:p>
        </w:tc>
        <w:tc>
          <w:tcPr>
            <w:tcW w:w="671" w:type="dxa"/>
            <w:shd w:val="clear" w:color="auto" w:fill="auto"/>
            <w:noWrap w:val="0"/>
            <w:vAlign w:val="center"/>
          </w:tcPr>
          <w:p w14:paraId="71D9894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32</w:t>
            </w:r>
          </w:p>
        </w:tc>
        <w:tc>
          <w:tcPr>
            <w:tcW w:w="2640" w:type="dxa"/>
            <w:shd w:val="clear" w:color="auto" w:fill="auto"/>
            <w:noWrap w:val="0"/>
            <w:vAlign w:val="center"/>
          </w:tcPr>
          <w:p w14:paraId="7B867AF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甲苯</w:t>
            </w:r>
          </w:p>
        </w:tc>
        <w:tc>
          <w:tcPr>
            <w:tcW w:w="1208" w:type="dxa"/>
            <w:shd w:val="clear" w:color="auto" w:fill="auto"/>
            <w:noWrap w:val="0"/>
            <w:vAlign w:val="center"/>
          </w:tcPr>
          <w:p w14:paraId="0EEBFCF9">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1200</w:t>
            </w:r>
          </w:p>
        </w:tc>
      </w:tr>
      <w:tr w14:paraId="1137B3B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3E0261C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2506" w:type="dxa"/>
            <w:noWrap w:val="0"/>
            <w:vAlign w:val="center"/>
          </w:tcPr>
          <w:p w14:paraId="0BB3714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氯仿</w:t>
            </w:r>
          </w:p>
        </w:tc>
        <w:tc>
          <w:tcPr>
            <w:tcW w:w="1372" w:type="dxa"/>
            <w:noWrap w:val="0"/>
            <w:vAlign w:val="top"/>
          </w:tcPr>
          <w:p w14:paraId="4724F7F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0.9</w:t>
            </w:r>
          </w:p>
        </w:tc>
        <w:tc>
          <w:tcPr>
            <w:tcW w:w="671" w:type="dxa"/>
            <w:shd w:val="clear" w:color="auto" w:fill="auto"/>
            <w:noWrap w:val="0"/>
            <w:vAlign w:val="center"/>
          </w:tcPr>
          <w:p w14:paraId="7E0095B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33</w:t>
            </w:r>
          </w:p>
        </w:tc>
        <w:tc>
          <w:tcPr>
            <w:tcW w:w="2640" w:type="dxa"/>
            <w:shd w:val="clear" w:color="auto" w:fill="auto"/>
            <w:noWrap w:val="0"/>
            <w:vAlign w:val="center"/>
          </w:tcPr>
          <w:p w14:paraId="24774CF9">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间二甲苯+对二甲苯</w:t>
            </w:r>
          </w:p>
        </w:tc>
        <w:tc>
          <w:tcPr>
            <w:tcW w:w="1208" w:type="dxa"/>
            <w:shd w:val="clear" w:color="auto" w:fill="auto"/>
            <w:noWrap w:val="0"/>
            <w:vAlign w:val="center"/>
          </w:tcPr>
          <w:p w14:paraId="1D22FEB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570</w:t>
            </w:r>
          </w:p>
        </w:tc>
      </w:tr>
      <w:tr w14:paraId="204855F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13485E2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w:t>
            </w:r>
          </w:p>
        </w:tc>
        <w:tc>
          <w:tcPr>
            <w:tcW w:w="2506" w:type="dxa"/>
            <w:noWrap w:val="0"/>
            <w:vAlign w:val="center"/>
          </w:tcPr>
          <w:p w14:paraId="244FEF30">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1-二氯乙烷</w:t>
            </w:r>
          </w:p>
        </w:tc>
        <w:tc>
          <w:tcPr>
            <w:tcW w:w="1372" w:type="dxa"/>
            <w:noWrap w:val="0"/>
            <w:vAlign w:val="top"/>
          </w:tcPr>
          <w:p w14:paraId="16BAA2DB">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671" w:type="dxa"/>
            <w:shd w:val="clear" w:color="auto" w:fill="auto"/>
            <w:noWrap w:val="0"/>
            <w:vAlign w:val="center"/>
          </w:tcPr>
          <w:p w14:paraId="7EB4B32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34</w:t>
            </w:r>
          </w:p>
        </w:tc>
        <w:tc>
          <w:tcPr>
            <w:tcW w:w="2640" w:type="dxa"/>
            <w:shd w:val="clear" w:color="auto" w:fill="auto"/>
            <w:noWrap w:val="0"/>
            <w:vAlign w:val="center"/>
          </w:tcPr>
          <w:p w14:paraId="34B109C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邻二甲苯</w:t>
            </w:r>
          </w:p>
        </w:tc>
        <w:tc>
          <w:tcPr>
            <w:tcW w:w="1208" w:type="dxa"/>
            <w:shd w:val="clear" w:color="auto" w:fill="auto"/>
            <w:noWrap w:val="0"/>
            <w:vAlign w:val="center"/>
          </w:tcPr>
          <w:p w14:paraId="58FF8178">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640</w:t>
            </w:r>
          </w:p>
        </w:tc>
      </w:tr>
      <w:tr w14:paraId="217995E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0A02278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w:t>
            </w:r>
          </w:p>
        </w:tc>
        <w:tc>
          <w:tcPr>
            <w:tcW w:w="2506" w:type="dxa"/>
            <w:noWrap w:val="0"/>
            <w:vAlign w:val="center"/>
          </w:tcPr>
          <w:p w14:paraId="57D5F7DA">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2-二氯乙烷</w:t>
            </w:r>
          </w:p>
        </w:tc>
        <w:tc>
          <w:tcPr>
            <w:tcW w:w="1372" w:type="dxa"/>
            <w:noWrap w:val="0"/>
            <w:vAlign w:val="top"/>
          </w:tcPr>
          <w:p w14:paraId="75D64DD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671" w:type="dxa"/>
            <w:shd w:val="clear" w:color="auto" w:fill="auto"/>
            <w:noWrap w:val="0"/>
            <w:vAlign w:val="center"/>
          </w:tcPr>
          <w:p w14:paraId="2CFABAD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35</w:t>
            </w:r>
          </w:p>
        </w:tc>
        <w:tc>
          <w:tcPr>
            <w:tcW w:w="2640" w:type="dxa"/>
            <w:shd w:val="clear" w:color="auto" w:fill="auto"/>
            <w:noWrap w:val="0"/>
            <w:vAlign w:val="center"/>
          </w:tcPr>
          <w:p w14:paraId="633EA36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硝基苯</w:t>
            </w:r>
          </w:p>
        </w:tc>
        <w:tc>
          <w:tcPr>
            <w:tcW w:w="1208" w:type="dxa"/>
            <w:shd w:val="clear" w:color="auto" w:fill="auto"/>
            <w:noWrap w:val="0"/>
            <w:vAlign w:val="center"/>
          </w:tcPr>
          <w:p w14:paraId="0EA5DE0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76</w:t>
            </w:r>
          </w:p>
        </w:tc>
      </w:tr>
      <w:tr w14:paraId="70281A9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5E9DE37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w:t>
            </w:r>
          </w:p>
        </w:tc>
        <w:tc>
          <w:tcPr>
            <w:tcW w:w="2506" w:type="dxa"/>
            <w:noWrap w:val="0"/>
            <w:vAlign w:val="center"/>
          </w:tcPr>
          <w:p w14:paraId="3E209DCC">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1-二氯乙烯</w:t>
            </w:r>
          </w:p>
        </w:tc>
        <w:tc>
          <w:tcPr>
            <w:tcW w:w="1372" w:type="dxa"/>
            <w:noWrap w:val="0"/>
            <w:vAlign w:val="top"/>
          </w:tcPr>
          <w:p w14:paraId="391D0A6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66</w:t>
            </w:r>
          </w:p>
        </w:tc>
        <w:tc>
          <w:tcPr>
            <w:tcW w:w="671" w:type="dxa"/>
            <w:shd w:val="clear" w:color="auto" w:fill="auto"/>
            <w:noWrap w:val="0"/>
            <w:vAlign w:val="center"/>
          </w:tcPr>
          <w:p w14:paraId="79C63A2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36</w:t>
            </w:r>
          </w:p>
        </w:tc>
        <w:tc>
          <w:tcPr>
            <w:tcW w:w="2640" w:type="dxa"/>
            <w:shd w:val="clear" w:color="auto" w:fill="auto"/>
            <w:noWrap w:val="0"/>
            <w:vAlign w:val="center"/>
          </w:tcPr>
          <w:p w14:paraId="0865DF3E">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苯胺</w:t>
            </w:r>
          </w:p>
        </w:tc>
        <w:tc>
          <w:tcPr>
            <w:tcW w:w="1208" w:type="dxa"/>
            <w:shd w:val="clear" w:color="auto" w:fill="auto"/>
            <w:noWrap w:val="0"/>
            <w:vAlign w:val="center"/>
          </w:tcPr>
          <w:p w14:paraId="5CC2347A">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260</w:t>
            </w:r>
          </w:p>
        </w:tc>
      </w:tr>
      <w:tr w14:paraId="29F7BD0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69552A9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w:t>
            </w:r>
          </w:p>
        </w:tc>
        <w:tc>
          <w:tcPr>
            <w:tcW w:w="2506" w:type="dxa"/>
            <w:noWrap w:val="0"/>
            <w:vAlign w:val="center"/>
          </w:tcPr>
          <w:p w14:paraId="6C3664A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反-1，2-二氯乙烯</w:t>
            </w:r>
          </w:p>
        </w:tc>
        <w:tc>
          <w:tcPr>
            <w:tcW w:w="1372" w:type="dxa"/>
            <w:noWrap w:val="0"/>
            <w:vAlign w:val="top"/>
          </w:tcPr>
          <w:p w14:paraId="717D210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54</w:t>
            </w:r>
          </w:p>
        </w:tc>
        <w:tc>
          <w:tcPr>
            <w:tcW w:w="671" w:type="dxa"/>
            <w:shd w:val="clear" w:color="auto" w:fill="auto"/>
            <w:noWrap w:val="0"/>
            <w:vAlign w:val="center"/>
          </w:tcPr>
          <w:p w14:paraId="6B7EBBD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37</w:t>
            </w:r>
          </w:p>
        </w:tc>
        <w:tc>
          <w:tcPr>
            <w:tcW w:w="2640" w:type="dxa"/>
            <w:shd w:val="clear" w:color="auto" w:fill="auto"/>
            <w:noWrap w:val="0"/>
            <w:vAlign w:val="center"/>
          </w:tcPr>
          <w:p w14:paraId="2BFF658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2-氯酚</w:t>
            </w:r>
          </w:p>
        </w:tc>
        <w:tc>
          <w:tcPr>
            <w:tcW w:w="1208" w:type="dxa"/>
            <w:shd w:val="clear" w:color="auto" w:fill="auto"/>
            <w:noWrap w:val="0"/>
            <w:vAlign w:val="center"/>
          </w:tcPr>
          <w:p w14:paraId="2262FD2E">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2256</w:t>
            </w:r>
          </w:p>
        </w:tc>
      </w:tr>
      <w:tr w14:paraId="6350362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29D1EED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w:t>
            </w:r>
          </w:p>
        </w:tc>
        <w:tc>
          <w:tcPr>
            <w:tcW w:w="2506" w:type="dxa"/>
            <w:noWrap w:val="0"/>
            <w:vAlign w:val="center"/>
          </w:tcPr>
          <w:p w14:paraId="6C9195D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顺-1，2-二氯乙烯</w:t>
            </w:r>
          </w:p>
        </w:tc>
        <w:tc>
          <w:tcPr>
            <w:tcW w:w="1372" w:type="dxa"/>
            <w:noWrap w:val="0"/>
            <w:vAlign w:val="top"/>
          </w:tcPr>
          <w:p w14:paraId="0637A6C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596</w:t>
            </w:r>
          </w:p>
        </w:tc>
        <w:tc>
          <w:tcPr>
            <w:tcW w:w="671" w:type="dxa"/>
            <w:shd w:val="clear" w:color="auto" w:fill="auto"/>
            <w:noWrap w:val="0"/>
            <w:vAlign w:val="center"/>
          </w:tcPr>
          <w:p w14:paraId="034BCA3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38</w:t>
            </w:r>
          </w:p>
        </w:tc>
        <w:tc>
          <w:tcPr>
            <w:tcW w:w="2640" w:type="dxa"/>
            <w:shd w:val="clear" w:color="auto" w:fill="auto"/>
            <w:noWrap w:val="0"/>
            <w:vAlign w:val="center"/>
          </w:tcPr>
          <w:p w14:paraId="74D1B95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苯丙[a]蒽</w:t>
            </w:r>
          </w:p>
        </w:tc>
        <w:tc>
          <w:tcPr>
            <w:tcW w:w="1208" w:type="dxa"/>
            <w:shd w:val="clear" w:color="auto" w:fill="auto"/>
            <w:noWrap w:val="0"/>
            <w:vAlign w:val="center"/>
          </w:tcPr>
          <w:p w14:paraId="2D0199A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15</w:t>
            </w:r>
          </w:p>
        </w:tc>
      </w:tr>
      <w:tr w14:paraId="055722C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7BCEE59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w:t>
            </w:r>
          </w:p>
        </w:tc>
        <w:tc>
          <w:tcPr>
            <w:tcW w:w="2506" w:type="dxa"/>
            <w:noWrap w:val="0"/>
            <w:vAlign w:val="center"/>
          </w:tcPr>
          <w:p w14:paraId="389ADFD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二氯甲烷</w:t>
            </w:r>
          </w:p>
        </w:tc>
        <w:tc>
          <w:tcPr>
            <w:tcW w:w="1372" w:type="dxa"/>
            <w:noWrap w:val="0"/>
            <w:vAlign w:val="top"/>
          </w:tcPr>
          <w:p w14:paraId="6730845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616</w:t>
            </w:r>
          </w:p>
        </w:tc>
        <w:tc>
          <w:tcPr>
            <w:tcW w:w="671" w:type="dxa"/>
            <w:shd w:val="clear" w:color="auto" w:fill="auto"/>
            <w:noWrap w:val="0"/>
            <w:vAlign w:val="center"/>
          </w:tcPr>
          <w:p w14:paraId="5523296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39</w:t>
            </w:r>
          </w:p>
        </w:tc>
        <w:tc>
          <w:tcPr>
            <w:tcW w:w="2640" w:type="dxa"/>
            <w:shd w:val="clear" w:color="auto" w:fill="auto"/>
            <w:noWrap w:val="0"/>
            <w:vAlign w:val="center"/>
          </w:tcPr>
          <w:p w14:paraId="711624D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苯并[a]芘</w:t>
            </w:r>
          </w:p>
        </w:tc>
        <w:tc>
          <w:tcPr>
            <w:tcW w:w="1208" w:type="dxa"/>
            <w:shd w:val="clear" w:color="auto" w:fill="auto"/>
            <w:noWrap w:val="0"/>
            <w:vAlign w:val="center"/>
          </w:tcPr>
          <w:p w14:paraId="66AD840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1.5</w:t>
            </w:r>
          </w:p>
        </w:tc>
      </w:tr>
      <w:tr w14:paraId="7E19483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0F40A98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w:t>
            </w:r>
          </w:p>
        </w:tc>
        <w:tc>
          <w:tcPr>
            <w:tcW w:w="2506" w:type="dxa"/>
            <w:noWrap w:val="0"/>
            <w:vAlign w:val="center"/>
          </w:tcPr>
          <w:p w14:paraId="6EF1E917">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2-二氯丙烷</w:t>
            </w:r>
          </w:p>
        </w:tc>
        <w:tc>
          <w:tcPr>
            <w:tcW w:w="1372" w:type="dxa"/>
            <w:noWrap w:val="0"/>
            <w:vAlign w:val="top"/>
          </w:tcPr>
          <w:p w14:paraId="5486A957">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671" w:type="dxa"/>
            <w:shd w:val="clear" w:color="auto" w:fill="auto"/>
            <w:noWrap w:val="0"/>
            <w:vAlign w:val="center"/>
          </w:tcPr>
          <w:p w14:paraId="36D950E5">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40</w:t>
            </w:r>
          </w:p>
        </w:tc>
        <w:tc>
          <w:tcPr>
            <w:tcW w:w="2640" w:type="dxa"/>
            <w:shd w:val="clear" w:color="auto" w:fill="auto"/>
            <w:noWrap w:val="0"/>
            <w:vAlign w:val="center"/>
          </w:tcPr>
          <w:p w14:paraId="702F305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苯并[b]荧蒽</w:t>
            </w:r>
          </w:p>
        </w:tc>
        <w:tc>
          <w:tcPr>
            <w:tcW w:w="1208" w:type="dxa"/>
            <w:shd w:val="clear" w:color="auto" w:fill="auto"/>
            <w:noWrap w:val="0"/>
            <w:vAlign w:val="center"/>
          </w:tcPr>
          <w:p w14:paraId="2AE24DB3">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15</w:t>
            </w:r>
          </w:p>
        </w:tc>
      </w:tr>
      <w:tr w14:paraId="42479F6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7B1EE57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18</w:t>
            </w:r>
          </w:p>
        </w:tc>
        <w:tc>
          <w:tcPr>
            <w:tcW w:w="2506" w:type="dxa"/>
            <w:noWrap w:val="0"/>
            <w:vAlign w:val="center"/>
          </w:tcPr>
          <w:p w14:paraId="6B8C1283">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1，1，2-四氯乙烷</w:t>
            </w:r>
          </w:p>
        </w:tc>
        <w:tc>
          <w:tcPr>
            <w:tcW w:w="1372" w:type="dxa"/>
            <w:noWrap w:val="0"/>
            <w:vAlign w:val="top"/>
          </w:tcPr>
          <w:p w14:paraId="09B5464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671" w:type="dxa"/>
            <w:shd w:val="clear" w:color="auto" w:fill="auto"/>
            <w:noWrap w:val="0"/>
            <w:vAlign w:val="center"/>
          </w:tcPr>
          <w:p w14:paraId="69AA375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41</w:t>
            </w:r>
          </w:p>
        </w:tc>
        <w:tc>
          <w:tcPr>
            <w:tcW w:w="2640" w:type="dxa"/>
            <w:shd w:val="clear" w:color="auto" w:fill="auto"/>
            <w:noWrap w:val="0"/>
            <w:vAlign w:val="center"/>
          </w:tcPr>
          <w:p w14:paraId="78D159D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苯并[k]荧蒽</w:t>
            </w:r>
          </w:p>
        </w:tc>
        <w:tc>
          <w:tcPr>
            <w:tcW w:w="1208" w:type="dxa"/>
            <w:shd w:val="clear" w:color="auto" w:fill="auto"/>
            <w:noWrap w:val="0"/>
            <w:vAlign w:val="center"/>
          </w:tcPr>
          <w:p w14:paraId="266169C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151</w:t>
            </w:r>
          </w:p>
        </w:tc>
      </w:tr>
      <w:tr w14:paraId="608D69C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6CF7272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w:t>
            </w:r>
          </w:p>
        </w:tc>
        <w:tc>
          <w:tcPr>
            <w:tcW w:w="2506" w:type="dxa"/>
            <w:noWrap w:val="0"/>
            <w:vAlign w:val="center"/>
          </w:tcPr>
          <w:p w14:paraId="4CC8C73B">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1，2，2-四氯乙烷</w:t>
            </w:r>
          </w:p>
        </w:tc>
        <w:tc>
          <w:tcPr>
            <w:tcW w:w="1372" w:type="dxa"/>
            <w:noWrap w:val="0"/>
            <w:vAlign w:val="top"/>
          </w:tcPr>
          <w:p w14:paraId="2B45A51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6.8</w:t>
            </w:r>
          </w:p>
        </w:tc>
        <w:tc>
          <w:tcPr>
            <w:tcW w:w="671" w:type="dxa"/>
            <w:shd w:val="clear" w:color="auto" w:fill="auto"/>
            <w:noWrap w:val="0"/>
            <w:vAlign w:val="center"/>
          </w:tcPr>
          <w:p w14:paraId="418795F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42</w:t>
            </w:r>
          </w:p>
        </w:tc>
        <w:tc>
          <w:tcPr>
            <w:tcW w:w="2640" w:type="dxa"/>
            <w:shd w:val="clear" w:color="auto" w:fill="auto"/>
            <w:noWrap w:val="0"/>
            <w:vAlign w:val="center"/>
          </w:tcPr>
          <w:p w14:paraId="4880D71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䓛</w:t>
            </w:r>
          </w:p>
        </w:tc>
        <w:tc>
          <w:tcPr>
            <w:tcW w:w="1208" w:type="dxa"/>
            <w:shd w:val="clear" w:color="auto" w:fill="auto"/>
            <w:noWrap w:val="0"/>
            <w:vAlign w:val="center"/>
          </w:tcPr>
          <w:p w14:paraId="44E21A3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1293</w:t>
            </w:r>
          </w:p>
        </w:tc>
      </w:tr>
      <w:tr w14:paraId="5848A3F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57D8597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w:t>
            </w:r>
          </w:p>
        </w:tc>
        <w:tc>
          <w:tcPr>
            <w:tcW w:w="2506" w:type="dxa"/>
            <w:noWrap w:val="0"/>
            <w:vAlign w:val="center"/>
          </w:tcPr>
          <w:p w14:paraId="1017FFE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四氯乙烯</w:t>
            </w:r>
          </w:p>
        </w:tc>
        <w:tc>
          <w:tcPr>
            <w:tcW w:w="1372" w:type="dxa"/>
            <w:noWrap w:val="0"/>
            <w:vAlign w:val="top"/>
          </w:tcPr>
          <w:p w14:paraId="37BDB7E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53</w:t>
            </w:r>
          </w:p>
        </w:tc>
        <w:tc>
          <w:tcPr>
            <w:tcW w:w="671" w:type="dxa"/>
            <w:shd w:val="clear" w:color="auto" w:fill="auto"/>
            <w:noWrap w:val="0"/>
            <w:vAlign w:val="center"/>
          </w:tcPr>
          <w:p w14:paraId="3042D57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43</w:t>
            </w:r>
          </w:p>
        </w:tc>
        <w:tc>
          <w:tcPr>
            <w:tcW w:w="2640" w:type="dxa"/>
            <w:shd w:val="clear" w:color="auto" w:fill="auto"/>
            <w:noWrap w:val="0"/>
            <w:vAlign w:val="center"/>
          </w:tcPr>
          <w:p w14:paraId="157C55E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二苯并[a，h]蒽</w:t>
            </w:r>
          </w:p>
        </w:tc>
        <w:tc>
          <w:tcPr>
            <w:tcW w:w="1208" w:type="dxa"/>
            <w:shd w:val="clear" w:color="auto" w:fill="auto"/>
            <w:noWrap w:val="0"/>
            <w:vAlign w:val="center"/>
          </w:tcPr>
          <w:p w14:paraId="5FB7BD3F">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1.5</w:t>
            </w:r>
          </w:p>
        </w:tc>
      </w:tr>
      <w:tr w14:paraId="1B2ECC0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1B45F60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w:t>
            </w:r>
          </w:p>
        </w:tc>
        <w:tc>
          <w:tcPr>
            <w:tcW w:w="2506" w:type="dxa"/>
            <w:noWrap w:val="0"/>
            <w:vAlign w:val="center"/>
          </w:tcPr>
          <w:p w14:paraId="0C1F9A02">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1，1-三氯乙烷</w:t>
            </w:r>
          </w:p>
        </w:tc>
        <w:tc>
          <w:tcPr>
            <w:tcW w:w="1372" w:type="dxa"/>
            <w:noWrap w:val="0"/>
            <w:vAlign w:val="top"/>
          </w:tcPr>
          <w:p w14:paraId="7C13AD1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840</w:t>
            </w:r>
          </w:p>
        </w:tc>
        <w:tc>
          <w:tcPr>
            <w:tcW w:w="671" w:type="dxa"/>
            <w:shd w:val="clear" w:color="auto" w:fill="auto"/>
            <w:noWrap w:val="0"/>
            <w:vAlign w:val="center"/>
          </w:tcPr>
          <w:p w14:paraId="5E37E1A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44</w:t>
            </w:r>
          </w:p>
        </w:tc>
        <w:tc>
          <w:tcPr>
            <w:tcW w:w="2640" w:type="dxa"/>
            <w:shd w:val="clear" w:color="auto" w:fill="auto"/>
            <w:noWrap w:val="0"/>
            <w:vAlign w:val="center"/>
          </w:tcPr>
          <w:p w14:paraId="40CEE88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茚并[1，2，3-cd]芘</w:t>
            </w:r>
          </w:p>
        </w:tc>
        <w:tc>
          <w:tcPr>
            <w:tcW w:w="1208" w:type="dxa"/>
            <w:shd w:val="clear" w:color="auto" w:fill="auto"/>
            <w:noWrap w:val="0"/>
            <w:vAlign w:val="center"/>
          </w:tcPr>
          <w:p w14:paraId="2EFA652E">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15</w:t>
            </w:r>
          </w:p>
        </w:tc>
      </w:tr>
      <w:tr w14:paraId="621F1B2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1B89159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w:t>
            </w:r>
          </w:p>
        </w:tc>
        <w:tc>
          <w:tcPr>
            <w:tcW w:w="2506" w:type="dxa"/>
            <w:noWrap w:val="0"/>
            <w:vAlign w:val="center"/>
          </w:tcPr>
          <w:p w14:paraId="44D06849">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1，2-三氯乙烷</w:t>
            </w:r>
          </w:p>
        </w:tc>
        <w:tc>
          <w:tcPr>
            <w:tcW w:w="1372" w:type="dxa"/>
            <w:noWrap w:val="0"/>
            <w:vAlign w:val="top"/>
          </w:tcPr>
          <w:p w14:paraId="52DB998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w:t>
            </w:r>
          </w:p>
        </w:tc>
        <w:tc>
          <w:tcPr>
            <w:tcW w:w="671" w:type="dxa"/>
            <w:shd w:val="clear" w:color="auto" w:fill="auto"/>
            <w:noWrap w:val="0"/>
            <w:vAlign w:val="center"/>
          </w:tcPr>
          <w:p w14:paraId="784095BC">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45</w:t>
            </w:r>
          </w:p>
        </w:tc>
        <w:tc>
          <w:tcPr>
            <w:tcW w:w="2640" w:type="dxa"/>
            <w:shd w:val="clear" w:color="auto" w:fill="auto"/>
            <w:noWrap w:val="0"/>
            <w:vAlign w:val="center"/>
          </w:tcPr>
          <w:p w14:paraId="5386D97B">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萘</w:t>
            </w:r>
          </w:p>
        </w:tc>
        <w:tc>
          <w:tcPr>
            <w:tcW w:w="1208" w:type="dxa"/>
            <w:shd w:val="clear" w:color="auto" w:fill="auto"/>
            <w:noWrap w:val="0"/>
            <w:vAlign w:val="center"/>
          </w:tcPr>
          <w:p w14:paraId="372A774E">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70</w:t>
            </w:r>
          </w:p>
        </w:tc>
      </w:tr>
      <w:tr w14:paraId="182AF01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center"/>
        </w:trPr>
        <w:tc>
          <w:tcPr>
            <w:tcW w:w="674" w:type="dxa"/>
            <w:noWrap w:val="0"/>
            <w:vAlign w:val="top"/>
          </w:tcPr>
          <w:p w14:paraId="0E35113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w:t>
            </w:r>
          </w:p>
        </w:tc>
        <w:tc>
          <w:tcPr>
            <w:tcW w:w="2506" w:type="dxa"/>
            <w:noWrap w:val="0"/>
            <w:vAlign w:val="center"/>
          </w:tcPr>
          <w:p w14:paraId="0CDFD08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三氯乙烯</w:t>
            </w:r>
          </w:p>
        </w:tc>
        <w:tc>
          <w:tcPr>
            <w:tcW w:w="1372" w:type="dxa"/>
            <w:noWrap w:val="0"/>
            <w:vAlign w:val="top"/>
          </w:tcPr>
          <w:p w14:paraId="59FC875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w:t>
            </w:r>
          </w:p>
        </w:tc>
        <w:tc>
          <w:tcPr>
            <w:tcW w:w="671" w:type="dxa"/>
            <w:shd w:val="clear" w:color="auto" w:fill="auto"/>
            <w:noWrap w:val="0"/>
            <w:vAlign w:val="center"/>
          </w:tcPr>
          <w:p w14:paraId="20158F54">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w:t>
            </w:r>
          </w:p>
        </w:tc>
        <w:tc>
          <w:tcPr>
            <w:tcW w:w="2640" w:type="dxa"/>
            <w:shd w:val="clear" w:color="auto" w:fill="auto"/>
            <w:noWrap w:val="0"/>
            <w:vAlign w:val="center"/>
          </w:tcPr>
          <w:p w14:paraId="6590C97A">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pH</w:t>
            </w:r>
          </w:p>
        </w:tc>
        <w:tc>
          <w:tcPr>
            <w:tcW w:w="1208" w:type="dxa"/>
            <w:shd w:val="clear" w:color="auto" w:fill="auto"/>
            <w:noWrap w:val="0"/>
            <w:vAlign w:val="center"/>
          </w:tcPr>
          <w:p w14:paraId="22A6BA73">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bl>
    <w:p w14:paraId="0971712C">
      <w:pPr>
        <w:pStyle w:val="4"/>
        <w:rPr>
          <w:rFonts w:hint="eastAsia"/>
          <w:color w:val="000000" w:themeColor="text1"/>
          <w:highlight w:val="none"/>
          <w14:textFill>
            <w14:solidFill>
              <w14:schemeClr w14:val="tx1"/>
            </w14:solidFill>
          </w14:textFill>
        </w:rPr>
      </w:pPr>
      <w:bookmarkStart w:id="433" w:name="_Toc4146"/>
      <w:r>
        <w:rPr>
          <w:rFonts w:hint="eastAsia"/>
          <w:color w:val="000000" w:themeColor="text1"/>
          <w:highlight w:val="none"/>
          <w14:textFill>
            <w14:solidFill>
              <w14:schemeClr w14:val="tx1"/>
            </w14:solidFill>
          </w14:textFill>
        </w:rPr>
        <w:t>2.5.2污染物排放标准</w:t>
      </w:r>
      <w:bookmarkEnd w:id="425"/>
      <w:bookmarkEnd w:id="426"/>
      <w:bookmarkEnd w:id="427"/>
      <w:bookmarkEnd w:id="428"/>
      <w:bookmarkEnd w:id="429"/>
      <w:bookmarkEnd w:id="430"/>
      <w:bookmarkEnd w:id="431"/>
      <w:bookmarkEnd w:id="432"/>
      <w:bookmarkEnd w:id="433"/>
      <w:r>
        <w:rPr>
          <w:rFonts w:hint="eastAsia"/>
          <w:color w:val="000000" w:themeColor="text1"/>
          <w:highlight w:val="none"/>
          <w14:textFill>
            <w14:solidFill>
              <w14:schemeClr w14:val="tx1"/>
            </w14:solidFill>
          </w14:textFill>
        </w:rPr>
        <w:t xml:space="preserve"> </w:t>
      </w:r>
    </w:p>
    <w:p w14:paraId="7D8B74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（1）废气</w:t>
      </w:r>
    </w:p>
    <w:p w14:paraId="37F6C89B">
      <w:pPr>
        <w:bidi w:val="0"/>
        <w:rPr>
          <w:rFonts w:hint="eastAsia"/>
          <w:color w:val="000000" w:themeColor="text1"/>
          <w:highlight w:val="none"/>
          <w14:textFill>
            <w14:solidFill>
              <w14:schemeClr w14:val="tx1"/>
            </w14:solidFill>
          </w14:textFill>
        </w:rPr>
      </w:pPr>
      <w:bookmarkStart w:id="434" w:name="OLE_LINK9"/>
      <w:r>
        <w:rPr>
          <w:rFonts w:hint="eastAsia"/>
          <w:color w:val="000000" w:themeColor="text1"/>
          <w:highlight w:val="none"/>
          <w14:textFill>
            <w14:solidFill>
              <w14:schemeClr w14:val="tx1"/>
            </w14:solidFill>
          </w14:textFill>
        </w:rPr>
        <w:t>拟建项目属于混凝土外加剂生产项目，其生产的减水剂、</w:t>
      </w:r>
      <w:r>
        <w:rPr>
          <w:rFonts w:hint="eastAsia"/>
          <w:color w:val="000000" w:themeColor="text1"/>
          <w:highlight w:val="none"/>
          <w:lang w:val="en-US" w:eastAsia="zh-CN"/>
          <w14:textFill>
            <w14:solidFill>
              <w14:schemeClr w14:val="tx1"/>
            </w14:solidFill>
          </w14:textFill>
        </w:rPr>
        <w:t>硫酸铝、</w:t>
      </w:r>
      <w:r>
        <w:rPr>
          <w:rFonts w:hint="eastAsia"/>
          <w:color w:val="000000" w:themeColor="text1"/>
          <w:highlight w:val="none"/>
          <w14:textFill>
            <w14:solidFill>
              <w14:schemeClr w14:val="tx1"/>
            </w14:solidFill>
          </w14:textFill>
        </w:rPr>
        <w:t>速凝剂为专用化学用品制造</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2662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中的建工建材用化学助剂，对照HJ1103-2020《排污许可证申请与核发技术规范专用化学产品制造工业》，建工建材用化学助剂的聚合、中和工序产生的废气应执行</w:t>
      </w:r>
      <w:r>
        <w:rPr>
          <w:rFonts w:hint="eastAsia"/>
          <w:color w:val="000000" w:themeColor="text1"/>
          <w:highlight w:val="none"/>
          <w:lang w:val="en-US" w:eastAsia="zh-CN"/>
          <w14:textFill>
            <w14:solidFill>
              <w14:schemeClr w14:val="tx1"/>
            </w14:solidFill>
          </w14:textFill>
        </w:rPr>
        <w:t>《大气污染物综合排放标准》（</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和</w:t>
      </w:r>
      <w:r>
        <w:rPr>
          <w:rFonts w:hint="eastAsia"/>
          <w:color w:val="000000" w:themeColor="text1"/>
          <w:highlight w:val="none"/>
          <w:lang w:eastAsia="zh-CN"/>
          <w14:textFill>
            <w14:solidFill>
              <w14:schemeClr w14:val="tx1"/>
            </w14:solidFill>
          </w14:textFill>
        </w:rPr>
        <w:t>《挥发性有机物无组织排放控制标准》（</w:t>
      </w:r>
      <w:r>
        <w:rPr>
          <w:rFonts w:hint="eastAsia"/>
          <w:color w:val="000000" w:themeColor="text1"/>
          <w:highlight w:val="none"/>
          <w14:textFill>
            <w14:solidFill>
              <w14:schemeClr w14:val="tx1"/>
            </w14:solidFill>
          </w14:textFill>
        </w:rPr>
        <w:t>GB37822</w:t>
      </w:r>
      <w:r>
        <w:rPr>
          <w:rFonts w:hint="eastAsia"/>
          <w:color w:val="000000" w:themeColor="text1"/>
          <w:highlight w:val="none"/>
          <w:lang w:val="en-US" w:eastAsia="zh-CN"/>
          <w14:textFill>
            <w14:solidFill>
              <w14:schemeClr w14:val="tx1"/>
            </w14:solidFill>
          </w14:textFill>
        </w:rPr>
        <w:t>-2019）</w:t>
      </w:r>
      <w:r>
        <w:rPr>
          <w:rFonts w:hint="eastAsia"/>
          <w:color w:val="000000" w:themeColor="text1"/>
          <w:highlight w:val="none"/>
          <w14:textFill>
            <w14:solidFill>
              <w14:schemeClr w14:val="tx1"/>
            </w14:solidFill>
          </w14:textFill>
        </w:rPr>
        <w:t>。工艺废气中</w:t>
      </w:r>
      <w:r>
        <w:rPr>
          <w:rFonts w:hint="eastAsia"/>
          <w:color w:val="000000" w:themeColor="text1"/>
          <w:highlight w:val="none"/>
          <w:lang w:val="en-US" w:eastAsia="zh-CN"/>
          <w14:textFill>
            <w14:solidFill>
              <w14:schemeClr w14:val="tx1"/>
            </w14:solidFill>
          </w14:textFill>
        </w:rPr>
        <w:t>颗粒物、非甲烷总烃、硫酸雾、</w:t>
      </w:r>
      <w:r>
        <w:rPr>
          <w:rFonts w:hint="eastAsia"/>
          <w:color w:val="000000" w:themeColor="text1"/>
          <w:highlight w:val="none"/>
          <w14:textFill>
            <w14:solidFill>
              <w14:schemeClr w14:val="tx1"/>
            </w14:solidFill>
          </w14:textFill>
        </w:rPr>
        <w:t>氟化物执行</w:t>
      </w:r>
      <w:r>
        <w:rPr>
          <w:rFonts w:hint="eastAsia"/>
          <w:color w:val="000000" w:themeColor="text1"/>
          <w:highlight w:val="none"/>
          <w:lang w:val="en-US" w:eastAsia="zh-CN"/>
          <w14:textFill>
            <w14:solidFill>
              <w14:schemeClr w14:val="tx1"/>
            </w14:solidFill>
          </w14:textFill>
        </w:rPr>
        <w:t>《大气污染物综合排放标准》（</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）中表</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污染物排放限值。</w:t>
      </w:r>
    </w:p>
    <w:p w14:paraId="1D021EB2">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厂界无组织</w:t>
      </w:r>
      <w:r>
        <w:rPr>
          <w:rFonts w:hint="eastAsia"/>
          <w:color w:val="000000" w:themeColor="text1"/>
          <w:highlight w:val="none"/>
          <w:lang w:val="en-US" w:eastAsia="zh-CN"/>
          <w14:textFill>
            <w14:solidFill>
              <w14:schemeClr w14:val="tx1"/>
            </w14:solidFill>
          </w14:textFill>
        </w:rPr>
        <w:t>颗粒物、硫酸雾满足《大气污染物综合排放标准》（</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）中表</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二级无组织</w:t>
      </w:r>
      <w:r>
        <w:rPr>
          <w:rFonts w:hint="eastAsia"/>
          <w:color w:val="000000" w:themeColor="text1"/>
          <w:highlight w:val="none"/>
          <w14:textFill>
            <w14:solidFill>
              <w14:schemeClr w14:val="tx1"/>
            </w14:solidFill>
          </w14:textFill>
        </w:rPr>
        <w:t>排放限值；</w:t>
      </w:r>
    </w:p>
    <w:bookmarkEnd w:id="434"/>
    <w:p w14:paraId="1FC31B0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项目有组织排放的污染物排放标准详见表</w:t>
      </w:r>
      <w:r>
        <w:rPr>
          <w:color w:val="000000" w:themeColor="text1"/>
          <w:highlight w:val="none"/>
          <w14:textFill>
            <w14:solidFill>
              <w14:schemeClr w14:val="tx1"/>
            </w14:solidFill>
          </w14:textFill>
        </w:rPr>
        <w:t>2.5</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1；无组织排放的废气执行排放标准详见表2.5.2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p>
    <w:p w14:paraId="3C35E549">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表2.5</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1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有组织</w:t>
      </w:r>
      <w:r>
        <w:rPr>
          <w:color w:val="000000" w:themeColor="text1"/>
          <w:highlight w:val="none"/>
          <w14:textFill>
            <w14:solidFill>
              <w14:schemeClr w14:val="tx1"/>
            </w14:solidFill>
          </w14:textFill>
        </w:rPr>
        <w:t>废气污染物排放标准限值一览表</w:t>
      </w:r>
    </w:p>
    <w:tbl>
      <w:tblPr>
        <w:tblStyle w:val="20"/>
        <w:tblW w:w="538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1609"/>
        <w:gridCol w:w="1348"/>
        <w:gridCol w:w="1928"/>
        <w:gridCol w:w="1847"/>
        <w:gridCol w:w="2335"/>
      </w:tblGrid>
      <w:tr w14:paraId="4B30D2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92" w:hRule="atLeast"/>
          <w:tblHeader/>
          <w:jc w:val="center"/>
        </w:trPr>
        <w:tc>
          <w:tcPr>
            <w:tcW w:w="887" w:type="pct"/>
            <w:vMerge w:val="restart"/>
            <w:noWrap w:val="0"/>
            <w:vAlign w:val="center"/>
          </w:tcPr>
          <w:p w14:paraId="772E8FF9">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排放源</w:t>
            </w:r>
          </w:p>
        </w:tc>
        <w:tc>
          <w:tcPr>
            <w:tcW w:w="743" w:type="pct"/>
            <w:vMerge w:val="restart"/>
            <w:noWrap w:val="0"/>
            <w:vAlign w:val="center"/>
          </w:tcPr>
          <w:p w14:paraId="3F9D7C94">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污染物</w:t>
            </w:r>
          </w:p>
        </w:tc>
        <w:tc>
          <w:tcPr>
            <w:tcW w:w="2081" w:type="pct"/>
            <w:gridSpan w:val="2"/>
            <w:noWrap w:val="0"/>
            <w:vAlign w:val="center"/>
          </w:tcPr>
          <w:p w14:paraId="795B4E57">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标准限值</w:t>
            </w:r>
          </w:p>
        </w:tc>
        <w:tc>
          <w:tcPr>
            <w:tcW w:w="1287" w:type="pct"/>
            <w:vMerge w:val="restart"/>
            <w:tcBorders>
              <w:bottom w:val="single" w:color="auto" w:sz="12" w:space="0"/>
            </w:tcBorders>
            <w:noWrap w:val="0"/>
            <w:vAlign w:val="center"/>
          </w:tcPr>
          <w:p w14:paraId="3DE94885">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标准来源</w:t>
            </w:r>
          </w:p>
        </w:tc>
      </w:tr>
      <w:tr w14:paraId="634377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tblHeader/>
          <w:jc w:val="center"/>
        </w:trPr>
        <w:tc>
          <w:tcPr>
            <w:tcW w:w="887" w:type="pct"/>
            <w:vMerge w:val="continue"/>
            <w:tcBorders>
              <w:bottom w:val="single" w:color="auto" w:sz="12" w:space="0"/>
            </w:tcBorders>
            <w:noWrap w:val="0"/>
            <w:vAlign w:val="center"/>
          </w:tcPr>
          <w:p w14:paraId="4209D92E">
            <w:pPr>
              <w:pStyle w:val="26"/>
              <w:rPr>
                <w:rFonts w:hint="eastAsia"/>
                <w:b/>
                <w:bCs/>
                <w:color w:val="000000" w:themeColor="text1"/>
                <w:highlight w:val="none"/>
                <w14:textFill>
                  <w14:solidFill>
                    <w14:schemeClr w14:val="tx1"/>
                  </w14:solidFill>
                </w14:textFill>
              </w:rPr>
            </w:pPr>
          </w:p>
        </w:tc>
        <w:tc>
          <w:tcPr>
            <w:tcW w:w="743" w:type="pct"/>
            <w:vMerge w:val="continue"/>
            <w:tcBorders>
              <w:bottom w:val="single" w:color="auto" w:sz="12" w:space="0"/>
            </w:tcBorders>
            <w:noWrap w:val="0"/>
            <w:vAlign w:val="center"/>
          </w:tcPr>
          <w:p w14:paraId="26F5C52F">
            <w:pPr>
              <w:pStyle w:val="26"/>
              <w:rPr>
                <w:rFonts w:hint="eastAsia"/>
                <w:b/>
                <w:bCs/>
                <w:color w:val="000000" w:themeColor="text1"/>
                <w:highlight w:val="none"/>
                <w14:textFill>
                  <w14:solidFill>
                    <w14:schemeClr w14:val="tx1"/>
                  </w14:solidFill>
                </w14:textFill>
              </w:rPr>
            </w:pPr>
          </w:p>
        </w:tc>
        <w:tc>
          <w:tcPr>
            <w:tcW w:w="1063" w:type="pct"/>
            <w:tcBorders>
              <w:bottom w:val="single" w:color="auto" w:sz="12" w:space="0"/>
            </w:tcBorders>
            <w:shd w:val="clear" w:color="auto" w:fill="auto"/>
            <w:noWrap w:val="0"/>
            <w:vAlign w:val="center"/>
          </w:tcPr>
          <w:p w14:paraId="7CAF5083">
            <w:pPr>
              <w:pStyle w:val="26"/>
              <w:ind w:left="0" w:leftChars="0" w:right="0" w:rightChars="0" w:firstLine="0" w:firstLineChars="0"/>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b/>
                <w:bCs/>
                <w:color w:val="000000" w:themeColor="text1"/>
                <w:highlight w:val="none"/>
                <w14:textFill>
                  <w14:solidFill>
                    <w14:schemeClr w14:val="tx1"/>
                  </w14:solidFill>
                </w14:textFill>
              </w:rPr>
              <w:t>排放速率（kg/h）</w:t>
            </w:r>
          </w:p>
        </w:tc>
        <w:tc>
          <w:tcPr>
            <w:tcW w:w="1018" w:type="pct"/>
            <w:tcBorders>
              <w:bottom w:val="single" w:color="auto" w:sz="12" w:space="0"/>
            </w:tcBorders>
            <w:shd w:val="clear" w:color="auto" w:fill="auto"/>
            <w:noWrap w:val="0"/>
            <w:vAlign w:val="center"/>
          </w:tcPr>
          <w:p w14:paraId="2C10396C">
            <w:pPr>
              <w:pStyle w:val="26"/>
              <w:ind w:left="0" w:leftChars="0" w:right="0" w:rightChars="0" w:firstLine="0" w:firstLineChars="0"/>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b/>
                <w:bCs/>
                <w:color w:val="000000" w:themeColor="text1"/>
                <w:highlight w:val="none"/>
                <w14:textFill>
                  <w14:solidFill>
                    <w14:schemeClr w14:val="tx1"/>
                  </w14:solidFill>
                </w14:textFill>
              </w:rPr>
              <w:t>排放浓度（mg/m</w:t>
            </w:r>
            <w:r>
              <w:rPr>
                <w:rFonts w:hint="eastAsia"/>
                <w:b/>
                <w:bCs/>
                <w:color w:val="000000" w:themeColor="text1"/>
                <w:highlight w:val="none"/>
                <w:vertAlign w:val="superscript"/>
                <w14:textFill>
                  <w14:solidFill>
                    <w14:schemeClr w14:val="tx1"/>
                  </w14:solidFill>
                </w14:textFill>
              </w:rPr>
              <w:t>3</w:t>
            </w:r>
            <w:r>
              <w:rPr>
                <w:rFonts w:hint="eastAsia"/>
                <w:b/>
                <w:bCs/>
                <w:color w:val="000000" w:themeColor="text1"/>
                <w:highlight w:val="none"/>
                <w14:textFill>
                  <w14:solidFill>
                    <w14:schemeClr w14:val="tx1"/>
                  </w14:solidFill>
                </w14:textFill>
              </w:rPr>
              <w:t>）</w:t>
            </w:r>
          </w:p>
        </w:tc>
        <w:tc>
          <w:tcPr>
            <w:tcW w:w="1287" w:type="pct"/>
            <w:vMerge w:val="continue"/>
            <w:tcBorders>
              <w:top w:val="single" w:color="auto" w:sz="12" w:space="0"/>
              <w:bottom w:val="single" w:color="auto" w:sz="12" w:space="0"/>
            </w:tcBorders>
            <w:noWrap w:val="0"/>
            <w:vAlign w:val="center"/>
          </w:tcPr>
          <w:p w14:paraId="7AF60CAD">
            <w:pPr>
              <w:pStyle w:val="26"/>
              <w:rPr>
                <w:rFonts w:hint="eastAsia"/>
                <w:b/>
                <w:bCs/>
                <w:color w:val="000000" w:themeColor="text1"/>
                <w:highlight w:val="none"/>
                <w14:textFill>
                  <w14:solidFill>
                    <w14:schemeClr w14:val="tx1"/>
                  </w14:solidFill>
                </w14:textFill>
              </w:rPr>
            </w:pPr>
          </w:p>
        </w:tc>
      </w:tr>
      <w:tr w14:paraId="693D52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887" w:type="pct"/>
            <w:vMerge w:val="restart"/>
            <w:tcBorders>
              <w:top w:val="single" w:color="auto" w:sz="12" w:space="0"/>
              <w:tl2br w:val="nil"/>
              <w:tr2bl w:val="nil"/>
            </w:tcBorders>
            <w:noWrap w:val="0"/>
            <w:vAlign w:val="center"/>
          </w:tcPr>
          <w:p w14:paraId="0CBCE5EA">
            <w:pPr>
              <w:pStyle w:val="26"/>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反应</w:t>
            </w:r>
            <w:r>
              <w:rPr>
                <w:rFonts w:hint="eastAsia"/>
                <w:color w:val="000000" w:themeColor="text1"/>
                <w:highlight w:val="none"/>
                <w14:textFill>
                  <w14:solidFill>
                    <w14:schemeClr w14:val="tx1"/>
                  </w14:solidFill>
                </w14:textFill>
              </w:rPr>
              <w:t>废气</w:t>
            </w:r>
          </w:p>
        </w:tc>
        <w:tc>
          <w:tcPr>
            <w:tcW w:w="743" w:type="pct"/>
            <w:tcBorders>
              <w:top w:val="single" w:color="auto" w:sz="12" w:space="0"/>
              <w:tl2br w:val="nil"/>
              <w:tr2bl w:val="nil"/>
            </w:tcBorders>
            <w:noWrap w:val="0"/>
            <w:vAlign w:val="center"/>
          </w:tcPr>
          <w:p w14:paraId="213588F3">
            <w:pPr>
              <w:pStyle w:val="26"/>
              <w:ind w:left="0" w:leftChars="0" w:right="0" w:rightChars="0"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氟化物</w:t>
            </w:r>
          </w:p>
        </w:tc>
        <w:tc>
          <w:tcPr>
            <w:tcW w:w="1063" w:type="pct"/>
            <w:tcBorders>
              <w:top w:val="single" w:color="auto" w:sz="12" w:space="0"/>
              <w:tl2br w:val="nil"/>
              <w:tr2bl w:val="nil"/>
            </w:tcBorders>
            <w:shd w:val="clear" w:color="auto" w:fill="auto"/>
            <w:noWrap w:val="0"/>
            <w:vAlign w:val="center"/>
          </w:tcPr>
          <w:p w14:paraId="275480A8">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w:t>
            </w:r>
          </w:p>
        </w:tc>
        <w:tc>
          <w:tcPr>
            <w:tcW w:w="1018" w:type="pct"/>
            <w:tcBorders>
              <w:top w:val="single" w:color="auto" w:sz="12" w:space="0"/>
              <w:tl2br w:val="nil"/>
              <w:tr2bl w:val="nil"/>
            </w:tcBorders>
            <w:shd w:val="clear" w:color="auto" w:fill="auto"/>
            <w:noWrap w:val="0"/>
            <w:vAlign w:val="center"/>
          </w:tcPr>
          <w:p w14:paraId="57FAD292">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p>
        </w:tc>
        <w:tc>
          <w:tcPr>
            <w:tcW w:w="1287" w:type="pct"/>
            <w:vMerge w:val="restart"/>
            <w:tcBorders>
              <w:top w:val="single" w:color="auto" w:sz="12" w:space="0"/>
            </w:tcBorders>
            <w:noWrap w:val="0"/>
            <w:vAlign w:val="center"/>
          </w:tcPr>
          <w:p w14:paraId="4B9A234F">
            <w:pPr>
              <w:pStyle w:val="26"/>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《大气污染物综合排放标准》（</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）中表</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中的排放限值</w:t>
            </w:r>
          </w:p>
        </w:tc>
      </w:tr>
      <w:tr w14:paraId="15B189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887" w:type="pct"/>
            <w:vMerge w:val="continue"/>
            <w:tcBorders>
              <w:tl2br w:val="nil"/>
              <w:tr2bl w:val="nil"/>
            </w:tcBorders>
            <w:noWrap w:val="0"/>
            <w:vAlign w:val="center"/>
          </w:tcPr>
          <w:p w14:paraId="049C1E99">
            <w:pPr>
              <w:pStyle w:val="26"/>
              <w:rPr>
                <w:rFonts w:hint="eastAsia"/>
                <w:color w:val="000000" w:themeColor="text1"/>
                <w:highlight w:val="none"/>
                <w14:textFill>
                  <w14:solidFill>
                    <w14:schemeClr w14:val="tx1"/>
                  </w14:solidFill>
                </w14:textFill>
              </w:rPr>
            </w:pPr>
          </w:p>
        </w:tc>
        <w:tc>
          <w:tcPr>
            <w:tcW w:w="743" w:type="pct"/>
            <w:tcBorders>
              <w:tl2br w:val="nil"/>
              <w:tr2bl w:val="nil"/>
            </w:tcBorders>
            <w:noWrap w:val="0"/>
            <w:vAlign w:val="center"/>
          </w:tcPr>
          <w:p w14:paraId="1DAF5B46">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1063" w:type="pct"/>
            <w:tcBorders>
              <w:tl2br w:val="nil"/>
              <w:tr2bl w:val="nil"/>
            </w:tcBorders>
            <w:shd w:val="clear" w:color="auto" w:fill="auto"/>
            <w:noWrap w:val="0"/>
            <w:vAlign w:val="center"/>
          </w:tcPr>
          <w:p w14:paraId="69B86336">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p>
        </w:tc>
        <w:tc>
          <w:tcPr>
            <w:tcW w:w="1018" w:type="pct"/>
            <w:tcBorders>
              <w:tl2br w:val="nil"/>
              <w:tr2bl w:val="nil"/>
            </w:tcBorders>
            <w:shd w:val="clear" w:color="auto" w:fill="auto"/>
            <w:noWrap w:val="0"/>
            <w:vAlign w:val="center"/>
          </w:tcPr>
          <w:p w14:paraId="68D4C5BF">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w:t>
            </w:r>
          </w:p>
        </w:tc>
        <w:tc>
          <w:tcPr>
            <w:tcW w:w="1287" w:type="pct"/>
            <w:vMerge w:val="continue"/>
            <w:tcBorders>
              <w:tl2br w:val="nil"/>
              <w:tr2bl w:val="nil"/>
            </w:tcBorders>
            <w:noWrap w:val="0"/>
            <w:vAlign w:val="center"/>
          </w:tcPr>
          <w:p w14:paraId="7A9D7B14">
            <w:pPr>
              <w:pStyle w:val="26"/>
              <w:rPr>
                <w:rFonts w:hint="eastAsia"/>
                <w:color w:val="000000" w:themeColor="text1"/>
                <w:highlight w:val="none"/>
                <w14:textFill>
                  <w14:solidFill>
                    <w14:schemeClr w14:val="tx1"/>
                  </w14:solidFill>
                </w14:textFill>
              </w:rPr>
            </w:pPr>
          </w:p>
        </w:tc>
      </w:tr>
      <w:tr w14:paraId="1750E0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887" w:type="pct"/>
            <w:vMerge w:val="continue"/>
            <w:tcBorders>
              <w:tl2br w:val="nil"/>
              <w:tr2bl w:val="nil"/>
            </w:tcBorders>
            <w:noWrap w:val="0"/>
            <w:vAlign w:val="center"/>
          </w:tcPr>
          <w:p w14:paraId="32B48978">
            <w:pPr>
              <w:pStyle w:val="26"/>
              <w:rPr>
                <w:rFonts w:hint="eastAsia"/>
                <w:color w:val="000000" w:themeColor="text1"/>
                <w:highlight w:val="none"/>
                <w14:textFill>
                  <w14:solidFill>
                    <w14:schemeClr w14:val="tx1"/>
                  </w14:solidFill>
                </w14:textFill>
              </w:rPr>
            </w:pPr>
          </w:p>
        </w:tc>
        <w:tc>
          <w:tcPr>
            <w:tcW w:w="743" w:type="pct"/>
            <w:tcBorders>
              <w:tl2br w:val="nil"/>
              <w:tr2bl w:val="nil"/>
            </w:tcBorders>
            <w:noWrap w:val="0"/>
            <w:vAlign w:val="center"/>
          </w:tcPr>
          <w:p w14:paraId="6E390007">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非甲烷总烃</w:t>
            </w:r>
          </w:p>
        </w:tc>
        <w:tc>
          <w:tcPr>
            <w:tcW w:w="1063" w:type="pct"/>
            <w:tcBorders>
              <w:tl2br w:val="nil"/>
              <w:tr2bl w:val="nil"/>
            </w:tcBorders>
            <w:shd w:val="clear" w:color="auto" w:fill="auto"/>
            <w:noWrap w:val="0"/>
            <w:vAlign w:val="center"/>
          </w:tcPr>
          <w:p w14:paraId="2D571365">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w:t>
            </w:r>
          </w:p>
        </w:tc>
        <w:tc>
          <w:tcPr>
            <w:tcW w:w="1018" w:type="pct"/>
            <w:tcBorders>
              <w:tl2br w:val="nil"/>
              <w:tr2bl w:val="nil"/>
            </w:tcBorders>
            <w:shd w:val="clear" w:color="auto" w:fill="auto"/>
            <w:noWrap w:val="0"/>
            <w:vAlign w:val="center"/>
          </w:tcPr>
          <w:p w14:paraId="3FB46D39">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w:t>
            </w:r>
          </w:p>
        </w:tc>
        <w:tc>
          <w:tcPr>
            <w:tcW w:w="1287" w:type="pct"/>
            <w:vMerge w:val="continue"/>
            <w:tcBorders>
              <w:tl2br w:val="nil"/>
              <w:tr2bl w:val="nil"/>
            </w:tcBorders>
            <w:noWrap w:val="0"/>
            <w:vAlign w:val="center"/>
          </w:tcPr>
          <w:p w14:paraId="3A238A29">
            <w:pPr>
              <w:pStyle w:val="26"/>
              <w:rPr>
                <w:rFonts w:hint="eastAsia"/>
                <w:color w:val="000000" w:themeColor="text1"/>
                <w:highlight w:val="none"/>
                <w14:textFill>
                  <w14:solidFill>
                    <w14:schemeClr w14:val="tx1"/>
                  </w14:solidFill>
                </w14:textFill>
              </w:rPr>
            </w:pPr>
          </w:p>
        </w:tc>
      </w:tr>
      <w:tr w14:paraId="64A795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887" w:type="pct"/>
            <w:tcBorders>
              <w:tl2br w:val="nil"/>
              <w:tr2bl w:val="nil"/>
            </w:tcBorders>
            <w:noWrap w:val="0"/>
            <w:vAlign w:val="center"/>
          </w:tcPr>
          <w:p w14:paraId="4F0EB524">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投料废气</w:t>
            </w:r>
          </w:p>
        </w:tc>
        <w:tc>
          <w:tcPr>
            <w:tcW w:w="743" w:type="pct"/>
            <w:tcBorders>
              <w:tl2br w:val="nil"/>
              <w:tr2bl w:val="nil"/>
            </w:tcBorders>
            <w:noWrap w:val="0"/>
            <w:vAlign w:val="center"/>
          </w:tcPr>
          <w:p w14:paraId="5D9AEC3D">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1063" w:type="pct"/>
            <w:tcBorders>
              <w:tl2br w:val="nil"/>
              <w:tr2bl w:val="nil"/>
            </w:tcBorders>
            <w:shd w:val="clear" w:color="auto" w:fill="auto"/>
            <w:noWrap w:val="0"/>
            <w:vAlign w:val="center"/>
          </w:tcPr>
          <w:p w14:paraId="31EC8D2F">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3.5</w:t>
            </w:r>
          </w:p>
        </w:tc>
        <w:tc>
          <w:tcPr>
            <w:tcW w:w="1018" w:type="pct"/>
            <w:tcBorders>
              <w:tl2br w:val="nil"/>
              <w:tr2bl w:val="nil"/>
            </w:tcBorders>
            <w:shd w:val="clear" w:color="auto" w:fill="auto"/>
            <w:noWrap w:val="0"/>
            <w:vAlign w:val="center"/>
          </w:tcPr>
          <w:p w14:paraId="076FC61F">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w:t>
            </w:r>
          </w:p>
        </w:tc>
        <w:tc>
          <w:tcPr>
            <w:tcW w:w="1287" w:type="pct"/>
            <w:vMerge w:val="continue"/>
            <w:tcBorders>
              <w:tl2br w:val="nil"/>
              <w:tr2bl w:val="nil"/>
            </w:tcBorders>
            <w:noWrap w:val="0"/>
            <w:vAlign w:val="center"/>
          </w:tcPr>
          <w:p w14:paraId="2B01524D">
            <w:pPr>
              <w:pStyle w:val="26"/>
              <w:rPr>
                <w:rFonts w:hint="eastAsia"/>
                <w:color w:val="000000" w:themeColor="text1"/>
                <w:highlight w:val="none"/>
                <w14:textFill>
                  <w14:solidFill>
                    <w14:schemeClr w14:val="tx1"/>
                  </w14:solidFill>
                </w14:textFill>
              </w:rPr>
            </w:pPr>
          </w:p>
        </w:tc>
      </w:tr>
    </w:tbl>
    <w:p w14:paraId="108594C6">
      <w:pPr>
        <w:pStyle w:val="25"/>
        <w:rPr>
          <w:rFonts w:hint="eastAsia"/>
          <w:color w:val="000000" w:themeColor="text1"/>
          <w:highlight w:val="none"/>
          <w14:textFill>
            <w14:solidFill>
              <w14:schemeClr w14:val="tx1"/>
            </w14:solidFill>
          </w14:textFill>
        </w:rPr>
      </w:pPr>
      <w:r>
        <w:rPr>
          <w:color w:val="000000" w:themeColor="text1"/>
          <w:kern w:val="0"/>
          <w:sz w:val="18"/>
          <w:szCs w:val="18"/>
          <w:highlight w:val="none"/>
          <w:lang w:bidi="ar"/>
          <w14:textFill>
            <w14:solidFill>
              <w14:schemeClr w14:val="tx1"/>
            </w14:solidFill>
          </w14:textFill>
        </w:rPr>
        <w:t xml:space="preserve"> </w:t>
      </w:r>
      <w:r>
        <w:rPr>
          <w:color w:val="000000" w:themeColor="text1"/>
          <w:highlight w:val="none"/>
          <w14:textFill>
            <w14:solidFill>
              <w14:schemeClr w14:val="tx1"/>
            </w14:solidFill>
          </w14:textFill>
        </w:rPr>
        <w:t>表2.5</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2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无组织</w:t>
      </w:r>
      <w:r>
        <w:rPr>
          <w:color w:val="000000" w:themeColor="text1"/>
          <w:highlight w:val="none"/>
          <w14:textFill>
            <w14:solidFill>
              <w14:schemeClr w14:val="tx1"/>
            </w14:solidFill>
          </w14:textFill>
        </w:rPr>
        <w:t>废气污染物排放标准限值一览表</w:t>
      </w:r>
    </w:p>
    <w:tbl>
      <w:tblPr>
        <w:tblStyle w:val="20"/>
        <w:tblW w:w="538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2507"/>
        <w:gridCol w:w="2413"/>
        <w:gridCol w:w="4147"/>
      </w:tblGrid>
      <w:tr w14:paraId="306B46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tblHeader/>
          <w:jc w:val="center"/>
        </w:trPr>
        <w:tc>
          <w:tcPr>
            <w:tcW w:w="1382" w:type="pct"/>
            <w:tcBorders>
              <w:bottom w:val="single" w:color="auto" w:sz="12" w:space="0"/>
            </w:tcBorders>
            <w:noWrap w:val="0"/>
            <w:vAlign w:val="center"/>
          </w:tcPr>
          <w:p w14:paraId="47F1D122">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污染物</w:t>
            </w:r>
          </w:p>
        </w:tc>
        <w:tc>
          <w:tcPr>
            <w:tcW w:w="1330" w:type="pct"/>
            <w:tcBorders>
              <w:bottom w:val="single" w:color="auto" w:sz="12" w:space="0"/>
            </w:tcBorders>
            <w:noWrap w:val="0"/>
            <w:vAlign w:val="center"/>
          </w:tcPr>
          <w:p w14:paraId="2E59760D">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标准限值</w:t>
            </w:r>
          </w:p>
        </w:tc>
        <w:tc>
          <w:tcPr>
            <w:tcW w:w="2286" w:type="pct"/>
            <w:tcBorders>
              <w:bottom w:val="single" w:color="auto" w:sz="12" w:space="0"/>
            </w:tcBorders>
            <w:noWrap w:val="0"/>
            <w:vAlign w:val="center"/>
          </w:tcPr>
          <w:p w14:paraId="6E58F155">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标准来源</w:t>
            </w:r>
          </w:p>
        </w:tc>
      </w:tr>
      <w:tr w14:paraId="13700F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68" w:hRule="atLeast"/>
          <w:jc w:val="center"/>
        </w:trPr>
        <w:tc>
          <w:tcPr>
            <w:tcW w:w="1382" w:type="pct"/>
            <w:tcBorders>
              <w:top w:val="single" w:color="auto" w:sz="12" w:space="0"/>
            </w:tcBorders>
            <w:noWrap w:val="0"/>
            <w:vAlign w:val="center"/>
          </w:tcPr>
          <w:p w14:paraId="2E57BC3B">
            <w:pPr>
              <w:keepNext w:val="0"/>
              <w:keepLines w:val="0"/>
              <w:widowControl/>
              <w:suppressLineNumbers w:val="0"/>
              <w:ind w:firstLine="420" w:firstLineChars="200"/>
              <w:jc w:val="center"/>
              <w:textAlignment w:val="center"/>
              <w:rPr>
                <w:color w:val="000000" w:themeColor="text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颗粒物</w:t>
            </w:r>
          </w:p>
        </w:tc>
        <w:tc>
          <w:tcPr>
            <w:tcW w:w="1330" w:type="pct"/>
            <w:tcBorders>
              <w:top w:val="single" w:color="auto" w:sz="12" w:space="0"/>
            </w:tcBorders>
            <w:noWrap w:val="0"/>
            <w:vAlign w:val="center"/>
          </w:tcPr>
          <w:p w14:paraId="67C6E3D0">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mg/m</w:t>
            </w:r>
            <w:r>
              <w:rPr>
                <w:rFonts w:hint="eastAsia"/>
                <w:color w:val="000000" w:themeColor="text1"/>
                <w:highlight w:val="none"/>
                <w:vertAlign w:val="superscript"/>
                <w14:textFill>
                  <w14:solidFill>
                    <w14:schemeClr w14:val="tx1"/>
                  </w14:solidFill>
                </w14:textFill>
              </w:rPr>
              <w:t>3</w:t>
            </w:r>
          </w:p>
        </w:tc>
        <w:tc>
          <w:tcPr>
            <w:tcW w:w="2286" w:type="pct"/>
            <w:vMerge w:val="restart"/>
            <w:tcBorders>
              <w:top w:val="single" w:color="auto" w:sz="12" w:space="0"/>
            </w:tcBorders>
            <w:noWrap w:val="0"/>
            <w:vAlign w:val="center"/>
          </w:tcPr>
          <w:p w14:paraId="5E492C70">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《大气污染物综合排放标准》（</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）中表</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无组织</w:t>
            </w:r>
            <w:r>
              <w:rPr>
                <w:rFonts w:hint="eastAsia"/>
                <w:color w:val="000000" w:themeColor="text1"/>
                <w:highlight w:val="none"/>
                <w14:textFill>
                  <w14:solidFill>
                    <w14:schemeClr w14:val="tx1"/>
                  </w14:solidFill>
                </w14:textFill>
              </w:rPr>
              <w:t>排放限值</w:t>
            </w:r>
          </w:p>
        </w:tc>
      </w:tr>
      <w:tr w14:paraId="3517AA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382" w:type="pct"/>
            <w:noWrap w:val="0"/>
            <w:vAlign w:val="center"/>
          </w:tcPr>
          <w:p w14:paraId="455ACF8D">
            <w:pPr>
              <w:keepNext w:val="0"/>
              <w:keepLines w:val="0"/>
              <w:widowControl/>
              <w:suppressLineNumbers w:val="0"/>
              <w:ind w:firstLine="420" w:firstLineChars="200"/>
              <w:jc w:val="center"/>
              <w:textAlignment w:val="center"/>
              <w:rPr>
                <w:rFonts w:hint="default"/>
                <w:color w:val="000000" w:themeColor="text1"/>
                <w:highlight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非甲烷总烃</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（厂界）</w:t>
            </w:r>
          </w:p>
        </w:tc>
        <w:tc>
          <w:tcPr>
            <w:tcW w:w="1330" w:type="pct"/>
            <w:noWrap w:val="0"/>
            <w:vAlign w:val="center"/>
          </w:tcPr>
          <w:p w14:paraId="332C0CD2">
            <w:pPr>
              <w:pStyle w:val="26"/>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mg/m</w:t>
            </w:r>
            <w:r>
              <w:rPr>
                <w:rFonts w:hint="eastAsia"/>
                <w:color w:val="000000" w:themeColor="text1"/>
                <w:highlight w:val="none"/>
                <w:vertAlign w:val="superscript"/>
                <w14:textFill>
                  <w14:solidFill>
                    <w14:schemeClr w14:val="tx1"/>
                  </w14:solidFill>
                </w14:textFill>
              </w:rPr>
              <w:t>3</w:t>
            </w:r>
          </w:p>
        </w:tc>
        <w:tc>
          <w:tcPr>
            <w:tcW w:w="2286" w:type="pct"/>
            <w:vMerge w:val="continue"/>
            <w:noWrap w:val="0"/>
            <w:vAlign w:val="center"/>
          </w:tcPr>
          <w:p w14:paraId="342540AF">
            <w:pPr>
              <w:pStyle w:val="26"/>
              <w:rPr>
                <w:rFonts w:hint="eastAsia"/>
                <w:color w:val="000000" w:themeColor="text1"/>
                <w:highlight w:val="none"/>
                <w14:textFill>
                  <w14:solidFill>
                    <w14:schemeClr w14:val="tx1"/>
                  </w14:solidFill>
                </w14:textFill>
              </w:rPr>
            </w:pPr>
          </w:p>
        </w:tc>
      </w:tr>
      <w:tr w14:paraId="225575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382" w:type="pct"/>
            <w:vMerge w:val="restart"/>
            <w:noWrap w:val="0"/>
            <w:vAlign w:val="center"/>
          </w:tcPr>
          <w:p w14:paraId="23A5AC22">
            <w:pPr>
              <w:keepNext w:val="0"/>
              <w:keepLines w:val="0"/>
              <w:widowControl/>
              <w:suppressLineNumbers w:val="0"/>
              <w:ind w:firstLine="420" w:firstLineChars="20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bookmarkStart w:id="435" w:name="_Toc20930"/>
            <w:bookmarkStart w:id="436" w:name="_Toc16777"/>
            <w:bookmarkStart w:id="437" w:name="_Toc9346"/>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非甲烷总烃</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（厂区内）</w:t>
            </w:r>
          </w:p>
        </w:tc>
        <w:tc>
          <w:tcPr>
            <w:tcW w:w="1330" w:type="pct"/>
            <w:noWrap w:val="0"/>
            <w:vAlign w:val="center"/>
          </w:tcPr>
          <w:p w14:paraId="47EB2692">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6mg/</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vertAlign w:val="baseline"/>
                <w:lang w:eastAsia="zh-CN"/>
                <w14:textFill>
                  <w14:solidFill>
                    <w14:schemeClr w14:val="tx1"/>
                  </w14:solidFill>
                </w14:textFill>
              </w:rPr>
              <w:t>（监控点处1h平均浓度值）</w:t>
            </w:r>
          </w:p>
        </w:tc>
        <w:tc>
          <w:tcPr>
            <w:tcW w:w="2286" w:type="pct"/>
            <w:vMerge w:val="restart"/>
            <w:noWrap w:val="0"/>
            <w:vAlign w:val="center"/>
          </w:tcPr>
          <w:p w14:paraId="69440A88">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《挥发性有机物无组织排放控制标准》（GB37822-2019）</w:t>
            </w:r>
          </w:p>
        </w:tc>
      </w:tr>
      <w:tr w14:paraId="0F2C37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382" w:type="pct"/>
            <w:vMerge w:val="continue"/>
            <w:noWrap w:val="0"/>
            <w:vAlign w:val="center"/>
          </w:tcPr>
          <w:p w14:paraId="2BB2418D">
            <w:pPr>
              <w:keepNext w:val="0"/>
              <w:keepLines w:val="0"/>
              <w:widowControl/>
              <w:suppressLineNumbers w:val="0"/>
              <w:ind w:firstLine="420" w:firstLineChars="20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1330" w:type="pct"/>
            <w:noWrap w:val="0"/>
            <w:vAlign w:val="center"/>
          </w:tcPr>
          <w:p w14:paraId="32E76D3E">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20mg/</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vertAlign w:val="baseline"/>
                <w:lang w:eastAsia="zh-CN"/>
                <w14:textFill>
                  <w14:solidFill>
                    <w14:schemeClr w14:val="tx1"/>
                  </w14:solidFill>
                </w14:textFill>
              </w:rPr>
              <w:t>（监控点处任意一次浓度值）</w:t>
            </w:r>
          </w:p>
        </w:tc>
        <w:tc>
          <w:tcPr>
            <w:tcW w:w="2286" w:type="pct"/>
            <w:vMerge w:val="continue"/>
            <w:noWrap w:val="0"/>
            <w:vAlign w:val="center"/>
          </w:tcPr>
          <w:p w14:paraId="3190C0F3">
            <w:pPr>
              <w:pStyle w:val="26"/>
              <w:rPr>
                <w:rFonts w:hint="eastAsia"/>
                <w:color w:val="000000" w:themeColor="text1"/>
                <w:highlight w:val="none"/>
                <w14:textFill>
                  <w14:solidFill>
                    <w14:schemeClr w14:val="tx1"/>
                  </w14:solidFill>
                </w14:textFill>
              </w:rPr>
            </w:pPr>
          </w:p>
        </w:tc>
      </w:tr>
    </w:tbl>
    <w:p w14:paraId="053009B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废水</w:t>
      </w:r>
      <w:bookmarkEnd w:id="435"/>
      <w:bookmarkEnd w:id="436"/>
      <w:bookmarkEnd w:id="437"/>
    </w:p>
    <w:p w14:paraId="212A5546">
      <w:pPr>
        <w:widowControl/>
        <w:ind w:firstLine="480"/>
        <w:jc w:val="left"/>
        <w:rPr>
          <w:rFonts w:hint="eastAsia"/>
          <w:color w:val="000000" w:themeColor="text1"/>
          <w:highlight w:val="none"/>
          <w:lang w:val="en-US" w:eastAsia="zh-CN"/>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项目营运期</w:t>
      </w:r>
      <w:r>
        <w:rPr>
          <w:rFonts w:hint="eastAsia" w:ascii="宋体" w:hAnsi="宋体" w:cs="宋体"/>
          <w:color w:val="000000" w:themeColor="text1"/>
          <w:kern w:val="0"/>
          <w:highlight w:val="none"/>
          <w:lang w:val="en-US" w:eastAsia="zh-CN" w:bidi="ar"/>
          <w14:textFill>
            <w14:solidFill>
              <w14:schemeClr w14:val="tx1"/>
            </w14:solidFill>
          </w14:textFill>
        </w:rPr>
        <w:t>生产废水满足</w:t>
      </w:r>
      <w:r>
        <w:rPr>
          <w:rFonts w:hint="eastAsia"/>
          <w:color w:val="000000" w:themeColor="text1"/>
          <w:highlight w:val="none"/>
          <w:lang w:val="en-US" w:eastAsia="zh-CN"/>
          <w14:textFill>
            <w14:solidFill>
              <w14:schemeClr w14:val="tx1"/>
            </w14:solidFill>
          </w14:textFill>
        </w:rPr>
        <w:t>《城市污水再生利用 工业用水水质》（GB/T19923-2005）中的水质限值后</w:t>
      </w:r>
      <w:r>
        <w:rPr>
          <w:rFonts w:hint="eastAsia" w:ascii="宋体" w:hAnsi="宋体" w:cs="宋体"/>
          <w:color w:val="000000" w:themeColor="text1"/>
          <w:kern w:val="0"/>
          <w:highlight w:val="none"/>
          <w:lang w:val="en-US" w:eastAsia="zh-CN" w:bidi="ar"/>
          <w14:textFill>
            <w14:solidFill>
              <w14:schemeClr w14:val="tx1"/>
            </w14:solidFill>
          </w14:textFill>
        </w:rPr>
        <w:t>回用于生产，不外排，</w:t>
      </w:r>
      <w:r>
        <w:rPr>
          <w:rFonts w:hint="eastAsia" w:ascii="宋体" w:hAnsi="宋体" w:cs="宋体"/>
          <w:color w:val="000000" w:themeColor="text1"/>
          <w:kern w:val="0"/>
          <w:highlight w:val="none"/>
          <w:lang w:bidi="ar"/>
          <w14:textFill>
            <w14:solidFill>
              <w14:schemeClr w14:val="tx1"/>
            </w14:solidFill>
          </w14:textFill>
        </w:rPr>
        <w:t>生活污水排入园区污水管网</w:t>
      </w:r>
      <w:r>
        <w:rPr>
          <w:rFonts w:hint="eastAsia" w:ascii="宋体" w:hAnsi="宋体" w:cs="宋体"/>
          <w:color w:val="000000" w:themeColor="text1"/>
          <w:kern w:val="0"/>
          <w:highlight w:val="none"/>
          <w:lang w:eastAsia="zh-CN" w:bidi="ar"/>
          <w14:textFill>
            <w14:solidFill>
              <w14:schemeClr w14:val="tx1"/>
            </w14:solidFill>
          </w14:textFill>
        </w:rPr>
        <w:t>，</w:t>
      </w:r>
      <w:r>
        <w:rPr>
          <w:rFonts w:hint="eastAsia" w:ascii="宋体" w:hAnsi="宋体" w:cs="宋体"/>
          <w:color w:val="000000" w:themeColor="text1"/>
          <w:kern w:val="0"/>
          <w:highlight w:val="none"/>
          <w:lang w:val="en-US" w:eastAsia="zh-CN" w:bidi="ar"/>
          <w14:textFill>
            <w14:solidFill>
              <w14:schemeClr w14:val="tx1"/>
            </w14:solidFill>
          </w14:textFill>
        </w:rPr>
        <w:t>生产废水</w:t>
      </w:r>
      <w:r>
        <w:rPr>
          <w:rFonts w:hint="eastAsia"/>
          <w:color w:val="000000" w:themeColor="text1"/>
          <w:highlight w:val="none"/>
          <w:lang w:val="en-US" w:eastAsia="zh-CN"/>
          <w14:textFill>
            <w14:solidFill>
              <w14:schemeClr w14:val="tx1"/>
            </w14:solidFill>
          </w14:textFill>
        </w:rPr>
        <w:t>执行标准见表2.5.2-3。</w:t>
      </w:r>
    </w:p>
    <w:p w14:paraId="2FC7F616">
      <w:pPr>
        <w:pStyle w:val="25"/>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表2.</w:t>
      </w:r>
      <w:r>
        <w:rPr>
          <w:rFonts w:hint="eastAsia" w:cs="Times New Roman"/>
          <w:color w:val="000000" w:themeColor="text1"/>
          <w:highlight w:val="none"/>
          <w:lang w:val="en-US" w:eastAsia="zh-CN"/>
          <w14:textFill>
            <w14:solidFill>
              <w14:schemeClr w14:val="tx1"/>
            </w14:solidFill>
          </w14:textFill>
        </w:rPr>
        <w:t>5.2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-3      项目</w:t>
      </w:r>
      <w:r>
        <w:rPr>
          <w:rFonts w:hint="eastAsia" w:cs="Times New Roman"/>
          <w:color w:val="000000" w:themeColor="text1"/>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废水执行标准</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35"/>
        <w:gridCol w:w="2997"/>
        <w:gridCol w:w="2245"/>
        <w:gridCol w:w="2094"/>
      </w:tblGrid>
      <w:tr w14:paraId="0A9CE2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bottom w:val="single" w:color="auto" w:sz="12" w:space="0"/>
            </w:tcBorders>
            <w:noWrap w:val="0"/>
            <w:vAlign w:val="center"/>
          </w:tcPr>
          <w:p w14:paraId="09BFC106">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序号</w:t>
            </w:r>
          </w:p>
        </w:tc>
        <w:tc>
          <w:tcPr>
            <w:tcW w:w="2997" w:type="dxa"/>
            <w:tcBorders>
              <w:bottom w:val="single" w:color="auto" w:sz="12" w:space="0"/>
            </w:tcBorders>
            <w:noWrap w:val="0"/>
            <w:vAlign w:val="center"/>
          </w:tcPr>
          <w:p w14:paraId="66719DBF">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项目</w:t>
            </w:r>
          </w:p>
        </w:tc>
        <w:tc>
          <w:tcPr>
            <w:tcW w:w="2245" w:type="dxa"/>
            <w:tcBorders>
              <w:bottom w:val="single" w:color="auto" w:sz="12" w:space="0"/>
            </w:tcBorders>
            <w:noWrap w:val="0"/>
            <w:vAlign w:val="center"/>
          </w:tcPr>
          <w:p w14:paraId="4071A996">
            <w:pPr>
              <w:pStyle w:val="26"/>
              <w:bidi w:val="0"/>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限值</w:t>
            </w:r>
          </w:p>
        </w:tc>
        <w:tc>
          <w:tcPr>
            <w:tcW w:w="2094" w:type="dxa"/>
            <w:tcBorders>
              <w:bottom w:val="single" w:color="auto" w:sz="12" w:space="0"/>
            </w:tcBorders>
            <w:noWrap w:val="0"/>
            <w:vAlign w:val="center"/>
          </w:tcPr>
          <w:p w14:paraId="7B2D4A7C">
            <w:pPr>
              <w:pStyle w:val="26"/>
              <w:bidi w:val="0"/>
              <w:ind w:left="0" w:leftChars="0" w:right="0" w:rightChars="0" w:firstLine="0" w:firstLineChars="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标准来源</w:t>
            </w:r>
          </w:p>
        </w:tc>
      </w:tr>
      <w:tr w14:paraId="7F3CF0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op w:val="single" w:color="auto" w:sz="4" w:space="0"/>
            </w:tcBorders>
            <w:shd w:val="clear" w:color="auto" w:fill="auto"/>
            <w:noWrap w:val="0"/>
            <w:vAlign w:val="top"/>
          </w:tcPr>
          <w:p w14:paraId="0877743F">
            <w:pPr>
              <w:pStyle w:val="26"/>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1</w:t>
            </w:r>
          </w:p>
        </w:tc>
        <w:tc>
          <w:tcPr>
            <w:tcW w:w="2997" w:type="dxa"/>
            <w:tcBorders>
              <w:top w:val="single" w:color="auto" w:sz="4" w:space="0"/>
            </w:tcBorders>
            <w:noWrap w:val="0"/>
            <w:vAlign w:val="center"/>
          </w:tcPr>
          <w:p w14:paraId="7D33BDAB">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pH</w:t>
            </w:r>
          </w:p>
        </w:tc>
        <w:tc>
          <w:tcPr>
            <w:tcW w:w="2245" w:type="dxa"/>
            <w:tcBorders>
              <w:top w:val="single" w:color="auto" w:sz="4" w:space="0"/>
            </w:tcBorders>
            <w:noWrap w:val="0"/>
            <w:vAlign w:val="center"/>
          </w:tcPr>
          <w:p w14:paraId="5C1508C8">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6.5-9.0</w:t>
            </w:r>
          </w:p>
        </w:tc>
        <w:tc>
          <w:tcPr>
            <w:tcW w:w="2094" w:type="dxa"/>
            <w:vMerge w:val="restart"/>
            <w:tcBorders>
              <w:top w:val="single" w:color="auto" w:sz="4" w:space="0"/>
            </w:tcBorders>
            <w:noWrap w:val="0"/>
            <w:vAlign w:val="center"/>
          </w:tcPr>
          <w:p w14:paraId="483B4FBA">
            <w:pPr>
              <w:pStyle w:val="26"/>
              <w:bidi w:val="0"/>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lang w:val="en-US" w:eastAsia="zh-CN"/>
                <w14:textFill>
                  <w14:solidFill>
                    <w14:schemeClr w14:val="tx1"/>
                  </w14:solidFill>
                </w14:textFill>
              </w:rPr>
              <w:t>《城</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市污水再生利用工业用水水质》（GB/T19923-2024）</w:t>
            </w:r>
            <w:r>
              <w:rPr>
                <w:rFonts w:ascii="Times New Roman" w:hAnsi="Times New Roman" w:eastAsia="宋体" w:cs="Times New Roman"/>
                <w:color w:val="000000" w:themeColor="text1"/>
                <w:highlight w:val="none"/>
                <w:lang w:val="en-US" w:eastAsia="zh-CN"/>
                <w14:textFill>
                  <w14:solidFill>
                    <w14:schemeClr w14:val="tx1"/>
                  </w14:solidFill>
                </w14:textFill>
              </w:rPr>
              <w:t xml:space="preserve"> </w:t>
            </w:r>
          </w:p>
          <w:p w14:paraId="4B5FE3AB">
            <w:pPr>
              <w:pStyle w:val="26"/>
              <w:bidi w:val="0"/>
              <w:rPr>
                <w:rFonts w:hint="eastAsia"/>
                <w:color w:val="000000" w:themeColor="text1"/>
                <w:highlight w:val="none"/>
                <w:lang w:val="en-US" w:eastAsia="zh-CN"/>
                <w14:textFill>
                  <w14:solidFill>
                    <w14:schemeClr w14:val="tx1"/>
                  </w14:solidFill>
                </w14:textFill>
              </w:rPr>
            </w:pPr>
          </w:p>
        </w:tc>
      </w:tr>
      <w:tr w14:paraId="4F5C58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312D8FFF">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2</w:t>
            </w:r>
          </w:p>
        </w:tc>
        <w:tc>
          <w:tcPr>
            <w:tcW w:w="2997" w:type="dxa"/>
            <w:tcBorders>
              <w:tl2br w:val="nil"/>
              <w:tr2bl w:val="nil"/>
            </w:tcBorders>
            <w:noWrap w:val="0"/>
            <w:vAlign w:val="center"/>
          </w:tcPr>
          <w:p w14:paraId="389F8499">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悬浮物</w:t>
            </w:r>
          </w:p>
        </w:tc>
        <w:tc>
          <w:tcPr>
            <w:tcW w:w="2245" w:type="dxa"/>
            <w:tcBorders>
              <w:tl2br w:val="nil"/>
              <w:tr2bl w:val="nil"/>
            </w:tcBorders>
            <w:noWrap w:val="0"/>
            <w:vAlign w:val="center"/>
          </w:tcPr>
          <w:p w14:paraId="0856DFA8">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≤30</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6BF467F6">
            <w:pPr>
              <w:pStyle w:val="26"/>
              <w:bidi w:val="0"/>
              <w:rPr>
                <w:rFonts w:hint="eastAsia"/>
                <w:color w:val="000000" w:themeColor="text1"/>
                <w:highlight w:val="none"/>
                <w:lang w:val="en-US" w:eastAsia="zh-CN"/>
                <w14:textFill>
                  <w14:solidFill>
                    <w14:schemeClr w14:val="tx1"/>
                  </w14:solidFill>
                </w14:textFill>
              </w:rPr>
            </w:pPr>
          </w:p>
        </w:tc>
      </w:tr>
      <w:tr w14:paraId="0238E5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77420D9E">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3</w:t>
            </w:r>
          </w:p>
        </w:tc>
        <w:tc>
          <w:tcPr>
            <w:tcW w:w="2997" w:type="dxa"/>
            <w:tcBorders>
              <w:tl2br w:val="nil"/>
              <w:tr2bl w:val="nil"/>
            </w:tcBorders>
            <w:noWrap w:val="0"/>
            <w:vAlign w:val="center"/>
          </w:tcPr>
          <w:p w14:paraId="52FBBC3F">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浊度</w:t>
            </w:r>
          </w:p>
        </w:tc>
        <w:tc>
          <w:tcPr>
            <w:tcW w:w="2245" w:type="dxa"/>
            <w:tcBorders>
              <w:tl2br w:val="nil"/>
              <w:tr2bl w:val="nil"/>
            </w:tcBorders>
            <w:noWrap w:val="0"/>
            <w:vAlign w:val="center"/>
          </w:tcPr>
          <w:p w14:paraId="42C8FB5E">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w:t>
            </w:r>
          </w:p>
        </w:tc>
        <w:tc>
          <w:tcPr>
            <w:tcW w:w="2094" w:type="dxa"/>
            <w:vMerge w:val="continue"/>
            <w:tcBorders>
              <w:tl2br w:val="nil"/>
              <w:tr2bl w:val="nil"/>
            </w:tcBorders>
            <w:noWrap w:val="0"/>
            <w:vAlign w:val="center"/>
          </w:tcPr>
          <w:p w14:paraId="3EED325B">
            <w:pPr>
              <w:pStyle w:val="26"/>
              <w:bidi w:val="0"/>
              <w:rPr>
                <w:rFonts w:hint="eastAsia"/>
                <w:color w:val="000000" w:themeColor="text1"/>
                <w:highlight w:val="none"/>
                <w:lang w:val="en-US" w:eastAsia="zh-CN"/>
                <w14:textFill>
                  <w14:solidFill>
                    <w14:schemeClr w14:val="tx1"/>
                  </w14:solidFill>
                </w14:textFill>
              </w:rPr>
            </w:pPr>
          </w:p>
        </w:tc>
      </w:tr>
      <w:tr w14:paraId="73A864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0C1CDE2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4</w:t>
            </w:r>
          </w:p>
        </w:tc>
        <w:tc>
          <w:tcPr>
            <w:tcW w:w="2997" w:type="dxa"/>
            <w:tcBorders>
              <w:tl2br w:val="nil"/>
              <w:tr2bl w:val="nil"/>
            </w:tcBorders>
            <w:noWrap w:val="0"/>
            <w:vAlign w:val="center"/>
          </w:tcPr>
          <w:p w14:paraId="3FED21A6">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色度（度）</w:t>
            </w:r>
          </w:p>
        </w:tc>
        <w:tc>
          <w:tcPr>
            <w:tcW w:w="2245" w:type="dxa"/>
            <w:tcBorders>
              <w:tl2br w:val="nil"/>
              <w:tr2bl w:val="nil"/>
            </w:tcBorders>
            <w:noWrap w:val="0"/>
            <w:vAlign w:val="center"/>
          </w:tcPr>
          <w:p w14:paraId="044E3D3D">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≤30</w:t>
            </w:r>
          </w:p>
        </w:tc>
        <w:tc>
          <w:tcPr>
            <w:tcW w:w="2094" w:type="dxa"/>
            <w:vMerge w:val="continue"/>
            <w:tcBorders>
              <w:tl2br w:val="nil"/>
              <w:tr2bl w:val="nil"/>
            </w:tcBorders>
            <w:noWrap w:val="0"/>
            <w:vAlign w:val="center"/>
          </w:tcPr>
          <w:p w14:paraId="77CE3D2D">
            <w:pPr>
              <w:pStyle w:val="26"/>
              <w:bidi w:val="0"/>
              <w:rPr>
                <w:rFonts w:hint="eastAsia"/>
                <w:color w:val="000000" w:themeColor="text1"/>
                <w:highlight w:val="none"/>
                <w:lang w:val="en-US" w:eastAsia="zh-CN"/>
                <w14:textFill>
                  <w14:solidFill>
                    <w14:schemeClr w14:val="tx1"/>
                  </w14:solidFill>
                </w14:textFill>
              </w:rPr>
            </w:pPr>
          </w:p>
        </w:tc>
      </w:tr>
      <w:tr w14:paraId="11FB81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38095135">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5</w:t>
            </w:r>
          </w:p>
        </w:tc>
        <w:tc>
          <w:tcPr>
            <w:tcW w:w="2997" w:type="dxa"/>
            <w:tcBorders>
              <w:tl2br w:val="nil"/>
              <w:tr2bl w:val="nil"/>
            </w:tcBorders>
            <w:noWrap w:val="0"/>
            <w:vAlign w:val="center"/>
          </w:tcPr>
          <w:p w14:paraId="1F8B770F">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生化需氧量（BOD</w:t>
            </w:r>
            <w:r>
              <w:rPr>
                <w:color w:val="000000" w:themeColor="text1"/>
                <w:highlight w:val="none"/>
                <w:vertAlign w:val="subscript"/>
                <w14:textFill>
                  <w14:solidFill>
                    <w14:schemeClr w14:val="tx1"/>
                  </w14:solidFill>
                </w14:textFill>
              </w:rPr>
              <w:t>5</w:t>
            </w:r>
            <w:r>
              <w:rPr>
                <w:color w:val="000000" w:themeColor="text1"/>
                <w:highlight w:val="none"/>
                <w14:textFill>
                  <w14:solidFill>
                    <w14:schemeClr w14:val="tx1"/>
                  </w14:solidFill>
                </w14:textFill>
              </w:rPr>
              <w:t xml:space="preserve">） </w:t>
            </w:r>
          </w:p>
        </w:tc>
        <w:tc>
          <w:tcPr>
            <w:tcW w:w="2245" w:type="dxa"/>
            <w:tcBorders>
              <w:tl2br w:val="nil"/>
              <w:tr2bl w:val="nil"/>
            </w:tcBorders>
            <w:noWrap w:val="0"/>
            <w:vAlign w:val="center"/>
          </w:tcPr>
          <w:p w14:paraId="53D59E31">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≤30</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0F87813B">
            <w:pPr>
              <w:pStyle w:val="26"/>
              <w:bidi w:val="0"/>
              <w:rPr>
                <w:rFonts w:hint="eastAsia"/>
                <w:color w:val="000000" w:themeColor="text1"/>
                <w:highlight w:val="none"/>
                <w:lang w:val="en-US" w:eastAsia="zh-CN"/>
                <w14:textFill>
                  <w14:solidFill>
                    <w14:schemeClr w14:val="tx1"/>
                  </w14:solidFill>
                </w14:textFill>
              </w:rPr>
            </w:pPr>
          </w:p>
        </w:tc>
      </w:tr>
      <w:tr w14:paraId="59F15A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1186F9E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6</w:t>
            </w:r>
          </w:p>
        </w:tc>
        <w:tc>
          <w:tcPr>
            <w:tcW w:w="2997" w:type="dxa"/>
            <w:tcBorders>
              <w:tl2br w:val="nil"/>
              <w:tr2bl w:val="nil"/>
            </w:tcBorders>
            <w:noWrap w:val="0"/>
            <w:vAlign w:val="center"/>
          </w:tcPr>
          <w:p w14:paraId="035E784F">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 xml:space="preserve">化学需氧量（CODcr） </w:t>
            </w:r>
          </w:p>
        </w:tc>
        <w:tc>
          <w:tcPr>
            <w:tcW w:w="2245" w:type="dxa"/>
            <w:tcBorders>
              <w:tl2br w:val="nil"/>
              <w:tr2bl w:val="nil"/>
            </w:tcBorders>
            <w:noWrap w:val="0"/>
            <w:vAlign w:val="center"/>
          </w:tcPr>
          <w:p w14:paraId="6E5B241F">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w:t>
            </w:r>
          </w:p>
        </w:tc>
        <w:tc>
          <w:tcPr>
            <w:tcW w:w="2094" w:type="dxa"/>
            <w:vMerge w:val="continue"/>
            <w:tcBorders>
              <w:tl2br w:val="nil"/>
              <w:tr2bl w:val="nil"/>
            </w:tcBorders>
            <w:noWrap w:val="0"/>
            <w:vAlign w:val="center"/>
          </w:tcPr>
          <w:p w14:paraId="312ED789">
            <w:pPr>
              <w:pStyle w:val="26"/>
              <w:bidi w:val="0"/>
              <w:rPr>
                <w:rFonts w:hint="eastAsia"/>
                <w:color w:val="000000" w:themeColor="text1"/>
                <w:highlight w:val="none"/>
                <w:lang w:val="en-US" w:eastAsia="zh-CN"/>
                <w14:textFill>
                  <w14:solidFill>
                    <w14:schemeClr w14:val="tx1"/>
                  </w14:solidFill>
                </w14:textFill>
              </w:rPr>
            </w:pPr>
          </w:p>
        </w:tc>
      </w:tr>
      <w:tr w14:paraId="4BC390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0552DAF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7</w:t>
            </w:r>
          </w:p>
        </w:tc>
        <w:tc>
          <w:tcPr>
            <w:tcW w:w="2997" w:type="dxa"/>
            <w:tcBorders>
              <w:tl2br w:val="nil"/>
              <w:tr2bl w:val="nil"/>
            </w:tcBorders>
            <w:noWrap w:val="0"/>
            <w:vAlign w:val="center"/>
          </w:tcPr>
          <w:p w14:paraId="451D8AF6">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铁</w:t>
            </w:r>
          </w:p>
        </w:tc>
        <w:tc>
          <w:tcPr>
            <w:tcW w:w="2245" w:type="dxa"/>
            <w:tcBorders>
              <w:tl2br w:val="nil"/>
              <w:tr2bl w:val="nil"/>
            </w:tcBorders>
            <w:noWrap w:val="0"/>
            <w:vAlign w:val="center"/>
          </w:tcPr>
          <w:p w14:paraId="2A38F4C2">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≤0.3</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07256E5F">
            <w:pPr>
              <w:pStyle w:val="26"/>
              <w:bidi w:val="0"/>
              <w:rPr>
                <w:rFonts w:hint="eastAsia"/>
                <w:color w:val="000000" w:themeColor="text1"/>
                <w:highlight w:val="none"/>
                <w:lang w:val="en-US" w:eastAsia="zh-CN"/>
                <w14:textFill>
                  <w14:solidFill>
                    <w14:schemeClr w14:val="tx1"/>
                  </w14:solidFill>
                </w14:textFill>
              </w:rPr>
            </w:pPr>
          </w:p>
        </w:tc>
      </w:tr>
      <w:tr w14:paraId="4580B7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7D135FA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8</w:t>
            </w:r>
          </w:p>
        </w:tc>
        <w:tc>
          <w:tcPr>
            <w:tcW w:w="2997" w:type="dxa"/>
            <w:tcBorders>
              <w:tl2br w:val="nil"/>
              <w:tr2bl w:val="nil"/>
            </w:tcBorders>
            <w:noWrap w:val="0"/>
            <w:vAlign w:val="center"/>
          </w:tcPr>
          <w:p w14:paraId="49874B3E">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锰</w:t>
            </w:r>
          </w:p>
        </w:tc>
        <w:tc>
          <w:tcPr>
            <w:tcW w:w="2245" w:type="dxa"/>
            <w:tcBorders>
              <w:tl2br w:val="nil"/>
              <w:tr2bl w:val="nil"/>
            </w:tcBorders>
            <w:noWrap w:val="0"/>
            <w:vAlign w:val="center"/>
          </w:tcPr>
          <w:p w14:paraId="021D422D">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≤0.1</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06D60D16">
            <w:pPr>
              <w:pStyle w:val="26"/>
              <w:bidi w:val="0"/>
              <w:rPr>
                <w:rFonts w:hint="eastAsia"/>
                <w:color w:val="000000" w:themeColor="text1"/>
                <w:highlight w:val="none"/>
                <w:lang w:val="en-US" w:eastAsia="zh-CN"/>
                <w14:textFill>
                  <w14:solidFill>
                    <w14:schemeClr w14:val="tx1"/>
                  </w14:solidFill>
                </w14:textFill>
              </w:rPr>
            </w:pPr>
          </w:p>
        </w:tc>
      </w:tr>
      <w:tr w14:paraId="746CF9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6D1DB59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9</w:t>
            </w:r>
          </w:p>
        </w:tc>
        <w:tc>
          <w:tcPr>
            <w:tcW w:w="2997" w:type="dxa"/>
            <w:tcBorders>
              <w:tl2br w:val="nil"/>
              <w:tr2bl w:val="nil"/>
            </w:tcBorders>
            <w:noWrap w:val="0"/>
            <w:vAlign w:val="center"/>
          </w:tcPr>
          <w:p w14:paraId="7E59352D">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氯离子</w:t>
            </w:r>
          </w:p>
        </w:tc>
        <w:tc>
          <w:tcPr>
            <w:tcW w:w="2245" w:type="dxa"/>
            <w:tcBorders>
              <w:tl2br w:val="nil"/>
              <w:tr2bl w:val="nil"/>
            </w:tcBorders>
            <w:noWrap w:val="0"/>
            <w:vAlign w:val="center"/>
          </w:tcPr>
          <w:p w14:paraId="4A196553">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≤250</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59CE0D86">
            <w:pPr>
              <w:pStyle w:val="26"/>
              <w:bidi w:val="0"/>
              <w:rPr>
                <w:rFonts w:hint="eastAsia"/>
                <w:color w:val="000000" w:themeColor="text1"/>
                <w:highlight w:val="none"/>
                <w:lang w:val="en-US" w:eastAsia="zh-CN"/>
                <w14:textFill>
                  <w14:solidFill>
                    <w14:schemeClr w14:val="tx1"/>
                  </w14:solidFill>
                </w14:textFill>
              </w:rPr>
            </w:pPr>
          </w:p>
        </w:tc>
      </w:tr>
      <w:tr w14:paraId="57C27E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01BB7643">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2997" w:type="dxa"/>
            <w:tcBorders>
              <w:tl2br w:val="nil"/>
              <w:tr2bl w:val="nil"/>
            </w:tcBorders>
            <w:noWrap w:val="0"/>
            <w:vAlign w:val="center"/>
          </w:tcPr>
          <w:p w14:paraId="25B2CCEF">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二氧化硅（SiO</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w:t>
            </w:r>
          </w:p>
        </w:tc>
        <w:tc>
          <w:tcPr>
            <w:tcW w:w="2245" w:type="dxa"/>
            <w:tcBorders>
              <w:tl2br w:val="nil"/>
              <w:tr2bl w:val="nil"/>
            </w:tcBorders>
            <w:noWrap w:val="0"/>
            <w:vAlign w:val="center"/>
          </w:tcPr>
          <w:p w14:paraId="211A1B07">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2094" w:type="dxa"/>
            <w:vMerge w:val="continue"/>
            <w:tcBorders>
              <w:tl2br w:val="nil"/>
              <w:tr2bl w:val="nil"/>
            </w:tcBorders>
            <w:noWrap w:val="0"/>
            <w:vAlign w:val="center"/>
          </w:tcPr>
          <w:p w14:paraId="2229CFB3">
            <w:pPr>
              <w:pStyle w:val="26"/>
              <w:bidi w:val="0"/>
              <w:rPr>
                <w:rFonts w:hint="eastAsia"/>
                <w:color w:val="000000" w:themeColor="text1"/>
                <w:highlight w:val="none"/>
                <w:lang w:val="en-US" w:eastAsia="zh-CN"/>
                <w14:textFill>
                  <w14:solidFill>
                    <w14:schemeClr w14:val="tx1"/>
                  </w14:solidFill>
                </w14:textFill>
              </w:rPr>
            </w:pPr>
          </w:p>
        </w:tc>
      </w:tr>
      <w:tr w14:paraId="0CD4C4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7420C13F">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11</w:t>
            </w:r>
          </w:p>
        </w:tc>
        <w:tc>
          <w:tcPr>
            <w:tcW w:w="2997" w:type="dxa"/>
            <w:tcBorders>
              <w:tl2br w:val="nil"/>
              <w:tr2bl w:val="nil"/>
            </w:tcBorders>
            <w:noWrap w:val="0"/>
            <w:vAlign w:val="center"/>
          </w:tcPr>
          <w:p w14:paraId="26F51D0B">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总硬度(以CaCO</w:t>
            </w:r>
            <w:r>
              <w:rPr>
                <w:color w:val="000000" w:themeColor="text1"/>
                <w:highlight w:val="none"/>
                <w:vertAlign w:val="subscript"/>
                <w14:textFill>
                  <w14:solidFill>
                    <w14:schemeClr w14:val="tx1"/>
                  </w14:solidFill>
                </w14:textFill>
              </w:rPr>
              <w:t>3</w:t>
            </w:r>
            <w:r>
              <w:rPr>
                <w:color w:val="000000" w:themeColor="text1"/>
                <w:highlight w:val="none"/>
                <w14:textFill>
                  <w14:solidFill>
                    <w14:schemeClr w14:val="tx1"/>
                  </w14:solidFill>
                </w14:textFill>
              </w:rPr>
              <w:t>计)</w:t>
            </w:r>
          </w:p>
        </w:tc>
        <w:tc>
          <w:tcPr>
            <w:tcW w:w="2245" w:type="dxa"/>
            <w:tcBorders>
              <w:tl2br w:val="nil"/>
              <w:tr2bl w:val="nil"/>
            </w:tcBorders>
            <w:noWrap w:val="0"/>
            <w:vAlign w:val="center"/>
          </w:tcPr>
          <w:p w14:paraId="19671597">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≤450</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05545BB4">
            <w:pPr>
              <w:pStyle w:val="26"/>
              <w:bidi w:val="0"/>
              <w:rPr>
                <w:rFonts w:hint="eastAsia"/>
                <w:color w:val="000000" w:themeColor="text1"/>
                <w:highlight w:val="none"/>
                <w:lang w:val="en-US" w:eastAsia="zh-CN"/>
                <w14:textFill>
                  <w14:solidFill>
                    <w14:schemeClr w14:val="tx1"/>
                  </w14:solidFill>
                </w14:textFill>
              </w:rPr>
            </w:pPr>
          </w:p>
        </w:tc>
      </w:tr>
      <w:tr w14:paraId="557C9A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7C96DFD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12</w:t>
            </w:r>
          </w:p>
        </w:tc>
        <w:tc>
          <w:tcPr>
            <w:tcW w:w="2997" w:type="dxa"/>
            <w:tcBorders>
              <w:tl2br w:val="nil"/>
              <w:tr2bl w:val="nil"/>
            </w:tcBorders>
            <w:noWrap w:val="0"/>
            <w:vAlign w:val="center"/>
          </w:tcPr>
          <w:p w14:paraId="309FF706">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总碱度(以CaCO</w:t>
            </w:r>
            <w:r>
              <w:rPr>
                <w:color w:val="000000" w:themeColor="text1"/>
                <w:highlight w:val="none"/>
                <w:vertAlign w:val="subscript"/>
                <w14:textFill>
                  <w14:solidFill>
                    <w14:schemeClr w14:val="tx1"/>
                  </w14:solidFill>
                </w14:textFill>
              </w:rPr>
              <w:t>3</w:t>
            </w:r>
            <w:r>
              <w:rPr>
                <w:color w:val="000000" w:themeColor="text1"/>
                <w:highlight w:val="none"/>
                <w14:textFill>
                  <w14:solidFill>
                    <w14:schemeClr w14:val="tx1"/>
                  </w14:solidFill>
                </w14:textFill>
              </w:rPr>
              <w:t>计)</w:t>
            </w:r>
          </w:p>
        </w:tc>
        <w:tc>
          <w:tcPr>
            <w:tcW w:w="2245" w:type="dxa"/>
            <w:tcBorders>
              <w:tl2br w:val="nil"/>
              <w:tr2bl w:val="nil"/>
            </w:tcBorders>
            <w:noWrap w:val="0"/>
            <w:vAlign w:val="center"/>
          </w:tcPr>
          <w:p w14:paraId="469DEB8E">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≤350</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6D49F46E">
            <w:pPr>
              <w:pStyle w:val="26"/>
              <w:bidi w:val="0"/>
              <w:rPr>
                <w:rFonts w:hint="eastAsia"/>
                <w:color w:val="000000" w:themeColor="text1"/>
                <w:highlight w:val="none"/>
                <w:lang w:val="en-US" w:eastAsia="zh-CN"/>
                <w14:textFill>
                  <w14:solidFill>
                    <w14:schemeClr w14:val="tx1"/>
                  </w14:solidFill>
                </w14:textFill>
              </w:rPr>
            </w:pPr>
          </w:p>
        </w:tc>
      </w:tr>
      <w:tr w14:paraId="02709E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590C0E8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13</w:t>
            </w:r>
          </w:p>
        </w:tc>
        <w:tc>
          <w:tcPr>
            <w:tcW w:w="2997" w:type="dxa"/>
            <w:tcBorders>
              <w:tl2br w:val="nil"/>
              <w:tr2bl w:val="nil"/>
            </w:tcBorders>
            <w:noWrap w:val="0"/>
            <w:vAlign w:val="center"/>
          </w:tcPr>
          <w:p w14:paraId="01151900">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硫酸盐</w:t>
            </w:r>
          </w:p>
        </w:tc>
        <w:tc>
          <w:tcPr>
            <w:tcW w:w="2245" w:type="dxa"/>
            <w:tcBorders>
              <w:tl2br w:val="nil"/>
              <w:tr2bl w:val="nil"/>
            </w:tcBorders>
            <w:noWrap w:val="0"/>
            <w:vAlign w:val="center"/>
          </w:tcPr>
          <w:p w14:paraId="46659BD7">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≤250</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6F241F62">
            <w:pPr>
              <w:pStyle w:val="26"/>
              <w:bidi w:val="0"/>
              <w:rPr>
                <w:rFonts w:hint="eastAsia"/>
                <w:color w:val="000000" w:themeColor="text1"/>
                <w:highlight w:val="none"/>
                <w:lang w:val="en-US" w:eastAsia="zh-CN"/>
                <w14:textFill>
                  <w14:solidFill>
                    <w14:schemeClr w14:val="tx1"/>
                  </w14:solidFill>
                </w14:textFill>
              </w:rPr>
            </w:pPr>
          </w:p>
        </w:tc>
      </w:tr>
      <w:tr w14:paraId="7F96C5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656670C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14</w:t>
            </w:r>
          </w:p>
        </w:tc>
        <w:tc>
          <w:tcPr>
            <w:tcW w:w="2997" w:type="dxa"/>
            <w:tcBorders>
              <w:tl2br w:val="nil"/>
              <w:tr2bl w:val="nil"/>
            </w:tcBorders>
            <w:noWrap w:val="0"/>
            <w:vAlign w:val="center"/>
          </w:tcPr>
          <w:p w14:paraId="5E1BA3D6">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 xml:space="preserve">氨氮(以N计) </w:t>
            </w:r>
          </w:p>
        </w:tc>
        <w:tc>
          <w:tcPr>
            <w:tcW w:w="2245" w:type="dxa"/>
            <w:tcBorders>
              <w:tl2br w:val="nil"/>
              <w:tr2bl w:val="nil"/>
            </w:tcBorders>
            <w:noWrap w:val="0"/>
            <w:vAlign w:val="center"/>
          </w:tcPr>
          <w:p w14:paraId="00FAD7F2">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2094" w:type="dxa"/>
            <w:vMerge w:val="continue"/>
            <w:tcBorders>
              <w:tl2br w:val="nil"/>
              <w:tr2bl w:val="nil"/>
            </w:tcBorders>
            <w:noWrap w:val="0"/>
            <w:vAlign w:val="center"/>
          </w:tcPr>
          <w:p w14:paraId="10DDC99F">
            <w:pPr>
              <w:pStyle w:val="26"/>
              <w:bidi w:val="0"/>
              <w:rPr>
                <w:rFonts w:hint="eastAsia"/>
                <w:color w:val="000000" w:themeColor="text1"/>
                <w:highlight w:val="none"/>
                <w:lang w:val="en-US" w:eastAsia="zh-CN"/>
                <w14:textFill>
                  <w14:solidFill>
                    <w14:schemeClr w14:val="tx1"/>
                  </w14:solidFill>
                </w14:textFill>
              </w:rPr>
            </w:pPr>
          </w:p>
        </w:tc>
      </w:tr>
      <w:tr w14:paraId="59E5BD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6EB394C3">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15</w:t>
            </w:r>
          </w:p>
        </w:tc>
        <w:tc>
          <w:tcPr>
            <w:tcW w:w="2997" w:type="dxa"/>
            <w:tcBorders>
              <w:tl2br w:val="nil"/>
              <w:tr2bl w:val="nil"/>
            </w:tcBorders>
            <w:noWrap w:val="0"/>
            <w:vAlign w:val="center"/>
          </w:tcPr>
          <w:p w14:paraId="23FE3FD5">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总磷(以P计)</w:t>
            </w:r>
          </w:p>
        </w:tc>
        <w:tc>
          <w:tcPr>
            <w:tcW w:w="2245" w:type="dxa"/>
            <w:tcBorders>
              <w:tl2br w:val="nil"/>
              <w:tr2bl w:val="nil"/>
            </w:tcBorders>
            <w:noWrap w:val="0"/>
            <w:vAlign w:val="center"/>
          </w:tcPr>
          <w:p w14:paraId="771822E2">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2094" w:type="dxa"/>
            <w:vMerge w:val="continue"/>
            <w:tcBorders>
              <w:tl2br w:val="nil"/>
              <w:tr2bl w:val="nil"/>
            </w:tcBorders>
            <w:noWrap w:val="0"/>
            <w:vAlign w:val="center"/>
          </w:tcPr>
          <w:p w14:paraId="3F01F49D">
            <w:pPr>
              <w:pStyle w:val="26"/>
              <w:bidi w:val="0"/>
              <w:rPr>
                <w:rFonts w:hint="eastAsia"/>
                <w:color w:val="000000" w:themeColor="text1"/>
                <w:highlight w:val="none"/>
                <w:lang w:val="en-US" w:eastAsia="zh-CN"/>
                <w14:textFill>
                  <w14:solidFill>
                    <w14:schemeClr w14:val="tx1"/>
                  </w14:solidFill>
                </w14:textFill>
              </w:rPr>
            </w:pPr>
          </w:p>
        </w:tc>
      </w:tr>
      <w:tr w14:paraId="5EA84D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3A4DC40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16</w:t>
            </w:r>
          </w:p>
        </w:tc>
        <w:tc>
          <w:tcPr>
            <w:tcW w:w="2997" w:type="dxa"/>
            <w:tcBorders>
              <w:tl2br w:val="nil"/>
              <w:tr2bl w:val="nil"/>
            </w:tcBorders>
            <w:noWrap w:val="0"/>
            <w:vAlign w:val="center"/>
          </w:tcPr>
          <w:p w14:paraId="351CE2A6">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溶解性总固体</w:t>
            </w:r>
          </w:p>
        </w:tc>
        <w:tc>
          <w:tcPr>
            <w:tcW w:w="2245" w:type="dxa"/>
            <w:tcBorders>
              <w:tl2br w:val="nil"/>
              <w:tr2bl w:val="nil"/>
            </w:tcBorders>
            <w:noWrap w:val="0"/>
            <w:vAlign w:val="center"/>
          </w:tcPr>
          <w:p w14:paraId="37FE2803">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≤1000</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02C9B728">
            <w:pPr>
              <w:pStyle w:val="26"/>
              <w:bidi w:val="0"/>
              <w:rPr>
                <w:rFonts w:hint="eastAsia"/>
                <w:color w:val="000000" w:themeColor="text1"/>
                <w:highlight w:val="none"/>
                <w:lang w:val="en-US" w:eastAsia="zh-CN"/>
                <w14:textFill>
                  <w14:solidFill>
                    <w14:schemeClr w14:val="tx1"/>
                  </w14:solidFill>
                </w14:textFill>
              </w:rPr>
            </w:pPr>
          </w:p>
        </w:tc>
      </w:tr>
      <w:tr w14:paraId="114F18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2A0ABC6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17</w:t>
            </w:r>
          </w:p>
        </w:tc>
        <w:tc>
          <w:tcPr>
            <w:tcW w:w="2997" w:type="dxa"/>
            <w:tcBorders>
              <w:tl2br w:val="nil"/>
              <w:tr2bl w:val="nil"/>
            </w:tcBorders>
            <w:noWrap w:val="0"/>
            <w:vAlign w:val="center"/>
          </w:tcPr>
          <w:p w14:paraId="2FC43CA9">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石油类</w:t>
            </w:r>
          </w:p>
        </w:tc>
        <w:tc>
          <w:tcPr>
            <w:tcW w:w="2245" w:type="dxa"/>
            <w:tcBorders>
              <w:tl2br w:val="nil"/>
              <w:tr2bl w:val="nil"/>
            </w:tcBorders>
            <w:noWrap w:val="0"/>
            <w:vAlign w:val="center"/>
          </w:tcPr>
          <w:p w14:paraId="6D7E4667">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2094" w:type="dxa"/>
            <w:vMerge w:val="continue"/>
            <w:tcBorders>
              <w:tl2br w:val="nil"/>
              <w:tr2bl w:val="nil"/>
            </w:tcBorders>
            <w:noWrap w:val="0"/>
            <w:vAlign w:val="center"/>
          </w:tcPr>
          <w:p w14:paraId="69F95A7D">
            <w:pPr>
              <w:pStyle w:val="26"/>
              <w:bidi w:val="0"/>
              <w:rPr>
                <w:rFonts w:hint="eastAsia"/>
                <w:color w:val="000000" w:themeColor="text1"/>
                <w:highlight w:val="none"/>
                <w:lang w:val="en-US" w:eastAsia="zh-CN"/>
                <w14:textFill>
                  <w14:solidFill>
                    <w14:schemeClr w14:val="tx1"/>
                  </w14:solidFill>
                </w14:textFill>
              </w:rPr>
            </w:pPr>
          </w:p>
        </w:tc>
      </w:tr>
      <w:tr w14:paraId="5D8349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0425B46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18</w:t>
            </w:r>
          </w:p>
        </w:tc>
        <w:tc>
          <w:tcPr>
            <w:tcW w:w="2997" w:type="dxa"/>
            <w:tcBorders>
              <w:tl2br w:val="nil"/>
              <w:tr2bl w:val="nil"/>
            </w:tcBorders>
            <w:noWrap w:val="0"/>
            <w:vAlign w:val="center"/>
          </w:tcPr>
          <w:p w14:paraId="6B868611">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阴离子表面活性剂</w:t>
            </w:r>
          </w:p>
        </w:tc>
        <w:tc>
          <w:tcPr>
            <w:tcW w:w="2245" w:type="dxa"/>
            <w:tcBorders>
              <w:tl2br w:val="nil"/>
              <w:tr2bl w:val="nil"/>
            </w:tcBorders>
            <w:noWrap w:val="0"/>
            <w:vAlign w:val="center"/>
          </w:tcPr>
          <w:p w14:paraId="0DDB2629">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2094" w:type="dxa"/>
            <w:vMerge w:val="continue"/>
            <w:tcBorders>
              <w:tl2br w:val="nil"/>
              <w:tr2bl w:val="nil"/>
            </w:tcBorders>
            <w:noWrap w:val="0"/>
            <w:vAlign w:val="center"/>
          </w:tcPr>
          <w:p w14:paraId="2BC2D4D6">
            <w:pPr>
              <w:pStyle w:val="26"/>
              <w:bidi w:val="0"/>
              <w:rPr>
                <w:rFonts w:hint="eastAsia"/>
                <w:color w:val="000000" w:themeColor="text1"/>
                <w:highlight w:val="none"/>
                <w:lang w:val="en-US" w:eastAsia="zh-CN"/>
                <w14:textFill>
                  <w14:solidFill>
                    <w14:schemeClr w14:val="tx1"/>
                  </w14:solidFill>
                </w14:textFill>
              </w:rPr>
            </w:pPr>
          </w:p>
        </w:tc>
      </w:tr>
      <w:tr w14:paraId="29DC67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25DFD8A5">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19</w:t>
            </w:r>
          </w:p>
        </w:tc>
        <w:tc>
          <w:tcPr>
            <w:tcW w:w="2997" w:type="dxa"/>
            <w:tcBorders>
              <w:tl2br w:val="nil"/>
              <w:tr2bl w:val="nil"/>
            </w:tcBorders>
            <w:noWrap w:val="0"/>
            <w:vAlign w:val="center"/>
          </w:tcPr>
          <w:p w14:paraId="38DCF1A7">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余氯</w:t>
            </w:r>
          </w:p>
        </w:tc>
        <w:tc>
          <w:tcPr>
            <w:tcW w:w="2245" w:type="dxa"/>
            <w:tcBorders>
              <w:tl2br w:val="nil"/>
              <w:tr2bl w:val="nil"/>
            </w:tcBorders>
            <w:noWrap w:val="0"/>
            <w:vAlign w:val="center"/>
          </w:tcPr>
          <w:p w14:paraId="2A7F8AEC">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≥0.05</w:t>
            </w:r>
            <w:r>
              <w:rPr>
                <w:rFonts w:hint="eastAsia"/>
                <w:color w:val="000000" w:themeColor="text1"/>
                <w:highlight w:val="none"/>
                <w:lang w:val="en-US" w:eastAsia="zh-CN"/>
                <w14:textFill>
                  <w14:solidFill>
                    <w14:schemeClr w14:val="tx1"/>
                  </w14:solidFill>
                </w14:textFill>
              </w:rPr>
              <w:t>mg/L</w:t>
            </w:r>
          </w:p>
        </w:tc>
        <w:tc>
          <w:tcPr>
            <w:tcW w:w="2094" w:type="dxa"/>
            <w:vMerge w:val="continue"/>
            <w:tcBorders>
              <w:tl2br w:val="nil"/>
              <w:tr2bl w:val="nil"/>
            </w:tcBorders>
            <w:noWrap w:val="0"/>
            <w:vAlign w:val="center"/>
          </w:tcPr>
          <w:p w14:paraId="56B8C1E8">
            <w:pPr>
              <w:pStyle w:val="26"/>
              <w:bidi w:val="0"/>
              <w:rPr>
                <w:rFonts w:hint="eastAsia"/>
                <w:color w:val="000000" w:themeColor="text1"/>
                <w:highlight w:val="none"/>
                <w:lang w:val="en-US" w:eastAsia="zh-CN"/>
                <w14:textFill>
                  <w14:solidFill>
                    <w14:schemeClr w14:val="tx1"/>
                  </w14:solidFill>
                </w14:textFill>
              </w:rPr>
            </w:pPr>
          </w:p>
        </w:tc>
      </w:tr>
      <w:tr w14:paraId="402F17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l2br w:val="nil"/>
              <w:tr2bl w:val="nil"/>
            </w:tcBorders>
            <w:shd w:val="clear" w:color="auto" w:fill="auto"/>
            <w:noWrap w:val="0"/>
            <w:vAlign w:val="top"/>
          </w:tcPr>
          <w:p w14:paraId="6F95E999">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20</w:t>
            </w:r>
          </w:p>
        </w:tc>
        <w:tc>
          <w:tcPr>
            <w:tcW w:w="2997" w:type="dxa"/>
            <w:tcBorders>
              <w:tl2br w:val="nil"/>
              <w:tr2bl w:val="nil"/>
            </w:tcBorders>
            <w:noWrap w:val="0"/>
            <w:vAlign w:val="center"/>
          </w:tcPr>
          <w:p w14:paraId="3889AF0A">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粪大肠菌群</w:t>
            </w:r>
          </w:p>
        </w:tc>
        <w:tc>
          <w:tcPr>
            <w:tcW w:w="2245" w:type="dxa"/>
            <w:tcBorders>
              <w:tl2br w:val="nil"/>
              <w:tr2bl w:val="nil"/>
            </w:tcBorders>
            <w:noWrap w:val="0"/>
            <w:vAlign w:val="center"/>
          </w:tcPr>
          <w:p w14:paraId="77F561F4">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≤2000</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个/L</w:t>
            </w:r>
            <w:r>
              <w:rPr>
                <w:rFonts w:hint="eastAsia"/>
                <w:color w:val="000000" w:themeColor="text1"/>
                <w:highlight w:val="none"/>
                <w:lang w:eastAsia="zh-CN"/>
                <w14:textFill>
                  <w14:solidFill>
                    <w14:schemeClr w14:val="tx1"/>
                  </w14:solidFill>
                </w14:textFill>
              </w:rPr>
              <w:t>）</w:t>
            </w:r>
          </w:p>
        </w:tc>
        <w:tc>
          <w:tcPr>
            <w:tcW w:w="2094" w:type="dxa"/>
            <w:vMerge w:val="continue"/>
            <w:tcBorders>
              <w:tl2br w:val="nil"/>
              <w:tr2bl w:val="nil"/>
            </w:tcBorders>
            <w:noWrap w:val="0"/>
            <w:vAlign w:val="center"/>
          </w:tcPr>
          <w:p w14:paraId="079CF81A">
            <w:pPr>
              <w:pStyle w:val="26"/>
              <w:bidi w:val="0"/>
              <w:rPr>
                <w:rFonts w:hint="eastAsia"/>
                <w:color w:val="000000" w:themeColor="text1"/>
                <w:highlight w:val="none"/>
                <w:lang w:val="en-US" w:eastAsia="zh-CN"/>
                <w14:textFill>
                  <w14:solidFill>
                    <w14:schemeClr w14:val="tx1"/>
                  </w14:solidFill>
                </w14:textFill>
              </w:rPr>
            </w:pPr>
          </w:p>
        </w:tc>
      </w:tr>
    </w:tbl>
    <w:p w14:paraId="669923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（3）噪声</w:t>
      </w:r>
    </w:p>
    <w:p w14:paraId="6698CF5E">
      <w:pPr>
        <w:ind w:firstLine="480"/>
        <w:rPr>
          <w:rFonts w:hint="eastAsia" w:ascii="Times New Roman" w:hAnsi="Times New Roman" w:eastAsia="宋体" w:cs="Times New Roman"/>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施工噪</w:t>
      </w:r>
      <w:r>
        <w:rPr>
          <w:rFonts w:hint="eastAsia" w:ascii="Times New Roman" w:hAnsi="Times New Roman" w:eastAsia="宋体" w:cs="Times New Roman"/>
          <w:color w:val="000000" w:themeColor="text1"/>
          <w:highlight w:val="none"/>
          <w14:textFill>
            <w14:solidFill>
              <w14:schemeClr w14:val="tx1"/>
            </w14:solidFill>
          </w14:textFill>
        </w:rPr>
        <w:t>声执行建筑施工噪声排放标准（GB12523-20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25</w:t>
      </w:r>
      <w:r>
        <w:rPr>
          <w:rFonts w:hint="eastAsia" w:ascii="Times New Roman" w:hAnsi="Times New Roman" w:eastAsia="宋体" w:cs="Times New Roman"/>
          <w:color w:val="000000" w:themeColor="text1"/>
          <w:highlight w:val="none"/>
          <w14:textFill>
            <w14:solidFill>
              <w14:schemeClr w14:val="tx1"/>
            </w14:solidFill>
          </w14:textFill>
        </w:rPr>
        <w:t>），即昼间70dB（A）、夜间55dB（A）。</w:t>
      </w:r>
    </w:p>
    <w:p w14:paraId="016CDE6D">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运营期厂界噪声执行《工业企业厂界环境噪声排放标准》（GB12348-2008）中的3类标准：昼间65dB（A）、夜间55dB（A）。</w:t>
      </w:r>
    </w:p>
    <w:p w14:paraId="0A6B788A">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（4）固体废物</w:t>
      </w:r>
    </w:p>
    <w:p w14:paraId="6627DE3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运营期</w:t>
      </w:r>
      <w:r>
        <w:rPr>
          <w:color w:val="000000" w:themeColor="text1"/>
          <w:highlight w:val="none"/>
          <w14:textFill>
            <w14:solidFill>
              <w14:schemeClr w14:val="tx1"/>
            </w14:solidFill>
          </w14:textFill>
        </w:rPr>
        <w:t>一般工业固体废物执行《一般工业固体废物贮存和填埋污染控制标准》（GB18599-2020）中的相关要求；危险废物执行《危险废物贮存污染控制标准》（GB18597-20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要求。</w:t>
      </w:r>
    </w:p>
    <w:p w14:paraId="7E7DDA94">
      <w:pPr>
        <w:pStyle w:val="3"/>
        <w:tabs>
          <w:tab w:val="left" w:pos="0"/>
        </w:tabs>
        <w:rPr>
          <w:color w:val="000000" w:themeColor="text1"/>
          <w:highlight w:val="none"/>
          <w:lang w:val="en-US"/>
          <w14:textFill>
            <w14:solidFill>
              <w14:schemeClr w14:val="tx1"/>
            </w14:solidFill>
          </w14:textFill>
        </w:rPr>
      </w:pPr>
      <w:bookmarkStart w:id="438" w:name="_Toc22575124"/>
      <w:bookmarkStart w:id="439" w:name="_Toc30274"/>
      <w:bookmarkStart w:id="440" w:name="_Toc4109"/>
      <w:bookmarkStart w:id="441" w:name="_Toc6673"/>
      <w:bookmarkStart w:id="442" w:name="_Toc16424"/>
      <w:bookmarkStart w:id="443" w:name="_Toc24476"/>
      <w:bookmarkStart w:id="444" w:name="_Toc18078"/>
      <w:bookmarkStart w:id="445" w:name="_Toc23423"/>
      <w:bookmarkStart w:id="446" w:name="_Toc12714"/>
      <w:bookmarkStart w:id="447" w:name="_Toc26671"/>
      <w:bookmarkStart w:id="448" w:name="_Toc22713"/>
      <w:bookmarkStart w:id="449" w:name="_Toc9648"/>
      <w:bookmarkStart w:id="450" w:name="_Toc5063"/>
      <w:bookmarkStart w:id="451" w:name="_Toc13335"/>
      <w:bookmarkStart w:id="452" w:name="_Toc7186"/>
      <w:bookmarkStart w:id="453" w:name="_Toc23593"/>
      <w:bookmarkStart w:id="454" w:name="_Toc4025"/>
      <w:bookmarkStart w:id="455" w:name="_Toc17864"/>
      <w:bookmarkStart w:id="456" w:name="_Toc1268"/>
      <w:bookmarkStart w:id="457" w:name="_Toc13888"/>
      <w:bookmarkStart w:id="458" w:name="_Toc23306"/>
      <w:bookmarkStart w:id="459" w:name="_Toc29555"/>
      <w:bookmarkStart w:id="460" w:name="_Toc7434"/>
      <w:bookmarkStart w:id="461" w:name="_Toc27739"/>
      <w:bookmarkStart w:id="462" w:name="_Toc29531"/>
      <w:bookmarkStart w:id="463" w:name="_Toc31877"/>
      <w:bookmarkStart w:id="464" w:name="_Toc15795"/>
      <w:bookmarkStart w:id="465" w:name="_Toc26766"/>
      <w:bookmarkStart w:id="466" w:name="_Toc25855"/>
      <w:bookmarkStart w:id="467" w:name="_Toc29400"/>
      <w:bookmarkStart w:id="468" w:name="_Toc31010"/>
      <w:bookmarkStart w:id="469" w:name="_Toc12839"/>
      <w:bookmarkStart w:id="470" w:name="_Toc29717"/>
      <w:bookmarkStart w:id="471" w:name="_Toc17950"/>
      <w:bookmarkStart w:id="472" w:name="_Toc2149"/>
      <w:r>
        <w:rPr>
          <w:color w:val="000000" w:themeColor="text1"/>
          <w:highlight w:val="none"/>
          <w14:textFill>
            <w14:solidFill>
              <w14:schemeClr w14:val="tx1"/>
            </w14:solidFill>
          </w14:textFill>
        </w:rPr>
        <w:t>2.</w:t>
      </w:r>
      <w:r>
        <w:rPr>
          <w:rFonts w:hint="eastAsia"/>
          <w:color w:val="000000" w:themeColor="text1"/>
          <w:highlight w:val="none"/>
          <w:lang w:val="en-US"/>
          <w14:textFill>
            <w14:solidFill>
              <w14:schemeClr w14:val="tx1"/>
            </w14:solidFill>
          </w14:textFill>
        </w:rPr>
        <w:t xml:space="preserve">6 </w:t>
      </w:r>
      <w:r>
        <w:rPr>
          <w:color w:val="000000" w:themeColor="text1"/>
          <w:highlight w:val="none"/>
          <w14:textFill>
            <w14:solidFill>
              <w14:schemeClr w14:val="tx1"/>
            </w14:solidFill>
          </w14:textFill>
        </w:rPr>
        <w:t>评价等级</w:t>
      </w:r>
      <w:bookmarkEnd w:id="438"/>
      <w:bookmarkEnd w:id="439"/>
      <w:bookmarkEnd w:id="440"/>
      <w:r>
        <w:rPr>
          <w:color w:val="000000" w:themeColor="text1"/>
          <w:highlight w:val="none"/>
          <w:lang w:val="en-US"/>
          <w14:textFill>
            <w14:solidFill>
              <w14:schemeClr w14:val="tx1"/>
            </w14:solidFill>
          </w14:textFill>
        </w:rPr>
        <w:t>及评价范围</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14:paraId="361832DD">
      <w:pPr>
        <w:pStyle w:val="4"/>
        <w:tabs>
          <w:tab w:val="left" w:pos="0"/>
        </w:tabs>
        <w:rPr>
          <w:color w:val="000000" w:themeColor="text1"/>
          <w:highlight w:val="none"/>
          <w14:textFill>
            <w14:solidFill>
              <w14:schemeClr w14:val="tx1"/>
            </w14:solidFill>
          </w14:textFill>
        </w:rPr>
      </w:pPr>
      <w:bookmarkStart w:id="473" w:name="_Toc25813"/>
      <w:bookmarkStart w:id="474" w:name="_Toc28896"/>
      <w:bookmarkStart w:id="475" w:name="_Toc13379"/>
      <w:bookmarkStart w:id="476" w:name="_Toc25034"/>
      <w:bookmarkStart w:id="477" w:name="_Toc13328"/>
      <w:bookmarkStart w:id="478" w:name="_Toc14880"/>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.1</w:t>
      </w:r>
      <w:bookmarkEnd w:id="473"/>
      <w:bookmarkEnd w:id="474"/>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环境空气</w:t>
      </w:r>
      <w:bookmarkEnd w:id="475"/>
      <w:bookmarkEnd w:id="476"/>
      <w:bookmarkEnd w:id="477"/>
      <w:bookmarkEnd w:id="478"/>
    </w:p>
    <w:p w14:paraId="5FAD91D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（1）评价工作分级方法</w:t>
      </w:r>
    </w:p>
    <w:p w14:paraId="45E380F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按照《环境影响评价技术导则 大气环境》（HJ2.2-2018）规定，分别计算项目排放主要污染物的最大地面空气质量浓度占标率</w:t>
      </w:r>
      <w:r>
        <w:rPr>
          <w:i/>
          <w:color w:val="000000" w:themeColor="text1"/>
          <w:highlight w:val="none"/>
          <w14:textFill>
            <w14:solidFill>
              <w14:schemeClr w14:val="tx1"/>
            </w14:solidFill>
          </w14:textFill>
        </w:rPr>
        <w:t>P</w:t>
      </w:r>
      <w:r>
        <w:rPr>
          <w:i/>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（第i个污染物，简称“最大浓度占标率”），及第i个污染物的地面空气质量浓度达到标准值的10%时所对应的最远距离D</w:t>
      </w:r>
      <w:r>
        <w:rPr>
          <w:color w:val="000000" w:themeColor="text1"/>
          <w:highlight w:val="none"/>
          <w:vertAlign w:val="subscript"/>
          <w14:textFill>
            <w14:solidFill>
              <w14:schemeClr w14:val="tx1"/>
            </w14:solidFill>
          </w14:textFill>
        </w:rPr>
        <w:t>10%</w:t>
      </w:r>
      <w:r>
        <w:rPr>
          <w:color w:val="000000" w:themeColor="text1"/>
          <w:highlight w:val="none"/>
          <w14:textFill>
            <w14:solidFill>
              <w14:schemeClr w14:val="tx1"/>
            </w14:solidFill>
          </w14:textFill>
        </w:rPr>
        <w:t>。其中</w:t>
      </w:r>
      <w:r>
        <w:rPr>
          <w:i/>
          <w:color w:val="000000" w:themeColor="text1"/>
          <w:highlight w:val="none"/>
          <w14:textFill>
            <w14:solidFill>
              <w14:schemeClr w14:val="tx1"/>
            </w14:solidFill>
          </w14:textFill>
        </w:rPr>
        <w:t>P</w:t>
      </w:r>
      <w:r>
        <w:rPr>
          <w:i/>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定义为：</w:t>
      </w:r>
    </w:p>
    <w:p w14:paraId="1940D335">
      <w:pPr>
        <w:ind w:firstLine="48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color w:val="000000" w:themeColor="text1"/>
          <w:highlight w:val="none"/>
          <w:vertAlign w:val="subscript"/>
          <w14:textFill>
            <w14:solidFill>
              <w14:schemeClr w14:val="tx1"/>
            </w14:solidFill>
          </w14:textFill>
        </w:rPr>
        <w:t xml:space="preserve">i </w:t>
      </w:r>
      <w:r>
        <w:rPr>
          <w:color w:val="000000" w:themeColor="text1"/>
          <w:highlight w:val="none"/>
          <w14:textFill>
            <w14:solidFill>
              <w14:schemeClr w14:val="tx1"/>
            </w14:solidFill>
          </w14:textFill>
        </w:rPr>
        <w:t>=（C</w:t>
      </w:r>
      <w:r>
        <w:rPr>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/C</w:t>
      </w:r>
      <w:r>
        <w:rPr>
          <w:color w:val="000000" w:themeColor="text1"/>
          <w:highlight w:val="none"/>
          <w:vertAlign w:val="subscript"/>
          <w14:textFill>
            <w14:solidFill>
              <w14:schemeClr w14:val="tx1"/>
            </w14:solidFill>
          </w14:textFill>
        </w:rPr>
        <w:t>0i</w:t>
      </w:r>
      <w:r>
        <w:rPr>
          <w:color w:val="000000" w:themeColor="text1"/>
          <w:highlight w:val="none"/>
          <w14:textFill>
            <w14:solidFill>
              <w14:schemeClr w14:val="tx1"/>
            </w14:solidFill>
          </w14:textFill>
        </w:rPr>
        <w:t>）×100%</w:t>
      </w:r>
    </w:p>
    <w:p w14:paraId="564A66D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式中：</w:t>
      </w:r>
      <w:r>
        <w:rPr>
          <w:i/>
          <w:color w:val="000000" w:themeColor="text1"/>
          <w:highlight w:val="none"/>
          <w14:textFill>
            <w14:solidFill>
              <w14:schemeClr w14:val="tx1"/>
            </w14:solidFill>
          </w14:textFill>
        </w:rPr>
        <w:t>P</w:t>
      </w:r>
      <w:r>
        <w:rPr>
          <w:i/>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—第i个污染物的最大地面空气质量浓度占标率，%；</w:t>
      </w:r>
    </w:p>
    <w:p w14:paraId="277DD0DF">
      <w:pPr>
        <w:ind w:firstLine="480"/>
        <w:rPr>
          <w:color w:val="000000" w:themeColor="text1"/>
          <w:highlight w:val="none"/>
          <w14:textFill>
            <w14:solidFill>
              <w14:schemeClr w14:val="tx1"/>
            </w14:solidFill>
          </w14:textFill>
        </w:rPr>
      </w:pPr>
      <w:r>
        <w:rPr>
          <w:i/>
          <w:color w:val="000000" w:themeColor="text1"/>
          <w:highlight w:val="none"/>
          <w14:textFill>
            <w14:solidFill>
              <w14:schemeClr w14:val="tx1"/>
            </w14:solidFill>
          </w14:textFill>
        </w:rPr>
        <w:t xml:space="preserve">      C</w:t>
      </w:r>
      <w:r>
        <w:rPr>
          <w:i/>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—采用估算模型计算出的第i个污染物的最大1h地面空气质量浓度，μg/</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3</w:t>
      </w:r>
      <w:r>
        <w:rPr>
          <w:color w:val="000000" w:themeColor="text1"/>
          <w:highlight w:val="none"/>
          <w14:textFill>
            <w14:solidFill>
              <w14:schemeClr w14:val="tx1"/>
            </w14:solidFill>
          </w14:textFill>
        </w:rPr>
        <w:t>；</w:t>
      </w:r>
    </w:p>
    <w:p w14:paraId="1E026808">
      <w:pPr>
        <w:ind w:firstLine="480"/>
        <w:rPr>
          <w:color w:val="000000" w:themeColor="text1"/>
          <w:highlight w:val="none"/>
          <w14:textFill>
            <w14:solidFill>
              <w14:schemeClr w14:val="tx1"/>
            </w14:solidFill>
          </w14:textFill>
        </w:rPr>
      </w:pPr>
      <w:r>
        <w:rPr>
          <w:i/>
          <w:color w:val="000000" w:themeColor="text1"/>
          <w:highlight w:val="none"/>
          <w14:textFill>
            <w14:solidFill>
              <w14:schemeClr w14:val="tx1"/>
            </w14:solidFill>
          </w14:textFill>
        </w:rPr>
        <w:t xml:space="preserve">      C</w:t>
      </w:r>
      <w:r>
        <w:rPr>
          <w:i/>
          <w:color w:val="000000" w:themeColor="text1"/>
          <w:highlight w:val="none"/>
          <w:vertAlign w:val="subscript"/>
          <w14:textFill>
            <w14:solidFill>
              <w14:schemeClr w14:val="tx1"/>
            </w14:solidFill>
          </w14:textFill>
        </w:rPr>
        <w:t>0i</w:t>
      </w:r>
      <w:r>
        <w:rPr>
          <w:color w:val="000000" w:themeColor="text1"/>
          <w:highlight w:val="none"/>
          <w14:textFill>
            <w14:solidFill>
              <w14:schemeClr w14:val="tx1"/>
            </w14:solidFill>
          </w14:textFill>
        </w:rPr>
        <w:t>—第i个污染物的环境空气质量浓度标准，μg/</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3</w:t>
      </w:r>
      <w:r>
        <w:rPr>
          <w:color w:val="000000" w:themeColor="text1"/>
          <w:highlight w:val="none"/>
          <w14:textFill>
            <w14:solidFill>
              <w14:schemeClr w14:val="tx1"/>
            </w14:solidFill>
          </w14:textFill>
        </w:rPr>
        <w:t>。</w:t>
      </w:r>
    </w:p>
    <w:p w14:paraId="5A2607AA">
      <w:pPr>
        <w:bidi w:val="0"/>
        <w:rPr>
          <w:rFonts w:hint="default"/>
          <w:color w:val="000000" w:themeColor="text1"/>
          <w:highlight w:val="none"/>
          <w:lang w:val="en-US" w:eastAsia="zh-CN"/>
          <w14:textFill>
            <w14:solidFill>
              <w14:schemeClr w14:val="tx1"/>
            </w14:solidFill>
          </w14:textFill>
        </w:rPr>
      </w:pPr>
      <w:bookmarkStart w:id="479" w:name="_Ref536364985"/>
      <w:r>
        <w:rPr>
          <w:rFonts w:hint="eastAsia"/>
          <w:color w:val="000000" w:themeColor="text1"/>
          <w:highlight w:val="none"/>
          <w:lang w:val="en-US" w:eastAsia="zh-CN"/>
          <w14:textFill>
            <w14:solidFill>
              <w14:schemeClr w14:val="tx1"/>
            </w14:solidFill>
          </w14:textFill>
        </w:rPr>
        <w:t>大气评价等级判别表见表2.6.1-1。</w:t>
      </w:r>
    </w:p>
    <w:p w14:paraId="2B32411F">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14:textFill>
            <w14:solidFill>
              <w14:schemeClr w14:val="tx1"/>
            </w14:solidFill>
          </w14:textFill>
        </w:rPr>
        <w:t xml:space="preserve">2.6.1-1     </w:t>
      </w:r>
      <w:r>
        <w:rPr>
          <w:color w:val="000000" w:themeColor="text1"/>
          <w:highlight w:val="none"/>
          <w14:textFill>
            <w14:solidFill>
              <w14:schemeClr w14:val="tx1"/>
            </w14:solidFill>
          </w14:textFill>
        </w:rPr>
        <w:t xml:space="preserve">  </w:t>
      </w:r>
      <w:bookmarkEnd w:id="479"/>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评价工作等级判别表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844"/>
        <w:gridCol w:w="5227"/>
      </w:tblGrid>
      <w:tr w14:paraId="33702E6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3611" w:type="dxa"/>
            <w:tcBorders>
              <w:bottom w:val="single" w:color="auto" w:sz="12" w:space="0"/>
            </w:tcBorders>
            <w:noWrap w:val="0"/>
            <w:vAlign w:val="center"/>
          </w:tcPr>
          <w:p w14:paraId="28F03CA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评价工作等级</w:t>
            </w:r>
          </w:p>
        </w:tc>
        <w:tc>
          <w:tcPr>
            <w:tcW w:w="4911" w:type="dxa"/>
            <w:tcBorders>
              <w:bottom w:val="single" w:color="auto" w:sz="12" w:space="0"/>
            </w:tcBorders>
            <w:noWrap w:val="0"/>
            <w:vAlign w:val="center"/>
          </w:tcPr>
          <w:p w14:paraId="7A3AB0A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评价工作等级判据</w:t>
            </w:r>
          </w:p>
        </w:tc>
      </w:tr>
      <w:tr w14:paraId="038BBB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3611" w:type="dxa"/>
            <w:tcBorders>
              <w:top w:val="single" w:color="auto" w:sz="12" w:space="0"/>
            </w:tcBorders>
            <w:noWrap w:val="0"/>
            <w:vAlign w:val="center"/>
          </w:tcPr>
          <w:p w14:paraId="7D451BA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一级</w:t>
            </w:r>
          </w:p>
        </w:tc>
        <w:tc>
          <w:tcPr>
            <w:tcW w:w="4911" w:type="dxa"/>
            <w:tcBorders>
              <w:top w:val="single" w:color="auto" w:sz="12" w:space="0"/>
            </w:tcBorders>
            <w:noWrap w:val="0"/>
            <w:vAlign w:val="center"/>
          </w:tcPr>
          <w:p w14:paraId="70D4B11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PM</w:t>
            </w:r>
            <w:r>
              <w:rPr>
                <w:color w:val="000000" w:themeColor="text1"/>
                <w:highlight w:val="none"/>
                <w14:textFill>
                  <w14:solidFill>
                    <w14:schemeClr w14:val="tx1"/>
                  </w14:solidFill>
                </w14:textFill>
              </w:rPr>
              <w:t>ax≥10%</w:t>
            </w:r>
          </w:p>
        </w:tc>
      </w:tr>
      <w:tr w14:paraId="215D3A8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3611" w:type="dxa"/>
            <w:noWrap w:val="0"/>
            <w:vAlign w:val="center"/>
          </w:tcPr>
          <w:p w14:paraId="7BF2272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4911" w:type="dxa"/>
            <w:noWrap w:val="0"/>
            <w:vAlign w:val="center"/>
          </w:tcPr>
          <w:p w14:paraId="33C02A8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PM</w:t>
            </w:r>
            <w:r>
              <w:rPr>
                <w:color w:val="000000" w:themeColor="text1"/>
                <w:highlight w:val="none"/>
                <w14:textFill>
                  <w14:solidFill>
                    <w14:schemeClr w14:val="tx1"/>
                  </w14:solidFill>
                </w14:textFill>
              </w:rPr>
              <w:t>ax＜10%</w:t>
            </w:r>
          </w:p>
        </w:tc>
      </w:tr>
      <w:tr w14:paraId="4E9AFD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3611" w:type="dxa"/>
            <w:noWrap w:val="0"/>
            <w:vAlign w:val="center"/>
          </w:tcPr>
          <w:p w14:paraId="3798545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4911" w:type="dxa"/>
            <w:noWrap w:val="0"/>
            <w:vAlign w:val="center"/>
          </w:tcPr>
          <w:p w14:paraId="47F64A7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PM</w:t>
            </w:r>
            <w:r>
              <w:rPr>
                <w:color w:val="000000" w:themeColor="text1"/>
                <w:highlight w:val="none"/>
                <w14:textFill>
                  <w14:solidFill>
                    <w14:schemeClr w14:val="tx1"/>
                  </w14:solidFill>
                </w14:textFill>
              </w:rPr>
              <w:t>ax＜1%</w:t>
            </w:r>
          </w:p>
        </w:tc>
      </w:tr>
    </w:tbl>
    <w:p w14:paraId="3D3F9B9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（2）估算模型参数</w:t>
      </w:r>
    </w:p>
    <w:p w14:paraId="0F9D6411">
      <w:pPr>
        <w:ind w:firstLine="480"/>
        <w:rPr>
          <w:b/>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估算模型参数见表2</w:t>
      </w:r>
      <w:r>
        <w:rPr>
          <w:rFonts w:hint="eastAsia"/>
          <w:color w:val="000000" w:themeColor="text1"/>
          <w:highlight w:val="none"/>
          <w14:textFill>
            <w14:solidFill>
              <w14:schemeClr w14:val="tx1"/>
            </w14:solidFill>
          </w14:textFill>
        </w:rPr>
        <w:t>.6.1-2</w:t>
      </w:r>
      <w:r>
        <w:rPr>
          <w:color w:val="000000" w:themeColor="text1"/>
          <w:highlight w:val="none"/>
          <w14:textFill>
            <w14:solidFill>
              <w14:schemeClr w14:val="tx1"/>
            </w14:solidFill>
          </w14:textFill>
        </w:rPr>
        <w:t>。</w:t>
      </w:r>
    </w:p>
    <w:p w14:paraId="1C1592A8">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 xml:space="preserve">.6.1-2   </w:t>
      </w:r>
      <w:r>
        <w:rPr>
          <w:color w:val="000000" w:themeColor="text1"/>
          <w:highlight w:val="none"/>
          <w14:textFill>
            <w14:solidFill>
              <w14:schemeClr w14:val="tx1"/>
            </w14:solidFill>
          </w14:textFill>
        </w:rPr>
        <w:t xml:space="preserve">  估算模型参数表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55"/>
        <w:gridCol w:w="3860"/>
        <w:gridCol w:w="3156"/>
      </w:tblGrid>
      <w:tr w14:paraId="7B55CA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gridSpan w:val="2"/>
            <w:tcBorders>
              <w:bottom w:val="single" w:color="auto" w:sz="12" w:space="0"/>
            </w:tcBorders>
            <w:noWrap w:val="0"/>
            <w:vAlign w:val="center"/>
          </w:tcPr>
          <w:p w14:paraId="117D31A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参数</w:t>
            </w:r>
          </w:p>
        </w:tc>
        <w:tc>
          <w:tcPr>
            <w:tcW w:w="0" w:type="dxa"/>
            <w:tcBorders>
              <w:bottom w:val="single" w:color="auto" w:sz="12" w:space="0"/>
            </w:tcBorders>
            <w:noWrap w:val="0"/>
            <w:vAlign w:val="center"/>
          </w:tcPr>
          <w:p w14:paraId="5C8D173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取值</w:t>
            </w:r>
          </w:p>
        </w:tc>
      </w:tr>
      <w:tr w14:paraId="3A4D08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vMerge w:val="restart"/>
            <w:tcBorders>
              <w:top w:val="single" w:color="auto" w:sz="12" w:space="0"/>
            </w:tcBorders>
            <w:noWrap w:val="0"/>
            <w:vAlign w:val="center"/>
          </w:tcPr>
          <w:p w14:paraId="11183DF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城市/农村选项</w:t>
            </w:r>
          </w:p>
        </w:tc>
        <w:tc>
          <w:tcPr>
            <w:tcW w:w="0" w:type="dxa"/>
            <w:tcBorders>
              <w:top w:val="single" w:color="auto" w:sz="12" w:space="0"/>
            </w:tcBorders>
            <w:noWrap w:val="0"/>
            <w:vAlign w:val="center"/>
          </w:tcPr>
          <w:p w14:paraId="6719DB2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城市/农村</w:t>
            </w:r>
          </w:p>
        </w:tc>
        <w:tc>
          <w:tcPr>
            <w:tcW w:w="0" w:type="dxa"/>
            <w:tcBorders>
              <w:top w:val="single" w:color="auto" w:sz="12" w:space="0"/>
            </w:tcBorders>
            <w:noWrap w:val="0"/>
            <w:vAlign w:val="center"/>
          </w:tcPr>
          <w:p w14:paraId="59F57945">
            <w:pPr>
              <w:pStyle w:val="26"/>
              <w:bidi w:val="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农村</w:t>
            </w:r>
          </w:p>
        </w:tc>
      </w:tr>
      <w:tr w14:paraId="2DAC32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vMerge w:val="continue"/>
            <w:noWrap w:val="0"/>
            <w:vAlign w:val="center"/>
          </w:tcPr>
          <w:p w14:paraId="75B41EA9">
            <w:pPr>
              <w:pStyle w:val="26"/>
              <w:rPr>
                <w:color w:val="000000" w:themeColor="text1"/>
                <w:highlight w:val="none"/>
                <w14:textFill>
                  <w14:solidFill>
                    <w14:schemeClr w14:val="tx1"/>
                  </w14:solidFill>
                </w14:textFill>
              </w:rPr>
            </w:pPr>
          </w:p>
        </w:tc>
        <w:tc>
          <w:tcPr>
            <w:tcW w:w="0" w:type="dxa"/>
            <w:noWrap w:val="0"/>
            <w:vAlign w:val="center"/>
          </w:tcPr>
          <w:p w14:paraId="29D90A7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人口数</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城市人口数</w:t>
            </w:r>
            <w:r>
              <w:rPr>
                <w:rFonts w:hint="eastAsia"/>
                <w:color w:val="000000" w:themeColor="text1"/>
                <w:highlight w:val="none"/>
                <w14:textFill>
                  <w14:solidFill>
                    <w14:schemeClr w14:val="tx1"/>
                  </w14:solidFill>
                </w14:textFill>
              </w:rPr>
              <w:t>）</w:t>
            </w:r>
          </w:p>
        </w:tc>
        <w:tc>
          <w:tcPr>
            <w:tcW w:w="0" w:type="dxa"/>
            <w:noWrap w:val="0"/>
            <w:vAlign w:val="center"/>
          </w:tcPr>
          <w:p w14:paraId="06E2CB7F">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61C5D1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gridSpan w:val="2"/>
            <w:noWrap w:val="0"/>
            <w:vAlign w:val="center"/>
          </w:tcPr>
          <w:p w14:paraId="2323D69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最高环境温度</w:t>
            </w:r>
          </w:p>
        </w:tc>
        <w:tc>
          <w:tcPr>
            <w:tcW w:w="0" w:type="dxa"/>
            <w:noWrap w:val="0"/>
            <w:vAlign w:val="center"/>
          </w:tcPr>
          <w:p w14:paraId="54FED463">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42.9</w:t>
            </w:r>
          </w:p>
        </w:tc>
      </w:tr>
      <w:tr w14:paraId="36964B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gridSpan w:val="2"/>
            <w:noWrap w:val="0"/>
            <w:vAlign w:val="center"/>
          </w:tcPr>
          <w:p w14:paraId="5996F34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最低环境温度</w:t>
            </w:r>
          </w:p>
        </w:tc>
        <w:tc>
          <w:tcPr>
            <w:tcW w:w="0" w:type="dxa"/>
            <w:noWrap w:val="0"/>
            <w:vAlign w:val="center"/>
          </w:tcPr>
          <w:p w14:paraId="0E73AB1D">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-36.8</w:t>
            </w:r>
          </w:p>
        </w:tc>
      </w:tr>
      <w:tr w14:paraId="44C1A6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0" w:type="dxa"/>
            <w:gridSpan w:val="2"/>
            <w:noWrap w:val="0"/>
            <w:vAlign w:val="center"/>
          </w:tcPr>
          <w:p w14:paraId="5DB4425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土地利用类型</w:t>
            </w:r>
          </w:p>
        </w:tc>
        <w:tc>
          <w:tcPr>
            <w:tcW w:w="0" w:type="dxa"/>
            <w:noWrap w:val="0"/>
            <w:vAlign w:val="center"/>
          </w:tcPr>
          <w:p w14:paraId="02881FAF">
            <w:pPr>
              <w:pStyle w:val="26"/>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工业用地</w:t>
            </w:r>
          </w:p>
        </w:tc>
      </w:tr>
      <w:tr w14:paraId="4E7905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gridSpan w:val="2"/>
            <w:noWrap w:val="0"/>
            <w:vAlign w:val="center"/>
          </w:tcPr>
          <w:p w14:paraId="7DAF0D0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区域湿度条件</w:t>
            </w:r>
          </w:p>
        </w:tc>
        <w:tc>
          <w:tcPr>
            <w:tcW w:w="0" w:type="dxa"/>
            <w:noWrap w:val="0"/>
            <w:vAlign w:val="center"/>
          </w:tcPr>
          <w:p w14:paraId="434B31D4">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干燥</w:t>
            </w:r>
          </w:p>
        </w:tc>
      </w:tr>
      <w:tr w14:paraId="1943B3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vMerge w:val="restart"/>
            <w:noWrap w:val="0"/>
            <w:vAlign w:val="center"/>
          </w:tcPr>
          <w:p w14:paraId="23AE6F3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是否考虑地形</w:t>
            </w:r>
          </w:p>
        </w:tc>
        <w:tc>
          <w:tcPr>
            <w:tcW w:w="0" w:type="dxa"/>
            <w:noWrap w:val="0"/>
            <w:vAlign w:val="center"/>
          </w:tcPr>
          <w:p w14:paraId="53ADA8E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考虑地形</w:t>
            </w:r>
          </w:p>
        </w:tc>
        <w:tc>
          <w:tcPr>
            <w:tcW w:w="0" w:type="dxa"/>
            <w:noWrap w:val="0"/>
            <w:vAlign w:val="center"/>
          </w:tcPr>
          <w:p w14:paraId="5BDFCBD7">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w:t>
            </w:r>
          </w:p>
        </w:tc>
      </w:tr>
      <w:tr w14:paraId="68F7E7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vMerge w:val="continue"/>
            <w:noWrap w:val="0"/>
            <w:vAlign w:val="center"/>
          </w:tcPr>
          <w:p w14:paraId="4C5A0A87">
            <w:pPr>
              <w:pStyle w:val="26"/>
              <w:rPr>
                <w:color w:val="000000" w:themeColor="text1"/>
                <w:highlight w:val="none"/>
                <w14:textFill>
                  <w14:solidFill>
                    <w14:schemeClr w14:val="tx1"/>
                  </w14:solidFill>
                </w14:textFill>
              </w:rPr>
            </w:pPr>
          </w:p>
        </w:tc>
        <w:tc>
          <w:tcPr>
            <w:tcW w:w="0" w:type="dxa"/>
            <w:noWrap w:val="0"/>
            <w:vAlign w:val="center"/>
          </w:tcPr>
          <w:p w14:paraId="2EAE6852">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地形数据分辨率</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m</w:t>
            </w:r>
            <w:r>
              <w:rPr>
                <w:rFonts w:hint="eastAsia"/>
                <w:color w:val="000000" w:themeColor="text1"/>
                <w:highlight w:val="none"/>
                <w14:textFill>
                  <w14:solidFill>
                    <w14:schemeClr w14:val="tx1"/>
                  </w14:solidFill>
                </w14:textFill>
              </w:rPr>
              <w:t>）</w:t>
            </w:r>
          </w:p>
        </w:tc>
        <w:tc>
          <w:tcPr>
            <w:tcW w:w="0" w:type="dxa"/>
            <w:noWrap w:val="0"/>
            <w:vAlign w:val="center"/>
          </w:tcPr>
          <w:p w14:paraId="000E0765">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90</w:t>
            </w:r>
          </w:p>
        </w:tc>
      </w:tr>
      <w:tr w14:paraId="088305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vMerge w:val="restart"/>
            <w:noWrap w:val="0"/>
            <w:vAlign w:val="center"/>
          </w:tcPr>
          <w:p w14:paraId="7CB0F3E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是否考虑岸线熏烟</w:t>
            </w:r>
          </w:p>
        </w:tc>
        <w:tc>
          <w:tcPr>
            <w:tcW w:w="0" w:type="dxa"/>
            <w:noWrap w:val="0"/>
            <w:vAlign w:val="center"/>
          </w:tcPr>
          <w:p w14:paraId="4222410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考虑岸线熏烟</w:t>
            </w:r>
          </w:p>
        </w:tc>
        <w:tc>
          <w:tcPr>
            <w:tcW w:w="0" w:type="dxa"/>
            <w:noWrap w:val="0"/>
            <w:vAlign w:val="center"/>
          </w:tcPr>
          <w:p w14:paraId="3B91BF82">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否</w:t>
            </w:r>
          </w:p>
        </w:tc>
      </w:tr>
      <w:tr w14:paraId="3BDCB0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vMerge w:val="continue"/>
            <w:noWrap w:val="0"/>
            <w:vAlign w:val="center"/>
          </w:tcPr>
          <w:p w14:paraId="4F573013">
            <w:pPr>
              <w:pStyle w:val="26"/>
              <w:rPr>
                <w:color w:val="000000" w:themeColor="text1"/>
                <w:highlight w:val="none"/>
                <w14:textFill>
                  <w14:solidFill>
                    <w14:schemeClr w14:val="tx1"/>
                  </w14:solidFill>
                </w14:textFill>
              </w:rPr>
            </w:pPr>
          </w:p>
        </w:tc>
        <w:tc>
          <w:tcPr>
            <w:tcW w:w="0" w:type="dxa"/>
            <w:noWrap w:val="0"/>
            <w:vAlign w:val="center"/>
          </w:tcPr>
          <w:p w14:paraId="587F01E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岸线距离/m</w:t>
            </w:r>
          </w:p>
        </w:tc>
        <w:tc>
          <w:tcPr>
            <w:tcW w:w="0" w:type="dxa"/>
            <w:noWrap w:val="0"/>
            <w:vAlign w:val="center"/>
          </w:tcPr>
          <w:p w14:paraId="722D65E6">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67B57B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dxa"/>
            <w:vMerge w:val="continue"/>
            <w:noWrap w:val="0"/>
            <w:vAlign w:val="center"/>
          </w:tcPr>
          <w:p w14:paraId="4F02D472">
            <w:pPr>
              <w:pStyle w:val="26"/>
              <w:rPr>
                <w:color w:val="000000" w:themeColor="text1"/>
                <w:highlight w:val="none"/>
                <w14:textFill>
                  <w14:solidFill>
                    <w14:schemeClr w14:val="tx1"/>
                  </w14:solidFill>
                </w14:textFill>
              </w:rPr>
            </w:pPr>
          </w:p>
        </w:tc>
        <w:tc>
          <w:tcPr>
            <w:tcW w:w="0" w:type="dxa"/>
            <w:noWrap w:val="0"/>
            <w:vAlign w:val="center"/>
          </w:tcPr>
          <w:p w14:paraId="2872362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岸线方向/°</w:t>
            </w:r>
          </w:p>
        </w:tc>
        <w:tc>
          <w:tcPr>
            <w:tcW w:w="0" w:type="dxa"/>
            <w:noWrap w:val="0"/>
            <w:vAlign w:val="center"/>
          </w:tcPr>
          <w:p w14:paraId="2EDB6B10">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bl>
    <w:p w14:paraId="52E43DB0">
      <w:pPr>
        <w:adjustRightInd w:val="0"/>
        <w:snapToGrid w:val="0"/>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（3）源强参数</w:t>
      </w:r>
    </w:p>
    <w:p w14:paraId="3973DE19">
      <w:pPr>
        <w:adjustRightInd w:val="0"/>
        <w:snapToGrid w:val="0"/>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w:t>
      </w:r>
      <w:r>
        <w:rPr>
          <w:rFonts w:hint="eastAsia"/>
          <w:color w:val="000000" w:themeColor="text1"/>
          <w:highlight w:val="none"/>
          <w14:textFill>
            <w14:solidFill>
              <w14:schemeClr w14:val="tx1"/>
            </w14:solidFill>
          </w14:textFill>
        </w:rPr>
        <w:t>正常工况下</w:t>
      </w:r>
      <w:r>
        <w:rPr>
          <w:color w:val="000000" w:themeColor="text1"/>
          <w:highlight w:val="none"/>
          <w14:textFill>
            <w14:solidFill>
              <w14:schemeClr w14:val="tx1"/>
            </w14:solidFill>
          </w14:textFill>
        </w:rPr>
        <w:t>有组织排放源源强</w:t>
      </w:r>
      <w:r>
        <w:rPr>
          <w:rFonts w:hint="eastAsia"/>
          <w:color w:val="000000" w:themeColor="text1"/>
          <w:highlight w:val="none"/>
          <w14:textFill>
            <w14:solidFill>
              <w14:schemeClr w14:val="tx1"/>
            </w14:solidFill>
          </w14:textFill>
        </w:rPr>
        <w:t>参数</w:t>
      </w:r>
      <w:r>
        <w:rPr>
          <w:color w:val="000000" w:themeColor="text1"/>
          <w:highlight w:val="none"/>
          <w14:textFill>
            <w14:solidFill>
              <w14:schemeClr w14:val="tx1"/>
            </w14:solidFill>
          </w14:textFill>
        </w:rPr>
        <w:t>表</w:t>
      </w:r>
      <w:r>
        <w:rPr>
          <w:rFonts w:hint="eastAsia"/>
          <w:color w:val="000000" w:themeColor="text1"/>
          <w:highlight w:val="none"/>
          <w14:textFill>
            <w14:solidFill>
              <w14:schemeClr w14:val="tx1"/>
            </w14:solidFill>
          </w14:textFill>
        </w:rPr>
        <w:t>2.6.1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，无组织排放源源强</w:t>
      </w:r>
      <w:r>
        <w:rPr>
          <w:rFonts w:hint="eastAsia"/>
          <w:color w:val="000000" w:themeColor="text1"/>
          <w:highlight w:val="none"/>
          <w14:textFill>
            <w14:solidFill>
              <w14:schemeClr w14:val="tx1"/>
            </w14:solidFill>
          </w14:textFill>
        </w:rPr>
        <w:t>参数</w:t>
      </w:r>
      <w:r>
        <w:rPr>
          <w:color w:val="000000" w:themeColor="text1"/>
          <w:highlight w:val="none"/>
          <w14:textFill>
            <w14:solidFill>
              <w14:schemeClr w14:val="tx1"/>
            </w14:solidFill>
          </w14:textFill>
        </w:rPr>
        <w:t>见表</w:t>
      </w:r>
      <w:r>
        <w:rPr>
          <w:rFonts w:hint="eastAsia"/>
          <w:color w:val="000000" w:themeColor="text1"/>
          <w:highlight w:val="none"/>
          <w14:textFill>
            <w14:solidFill>
              <w14:schemeClr w14:val="tx1"/>
            </w14:solidFill>
          </w14:textFill>
        </w:rPr>
        <w:t>2.6.1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w:t>
      </w:r>
    </w:p>
    <w:p w14:paraId="311D2505">
      <w:pPr>
        <w:pStyle w:val="25"/>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14:textFill>
            <w14:solidFill>
              <w14:schemeClr w14:val="tx1"/>
            </w14:solidFill>
          </w14:textFill>
        </w:rPr>
        <w:t>2.6.1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3 </w:t>
      </w:r>
      <w:r>
        <w:rPr>
          <w:color w:val="000000" w:themeColor="text1"/>
          <w:highlight w:val="none"/>
          <w14:textFill>
            <w14:solidFill>
              <w14:schemeClr w14:val="tx1"/>
            </w14:solidFill>
          </w14:textFill>
        </w:rPr>
        <w:t xml:space="preserve">    有组织废气污染源参数一览表</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点源</w:t>
      </w:r>
      <w:r>
        <w:rPr>
          <w:rFonts w:hint="eastAsia"/>
          <w:color w:val="000000" w:themeColor="text1"/>
          <w:highlight w:val="none"/>
          <w14:textFill>
            <w14:solidFill>
              <w14:schemeClr w14:val="tx1"/>
            </w14:solidFill>
          </w14:textFill>
        </w:rPr>
        <w:t>）</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8"/>
        <w:gridCol w:w="759"/>
        <w:gridCol w:w="882"/>
        <w:gridCol w:w="880"/>
        <w:gridCol w:w="855"/>
        <w:gridCol w:w="724"/>
        <w:gridCol w:w="704"/>
        <w:gridCol w:w="630"/>
        <w:gridCol w:w="724"/>
        <w:gridCol w:w="412"/>
        <w:gridCol w:w="730"/>
        <w:gridCol w:w="833"/>
      </w:tblGrid>
      <w:tr w14:paraId="486D97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jc w:val="center"/>
        </w:trPr>
        <w:tc>
          <w:tcPr>
            <w:tcW w:w="517" w:type="pct"/>
            <w:vMerge w:val="restart"/>
            <w:noWrap w:val="0"/>
            <w:vAlign w:val="center"/>
          </w:tcPr>
          <w:p w14:paraId="355F996E">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编号</w:t>
            </w:r>
          </w:p>
        </w:tc>
        <w:tc>
          <w:tcPr>
            <w:tcW w:w="904" w:type="pct"/>
            <w:gridSpan w:val="2"/>
            <w:noWrap w:val="0"/>
            <w:vAlign w:val="center"/>
          </w:tcPr>
          <w:p w14:paraId="6E17FF3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排气筒底部中心坐标</w:t>
            </w:r>
          </w:p>
        </w:tc>
        <w:tc>
          <w:tcPr>
            <w:tcW w:w="485" w:type="pct"/>
            <w:vMerge w:val="restart"/>
            <w:noWrap w:val="0"/>
            <w:vAlign w:val="center"/>
          </w:tcPr>
          <w:p w14:paraId="775F4DE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排气筒底部海拔高度(m)</w:t>
            </w:r>
          </w:p>
        </w:tc>
        <w:tc>
          <w:tcPr>
            <w:tcW w:w="1605" w:type="pct"/>
            <w:gridSpan w:val="4"/>
            <w:noWrap w:val="0"/>
            <w:vAlign w:val="center"/>
          </w:tcPr>
          <w:p w14:paraId="07566502">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排气筒参数</w:t>
            </w:r>
          </w:p>
        </w:tc>
        <w:tc>
          <w:tcPr>
            <w:tcW w:w="626" w:type="pct"/>
            <w:gridSpan w:val="2"/>
            <w:noWrap w:val="0"/>
            <w:vAlign w:val="center"/>
          </w:tcPr>
          <w:p w14:paraId="43CF6EB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运行参数</w:t>
            </w:r>
          </w:p>
        </w:tc>
        <w:tc>
          <w:tcPr>
            <w:tcW w:w="861" w:type="pct"/>
            <w:gridSpan w:val="2"/>
            <w:noWrap w:val="0"/>
            <w:vAlign w:val="center"/>
          </w:tcPr>
          <w:p w14:paraId="574F50E3">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污染源参数</w:t>
            </w:r>
          </w:p>
        </w:tc>
      </w:tr>
      <w:tr w14:paraId="4C6F27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pct"/>
            <w:vMerge w:val="continue"/>
            <w:tcBorders>
              <w:bottom w:val="single" w:color="auto" w:sz="12" w:space="0"/>
            </w:tcBorders>
            <w:noWrap w:val="0"/>
            <w:vAlign w:val="center"/>
          </w:tcPr>
          <w:p w14:paraId="38EAD7C1">
            <w:pPr>
              <w:pStyle w:val="26"/>
              <w:bidi w:val="0"/>
              <w:rPr>
                <w:rFonts w:hint="default"/>
                <w:color w:val="000000" w:themeColor="text1"/>
                <w:highlight w:val="none"/>
                <w:lang w:val="en-US" w:eastAsia="zh-CN"/>
                <w14:textFill>
                  <w14:solidFill>
                    <w14:schemeClr w14:val="tx1"/>
                  </w14:solidFill>
                </w14:textFill>
              </w:rPr>
            </w:pPr>
          </w:p>
        </w:tc>
        <w:tc>
          <w:tcPr>
            <w:tcW w:w="418" w:type="pct"/>
            <w:tcBorders>
              <w:bottom w:val="single" w:color="auto" w:sz="12" w:space="0"/>
            </w:tcBorders>
            <w:noWrap w:val="0"/>
            <w:vAlign w:val="center"/>
          </w:tcPr>
          <w:p w14:paraId="35DF657B">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经度</w:t>
            </w:r>
          </w:p>
        </w:tc>
        <w:tc>
          <w:tcPr>
            <w:tcW w:w="486" w:type="pct"/>
            <w:tcBorders>
              <w:bottom w:val="single" w:color="auto" w:sz="12" w:space="0"/>
            </w:tcBorders>
            <w:noWrap w:val="0"/>
            <w:vAlign w:val="center"/>
          </w:tcPr>
          <w:p w14:paraId="75CA26C1">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纬度</w:t>
            </w:r>
          </w:p>
        </w:tc>
        <w:tc>
          <w:tcPr>
            <w:tcW w:w="485" w:type="pct"/>
            <w:vMerge w:val="continue"/>
            <w:tcBorders>
              <w:bottom w:val="single" w:color="auto" w:sz="12" w:space="0"/>
            </w:tcBorders>
            <w:noWrap w:val="0"/>
            <w:vAlign w:val="center"/>
          </w:tcPr>
          <w:p w14:paraId="2395DBF2">
            <w:pPr>
              <w:pStyle w:val="26"/>
              <w:bidi w:val="0"/>
              <w:rPr>
                <w:rFonts w:hint="default"/>
                <w:color w:val="000000" w:themeColor="text1"/>
                <w:highlight w:val="none"/>
                <w:lang w:val="en-US" w:eastAsia="zh-CN"/>
                <w14:textFill>
                  <w14:solidFill>
                    <w14:schemeClr w14:val="tx1"/>
                  </w14:solidFill>
                </w14:textFill>
              </w:rPr>
            </w:pPr>
          </w:p>
        </w:tc>
        <w:tc>
          <w:tcPr>
            <w:tcW w:w="471" w:type="pct"/>
            <w:tcBorders>
              <w:bottom w:val="single" w:color="auto" w:sz="12" w:space="0"/>
            </w:tcBorders>
            <w:noWrap w:val="0"/>
            <w:vAlign w:val="center"/>
          </w:tcPr>
          <w:p w14:paraId="33BFC70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排气筒高度(m)</w:t>
            </w:r>
          </w:p>
        </w:tc>
        <w:tc>
          <w:tcPr>
            <w:tcW w:w="399" w:type="pct"/>
            <w:tcBorders>
              <w:bottom w:val="single" w:color="auto" w:sz="12" w:space="0"/>
            </w:tcBorders>
            <w:noWrap w:val="0"/>
            <w:vAlign w:val="center"/>
          </w:tcPr>
          <w:p w14:paraId="20E776B3">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排气筒出口内径(m)</w:t>
            </w:r>
          </w:p>
        </w:tc>
        <w:tc>
          <w:tcPr>
            <w:tcW w:w="388" w:type="pct"/>
            <w:tcBorders>
              <w:bottom w:val="single" w:color="auto" w:sz="12" w:space="0"/>
            </w:tcBorders>
            <w:noWrap w:val="0"/>
            <w:vAlign w:val="center"/>
          </w:tcPr>
          <w:p w14:paraId="7A0505C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烟气流速(m/s)</w:t>
            </w:r>
          </w:p>
        </w:tc>
        <w:tc>
          <w:tcPr>
            <w:tcW w:w="347" w:type="pct"/>
            <w:tcBorders>
              <w:bottom w:val="single" w:color="auto" w:sz="12" w:space="0"/>
            </w:tcBorders>
            <w:noWrap w:val="0"/>
            <w:vAlign w:val="center"/>
          </w:tcPr>
          <w:p w14:paraId="48CD5EE3">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烟气温度(℃)</w:t>
            </w:r>
          </w:p>
        </w:tc>
        <w:tc>
          <w:tcPr>
            <w:tcW w:w="399" w:type="pct"/>
            <w:tcBorders>
              <w:bottom w:val="single" w:color="auto" w:sz="12" w:space="0"/>
            </w:tcBorders>
            <w:noWrap w:val="0"/>
            <w:vAlign w:val="center"/>
          </w:tcPr>
          <w:p w14:paraId="3BF06C7A">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年排放小时数(h)</w:t>
            </w:r>
          </w:p>
        </w:tc>
        <w:tc>
          <w:tcPr>
            <w:tcW w:w="227" w:type="pct"/>
            <w:tcBorders>
              <w:bottom w:val="single" w:color="auto" w:sz="12" w:space="0"/>
            </w:tcBorders>
            <w:noWrap w:val="0"/>
            <w:vAlign w:val="center"/>
          </w:tcPr>
          <w:p w14:paraId="7BAD0EDA">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排放工况</w:t>
            </w:r>
          </w:p>
        </w:tc>
        <w:tc>
          <w:tcPr>
            <w:tcW w:w="402" w:type="pct"/>
            <w:tcBorders>
              <w:bottom w:val="single" w:color="auto" w:sz="12" w:space="0"/>
            </w:tcBorders>
            <w:noWrap w:val="0"/>
            <w:vAlign w:val="center"/>
          </w:tcPr>
          <w:p w14:paraId="5513AF2C">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污染源名称</w:t>
            </w:r>
          </w:p>
        </w:tc>
        <w:tc>
          <w:tcPr>
            <w:tcW w:w="459" w:type="pct"/>
            <w:tcBorders>
              <w:bottom w:val="single" w:color="auto" w:sz="12" w:space="0"/>
            </w:tcBorders>
            <w:noWrap w:val="0"/>
            <w:vAlign w:val="center"/>
          </w:tcPr>
          <w:p w14:paraId="15544ED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污染物排放速率(kg/h)</w:t>
            </w:r>
          </w:p>
        </w:tc>
      </w:tr>
      <w:tr w14:paraId="376B1F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17" w:type="pct"/>
            <w:vMerge w:val="restart"/>
            <w:tcBorders>
              <w:tl2br w:val="nil"/>
              <w:tr2bl w:val="nil"/>
            </w:tcBorders>
            <w:noWrap w:val="0"/>
            <w:vAlign w:val="center"/>
          </w:tcPr>
          <w:p w14:paraId="3D8FD1A0">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废气</w:t>
            </w:r>
            <w:r>
              <w:rPr>
                <w:rFonts w:hint="default"/>
                <w:color w:val="000000" w:themeColor="text1"/>
                <w:highlight w:val="none"/>
                <w:lang w:val="en-US" w:eastAsia="zh-CN"/>
                <w14:textFill>
                  <w14:solidFill>
                    <w14:schemeClr w14:val="tx1"/>
                  </w14:solidFill>
                </w14:textFill>
              </w:rPr>
              <w:t>排放口DA00</w:t>
            </w:r>
            <w:r>
              <w:rPr>
                <w:rFonts w:hint="eastAsia"/>
                <w:color w:val="000000" w:themeColor="text1"/>
                <w:highlight w:val="none"/>
                <w:lang w:val="en-US" w:eastAsia="zh-CN"/>
                <w14:textFill>
                  <w14:solidFill>
                    <w14:schemeClr w14:val="tx1"/>
                  </w14:solidFill>
                </w14:textFill>
              </w:rPr>
              <w:t>1</w:t>
            </w:r>
          </w:p>
        </w:tc>
        <w:tc>
          <w:tcPr>
            <w:tcW w:w="418" w:type="pct"/>
            <w:vMerge w:val="restart"/>
            <w:tcBorders>
              <w:tl2br w:val="nil"/>
              <w:tr2bl w:val="nil"/>
            </w:tcBorders>
            <w:noWrap w:val="0"/>
            <w:vAlign w:val="center"/>
          </w:tcPr>
          <w:p w14:paraId="38B47A8A">
            <w:pPr>
              <w:pStyle w:val="26"/>
              <w:bidi w:val="0"/>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en-US"/>
                <w14:textFill>
                  <w14:solidFill>
                    <w14:schemeClr w14:val="tx1"/>
                  </w14:solidFill>
                </w14:textFill>
              </w:rPr>
              <w:t>87.133759</w:t>
            </w:r>
          </w:p>
        </w:tc>
        <w:tc>
          <w:tcPr>
            <w:tcW w:w="486" w:type="pct"/>
            <w:vMerge w:val="restart"/>
            <w:tcBorders>
              <w:tl2br w:val="nil"/>
              <w:tr2bl w:val="nil"/>
            </w:tcBorders>
            <w:noWrap w:val="0"/>
            <w:vAlign w:val="center"/>
          </w:tcPr>
          <w:p w14:paraId="4EEADFE2">
            <w:pPr>
              <w:pStyle w:val="26"/>
              <w:bidi w:val="0"/>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44.090658</w:t>
            </w:r>
          </w:p>
        </w:tc>
        <w:tc>
          <w:tcPr>
            <w:tcW w:w="485" w:type="pct"/>
            <w:vMerge w:val="restart"/>
            <w:tcBorders>
              <w:tl2br w:val="nil"/>
              <w:tr2bl w:val="nil"/>
            </w:tcBorders>
            <w:noWrap w:val="0"/>
            <w:vAlign w:val="center"/>
          </w:tcPr>
          <w:p w14:paraId="2B2A7EE0">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552</w:t>
            </w:r>
          </w:p>
        </w:tc>
        <w:tc>
          <w:tcPr>
            <w:tcW w:w="471" w:type="pct"/>
            <w:vMerge w:val="restart"/>
            <w:tcBorders>
              <w:tl2br w:val="nil"/>
              <w:tr2bl w:val="nil"/>
            </w:tcBorders>
            <w:noWrap w:val="0"/>
            <w:vAlign w:val="center"/>
          </w:tcPr>
          <w:p w14:paraId="35B0E782">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p>
        </w:tc>
        <w:tc>
          <w:tcPr>
            <w:tcW w:w="399" w:type="pct"/>
            <w:vMerge w:val="restart"/>
            <w:tcBorders>
              <w:tl2br w:val="nil"/>
              <w:tr2bl w:val="nil"/>
            </w:tcBorders>
            <w:noWrap w:val="0"/>
            <w:vAlign w:val="center"/>
          </w:tcPr>
          <w:p w14:paraId="3B59022D">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w:t>
            </w:r>
          </w:p>
        </w:tc>
        <w:tc>
          <w:tcPr>
            <w:tcW w:w="388" w:type="pct"/>
            <w:vMerge w:val="restart"/>
            <w:tcBorders>
              <w:tl2br w:val="nil"/>
              <w:tr2bl w:val="nil"/>
            </w:tcBorders>
            <w:noWrap w:val="0"/>
            <w:vAlign w:val="center"/>
          </w:tcPr>
          <w:p w14:paraId="02E6DD6E">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8.83</w:t>
            </w:r>
          </w:p>
        </w:tc>
        <w:tc>
          <w:tcPr>
            <w:tcW w:w="347" w:type="pct"/>
            <w:vMerge w:val="restart"/>
            <w:tcBorders>
              <w:tl2br w:val="nil"/>
              <w:tr2bl w:val="nil"/>
            </w:tcBorders>
            <w:noWrap w:val="0"/>
            <w:vAlign w:val="center"/>
          </w:tcPr>
          <w:p w14:paraId="729DA88E">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w:t>
            </w:r>
          </w:p>
        </w:tc>
        <w:tc>
          <w:tcPr>
            <w:tcW w:w="399" w:type="pct"/>
            <w:vMerge w:val="restart"/>
            <w:tcBorders>
              <w:tl2br w:val="nil"/>
              <w:tr2bl w:val="nil"/>
            </w:tcBorders>
            <w:noWrap w:val="0"/>
            <w:vAlign w:val="center"/>
          </w:tcPr>
          <w:p w14:paraId="54316D19">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4320</w:t>
            </w:r>
          </w:p>
        </w:tc>
        <w:tc>
          <w:tcPr>
            <w:tcW w:w="227" w:type="pct"/>
            <w:vMerge w:val="restart"/>
            <w:tcBorders>
              <w:tl2br w:val="nil"/>
              <w:tr2bl w:val="nil"/>
            </w:tcBorders>
            <w:noWrap w:val="0"/>
            <w:vAlign w:val="center"/>
          </w:tcPr>
          <w:p w14:paraId="273D15BF">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正常</w:t>
            </w:r>
          </w:p>
        </w:tc>
        <w:tc>
          <w:tcPr>
            <w:tcW w:w="402" w:type="pct"/>
            <w:tcBorders>
              <w:tl2br w:val="nil"/>
              <w:tr2bl w:val="nil"/>
            </w:tcBorders>
            <w:noWrap w:val="0"/>
            <w:vAlign w:val="center"/>
          </w:tcPr>
          <w:p w14:paraId="08651A9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459" w:type="pct"/>
            <w:tcBorders>
              <w:tl2br w:val="nil"/>
              <w:tr2bl w:val="nil"/>
            </w:tcBorders>
            <w:noWrap w:val="0"/>
            <w:vAlign w:val="center"/>
          </w:tcPr>
          <w:p w14:paraId="751403D3">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778</w:t>
            </w:r>
          </w:p>
        </w:tc>
      </w:tr>
      <w:tr w14:paraId="2D30C4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517" w:type="pct"/>
            <w:vMerge w:val="continue"/>
            <w:tcBorders>
              <w:tl2br w:val="nil"/>
              <w:tr2bl w:val="nil"/>
            </w:tcBorders>
            <w:noWrap w:val="0"/>
            <w:vAlign w:val="center"/>
          </w:tcPr>
          <w:p w14:paraId="661E57DF">
            <w:pPr>
              <w:pStyle w:val="26"/>
              <w:bidi w:val="0"/>
              <w:rPr>
                <w:rFonts w:hint="eastAsia"/>
                <w:color w:val="000000" w:themeColor="text1"/>
                <w:highlight w:val="none"/>
                <w:lang w:val="en-US" w:eastAsia="zh-CN"/>
                <w14:textFill>
                  <w14:solidFill>
                    <w14:schemeClr w14:val="tx1"/>
                  </w14:solidFill>
                </w14:textFill>
              </w:rPr>
            </w:pPr>
          </w:p>
        </w:tc>
        <w:tc>
          <w:tcPr>
            <w:tcW w:w="418" w:type="pct"/>
            <w:vMerge w:val="continue"/>
            <w:tcBorders>
              <w:tl2br w:val="nil"/>
              <w:tr2bl w:val="nil"/>
            </w:tcBorders>
            <w:noWrap w:val="0"/>
            <w:vAlign w:val="center"/>
          </w:tcPr>
          <w:p w14:paraId="1FE92324">
            <w:pPr>
              <w:pStyle w:val="26"/>
              <w:bidi w:val="0"/>
              <w:rPr>
                <w:rFonts w:hint="default"/>
                <w:color w:val="000000" w:themeColor="text1"/>
                <w:highlight w:val="none"/>
                <w:lang w:val="en-US" w:eastAsia="zh-CN"/>
                <w14:textFill>
                  <w14:solidFill>
                    <w14:schemeClr w14:val="tx1"/>
                  </w14:solidFill>
                </w14:textFill>
              </w:rPr>
            </w:pPr>
          </w:p>
        </w:tc>
        <w:tc>
          <w:tcPr>
            <w:tcW w:w="486" w:type="pct"/>
            <w:vMerge w:val="continue"/>
            <w:tcBorders>
              <w:tl2br w:val="nil"/>
              <w:tr2bl w:val="nil"/>
            </w:tcBorders>
            <w:noWrap w:val="0"/>
            <w:vAlign w:val="center"/>
          </w:tcPr>
          <w:p w14:paraId="0DB87493">
            <w:pPr>
              <w:pStyle w:val="26"/>
              <w:bidi w:val="0"/>
              <w:rPr>
                <w:rFonts w:hint="default"/>
                <w:color w:val="000000" w:themeColor="text1"/>
                <w:highlight w:val="none"/>
                <w:lang w:val="en-US" w:eastAsia="zh-CN"/>
                <w14:textFill>
                  <w14:solidFill>
                    <w14:schemeClr w14:val="tx1"/>
                  </w14:solidFill>
                </w14:textFill>
              </w:rPr>
            </w:pPr>
          </w:p>
        </w:tc>
        <w:tc>
          <w:tcPr>
            <w:tcW w:w="485" w:type="pct"/>
            <w:vMerge w:val="continue"/>
            <w:tcBorders>
              <w:tl2br w:val="nil"/>
              <w:tr2bl w:val="nil"/>
            </w:tcBorders>
            <w:noWrap w:val="0"/>
            <w:vAlign w:val="center"/>
          </w:tcPr>
          <w:p w14:paraId="4293CA92">
            <w:pPr>
              <w:pStyle w:val="26"/>
              <w:bidi w:val="0"/>
              <w:rPr>
                <w:rFonts w:hint="eastAsia"/>
                <w:color w:val="000000" w:themeColor="text1"/>
                <w:highlight w:val="none"/>
                <w:lang w:val="en-US" w:eastAsia="zh-CN"/>
                <w14:textFill>
                  <w14:solidFill>
                    <w14:schemeClr w14:val="tx1"/>
                  </w14:solidFill>
                </w14:textFill>
              </w:rPr>
            </w:pPr>
          </w:p>
        </w:tc>
        <w:tc>
          <w:tcPr>
            <w:tcW w:w="471" w:type="pct"/>
            <w:vMerge w:val="continue"/>
            <w:tcBorders>
              <w:tl2br w:val="nil"/>
              <w:tr2bl w:val="nil"/>
            </w:tcBorders>
            <w:noWrap w:val="0"/>
            <w:vAlign w:val="center"/>
          </w:tcPr>
          <w:p w14:paraId="138113CA">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795DD8D5">
            <w:pPr>
              <w:pStyle w:val="26"/>
              <w:bidi w:val="0"/>
              <w:rPr>
                <w:rFonts w:hint="eastAsia"/>
                <w:color w:val="000000" w:themeColor="text1"/>
                <w:highlight w:val="none"/>
                <w:lang w:val="en-US" w:eastAsia="zh-CN"/>
                <w14:textFill>
                  <w14:solidFill>
                    <w14:schemeClr w14:val="tx1"/>
                  </w14:solidFill>
                </w14:textFill>
              </w:rPr>
            </w:pPr>
          </w:p>
        </w:tc>
        <w:tc>
          <w:tcPr>
            <w:tcW w:w="388" w:type="pct"/>
            <w:vMerge w:val="continue"/>
            <w:tcBorders>
              <w:tl2br w:val="nil"/>
              <w:tr2bl w:val="nil"/>
            </w:tcBorders>
            <w:noWrap w:val="0"/>
            <w:vAlign w:val="center"/>
          </w:tcPr>
          <w:p w14:paraId="705DCBD7">
            <w:pPr>
              <w:pStyle w:val="26"/>
              <w:bidi w:val="0"/>
              <w:rPr>
                <w:rFonts w:hint="eastAsia"/>
                <w:color w:val="000000" w:themeColor="text1"/>
                <w:highlight w:val="none"/>
                <w:lang w:val="en-US" w:eastAsia="zh-CN"/>
                <w14:textFill>
                  <w14:solidFill>
                    <w14:schemeClr w14:val="tx1"/>
                  </w14:solidFill>
                </w14:textFill>
              </w:rPr>
            </w:pPr>
          </w:p>
        </w:tc>
        <w:tc>
          <w:tcPr>
            <w:tcW w:w="347" w:type="pct"/>
            <w:vMerge w:val="continue"/>
            <w:tcBorders>
              <w:tl2br w:val="nil"/>
              <w:tr2bl w:val="nil"/>
            </w:tcBorders>
            <w:noWrap w:val="0"/>
            <w:vAlign w:val="center"/>
          </w:tcPr>
          <w:p w14:paraId="365C7CCB">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3F0F2A57">
            <w:pPr>
              <w:pStyle w:val="26"/>
              <w:bidi w:val="0"/>
              <w:rPr>
                <w:rFonts w:hint="eastAsia"/>
                <w:color w:val="000000" w:themeColor="text1"/>
                <w:highlight w:val="none"/>
                <w:lang w:val="en-US" w:eastAsia="zh-CN"/>
                <w14:textFill>
                  <w14:solidFill>
                    <w14:schemeClr w14:val="tx1"/>
                  </w14:solidFill>
                </w14:textFill>
              </w:rPr>
            </w:pPr>
          </w:p>
        </w:tc>
        <w:tc>
          <w:tcPr>
            <w:tcW w:w="227" w:type="pct"/>
            <w:vMerge w:val="continue"/>
            <w:tcBorders>
              <w:tl2br w:val="nil"/>
              <w:tr2bl w:val="nil"/>
            </w:tcBorders>
            <w:noWrap w:val="0"/>
            <w:vAlign w:val="center"/>
          </w:tcPr>
          <w:p w14:paraId="16F765BF">
            <w:pPr>
              <w:pStyle w:val="26"/>
              <w:bidi w:val="0"/>
              <w:rPr>
                <w:rFonts w:hint="default"/>
                <w:color w:val="000000" w:themeColor="text1"/>
                <w:highlight w:val="none"/>
                <w:lang w:val="en-US" w:eastAsia="zh-CN"/>
                <w14:textFill>
                  <w14:solidFill>
                    <w14:schemeClr w14:val="tx1"/>
                  </w14:solidFill>
                </w14:textFill>
              </w:rPr>
            </w:pPr>
          </w:p>
        </w:tc>
        <w:tc>
          <w:tcPr>
            <w:tcW w:w="402" w:type="pct"/>
            <w:tcBorders>
              <w:tl2br w:val="nil"/>
              <w:tr2bl w:val="nil"/>
            </w:tcBorders>
            <w:noWrap w:val="0"/>
            <w:vAlign w:val="center"/>
          </w:tcPr>
          <w:p w14:paraId="0F9DB6C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非甲烷总烃</w:t>
            </w:r>
          </w:p>
        </w:tc>
        <w:tc>
          <w:tcPr>
            <w:tcW w:w="459" w:type="pct"/>
            <w:tcBorders>
              <w:tl2br w:val="nil"/>
              <w:tr2bl w:val="nil"/>
            </w:tcBorders>
            <w:noWrap w:val="0"/>
            <w:vAlign w:val="center"/>
          </w:tcPr>
          <w:p w14:paraId="4F799F7D">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0.134</w:t>
            </w:r>
          </w:p>
        </w:tc>
      </w:tr>
      <w:tr w14:paraId="58BF0C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pct"/>
            <w:vMerge w:val="continue"/>
            <w:tcBorders>
              <w:tl2br w:val="nil"/>
              <w:tr2bl w:val="nil"/>
            </w:tcBorders>
            <w:noWrap w:val="0"/>
            <w:vAlign w:val="center"/>
          </w:tcPr>
          <w:p w14:paraId="41E61AE9">
            <w:pPr>
              <w:pStyle w:val="26"/>
              <w:bidi w:val="0"/>
              <w:rPr>
                <w:rFonts w:hint="eastAsia"/>
                <w:color w:val="000000" w:themeColor="text1"/>
                <w:highlight w:val="none"/>
                <w:lang w:val="en-US" w:eastAsia="zh-CN"/>
                <w14:textFill>
                  <w14:solidFill>
                    <w14:schemeClr w14:val="tx1"/>
                  </w14:solidFill>
                </w14:textFill>
              </w:rPr>
            </w:pPr>
          </w:p>
        </w:tc>
        <w:tc>
          <w:tcPr>
            <w:tcW w:w="418" w:type="pct"/>
            <w:vMerge w:val="continue"/>
            <w:tcBorders>
              <w:tl2br w:val="nil"/>
              <w:tr2bl w:val="nil"/>
            </w:tcBorders>
            <w:noWrap w:val="0"/>
            <w:vAlign w:val="center"/>
          </w:tcPr>
          <w:p w14:paraId="3AF49493">
            <w:pPr>
              <w:pStyle w:val="26"/>
              <w:bidi w:val="0"/>
              <w:rPr>
                <w:rFonts w:hint="default"/>
                <w:color w:val="000000" w:themeColor="text1"/>
                <w:highlight w:val="none"/>
                <w:lang w:val="en-US" w:eastAsia="zh-CN"/>
                <w14:textFill>
                  <w14:solidFill>
                    <w14:schemeClr w14:val="tx1"/>
                  </w14:solidFill>
                </w14:textFill>
              </w:rPr>
            </w:pPr>
          </w:p>
        </w:tc>
        <w:tc>
          <w:tcPr>
            <w:tcW w:w="486" w:type="pct"/>
            <w:vMerge w:val="continue"/>
            <w:tcBorders>
              <w:tl2br w:val="nil"/>
              <w:tr2bl w:val="nil"/>
            </w:tcBorders>
            <w:noWrap w:val="0"/>
            <w:vAlign w:val="center"/>
          </w:tcPr>
          <w:p w14:paraId="35D84072">
            <w:pPr>
              <w:pStyle w:val="26"/>
              <w:bidi w:val="0"/>
              <w:rPr>
                <w:rFonts w:hint="default"/>
                <w:color w:val="000000" w:themeColor="text1"/>
                <w:highlight w:val="none"/>
                <w:lang w:val="en-US" w:eastAsia="zh-CN"/>
                <w14:textFill>
                  <w14:solidFill>
                    <w14:schemeClr w14:val="tx1"/>
                  </w14:solidFill>
                </w14:textFill>
              </w:rPr>
            </w:pPr>
          </w:p>
        </w:tc>
        <w:tc>
          <w:tcPr>
            <w:tcW w:w="485" w:type="pct"/>
            <w:vMerge w:val="continue"/>
            <w:tcBorders>
              <w:tl2br w:val="nil"/>
              <w:tr2bl w:val="nil"/>
            </w:tcBorders>
            <w:noWrap w:val="0"/>
            <w:vAlign w:val="center"/>
          </w:tcPr>
          <w:p w14:paraId="797F606F">
            <w:pPr>
              <w:pStyle w:val="26"/>
              <w:bidi w:val="0"/>
              <w:rPr>
                <w:rFonts w:hint="eastAsia"/>
                <w:color w:val="000000" w:themeColor="text1"/>
                <w:highlight w:val="none"/>
                <w:lang w:val="en-US" w:eastAsia="zh-CN"/>
                <w14:textFill>
                  <w14:solidFill>
                    <w14:schemeClr w14:val="tx1"/>
                  </w14:solidFill>
                </w14:textFill>
              </w:rPr>
            </w:pPr>
          </w:p>
        </w:tc>
        <w:tc>
          <w:tcPr>
            <w:tcW w:w="471" w:type="pct"/>
            <w:vMerge w:val="continue"/>
            <w:tcBorders>
              <w:tl2br w:val="nil"/>
              <w:tr2bl w:val="nil"/>
            </w:tcBorders>
            <w:noWrap w:val="0"/>
            <w:vAlign w:val="center"/>
          </w:tcPr>
          <w:p w14:paraId="17DD80DA">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688F3ECD">
            <w:pPr>
              <w:pStyle w:val="26"/>
              <w:bidi w:val="0"/>
              <w:rPr>
                <w:rFonts w:hint="eastAsia"/>
                <w:color w:val="000000" w:themeColor="text1"/>
                <w:highlight w:val="none"/>
                <w:lang w:val="en-US" w:eastAsia="zh-CN"/>
                <w14:textFill>
                  <w14:solidFill>
                    <w14:schemeClr w14:val="tx1"/>
                  </w14:solidFill>
                </w14:textFill>
              </w:rPr>
            </w:pPr>
          </w:p>
        </w:tc>
        <w:tc>
          <w:tcPr>
            <w:tcW w:w="388" w:type="pct"/>
            <w:vMerge w:val="continue"/>
            <w:tcBorders>
              <w:tl2br w:val="nil"/>
              <w:tr2bl w:val="nil"/>
            </w:tcBorders>
            <w:noWrap w:val="0"/>
            <w:vAlign w:val="center"/>
          </w:tcPr>
          <w:p w14:paraId="657A614E">
            <w:pPr>
              <w:pStyle w:val="26"/>
              <w:bidi w:val="0"/>
              <w:rPr>
                <w:rFonts w:hint="eastAsia"/>
                <w:color w:val="000000" w:themeColor="text1"/>
                <w:highlight w:val="none"/>
                <w:lang w:val="en-US" w:eastAsia="zh-CN"/>
                <w14:textFill>
                  <w14:solidFill>
                    <w14:schemeClr w14:val="tx1"/>
                  </w14:solidFill>
                </w14:textFill>
              </w:rPr>
            </w:pPr>
          </w:p>
        </w:tc>
        <w:tc>
          <w:tcPr>
            <w:tcW w:w="347" w:type="pct"/>
            <w:vMerge w:val="continue"/>
            <w:tcBorders>
              <w:tl2br w:val="nil"/>
              <w:tr2bl w:val="nil"/>
            </w:tcBorders>
            <w:noWrap w:val="0"/>
            <w:vAlign w:val="center"/>
          </w:tcPr>
          <w:p w14:paraId="43A020D3">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133FA772">
            <w:pPr>
              <w:pStyle w:val="26"/>
              <w:bidi w:val="0"/>
              <w:rPr>
                <w:rFonts w:hint="eastAsia"/>
                <w:color w:val="000000" w:themeColor="text1"/>
                <w:highlight w:val="none"/>
                <w:lang w:val="en-US" w:eastAsia="zh-CN"/>
                <w14:textFill>
                  <w14:solidFill>
                    <w14:schemeClr w14:val="tx1"/>
                  </w14:solidFill>
                </w14:textFill>
              </w:rPr>
            </w:pPr>
          </w:p>
        </w:tc>
        <w:tc>
          <w:tcPr>
            <w:tcW w:w="227" w:type="pct"/>
            <w:vMerge w:val="continue"/>
            <w:tcBorders>
              <w:tl2br w:val="nil"/>
              <w:tr2bl w:val="nil"/>
            </w:tcBorders>
            <w:noWrap w:val="0"/>
            <w:vAlign w:val="center"/>
          </w:tcPr>
          <w:p w14:paraId="029075CD">
            <w:pPr>
              <w:pStyle w:val="26"/>
              <w:bidi w:val="0"/>
              <w:rPr>
                <w:rFonts w:hint="default"/>
                <w:color w:val="000000" w:themeColor="text1"/>
                <w:highlight w:val="none"/>
                <w:lang w:val="en-US" w:eastAsia="zh-CN"/>
                <w14:textFill>
                  <w14:solidFill>
                    <w14:schemeClr w14:val="tx1"/>
                  </w14:solidFill>
                </w14:textFill>
              </w:rPr>
            </w:pPr>
          </w:p>
        </w:tc>
        <w:tc>
          <w:tcPr>
            <w:tcW w:w="402" w:type="pct"/>
            <w:tcBorders>
              <w:tl2br w:val="nil"/>
              <w:tr2bl w:val="nil"/>
            </w:tcBorders>
            <w:noWrap w:val="0"/>
            <w:vAlign w:val="center"/>
          </w:tcPr>
          <w:p w14:paraId="7F158D3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459" w:type="pct"/>
            <w:tcBorders>
              <w:tl2br w:val="nil"/>
              <w:tr2bl w:val="nil"/>
            </w:tcBorders>
            <w:noWrap w:val="0"/>
            <w:vAlign w:val="center"/>
          </w:tcPr>
          <w:p w14:paraId="13AAE52E">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0.022</w:t>
            </w:r>
          </w:p>
        </w:tc>
      </w:tr>
      <w:tr w14:paraId="01B373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pct"/>
            <w:vMerge w:val="continue"/>
            <w:tcBorders>
              <w:tl2br w:val="nil"/>
              <w:tr2bl w:val="nil"/>
            </w:tcBorders>
            <w:noWrap w:val="0"/>
            <w:vAlign w:val="center"/>
          </w:tcPr>
          <w:p w14:paraId="1655071E">
            <w:pPr>
              <w:pStyle w:val="26"/>
              <w:bidi w:val="0"/>
              <w:rPr>
                <w:rFonts w:hint="eastAsia"/>
                <w:color w:val="000000" w:themeColor="text1"/>
                <w:highlight w:val="none"/>
                <w:lang w:val="en-US" w:eastAsia="zh-CN"/>
                <w14:textFill>
                  <w14:solidFill>
                    <w14:schemeClr w14:val="tx1"/>
                  </w14:solidFill>
                </w14:textFill>
              </w:rPr>
            </w:pPr>
          </w:p>
        </w:tc>
        <w:tc>
          <w:tcPr>
            <w:tcW w:w="418" w:type="pct"/>
            <w:vMerge w:val="continue"/>
            <w:tcBorders>
              <w:tl2br w:val="nil"/>
              <w:tr2bl w:val="nil"/>
            </w:tcBorders>
            <w:noWrap w:val="0"/>
            <w:vAlign w:val="center"/>
          </w:tcPr>
          <w:p w14:paraId="2E89A85D">
            <w:pPr>
              <w:pStyle w:val="26"/>
              <w:bidi w:val="0"/>
              <w:rPr>
                <w:rFonts w:hint="default"/>
                <w:color w:val="000000" w:themeColor="text1"/>
                <w:highlight w:val="none"/>
                <w:lang w:val="en-US" w:eastAsia="zh-CN"/>
                <w14:textFill>
                  <w14:solidFill>
                    <w14:schemeClr w14:val="tx1"/>
                  </w14:solidFill>
                </w14:textFill>
              </w:rPr>
            </w:pPr>
          </w:p>
        </w:tc>
        <w:tc>
          <w:tcPr>
            <w:tcW w:w="486" w:type="pct"/>
            <w:vMerge w:val="continue"/>
            <w:tcBorders>
              <w:tl2br w:val="nil"/>
              <w:tr2bl w:val="nil"/>
            </w:tcBorders>
            <w:noWrap w:val="0"/>
            <w:vAlign w:val="center"/>
          </w:tcPr>
          <w:p w14:paraId="2608832F">
            <w:pPr>
              <w:pStyle w:val="26"/>
              <w:bidi w:val="0"/>
              <w:rPr>
                <w:rFonts w:hint="default"/>
                <w:color w:val="000000" w:themeColor="text1"/>
                <w:highlight w:val="none"/>
                <w:lang w:val="en-US" w:eastAsia="zh-CN"/>
                <w14:textFill>
                  <w14:solidFill>
                    <w14:schemeClr w14:val="tx1"/>
                  </w14:solidFill>
                </w14:textFill>
              </w:rPr>
            </w:pPr>
          </w:p>
        </w:tc>
        <w:tc>
          <w:tcPr>
            <w:tcW w:w="485" w:type="pct"/>
            <w:vMerge w:val="continue"/>
            <w:tcBorders>
              <w:tl2br w:val="nil"/>
              <w:tr2bl w:val="nil"/>
            </w:tcBorders>
            <w:noWrap w:val="0"/>
            <w:vAlign w:val="center"/>
          </w:tcPr>
          <w:p w14:paraId="3731660F">
            <w:pPr>
              <w:pStyle w:val="26"/>
              <w:bidi w:val="0"/>
              <w:rPr>
                <w:rFonts w:hint="eastAsia"/>
                <w:color w:val="000000" w:themeColor="text1"/>
                <w:highlight w:val="none"/>
                <w:lang w:val="en-US" w:eastAsia="zh-CN"/>
                <w14:textFill>
                  <w14:solidFill>
                    <w14:schemeClr w14:val="tx1"/>
                  </w14:solidFill>
                </w14:textFill>
              </w:rPr>
            </w:pPr>
          </w:p>
        </w:tc>
        <w:tc>
          <w:tcPr>
            <w:tcW w:w="471" w:type="pct"/>
            <w:vMerge w:val="continue"/>
            <w:tcBorders>
              <w:tl2br w:val="nil"/>
              <w:tr2bl w:val="nil"/>
            </w:tcBorders>
            <w:noWrap w:val="0"/>
            <w:vAlign w:val="center"/>
          </w:tcPr>
          <w:p w14:paraId="06373DEA">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745239B4">
            <w:pPr>
              <w:pStyle w:val="26"/>
              <w:bidi w:val="0"/>
              <w:rPr>
                <w:rFonts w:hint="eastAsia"/>
                <w:color w:val="000000" w:themeColor="text1"/>
                <w:highlight w:val="none"/>
                <w:lang w:val="en-US" w:eastAsia="zh-CN"/>
                <w14:textFill>
                  <w14:solidFill>
                    <w14:schemeClr w14:val="tx1"/>
                  </w14:solidFill>
                </w14:textFill>
              </w:rPr>
            </w:pPr>
          </w:p>
        </w:tc>
        <w:tc>
          <w:tcPr>
            <w:tcW w:w="388" w:type="pct"/>
            <w:vMerge w:val="continue"/>
            <w:tcBorders>
              <w:tl2br w:val="nil"/>
              <w:tr2bl w:val="nil"/>
            </w:tcBorders>
            <w:noWrap w:val="0"/>
            <w:vAlign w:val="center"/>
          </w:tcPr>
          <w:p w14:paraId="75F7B6C4">
            <w:pPr>
              <w:pStyle w:val="26"/>
              <w:bidi w:val="0"/>
              <w:rPr>
                <w:rFonts w:hint="eastAsia"/>
                <w:color w:val="000000" w:themeColor="text1"/>
                <w:highlight w:val="none"/>
                <w:lang w:val="en-US" w:eastAsia="zh-CN"/>
                <w14:textFill>
                  <w14:solidFill>
                    <w14:schemeClr w14:val="tx1"/>
                  </w14:solidFill>
                </w14:textFill>
              </w:rPr>
            </w:pPr>
          </w:p>
        </w:tc>
        <w:tc>
          <w:tcPr>
            <w:tcW w:w="347" w:type="pct"/>
            <w:vMerge w:val="continue"/>
            <w:tcBorders>
              <w:tl2br w:val="nil"/>
              <w:tr2bl w:val="nil"/>
            </w:tcBorders>
            <w:noWrap w:val="0"/>
            <w:vAlign w:val="center"/>
          </w:tcPr>
          <w:p w14:paraId="3C4073E7">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526500E7">
            <w:pPr>
              <w:pStyle w:val="26"/>
              <w:bidi w:val="0"/>
              <w:rPr>
                <w:rFonts w:hint="eastAsia"/>
                <w:color w:val="000000" w:themeColor="text1"/>
                <w:highlight w:val="none"/>
                <w:lang w:val="en-US" w:eastAsia="zh-CN"/>
                <w14:textFill>
                  <w14:solidFill>
                    <w14:schemeClr w14:val="tx1"/>
                  </w14:solidFill>
                </w14:textFill>
              </w:rPr>
            </w:pPr>
          </w:p>
        </w:tc>
        <w:tc>
          <w:tcPr>
            <w:tcW w:w="227" w:type="pct"/>
            <w:vMerge w:val="continue"/>
            <w:tcBorders>
              <w:tl2br w:val="nil"/>
              <w:tr2bl w:val="nil"/>
            </w:tcBorders>
            <w:noWrap w:val="0"/>
            <w:vAlign w:val="center"/>
          </w:tcPr>
          <w:p w14:paraId="54BF1960">
            <w:pPr>
              <w:pStyle w:val="26"/>
              <w:bidi w:val="0"/>
              <w:rPr>
                <w:rFonts w:hint="default"/>
                <w:color w:val="000000" w:themeColor="text1"/>
                <w:highlight w:val="none"/>
                <w:lang w:val="en-US" w:eastAsia="zh-CN"/>
                <w14:textFill>
                  <w14:solidFill>
                    <w14:schemeClr w14:val="tx1"/>
                  </w14:solidFill>
                </w14:textFill>
              </w:rPr>
            </w:pPr>
          </w:p>
        </w:tc>
        <w:tc>
          <w:tcPr>
            <w:tcW w:w="402" w:type="pct"/>
            <w:tcBorders>
              <w:tl2br w:val="nil"/>
              <w:tr2bl w:val="nil"/>
            </w:tcBorders>
            <w:noWrap w:val="0"/>
            <w:vAlign w:val="center"/>
          </w:tcPr>
          <w:p w14:paraId="349CBD7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氟化物</w:t>
            </w:r>
          </w:p>
        </w:tc>
        <w:tc>
          <w:tcPr>
            <w:tcW w:w="459" w:type="pct"/>
            <w:tcBorders>
              <w:tl2br w:val="nil"/>
              <w:tr2bl w:val="nil"/>
            </w:tcBorders>
            <w:noWrap w:val="0"/>
            <w:vAlign w:val="center"/>
          </w:tcPr>
          <w:p w14:paraId="01F8BEFD">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0.0001</w:t>
            </w:r>
          </w:p>
        </w:tc>
      </w:tr>
    </w:tbl>
    <w:p w14:paraId="4977A671">
      <w:pPr>
        <w:pStyle w:val="25"/>
        <w:bidi w:val="0"/>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14:textFill>
            <w14:solidFill>
              <w14:schemeClr w14:val="tx1"/>
            </w14:solidFill>
          </w14:textFill>
        </w:rPr>
        <w:t>2.6.1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4 </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14:textFill>
            <w14:solidFill>
              <w14:schemeClr w14:val="tx1"/>
            </w14:solidFill>
          </w14:textFill>
        </w:rPr>
        <w:t xml:space="preserve">   无组织废气污染源参数一览表</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矩形面源</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 xml:space="preserve"> </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97"/>
        <w:gridCol w:w="1320"/>
        <w:gridCol w:w="1300"/>
        <w:gridCol w:w="793"/>
        <w:gridCol w:w="766"/>
        <w:gridCol w:w="929"/>
        <w:gridCol w:w="1004"/>
        <w:gridCol w:w="1056"/>
        <w:gridCol w:w="1006"/>
      </w:tblGrid>
      <w:tr w14:paraId="064E6A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4" w:type="pct"/>
            <w:vMerge w:val="restart"/>
            <w:tcBorders>
              <w:tl2br w:val="nil"/>
              <w:tr2bl w:val="nil"/>
            </w:tcBorders>
            <w:noWrap w:val="0"/>
            <w:vAlign w:val="center"/>
          </w:tcPr>
          <w:p w14:paraId="4E3A2BDA">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面源名称</w:t>
            </w:r>
          </w:p>
        </w:tc>
        <w:tc>
          <w:tcPr>
            <w:tcW w:w="1443" w:type="pct"/>
            <w:gridSpan w:val="2"/>
            <w:tcBorders>
              <w:tl2br w:val="nil"/>
              <w:tr2bl w:val="nil"/>
            </w:tcBorders>
            <w:noWrap w:val="0"/>
            <w:vAlign w:val="center"/>
          </w:tcPr>
          <w:p w14:paraId="4416789C">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坐标</w:t>
            </w:r>
          </w:p>
        </w:tc>
        <w:tc>
          <w:tcPr>
            <w:tcW w:w="437" w:type="pct"/>
            <w:vMerge w:val="restart"/>
            <w:tcBorders>
              <w:tl2br w:val="nil"/>
              <w:tr2bl w:val="nil"/>
            </w:tcBorders>
            <w:noWrap w:val="0"/>
            <w:vAlign w:val="center"/>
          </w:tcPr>
          <w:p w14:paraId="1D9F1EDF">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长度</w:t>
            </w:r>
          </w:p>
        </w:tc>
        <w:tc>
          <w:tcPr>
            <w:tcW w:w="422" w:type="pct"/>
            <w:vMerge w:val="restart"/>
            <w:tcBorders>
              <w:tl2br w:val="nil"/>
              <w:tr2bl w:val="nil"/>
            </w:tcBorders>
            <w:noWrap w:val="0"/>
            <w:vAlign w:val="center"/>
          </w:tcPr>
          <w:p w14:paraId="007EC83C">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宽度</w:t>
            </w:r>
          </w:p>
        </w:tc>
        <w:tc>
          <w:tcPr>
            <w:tcW w:w="512" w:type="pct"/>
            <w:vMerge w:val="restart"/>
            <w:tcBorders>
              <w:tl2br w:val="nil"/>
              <w:tr2bl w:val="nil"/>
            </w:tcBorders>
            <w:noWrap w:val="0"/>
            <w:vAlign w:val="center"/>
          </w:tcPr>
          <w:p w14:paraId="7B7B58AF">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有效高度</w:t>
            </w:r>
          </w:p>
        </w:tc>
        <w:tc>
          <w:tcPr>
            <w:tcW w:w="553" w:type="pct"/>
            <w:vMerge w:val="restart"/>
            <w:tcBorders>
              <w:tl2br w:val="nil"/>
              <w:tr2bl w:val="nil"/>
            </w:tcBorders>
            <w:noWrap w:val="0"/>
            <w:vAlign w:val="center"/>
          </w:tcPr>
          <w:p w14:paraId="55C99988">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年排放小时数</w:t>
            </w:r>
          </w:p>
        </w:tc>
        <w:tc>
          <w:tcPr>
            <w:tcW w:w="1136" w:type="pct"/>
            <w:gridSpan w:val="2"/>
            <w:vMerge w:val="restart"/>
            <w:tcBorders>
              <w:tl2br w:val="nil"/>
              <w:tr2bl w:val="nil"/>
            </w:tcBorders>
            <w:noWrap w:val="0"/>
            <w:vAlign w:val="center"/>
          </w:tcPr>
          <w:p w14:paraId="5344279E">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污染物排放速率</w:t>
            </w:r>
          </w:p>
          <w:p w14:paraId="79C68B6F">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w:t>
            </w:r>
            <w:r>
              <w:rPr>
                <w:rFonts w:hint="default"/>
                <w:b/>
                <w:bCs/>
                <w:color w:val="000000" w:themeColor="text1"/>
                <w:highlight w:val="none"/>
                <w:lang w:val="en-US" w:eastAsia="zh-CN"/>
                <w14:textFill>
                  <w14:solidFill>
                    <w14:schemeClr w14:val="tx1"/>
                  </w14:solidFill>
                </w14:textFill>
              </w:rPr>
              <w:t>kg/h</w:t>
            </w:r>
            <w:r>
              <w:rPr>
                <w:rFonts w:hint="eastAsia"/>
                <w:b/>
                <w:bCs/>
                <w:color w:val="000000" w:themeColor="text1"/>
                <w:highlight w:val="none"/>
                <w:lang w:val="en-US" w:eastAsia="zh-CN"/>
                <w14:textFill>
                  <w14:solidFill>
                    <w14:schemeClr w14:val="tx1"/>
                  </w14:solidFill>
                </w14:textFill>
              </w:rPr>
              <w:t>)</w:t>
            </w:r>
          </w:p>
        </w:tc>
      </w:tr>
      <w:tr w14:paraId="6E9E57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4" w:type="pct"/>
            <w:vMerge w:val="continue"/>
            <w:tcBorders>
              <w:bottom w:val="single" w:color="auto" w:sz="12" w:space="0"/>
              <w:tl2br w:val="nil"/>
              <w:tr2bl w:val="nil"/>
            </w:tcBorders>
            <w:noWrap/>
            <w:vAlign w:val="center"/>
          </w:tcPr>
          <w:p w14:paraId="571C6B4A">
            <w:pPr>
              <w:pStyle w:val="26"/>
              <w:bidi w:val="0"/>
              <w:rPr>
                <w:rFonts w:hint="default"/>
                <w:b/>
                <w:bCs/>
                <w:color w:val="000000" w:themeColor="text1"/>
                <w:highlight w:val="none"/>
                <w:lang w:val="en-US" w:eastAsia="zh-CN"/>
                <w14:textFill>
                  <w14:solidFill>
                    <w14:schemeClr w14:val="tx1"/>
                  </w14:solidFill>
                </w14:textFill>
              </w:rPr>
            </w:pPr>
          </w:p>
        </w:tc>
        <w:tc>
          <w:tcPr>
            <w:tcW w:w="727" w:type="pct"/>
            <w:tcBorders>
              <w:bottom w:val="single" w:color="auto" w:sz="12" w:space="0"/>
              <w:tl2br w:val="nil"/>
              <w:tr2bl w:val="nil"/>
            </w:tcBorders>
            <w:noWrap w:val="0"/>
            <w:vAlign w:val="center"/>
          </w:tcPr>
          <w:p w14:paraId="54177815">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经度</w:t>
            </w:r>
          </w:p>
        </w:tc>
        <w:tc>
          <w:tcPr>
            <w:tcW w:w="716" w:type="pct"/>
            <w:tcBorders>
              <w:bottom w:val="single" w:color="auto" w:sz="12" w:space="0"/>
              <w:tl2br w:val="nil"/>
              <w:tr2bl w:val="nil"/>
            </w:tcBorders>
            <w:noWrap w:val="0"/>
            <w:vAlign w:val="center"/>
          </w:tcPr>
          <w:p w14:paraId="7FC21147">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纬度</w:t>
            </w:r>
          </w:p>
        </w:tc>
        <w:tc>
          <w:tcPr>
            <w:tcW w:w="437" w:type="pct"/>
            <w:vMerge w:val="continue"/>
            <w:tcBorders>
              <w:bottom w:val="single" w:color="auto" w:sz="12" w:space="0"/>
              <w:tl2br w:val="nil"/>
              <w:tr2bl w:val="nil"/>
            </w:tcBorders>
            <w:noWrap/>
            <w:vAlign w:val="center"/>
          </w:tcPr>
          <w:p w14:paraId="5FB085D4">
            <w:pPr>
              <w:pStyle w:val="26"/>
              <w:bidi w:val="0"/>
              <w:rPr>
                <w:rFonts w:hint="default"/>
                <w:color w:val="000000" w:themeColor="text1"/>
                <w:highlight w:val="none"/>
                <w:lang w:val="en-US" w:eastAsia="zh-CN"/>
                <w14:textFill>
                  <w14:solidFill>
                    <w14:schemeClr w14:val="tx1"/>
                  </w14:solidFill>
                </w14:textFill>
              </w:rPr>
            </w:pPr>
          </w:p>
        </w:tc>
        <w:tc>
          <w:tcPr>
            <w:tcW w:w="422" w:type="pct"/>
            <w:vMerge w:val="continue"/>
            <w:tcBorders>
              <w:bottom w:val="single" w:color="auto" w:sz="12" w:space="0"/>
              <w:tl2br w:val="nil"/>
              <w:tr2bl w:val="nil"/>
            </w:tcBorders>
            <w:noWrap/>
            <w:vAlign w:val="center"/>
          </w:tcPr>
          <w:p w14:paraId="1EE3FCC7">
            <w:pPr>
              <w:pStyle w:val="26"/>
              <w:bidi w:val="0"/>
              <w:rPr>
                <w:rFonts w:hint="default"/>
                <w:color w:val="000000" w:themeColor="text1"/>
                <w:highlight w:val="none"/>
                <w:lang w:val="en-US" w:eastAsia="zh-CN"/>
                <w14:textFill>
                  <w14:solidFill>
                    <w14:schemeClr w14:val="tx1"/>
                  </w14:solidFill>
                </w14:textFill>
              </w:rPr>
            </w:pPr>
          </w:p>
        </w:tc>
        <w:tc>
          <w:tcPr>
            <w:tcW w:w="512" w:type="pct"/>
            <w:vMerge w:val="continue"/>
            <w:tcBorders>
              <w:bottom w:val="single" w:color="auto" w:sz="12" w:space="0"/>
              <w:tl2br w:val="nil"/>
              <w:tr2bl w:val="nil"/>
            </w:tcBorders>
            <w:noWrap/>
            <w:vAlign w:val="center"/>
          </w:tcPr>
          <w:p w14:paraId="4AB83DF6">
            <w:pPr>
              <w:pStyle w:val="26"/>
              <w:bidi w:val="0"/>
              <w:rPr>
                <w:rFonts w:hint="default"/>
                <w:color w:val="000000" w:themeColor="text1"/>
                <w:highlight w:val="none"/>
                <w:lang w:val="en-US" w:eastAsia="zh-CN"/>
                <w14:textFill>
                  <w14:solidFill>
                    <w14:schemeClr w14:val="tx1"/>
                  </w14:solidFill>
                </w14:textFill>
              </w:rPr>
            </w:pPr>
          </w:p>
        </w:tc>
        <w:tc>
          <w:tcPr>
            <w:tcW w:w="553" w:type="pct"/>
            <w:vMerge w:val="continue"/>
            <w:tcBorders>
              <w:bottom w:val="single" w:color="auto" w:sz="12" w:space="0"/>
              <w:tl2br w:val="nil"/>
              <w:tr2bl w:val="nil"/>
            </w:tcBorders>
            <w:noWrap/>
            <w:vAlign w:val="center"/>
          </w:tcPr>
          <w:p w14:paraId="08D39CCB">
            <w:pPr>
              <w:pStyle w:val="26"/>
              <w:bidi w:val="0"/>
              <w:rPr>
                <w:rFonts w:hint="default"/>
                <w:color w:val="000000" w:themeColor="text1"/>
                <w:highlight w:val="none"/>
                <w:lang w:val="en-US" w:eastAsia="zh-CN"/>
                <w14:textFill>
                  <w14:solidFill>
                    <w14:schemeClr w14:val="tx1"/>
                  </w14:solidFill>
                </w14:textFill>
              </w:rPr>
            </w:pPr>
          </w:p>
        </w:tc>
        <w:tc>
          <w:tcPr>
            <w:tcW w:w="1136" w:type="pct"/>
            <w:gridSpan w:val="2"/>
            <w:vMerge w:val="continue"/>
            <w:tcBorders>
              <w:bottom w:val="single" w:color="auto" w:sz="12" w:space="0"/>
              <w:tl2br w:val="nil"/>
              <w:tr2bl w:val="nil"/>
            </w:tcBorders>
            <w:noWrap/>
            <w:vAlign w:val="center"/>
          </w:tcPr>
          <w:p w14:paraId="2BD559B6">
            <w:pPr>
              <w:pStyle w:val="26"/>
              <w:bidi w:val="0"/>
              <w:rPr>
                <w:rFonts w:hint="default"/>
                <w:color w:val="000000" w:themeColor="text1"/>
                <w:highlight w:val="none"/>
                <w:lang w:val="en-US" w:eastAsia="zh-CN"/>
                <w14:textFill>
                  <w14:solidFill>
                    <w14:schemeClr w14:val="tx1"/>
                  </w14:solidFill>
                </w14:textFill>
              </w:rPr>
            </w:pPr>
          </w:p>
        </w:tc>
      </w:tr>
      <w:tr w14:paraId="04A92C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94" w:type="pct"/>
            <w:vMerge w:val="restart"/>
            <w:tcBorders>
              <w:top w:val="single" w:color="auto" w:sz="12" w:space="0"/>
            </w:tcBorders>
            <w:noWrap w:val="0"/>
            <w:vAlign w:val="center"/>
          </w:tcPr>
          <w:p w14:paraId="10F6D5BE">
            <w:pPr>
              <w:pStyle w:val="26"/>
              <w:bidi w:val="0"/>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生产</w:t>
            </w:r>
            <w:r>
              <w:rPr>
                <w:rFonts w:hint="eastAsia"/>
                <w:color w:val="000000" w:themeColor="text1"/>
                <w:highlight w:val="none"/>
                <w:lang w:val="en-US" w:eastAsia="zh-CN"/>
                <w14:textFill>
                  <w14:solidFill>
                    <w14:schemeClr w14:val="tx1"/>
                  </w14:solidFill>
                </w14:textFill>
              </w:rPr>
              <w:t>车间</w:t>
            </w:r>
          </w:p>
        </w:tc>
        <w:tc>
          <w:tcPr>
            <w:tcW w:w="727" w:type="pct"/>
            <w:vMerge w:val="restart"/>
            <w:tcBorders>
              <w:top w:val="single" w:color="auto" w:sz="12" w:space="0"/>
            </w:tcBorders>
            <w:noWrap/>
            <w:vAlign w:val="center"/>
          </w:tcPr>
          <w:p w14:paraId="19E3674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87.134121</w:t>
            </w:r>
          </w:p>
        </w:tc>
        <w:tc>
          <w:tcPr>
            <w:tcW w:w="716" w:type="pct"/>
            <w:vMerge w:val="restart"/>
            <w:tcBorders>
              <w:top w:val="single" w:color="auto" w:sz="12" w:space="0"/>
            </w:tcBorders>
            <w:noWrap/>
            <w:vAlign w:val="center"/>
          </w:tcPr>
          <w:p w14:paraId="1A32F1D3">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44.090663</w:t>
            </w:r>
          </w:p>
        </w:tc>
        <w:tc>
          <w:tcPr>
            <w:tcW w:w="437" w:type="pct"/>
            <w:vMerge w:val="restart"/>
            <w:tcBorders>
              <w:top w:val="single" w:color="auto" w:sz="12" w:space="0"/>
            </w:tcBorders>
            <w:noWrap/>
            <w:vAlign w:val="center"/>
          </w:tcPr>
          <w:p w14:paraId="37430184">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70.00</w:t>
            </w:r>
          </w:p>
        </w:tc>
        <w:tc>
          <w:tcPr>
            <w:tcW w:w="422" w:type="pct"/>
            <w:vMerge w:val="restart"/>
            <w:tcBorders>
              <w:top w:val="single" w:color="auto" w:sz="12" w:space="0"/>
            </w:tcBorders>
            <w:noWrap/>
            <w:vAlign w:val="center"/>
          </w:tcPr>
          <w:p w14:paraId="2007F70F">
            <w:pPr>
              <w:pStyle w:val="26"/>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50.00</w:t>
            </w:r>
          </w:p>
        </w:tc>
        <w:tc>
          <w:tcPr>
            <w:tcW w:w="512" w:type="pct"/>
            <w:vMerge w:val="restart"/>
            <w:tcBorders>
              <w:top w:val="single" w:color="auto" w:sz="12" w:space="0"/>
            </w:tcBorders>
            <w:noWrap/>
            <w:vAlign w:val="center"/>
          </w:tcPr>
          <w:p w14:paraId="33425113">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12.00</w:t>
            </w:r>
          </w:p>
        </w:tc>
        <w:tc>
          <w:tcPr>
            <w:tcW w:w="553" w:type="pct"/>
            <w:vMerge w:val="restart"/>
            <w:tcBorders>
              <w:top w:val="single" w:color="auto" w:sz="12" w:space="0"/>
            </w:tcBorders>
            <w:noWrap/>
            <w:vAlign w:val="center"/>
          </w:tcPr>
          <w:p w14:paraId="37C8E998">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4320</w:t>
            </w:r>
          </w:p>
        </w:tc>
        <w:tc>
          <w:tcPr>
            <w:tcW w:w="582" w:type="pct"/>
            <w:tcBorders>
              <w:top w:val="single" w:color="auto" w:sz="12" w:space="0"/>
              <w:bottom w:val="single" w:color="auto" w:sz="4" w:space="0"/>
            </w:tcBorders>
            <w:noWrap/>
            <w:vAlign w:val="center"/>
          </w:tcPr>
          <w:p w14:paraId="1408B810">
            <w:pPr>
              <w:pStyle w:val="26"/>
              <w:bidi w:val="0"/>
              <w:ind w:left="0" w:leftChars="0" w:right="0" w:rightChars="0"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980" w:type="dxa"/>
            <w:tcBorders>
              <w:top w:val="single" w:color="auto" w:sz="12" w:space="0"/>
              <w:bottom w:val="single" w:color="auto" w:sz="4" w:space="0"/>
            </w:tcBorders>
            <w:noWrap/>
            <w:vAlign w:val="center"/>
          </w:tcPr>
          <w:p w14:paraId="7C532D8D">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w:t>
            </w:r>
            <w:r>
              <w:rPr>
                <w:rFonts w:hint="eastAsia" w:cs="Times New Roman"/>
                <w:color w:val="000000" w:themeColor="text1"/>
                <w:highlight w:val="none"/>
                <w:lang w:val="en-US" w:eastAsia="zh-CN"/>
                <w14:textFill>
                  <w14:solidFill>
                    <w14:schemeClr w14:val="tx1"/>
                  </w14:solidFill>
                </w14:textFill>
              </w:rPr>
              <w:t>5</w:t>
            </w:r>
          </w:p>
        </w:tc>
      </w:tr>
      <w:tr w14:paraId="0483D3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94" w:type="pct"/>
            <w:vMerge w:val="continue"/>
            <w:tcBorders>
              <w:bottom w:val="single" w:color="auto" w:sz="12" w:space="0"/>
            </w:tcBorders>
            <w:noWrap w:val="0"/>
            <w:vAlign w:val="center"/>
          </w:tcPr>
          <w:p w14:paraId="45654014">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727" w:type="pct"/>
            <w:vMerge w:val="continue"/>
            <w:tcBorders>
              <w:bottom w:val="single" w:color="auto" w:sz="12" w:space="0"/>
            </w:tcBorders>
            <w:noWrap/>
            <w:vAlign w:val="center"/>
          </w:tcPr>
          <w:p w14:paraId="1D81B00A">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716" w:type="pct"/>
            <w:vMerge w:val="continue"/>
            <w:tcBorders>
              <w:bottom w:val="single" w:color="auto" w:sz="12" w:space="0"/>
            </w:tcBorders>
            <w:noWrap/>
            <w:vAlign w:val="center"/>
          </w:tcPr>
          <w:p w14:paraId="56D176D6">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437" w:type="pct"/>
            <w:vMerge w:val="continue"/>
            <w:tcBorders>
              <w:bottom w:val="single" w:color="auto" w:sz="12" w:space="0"/>
            </w:tcBorders>
            <w:noWrap/>
            <w:vAlign w:val="center"/>
          </w:tcPr>
          <w:p w14:paraId="1FEE7DD6">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422" w:type="pct"/>
            <w:vMerge w:val="continue"/>
            <w:tcBorders>
              <w:bottom w:val="single" w:color="auto" w:sz="12" w:space="0"/>
            </w:tcBorders>
            <w:noWrap/>
            <w:vAlign w:val="center"/>
          </w:tcPr>
          <w:p w14:paraId="0E9A6730">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512" w:type="pct"/>
            <w:vMerge w:val="continue"/>
            <w:tcBorders>
              <w:bottom w:val="single" w:color="auto" w:sz="12" w:space="0"/>
            </w:tcBorders>
            <w:noWrap/>
            <w:vAlign w:val="center"/>
          </w:tcPr>
          <w:p w14:paraId="2B78D9C8">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553" w:type="pct"/>
            <w:vMerge w:val="continue"/>
            <w:tcBorders>
              <w:bottom w:val="single" w:color="auto" w:sz="12" w:space="0"/>
            </w:tcBorders>
            <w:noWrap/>
            <w:vAlign w:val="center"/>
          </w:tcPr>
          <w:p w14:paraId="6424D4AB">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582" w:type="pct"/>
            <w:tcBorders>
              <w:top w:val="single" w:color="auto" w:sz="4" w:space="0"/>
              <w:bottom w:val="single" w:color="auto" w:sz="12" w:space="0"/>
            </w:tcBorders>
            <w:noWrap/>
            <w:vAlign w:val="center"/>
          </w:tcPr>
          <w:p w14:paraId="3DA53188">
            <w:pPr>
              <w:pStyle w:val="26"/>
              <w:bidi w:val="0"/>
              <w:ind w:left="0" w:leftChars="0" w:right="0" w:rightChars="0" w:firstLine="0" w:firstLineChars="0"/>
              <w:jc w:val="center"/>
              <w:rPr>
                <w:rFonts w:hint="default"/>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980" w:type="dxa"/>
            <w:tcBorders>
              <w:top w:val="single" w:color="auto" w:sz="4" w:space="0"/>
              <w:bottom w:val="single" w:color="auto" w:sz="12" w:space="0"/>
            </w:tcBorders>
            <w:noWrap/>
            <w:vAlign w:val="center"/>
          </w:tcPr>
          <w:p w14:paraId="3E760AF0">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0.0000</w:t>
            </w:r>
            <w:r>
              <w:rPr>
                <w:rFonts w:hint="eastAsia" w:cs="Times New Roman"/>
                <w:color w:val="000000" w:themeColor="text1"/>
                <w:highlight w:val="none"/>
                <w:lang w:val="en-US" w:eastAsia="zh-CN"/>
                <w14:textFill>
                  <w14:solidFill>
                    <w14:schemeClr w14:val="tx1"/>
                  </w14:solidFill>
                </w14:textFill>
              </w:rPr>
              <w:t>1</w:t>
            </w:r>
          </w:p>
        </w:tc>
      </w:tr>
    </w:tbl>
    <w:p w14:paraId="281D881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（4）估算结果</w:t>
      </w:r>
    </w:p>
    <w:p w14:paraId="6D51B12C">
      <w:pPr>
        <w:adjustRightInd w:val="0"/>
        <w:snapToGrid w:val="0"/>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估算结果见表2</w:t>
      </w:r>
      <w:r>
        <w:rPr>
          <w:rFonts w:hint="eastAsia"/>
          <w:color w:val="000000" w:themeColor="text1"/>
          <w:highlight w:val="none"/>
          <w14:textFill>
            <w14:solidFill>
              <w14:schemeClr w14:val="tx1"/>
            </w14:solidFill>
          </w14:textFill>
        </w:rPr>
        <w:t>.6.1-5</w:t>
      </w:r>
      <w:r>
        <w:rPr>
          <w:color w:val="000000" w:themeColor="text1"/>
          <w:highlight w:val="none"/>
          <w14:textFill>
            <w14:solidFill>
              <w14:schemeClr w14:val="tx1"/>
            </w14:solidFill>
          </w14:textFill>
        </w:rPr>
        <w:t>。</w:t>
      </w:r>
    </w:p>
    <w:p w14:paraId="46F91D7A">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.6.1-5</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Pmax和D10%预测和计算结果一览表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46"/>
        <w:gridCol w:w="1280"/>
        <w:gridCol w:w="1500"/>
        <w:gridCol w:w="1590"/>
        <w:gridCol w:w="1390"/>
        <w:gridCol w:w="1165"/>
      </w:tblGrid>
      <w:tr w14:paraId="2C7F99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tcBorders>
              <w:bottom w:val="single" w:color="auto" w:sz="12" w:space="0"/>
            </w:tcBorders>
            <w:noWrap w:val="0"/>
            <w:vAlign w:val="center"/>
          </w:tcPr>
          <w:p w14:paraId="5F0CA6C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污染源名称</w:t>
            </w:r>
          </w:p>
        </w:tc>
        <w:tc>
          <w:tcPr>
            <w:tcW w:w="1280" w:type="dxa"/>
            <w:tcBorders>
              <w:bottom w:val="single" w:color="auto" w:sz="12" w:space="0"/>
            </w:tcBorders>
            <w:noWrap w:val="0"/>
            <w:vAlign w:val="center"/>
          </w:tcPr>
          <w:p w14:paraId="4565CEB6">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评价因子</w:t>
            </w:r>
          </w:p>
        </w:tc>
        <w:tc>
          <w:tcPr>
            <w:tcW w:w="1500" w:type="dxa"/>
            <w:tcBorders>
              <w:bottom w:val="single" w:color="auto" w:sz="12" w:space="0"/>
            </w:tcBorders>
            <w:noWrap w:val="0"/>
            <w:vAlign w:val="center"/>
          </w:tcPr>
          <w:p w14:paraId="7FA9C50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评价标准</w:t>
            </w:r>
            <w:r>
              <w:rPr>
                <w:rFonts w:hint="eastAsia"/>
                <w:b/>
                <w:bCs/>
                <w:color w:val="000000" w:themeColor="text1"/>
                <w:highlight w:val="none"/>
                <w:lang w:eastAsia="zh-CN"/>
                <w14:textFill>
                  <w14:solidFill>
                    <w14:schemeClr w14:val="tx1"/>
                  </w14:solidFill>
                </w14:textFill>
              </w:rPr>
              <w:t>（</w:t>
            </w:r>
            <w:r>
              <w:rPr>
                <w:b/>
                <w:bCs/>
                <w:color w:val="000000" w:themeColor="text1"/>
                <w:highlight w:val="none"/>
                <w14:textFill>
                  <w14:solidFill>
                    <w14:schemeClr w14:val="tx1"/>
                  </w14:solidFill>
                </w14:textFill>
              </w:rPr>
              <w:t>μg/m³</w:t>
            </w:r>
            <w:r>
              <w:rPr>
                <w:rFonts w:hint="eastAsia"/>
                <w:b/>
                <w:bCs/>
                <w:color w:val="000000" w:themeColor="text1"/>
                <w:highlight w:val="none"/>
                <w:lang w:eastAsia="zh-CN"/>
                <w14:textFill>
                  <w14:solidFill>
                    <w14:schemeClr w14:val="tx1"/>
                  </w14:solidFill>
                </w14:textFill>
              </w:rPr>
              <w:t>）</w:t>
            </w:r>
          </w:p>
        </w:tc>
        <w:tc>
          <w:tcPr>
            <w:tcW w:w="1590" w:type="dxa"/>
            <w:tcBorders>
              <w:bottom w:val="single" w:color="auto" w:sz="12" w:space="0"/>
            </w:tcBorders>
            <w:noWrap w:val="0"/>
            <w:vAlign w:val="center"/>
          </w:tcPr>
          <w:p w14:paraId="3477BEB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Cmax(μg/m³)</w:t>
            </w:r>
          </w:p>
        </w:tc>
        <w:tc>
          <w:tcPr>
            <w:tcW w:w="1390" w:type="dxa"/>
            <w:tcBorders>
              <w:bottom w:val="single" w:color="auto" w:sz="12" w:space="0"/>
            </w:tcBorders>
            <w:noWrap w:val="0"/>
            <w:vAlign w:val="center"/>
          </w:tcPr>
          <w:p w14:paraId="39FF251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Pmax(%)</w:t>
            </w:r>
          </w:p>
        </w:tc>
        <w:tc>
          <w:tcPr>
            <w:tcW w:w="1165" w:type="dxa"/>
            <w:tcBorders>
              <w:bottom w:val="single" w:color="auto" w:sz="12" w:space="0"/>
            </w:tcBorders>
            <w:noWrap w:val="0"/>
            <w:vAlign w:val="center"/>
          </w:tcPr>
          <w:p w14:paraId="18FC4FF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D10%(m)</w:t>
            </w:r>
          </w:p>
        </w:tc>
      </w:tr>
      <w:tr w14:paraId="34D614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vMerge w:val="restart"/>
            <w:noWrap w:val="0"/>
            <w:vAlign w:val="center"/>
          </w:tcPr>
          <w:p w14:paraId="0280DA9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废气排放口DA001</w:t>
            </w:r>
          </w:p>
        </w:tc>
        <w:tc>
          <w:tcPr>
            <w:tcW w:w="1280" w:type="dxa"/>
            <w:noWrap w:val="0"/>
            <w:vAlign w:val="center"/>
          </w:tcPr>
          <w:p w14:paraId="271FA690">
            <w:pPr>
              <w:pStyle w:val="26"/>
              <w:bidi w:val="0"/>
              <w:ind w:left="0" w:leftChars="0" w:right="0" w:rightChars="0" w:firstLine="0" w:firstLineChars="0"/>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1500" w:type="dxa"/>
            <w:noWrap w:val="0"/>
            <w:vAlign w:val="center"/>
          </w:tcPr>
          <w:p w14:paraId="105847D6">
            <w:pPr>
              <w:pStyle w:val="26"/>
              <w:bidi w:val="0"/>
              <w:rPr>
                <w:rFonts w:hint="default"/>
                <w:color w:val="000000" w:themeColor="text1"/>
                <w:highlight w:val="none"/>
                <w:lang w:val="en-US"/>
                <w14:textFill>
                  <w14:solidFill>
                    <w14:schemeClr w14:val="tx1"/>
                  </w14:solidFill>
                </w14:textFill>
              </w:rPr>
            </w:pPr>
            <w:r>
              <w:rPr>
                <w:color w:val="000000" w:themeColor="text1"/>
                <w:highlight w:val="none"/>
                <w14:textFill>
                  <w14:solidFill>
                    <w14:schemeClr w14:val="tx1"/>
                  </w14:solidFill>
                </w14:textFill>
              </w:rPr>
              <w:t>360.0</w:t>
            </w:r>
          </w:p>
        </w:tc>
        <w:tc>
          <w:tcPr>
            <w:tcW w:w="1590" w:type="dxa"/>
            <w:noWrap w:val="0"/>
            <w:vAlign w:val="center"/>
          </w:tcPr>
          <w:p w14:paraId="563C4A0E">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17.94</w:t>
            </w:r>
          </w:p>
        </w:tc>
        <w:tc>
          <w:tcPr>
            <w:tcW w:w="1390" w:type="dxa"/>
            <w:noWrap w:val="0"/>
            <w:vAlign w:val="center"/>
          </w:tcPr>
          <w:p w14:paraId="097882B7">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4.98</w:t>
            </w:r>
          </w:p>
        </w:tc>
        <w:tc>
          <w:tcPr>
            <w:tcW w:w="1165" w:type="dxa"/>
            <w:noWrap w:val="0"/>
            <w:vAlign w:val="center"/>
          </w:tcPr>
          <w:p w14:paraId="1E84DBAB">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54F1B9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vMerge w:val="continue"/>
            <w:noWrap w:val="0"/>
            <w:vAlign w:val="center"/>
          </w:tcPr>
          <w:p w14:paraId="754F535D">
            <w:pPr>
              <w:pStyle w:val="26"/>
              <w:rPr>
                <w:color w:val="000000" w:themeColor="text1"/>
                <w:highlight w:val="none"/>
                <w14:textFill>
                  <w14:solidFill>
                    <w14:schemeClr w14:val="tx1"/>
                  </w14:solidFill>
                </w14:textFill>
              </w:rPr>
            </w:pPr>
          </w:p>
        </w:tc>
        <w:tc>
          <w:tcPr>
            <w:tcW w:w="1280" w:type="dxa"/>
            <w:noWrap w:val="0"/>
            <w:vAlign w:val="center"/>
          </w:tcPr>
          <w:p w14:paraId="3423EBEF">
            <w:pPr>
              <w:pStyle w:val="26"/>
              <w:bidi w:val="0"/>
              <w:ind w:left="0" w:leftChars="0" w:right="0" w:rightChars="0" w:firstLine="0" w:firstLineChars="0"/>
              <w:rPr>
                <w:rFonts w:hint="eastAsia" w:eastAsia="宋体"/>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1500" w:type="dxa"/>
            <w:noWrap w:val="0"/>
            <w:vAlign w:val="center"/>
          </w:tcPr>
          <w:p w14:paraId="0B192800">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2000.0</w:t>
            </w:r>
          </w:p>
        </w:tc>
        <w:tc>
          <w:tcPr>
            <w:tcW w:w="1590" w:type="dxa"/>
            <w:noWrap w:val="0"/>
            <w:vAlign w:val="center"/>
          </w:tcPr>
          <w:p w14:paraId="2846CC16">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3.00</w:t>
            </w:r>
          </w:p>
        </w:tc>
        <w:tc>
          <w:tcPr>
            <w:tcW w:w="1390" w:type="dxa"/>
            <w:noWrap w:val="0"/>
            <w:vAlign w:val="center"/>
          </w:tcPr>
          <w:p w14:paraId="29BD6BF2">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0.15</w:t>
            </w:r>
          </w:p>
        </w:tc>
        <w:tc>
          <w:tcPr>
            <w:tcW w:w="1165" w:type="dxa"/>
            <w:noWrap w:val="0"/>
            <w:vAlign w:val="center"/>
          </w:tcPr>
          <w:p w14:paraId="4B7C4A52">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21BC44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vMerge w:val="continue"/>
            <w:noWrap w:val="0"/>
            <w:vAlign w:val="center"/>
          </w:tcPr>
          <w:p w14:paraId="0EBC4ABC">
            <w:pPr>
              <w:pStyle w:val="26"/>
              <w:rPr>
                <w:rFonts w:hint="eastAsia"/>
                <w:color w:val="000000" w:themeColor="text1"/>
                <w:highlight w:val="none"/>
                <w14:textFill>
                  <w14:solidFill>
                    <w14:schemeClr w14:val="tx1"/>
                  </w14:solidFill>
                </w14:textFill>
              </w:rPr>
            </w:pPr>
          </w:p>
        </w:tc>
        <w:tc>
          <w:tcPr>
            <w:tcW w:w="1280" w:type="dxa"/>
            <w:noWrap w:val="0"/>
            <w:vAlign w:val="center"/>
          </w:tcPr>
          <w:p w14:paraId="3A2C31EB">
            <w:pPr>
              <w:pStyle w:val="26"/>
              <w:bidi w:val="0"/>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1500" w:type="dxa"/>
            <w:noWrap w:val="0"/>
            <w:vAlign w:val="center"/>
          </w:tcPr>
          <w:p w14:paraId="238BE2A5">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300.0</w:t>
            </w:r>
          </w:p>
        </w:tc>
        <w:tc>
          <w:tcPr>
            <w:tcW w:w="1590" w:type="dxa"/>
            <w:noWrap w:val="0"/>
            <w:vAlign w:val="center"/>
          </w:tcPr>
          <w:p w14:paraId="1437C826">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0.51</w:t>
            </w:r>
          </w:p>
        </w:tc>
        <w:tc>
          <w:tcPr>
            <w:tcW w:w="1390" w:type="dxa"/>
            <w:noWrap w:val="0"/>
            <w:vAlign w:val="center"/>
          </w:tcPr>
          <w:p w14:paraId="759DE3C7">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0.17</w:t>
            </w:r>
          </w:p>
        </w:tc>
        <w:tc>
          <w:tcPr>
            <w:tcW w:w="1165" w:type="dxa"/>
            <w:noWrap w:val="0"/>
            <w:vAlign w:val="center"/>
          </w:tcPr>
          <w:p w14:paraId="04F62852">
            <w:pPr>
              <w:pStyle w:val="26"/>
              <w:bidi w:val="0"/>
              <w:rPr>
                <w:color w:val="000000" w:themeColor="text1"/>
                <w:highlight w:val="none"/>
                <w14:textFill>
                  <w14:solidFill>
                    <w14:schemeClr w14:val="tx1"/>
                  </w14:solidFill>
                </w14:textFill>
              </w:rPr>
            </w:pPr>
          </w:p>
        </w:tc>
      </w:tr>
      <w:tr w14:paraId="55C575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vMerge w:val="continue"/>
            <w:noWrap w:val="0"/>
            <w:vAlign w:val="center"/>
          </w:tcPr>
          <w:p w14:paraId="3CEEC46D">
            <w:pPr>
              <w:pStyle w:val="26"/>
              <w:rPr>
                <w:rFonts w:hint="eastAsia"/>
                <w:color w:val="000000" w:themeColor="text1"/>
                <w:highlight w:val="none"/>
                <w14:textFill>
                  <w14:solidFill>
                    <w14:schemeClr w14:val="tx1"/>
                  </w14:solidFill>
                </w14:textFill>
              </w:rPr>
            </w:pPr>
          </w:p>
        </w:tc>
        <w:tc>
          <w:tcPr>
            <w:tcW w:w="1280" w:type="dxa"/>
            <w:noWrap w:val="0"/>
            <w:vAlign w:val="center"/>
          </w:tcPr>
          <w:p w14:paraId="51488E64">
            <w:pPr>
              <w:pStyle w:val="26"/>
              <w:bidi w:val="0"/>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1500" w:type="dxa"/>
            <w:noWrap w:val="0"/>
            <w:vAlign w:val="center"/>
          </w:tcPr>
          <w:p w14:paraId="3CBDC341">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20.0</w:t>
            </w:r>
          </w:p>
        </w:tc>
        <w:tc>
          <w:tcPr>
            <w:tcW w:w="1590" w:type="dxa"/>
            <w:noWrap w:val="0"/>
            <w:vAlign w:val="center"/>
          </w:tcPr>
          <w:p w14:paraId="62BC4374">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0.00</w:t>
            </w:r>
          </w:p>
        </w:tc>
        <w:tc>
          <w:tcPr>
            <w:tcW w:w="1390" w:type="dxa"/>
            <w:noWrap w:val="0"/>
            <w:vAlign w:val="center"/>
          </w:tcPr>
          <w:p w14:paraId="7199C20C">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0.01</w:t>
            </w:r>
          </w:p>
        </w:tc>
        <w:tc>
          <w:tcPr>
            <w:tcW w:w="1165" w:type="dxa"/>
            <w:noWrap w:val="0"/>
            <w:vAlign w:val="center"/>
          </w:tcPr>
          <w:p w14:paraId="7212B135">
            <w:pPr>
              <w:pStyle w:val="26"/>
              <w:bidi w:val="0"/>
              <w:rPr>
                <w:color w:val="000000" w:themeColor="text1"/>
                <w:highlight w:val="none"/>
                <w14:textFill>
                  <w14:solidFill>
                    <w14:schemeClr w14:val="tx1"/>
                  </w14:solidFill>
                </w14:textFill>
              </w:rPr>
            </w:pPr>
          </w:p>
        </w:tc>
      </w:tr>
      <w:tr w14:paraId="62165B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vMerge w:val="restart"/>
            <w:noWrap w:val="0"/>
            <w:vAlign w:val="center"/>
          </w:tcPr>
          <w:p w14:paraId="4587FA9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生产车间</w:t>
            </w:r>
          </w:p>
        </w:tc>
        <w:tc>
          <w:tcPr>
            <w:tcW w:w="1280" w:type="dxa"/>
            <w:noWrap w:val="0"/>
            <w:vAlign w:val="center"/>
          </w:tcPr>
          <w:p w14:paraId="40C32FF0">
            <w:pPr>
              <w:pStyle w:val="26"/>
              <w:bidi w:val="0"/>
              <w:ind w:left="0" w:leftChars="0" w:right="0" w:rightChars="0" w:firstLine="0" w:firstLineChars="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1500" w:type="dxa"/>
            <w:noWrap w:val="0"/>
            <w:vAlign w:val="center"/>
          </w:tcPr>
          <w:p w14:paraId="4E7054E6">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900.0</w:t>
            </w:r>
          </w:p>
        </w:tc>
        <w:tc>
          <w:tcPr>
            <w:tcW w:w="1590" w:type="dxa"/>
            <w:noWrap w:val="0"/>
            <w:vAlign w:val="center"/>
          </w:tcPr>
          <w:p w14:paraId="72EA4FBC">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29.17</w:t>
            </w:r>
          </w:p>
        </w:tc>
        <w:tc>
          <w:tcPr>
            <w:tcW w:w="1390" w:type="dxa"/>
            <w:noWrap w:val="0"/>
            <w:vAlign w:val="center"/>
          </w:tcPr>
          <w:p w14:paraId="5E07E938">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3.24</w:t>
            </w:r>
          </w:p>
        </w:tc>
        <w:tc>
          <w:tcPr>
            <w:tcW w:w="1165" w:type="dxa"/>
            <w:noWrap w:val="0"/>
            <w:vAlign w:val="center"/>
          </w:tcPr>
          <w:p w14:paraId="06226C17">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784A56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46" w:type="dxa"/>
            <w:vMerge w:val="continue"/>
            <w:noWrap w:val="0"/>
            <w:vAlign w:val="center"/>
          </w:tcPr>
          <w:p w14:paraId="371DEBCD">
            <w:pPr>
              <w:pStyle w:val="26"/>
              <w:rPr>
                <w:color w:val="000000" w:themeColor="text1"/>
                <w:highlight w:val="none"/>
                <w14:textFill>
                  <w14:solidFill>
                    <w14:schemeClr w14:val="tx1"/>
                  </w14:solidFill>
                </w14:textFill>
              </w:rPr>
            </w:pPr>
          </w:p>
        </w:tc>
        <w:tc>
          <w:tcPr>
            <w:tcW w:w="1280" w:type="dxa"/>
            <w:noWrap w:val="0"/>
            <w:vAlign w:val="center"/>
          </w:tcPr>
          <w:p w14:paraId="52E4C39E">
            <w:pPr>
              <w:pStyle w:val="26"/>
              <w:bidi w:val="0"/>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1500" w:type="dxa"/>
            <w:noWrap w:val="0"/>
            <w:vAlign w:val="center"/>
          </w:tcPr>
          <w:p w14:paraId="66A9820A">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300.0</w:t>
            </w:r>
          </w:p>
        </w:tc>
        <w:tc>
          <w:tcPr>
            <w:tcW w:w="1590" w:type="dxa"/>
            <w:noWrap w:val="0"/>
            <w:vAlign w:val="center"/>
          </w:tcPr>
          <w:p w14:paraId="779D3B48">
            <w:pPr>
              <w:pStyle w:val="26"/>
              <w:bidi w:val="0"/>
              <w:rPr>
                <w:rFonts w:hint="default"/>
                <w:color w:val="000000" w:themeColor="text1"/>
                <w:highlight w:val="none"/>
                <w:lang w:val="en-US"/>
                <w14:textFill>
                  <w14:solidFill>
                    <w14:schemeClr w14:val="tx1"/>
                  </w14:solidFill>
                </w14:textFill>
              </w:rPr>
            </w:pPr>
            <w:r>
              <w:rPr>
                <w:color w:val="000000" w:themeColor="text1"/>
                <w:highlight w:val="none"/>
                <w14:textFill>
                  <w14:solidFill>
                    <w14:schemeClr w14:val="tx1"/>
                  </w14:solidFill>
                </w14:textFill>
              </w:rPr>
              <w:t>0.01</w:t>
            </w:r>
          </w:p>
        </w:tc>
        <w:tc>
          <w:tcPr>
            <w:tcW w:w="1390" w:type="dxa"/>
            <w:noWrap w:val="0"/>
            <w:vAlign w:val="center"/>
          </w:tcPr>
          <w:p w14:paraId="5FFD7C2E">
            <w:pPr>
              <w:pStyle w:val="26"/>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0.00</w:t>
            </w:r>
            <w:r>
              <w:rPr>
                <w:rFonts w:hint="eastAsia"/>
                <w:color w:val="000000" w:themeColor="text1"/>
                <w:highlight w:val="none"/>
                <w:lang w:val="en-US" w:eastAsia="zh-CN"/>
                <w14:textFill>
                  <w14:solidFill>
                    <w14:schemeClr w14:val="tx1"/>
                  </w14:solidFill>
                </w14:textFill>
              </w:rPr>
              <w:t>2</w:t>
            </w:r>
          </w:p>
        </w:tc>
        <w:tc>
          <w:tcPr>
            <w:tcW w:w="1165" w:type="dxa"/>
            <w:noWrap w:val="0"/>
            <w:vAlign w:val="center"/>
          </w:tcPr>
          <w:p w14:paraId="68D25D50">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bl>
    <w:p w14:paraId="7883684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本项目Pmax最大值出现为生产车间</w:t>
      </w:r>
      <w:r>
        <w:rPr>
          <w:rFonts w:hint="eastAsia"/>
          <w:color w:val="000000" w:themeColor="text1"/>
          <w:highlight w:val="none"/>
          <w:lang w:val="en-US" w:eastAsia="zh-CN"/>
          <w14:textFill>
            <w14:solidFill>
              <w14:schemeClr w14:val="tx1"/>
            </w14:solidFill>
          </w14:textFill>
        </w:rPr>
        <w:t>废气排放口DA001</w:t>
      </w:r>
      <w:r>
        <w:rPr>
          <w:color w:val="000000" w:themeColor="text1"/>
          <w:highlight w:val="none"/>
          <w14:textFill>
            <w14:solidFill>
              <w14:schemeClr w14:val="tx1"/>
            </w14:solidFill>
          </w14:textFill>
        </w:rPr>
        <w:t>排放的PM10Pmax值为4.98%，Cmax为17.94μg/m³，根据《环境影响评价技术导则 大气环境》（HJ2.2-2018）分级判据，确定本项目大气环境影响评价工作等级为二级。</w:t>
      </w:r>
    </w:p>
    <w:p w14:paraId="754C312B">
      <w:pPr>
        <w:ind w:firstLine="48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（5）评价范围</w:t>
      </w:r>
    </w:p>
    <w:p w14:paraId="6A879C46">
      <w:pPr>
        <w:ind w:firstLine="480"/>
        <w:rPr>
          <w:rFonts w:hint="eastAsia"/>
          <w:color w:val="000000" w:themeColor="text1"/>
          <w:highlight w:val="none"/>
          <w14:textFill>
            <w14:solidFill>
              <w14:schemeClr w14:val="tx1"/>
            </w14:solidFill>
          </w14:textFill>
        </w:rPr>
      </w:pPr>
      <w:r>
        <w:rPr>
          <w:color w:val="000000" w:themeColor="text1"/>
          <w:kern w:val="0"/>
          <w:highlight w:val="none"/>
          <w14:textFill>
            <w14:solidFill>
              <w14:schemeClr w14:val="tx1"/>
            </w14:solidFill>
          </w14:textFill>
        </w:rPr>
        <w:t>本次的大气环境影响评价工作等级确定为二级，</w:t>
      </w:r>
      <w:r>
        <w:rPr>
          <w:rFonts w:hint="eastAsia"/>
          <w:color w:val="000000" w:themeColor="text1"/>
          <w:kern w:val="0"/>
          <w:highlight w:val="none"/>
          <w14:textFill>
            <w14:solidFill>
              <w14:schemeClr w14:val="tx1"/>
            </w14:solidFill>
          </w14:textFill>
        </w:rPr>
        <w:t>项目属于</w:t>
      </w:r>
      <w:r>
        <w:rPr>
          <w:color w:val="000000" w:themeColor="text1"/>
          <w:kern w:val="0"/>
          <w:highlight w:val="none"/>
          <w14:textFill>
            <w14:solidFill>
              <w14:schemeClr w14:val="tx1"/>
            </w14:solidFill>
          </w14:textFill>
        </w:rPr>
        <w:t>根据建设场地的周围环境敏感目标分布和二级评价相关要求，确定本项目大气工作评价范围是以厂区为中心，边长为5k</w:t>
      </w:r>
      <w:r>
        <w:rPr>
          <w:rFonts w:hint="eastAsia"/>
          <w:color w:val="000000" w:themeColor="text1"/>
          <w:kern w:val="0"/>
          <w:highlight w:val="none"/>
          <w14:textFill>
            <w14:solidFill>
              <w14:schemeClr w14:val="tx1"/>
            </w14:solidFill>
          </w14:textFill>
        </w:rPr>
        <w:t>m</w:t>
      </w:r>
      <w:r>
        <w:rPr>
          <w:color w:val="000000" w:themeColor="text1"/>
          <w:kern w:val="0"/>
          <w:highlight w:val="none"/>
          <w14:textFill>
            <w14:solidFill>
              <w14:schemeClr w14:val="tx1"/>
            </w14:solidFill>
          </w14:textFill>
        </w:rPr>
        <w:t>的矩形区域</w:t>
      </w:r>
      <w:r>
        <w:rPr>
          <w:color w:val="000000" w:themeColor="text1"/>
          <w:highlight w:val="none"/>
          <w14:textFill>
            <w14:solidFill>
              <w14:schemeClr w14:val="tx1"/>
            </w14:solidFill>
          </w14:textFill>
        </w:rPr>
        <w:t>。</w:t>
      </w:r>
    </w:p>
    <w:p w14:paraId="195C95A7">
      <w:pPr>
        <w:pStyle w:val="4"/>
        <w:tabs>
          <w:tab w:val="left" w:pos="0"/>
        </w:tabs>
        <w:rPr>
          <w:color w:val="000000" w:themeColor="text1"/>
          <w:highlight w:val="none"/>
          <w14:textFill>
            <w14:solidFill>
              <w14:schemeClr w14:val="tx1"/>
            </w14:solidFill>
          </w14:textFill>
        </w:rPr>
      </w:pPr>
      <w:bookmarkStart w:id="480" w:name="_Toc27376"/>
      <w:bookmarkStart w:id="481" w:name="_Toc28415"/>
      <w:bookmarkStart w:id="482" w:name="_Toc9950"/>
      <w:bookmarkStart w:id="483" w:name="_Toc11985"/>
      <w:bookmarkStart w:id="484" w:name="_Toc8182"/>
      <w:bookmarkStart w:id="485" w:name="_Toc7802"/>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.2地表水环境</w:t>
      </w:r>
      <w:bookmarkEnd w:id="480"/>
      <w:bookmarkEnd w:id="481"/>
      <w:bookmarkEnd w:id="482"/>
      <w:bookmarkEnd w:id="483"/>
    </w:p>
    <w:p w14:paraId="67CBB175">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14:textFill>
            <w14:solidFill>
              <w14:schemeClr w14:val="tx1"/>
            </w14:solidFill>
          </w14:textFill>
        </w:rPr>
        <w:t>位于</w:t>
      </w:r>
      <w:r>
        <w:rPr>
          <w:rFonts w:hint="eastAsia"/>
          <w:color w:val="000000" w:themeColor="text1"/>
          <w:highlight w:val="none"/>
          <w:lang w:val="en-US" w:eastAsia="zh-CN"/>
          <w14:textFill>
            <w14:solidFill>
              <w14:schemeClr w14:val="tx1"/>
            </w14:solidFill>
          </w14:textFill>
        </w:rPr>
        <w:t>昌吉高新技术产业开发区</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项目区周边无地表水体，本项目与地表水没有直接的水力联系，故不会对地表水产生影响。</w:t>
      </w:r>
    </w:p>
    <w:p w14:paraId="5A4E9C68">
      <w:pPr>
        <w:bidi w:val="0"/>
        <w:rPr>
          <w:color w:val="000000" w:themeColor="text1"/>
          <w:kern w:val="0"/>
          <w:highlight w:val="none"/>
          <w14:textFill>
            <w14:solidFill>
              <w14:schemeClr w14:val="tx1"/>
            </w14:solidFill>
          </w14:textFill>
        </w:rPr>
      </w:pPr>
      <w:r>
        <w:rPr>
          <w:color w:val="000000" w:themeColor="text1"/>
          <w:highlight w:val="none"/>
          <w14:textFill>
            <w14:solidFill>
              <w14:schemeClr w14:val="tx1"/>
            </w14:solidFill>
          </w14:textFill>
        </w:rPr>
        <w:t>根据《环境影响评价技术导则地表水环境》（HJ2.3-2018）建设项目评价等级判定标准，本项目地表水</w:t>
      </w:r>
      <w:r>
        <w:rPr>
          <w:rFonts w:hint="eastAsia"/>
          <w:color w:val="000000" w:themeColor="text1"/>
          <w:highlight w:val="none"/>
          <w14:textFill>
            <w14:solidFill>
              <w14:schemeClr w14:val="tx1"/>
            </w14:solidFill>
          </w14:textFill>
        </w:rPr>
        <w:t>环境影响</w:t>
      </w:r>
      <w:r>
        <w:rPr>
          <w:color w:val="000000" w:themeColor="text1"/>
          <w:highlight w:val="none"/>
          <w14:textFill>
            <w14:solidFill>
              <w14:schemeClr w14:val="tx1"/>
            </w14:solidFill>
          </w14:textFill>
        </w:rPr>
        <w:t>评价工作等级为三级B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因此不设地表水环境影响评价范围，仅对环境影响进行简单分析。</w:t>
      </w:r>
    </w:p>
    <w:p w14:paraId="7D645E50">
      <w:pPr>
        <w:pStyle w:val="4"/>
        <w:tabs>
          <w:tab w:val="left" w:pos="0"/>
        </w:tabs>
        <w:rPr>
          <w:color w:val="000000" w:themeColor="text1"/>
          <w:highlight w:val="none"/>
          <w14:textFill>
            <w14:solidFill>
              <w14:schemeClr w14:val="tx1"/>
            </w14:solidFill>
          </w14:textFill>
        </w:rPr>
      </w:pPr>
      <w:bookmarkStart w:id="486" w:name="_Toc14034"/>
      <w:bookmarkStart w:id="487" w:name="_Toc15779"/>
      <w:bookmarkStart w:id="488" w:name="_Toc26824"/>
      <w:bookmarkStart w:id="489" w:name="_Toc15323"/>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.3地下水环境</w:t>
      </w:r>
      <w:bookmarkEnd w:id="484"/>
      <w:bookmarkEnd w:id="485"/>
      <w:bookmarkEnd w:id="486"/>
      <w:bookmarkEnd w:id="487"/>
      <w:bookmarkEnd w:id="488"/>
      <w:bookmarkEnd w:id="489"/>
    </w:p>
    <w:p w14:paraId="6B60AFCA">
      <w:pPr>
        <w:ind w:firstLine="480"/>
        <w:rPr>
          <w:color w:val="000000" w:themeColor="text1"/>
          <w:highlight w:val="none"/>
          <w14:textFill>
            <w14:solidFill>
              <w14:schemeClr w14:val="tx1"/>
            </w14:solidFill>
          </w14:textFill>
        </w:rPr>
      </w:pPr>
      <w:bookmarkStart w:id="490" w:name="_Toc26137"/>
      <w:bookmarkStart w:id="491" w:name="_Toc64"/>
      <w:r>
        <w:rPr>
          <w:color w:val="000000" w:themeColor="text1"/>
          <w:highlight w:val="none"/>
          <w14:textFill>
            <w14:solidFill>
              <w14:schemeClr w14:val="tx1"/>
            </w14:solidFill>
          </w14:textFill>
        </w:rPr>
        <w:t>（1）项目类别</w:t>
      </w:r>
    </w:p>
    <w:p w14:paraId="0BFFC4AA">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w:t>
      </w:r>
      <w:r>
        <w:rPr>
          <w:rFonts w:hint="eastAsia"/>
          <w:color w:val="000000" w:themeColor="text1"/>
          <w:highlight w:val="none"/>
          <w14:textFill>
            <w14:solidFill>
              <w14:schemeClr w14:val="tx1"/>
            </w14:solidFill>
          </w14:textFill>
        </w:rPr>
        <w:t>环境影响评价技术导则 地下水环境</w:t>
      </w:r>
      <w:r>
        <w:rPr>
          <w:color w:val="000000" w:themeColor="text1"/>
          <w:highlight w:val="none"/>
          <w14:textFill>
            <w14:solidFill>
              <w14:schemeClr w14:val="tx1"/>
            </w14:solidFill>
          </w14:textFill>
        </w:rPr>
        <w:t>》（HJ610-2016）附录A地下水环境影响评价行业分类表，本项目行业类别为“</w:t>
      </w:r>
      <w:r>
        <w:rPr>
          <w:rFonts w:hint="eastAsia"/>
          <w:color w:val="000000" w:themeColor="text1"/>
          <w:highlight w:val="none"/>
          <w:lang w:val="en-US" w:eastAsia="zh-CN"/>
          <w14:textFill>
            <w14:solidFill>
              <w14:schemeClr w14:val="tx1"/>
            </w14:solidFill>
          </w14:textFill>
        </w:rPr>
        <w:t>属于</w:t>
      </w:r>
      <w:r>
        <w:rPr>
          <w:rFonts w:hint="default"/>
          <w:color w:val="000000" w:themeColor="text1"/>
          <w:highlight w:val="none"/>
          <w:lang w:val="en-US" w:eastAsia="zh-CN"/>
          <w14:textFill>
            <w14:solidFill>
              <w14:schemeClr w14:val="tx1"/>
            </w14:solidFill>
          </w14:textFill>
        </w:rPr>
        <w:t>L</w:t>
      </w:r>
      <w:r>
        <w:rPr>
          <w:rFonts w:hint="eastAsia"/>
          <w:color w:val="000000" w:themeColor="text1"/>
          <w:highlight w:val="none"/>
          <w:lang w:val="en-US" w:eastAsia="zh-CN"/>
          <w14:textFill>
            <w14:solidFill>
              <w14:schemeClr w14:val="tx1"/>
            </w14:solidFill>
          </w14:textFill>
        </w:rPr>
        <w:t xml:space="preserve">石化、化工 </w:t>
      </w:r>
      <w:r>
        <w:rPr>
          <w:rFonts w:hint="default"/>
          <w:color w:val="000000" w:themeColor="text1"/>
          <w:highlight w:val="none"/>
          <w:lang w:val="en-US" w:eastAsia="zh-CN"/>
          <w14:textFill>
            <w14:solidFill>
              <w14:schemeClr w14:val="tx1"/>
            </w14:solidFill>
          </w14:textFill>
        </w:rPr>
        <w:t>85</w:t>
      </w:r>
      <w:r>
        <w:rPr>
          <w:rFonts w:hint="eastAsia"/>
          <w:color w:val="000000" w:themeColor="text1"/>
          <w:highlight w:val="none"/>
          <w:lang w:val="en-US" w:eastAsia="zh-CN"/>
          <w14:textFill>
            <w14:solidFill>
              <w14:schemeClr w14:val="tx1"/>
            </w14:solidFill>
          </w14:textFill>
        </w:rPr>
        <w:t>、基础化学原料制造</w:t>
      </w:r>
      <w:r>
        <w:rPr>
          <w:color w:val="000000" w:themeColor="text1"/>
          <w:highlight w:val="none"/>
          <w14:textFill>
            <w14:solidFill>
              <w14:schemeClr w14:val="tx1"/>
            </w14:solidFill>
          </w14:textFill>
        </w:rPr>
        <w:t>”，属于I类建设项目。</w:t>
      </w:r>
    </w:p>
    <w:p w14:paraId="2AEF524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（2）敏感程度</w:t>
      </w:r>
    </w:p>
    <w:p w14:paraId="239F6FB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建设项目的地下水环境敏感程度可分为敏感、较敏感、不敏感三级，分级原则见表2</w:t>
      </w:r>
      <w:r>
        <w:rPr>
          <w:rFonts w:hint="eastAsia"/>
          <w:color w:val="000000" w:themeColor="text1"/>
          <w:highlight w:val="none"/>
          <w14:textFill>
            <w14:solidFill>
              <w14:schemeClr w14:val="tx1"/>
            </w14:solidFill>
          </w14:textFill>
        </w:rPr>
        <w:t>.6.3-1</w:t>
      </w:r>
      <w:r>
        <w:rPr>
          <w:color w:val="000000" w:themeColor="text1"/>
          <w:highlight w:val="none"/>
          <w14:textFill>
            <w14:solidFill>
              <w14:schemeClr w14:val="tx1"/>
            </w14:solidFill>
          </w14:textFill>
        </w:rPr>
        <w:t>。</w:t>
      </w:r>
    </w:p>
    <w:p w14:paraId="39C8324A">
      <w:pPr>
        <w:pStyle w:val="25"/>
        <w:rPr>
          <w:color w:val="000000" w:themeColor="text1"/>
          <w:highlight w:val="none"/>
          <w14:textFill>
            <w14:solidFill>
              <w14:schemeClr w14:val="tx1"/>
            </w14:solidFill>
          </w14:textFill>
        </w:rPr>
      </w:pPr>
      <w:r>
        <w:rPr>
          <w:rStyle w:val="32"/>
          <w:b/>
          <w:bCs/>
          <w:color w:val="000000" w:themeColor="text1"/>
          <w:highlight w:val="none"/>
          <w14:textFill>
            <w14:solidFill>
              <w14:schemeClr w14:val="tx1"/>
            </w14:solidFill>
          </w14:textFill>
        </w:rPr>
        <w:t>表2</w:t>
      </w:r>
      <w:r>
        <w:rPr>
          <w:rStyle w:val="32"/>
          <w:rFonts w:hint="eastAsia"/>
          <w:b/>
          <w:bCs/>
          <w:color w:val="000000" w:themeColor="text1"/>
          <w:highlight w:val="none"/>
          <w14:textFill>
            <w14:solidFill>
              <w14:schemeClr w14:val="tx1"/>
            </w14:solidFill>
          </w14:textFill>
        </w:rPr>
        <w:t xml:space="preserve">.6.3-1     </w:t>
      </w:r>
      <w:r>
        <w:rPr>
          <w:rStyle w:val="32"/>
          <w:b/>
          <w:bCs/>
          <w:color w:val="000000" w:themeColor="text1"/>
          <w:highlight w:val="none"/>
          <w14:textFill>
            <w14:solidFill>
              <w14:schemeClr w14:val="tx1"/>
            </w14:solidFill>
          </w14:textFill>
        </w:rPr>
        <w:t xml:space="preserve">   地下水环境敏</w:t>
      </w:r>
      <w:r>
        <w:rPr>
          <w:color w:val="000000" w:themeColor="text1"/>
          <w:highlight w:val="none"/>
          <w14:textFill>
            <w14:solidFill>
              <w14:schemeClr w14:val="tx1"/>
            </w14:solidFill>
          </w14:textFill>
        </w:rPr>
        <w:t>感程度分级</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11"/>
        <w:gridCol w:w="7960"/>
      </w:tblGrid>
      <w:tr w14:paraId="5C5EE5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tcBorders>
              <w:bottom w:val="single" w:color="auto" w:sz="12" w:space="0"/>
            </w:tcBorders>
            <w:noWrap w:val="0"/>
            <w:vAlign w:val="center"/>
          </w:tcPr>
          <w:p w14:paraId="286846C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分级</w:t>
            </w:r>
          </w:p>
        </w:tc>
        <w:tc>
          <w:tcPr>
            <w:tcW w:w="7478" w:type="dxa"/>
            <w:tcBorders>
              <w:bottom w:val="single" w:color="auto" w:sz="12" w:space="0"/>
            </w:tcBorders>
            <w:noWrap w:val="0"/>
            <w:vAlign w:val="center"/>
          </w:tcPr>
          <w:p w14:paraId="0A3F0C2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项目场地的地下水环境敏感特征</w:t>
            </w:r>
          </w:p>
        </w:tc>
      </w:tr>
      <w:tr w14:paraId="7B5EBE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tcBorders>
              <w:top w:val="single" w:color="auto" w:sz="12" w:space="0"/>
            </w:tcBorders>
            <w:noWrap w:val="0"/>
            <w:vAlign w:val="center"/>
          </w:tcPr>
          <w:p w14:paraId="30ABD81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敏感</w:t>
            </w:r>
          </w:p>
        </w:tc>
        <w:tc>
          <w:tcPr>
            <w:tcW w:w="7478" w:type="dxa"/>
            <w:tcBorders>
              <w:top w:val="single" w:color="auto" w:sz="12" w:space="0"/>
            </w:tcBorders>
            <w:noWrap w:val="0"/>
            <w:vAlign w:val="center"/>
          </w:tcPr>
          <w:p w14:paraId="57C0CD5E">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集中式饮用水水源（包括已建成的在用、备用、应急水源地，在建和规划的饮用水水源）准保护区；除集中式饮用水水源以外的国家或地方政府设定的与地下水环境</w:t>
            </w:r>
            <w:r>
              <w:rPr>
                <w:rFonts w:hint="eastAsia"/>
                <w:color w:val="000000" w:themeColor="text1"/>
                <w:highlight w:val="none"/>
                <w:lang w:eastAsia="zh-CN"/>
                <w14:textFill>
                  <w14:solidFill>
                    <w14:schemeClr w14:val="tx1"/>
                  </w14:solidFill>
                </w14:textFill>
              </w:rPr>
              <w:t>相关的其他</w:t>
            </w:r>
            <w:r>
              <w:rPr>
                <w:color w:val="000000" w:themeColor="text1"/>
                <w:highlight w:val="none"/>
                <w14:textFill>
                  <w14:solidFill>
                    <w14:schemeClr w14:val="tx1"/>
                  </w14:solidFill>
                </w14:textFill>
              </w:rPr>
              <w:t>保护区，如热水、矿泉水、温泉等特殊地下水资源保护区。</w:t>
            </w:r>
          </w:p>
        </w:tc>
      </w:tr>
      <w:tr w14:paraId="4267E0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noWrap w:val="0"/>
            <w:vAlign w:val="center"/>
          </w:tcPr>
          <w:p w14:paraId="51E4148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较敏感</w:t>
            </w:r>
          </w:p>
        </w:tc>
        <w:tc>
          <w:tcPr>
            <w:tcW w:w="7478" w:type="dxa"/>
            <w:noWrap w:val="0"/>
            <w:vAlign w:val="center"/>
          </w:tcPr>
          <w:p w14:paraId="04BC69EB">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集中式饮用水水源（包括已建成的在用、备用、应急水源，在建和规划的饮用水水源）准保护区以外的补给径流区；未划定准保护区的集中式饮用水水源，其保护区以外的补给径流区；分散式饮用水水源地；特殊地下水资源（矿泉水、温泉等）保护区以外的分布区等</w:t>
            </w:r>
            <w:r>
              <w:rPr>
                <w:rFonts w:hint="eastAsia"/>
                <w:color w:val="000000" w:themeColor="text1"/>
                <w:highlight w:val="none"/>
                <w:lang w:eastAsia="zh-CN"/>
                <w14:textFill>
                  <w14:solidFill>
                    <w14:schemeClr w14:val="tx1"/>
                  </w14:solidFill>
                </w14:textFill>
              </w:rPr>
              <w:t>其他未</w:t>
            </w:r>
            <w:r>
              <w:rPr>
                <w:color w:val="000000" w:themeColor="text1"/>
                <w:highlight w:val="none"/>
                <w14:textFill>
                  <w14:solidFill>
                    <w14:schemeClr w14:val="tx1"/>
                  </w14:solidFill>
                </w14:textFill>
              </w:rPr>
              <w:t>列入上述敏感分级的环境敏感区。</w:t>
            </w:r>
          </w:p>
        </w:tc>
      </w:tr>
      <w:tr w14:paraId="7EAEEE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44" w:type="dxa"/>
            <w:noWrap w:val="0"/>
            <w:vAlign w:val="center"/>
          </w:tcPr>
          <w:p w14:paraId="4126E0E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不敏感</w:t>
            </w:r>
          </w:p>
        </w:tc>
        <w:tc>
          <w:tcPr>
            <w:tcW w:w="7478" w:type="dxa"/>
            <w:noWrap w:val="0"/>
            <w:vAlign w:val="center"/>
          </w:tcPr>
          <w:p w14:paraId="64DDF248">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上述地区之外的其它地区。</w:t>
            </w:r>
          </w:p>
        </w:tc>
      </w:tr>
    </w:tbl>
    <w:p w14:paraId="460562E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项目位于</w:t>
      </w:r>
      <w:r>
        <w:rPr>
          <w:rFonts w:hint="eastAsia"/>
          <w:color w:val="000000" w:themeColor="text1"/>
          <w:highlight w:val="none"/>
          <w:lang w:val="en-US" w:eastAsia="zh-CN"/>
          <w14:textFill>
            <w14:solidFill>
              <w14:schemeClr w14:val="tx1"/>
            </w14:solidFill>
          </w14:textFill>
        </w:rPr>
        <w:t>昌吉高新技术产业开发区</w:t>
      </w:r>
      <w:r>
        <w:rPr>
          <w:rFonts w:hint="eastAsia"/>
          <w:color w:val="000000" w:themeColor="text1"/>
          <w:highlight w:val="none"/>
          <w14:textFill>
            <w14:solidFill>
              <w14:schemeClr w14:val="tx1"/>
            </w14:solidFill>
          </w14:textFill>
        </w:rPr>
        <w:t>内</w:t>
      </w:r>
      <w:r>
        <w:rPr>
          <w:color w:val="000000" w:themeColor="text1"/>
          <w:highlight w:val="none"/>
          <w14:textFill>
            <w14:solidFill>
              <w14:schemeClr w14:val="tx1"/>
            </w14:solidFill>
          </w14:textFill>
        </w:rPr>
        <w:t>，根据现场调查，项目区周边无居住区、集中式饮用水水源及补给径流区、无特殊地下水资源保护区、无分散式饮用水水源地，根据地下水环境敏感程度分级判定，本项目地下水环境敏感程度为不敏感。</w:t>
      </w:r>
    </w:p>
    <w:p w14:paraId="178DFBE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（3）评价等级判定</w:t>
      </w:r>
    </w:p>
    <w:p w14:paraId="40CC9C7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评价工作等级分级表见表2</w:t>
      </w:r>
      <w:r>
        <w:rPr>
          <w:rFonts w:hint="eastAsia"/>
          <w:color w:val="000000" w:themeColor="text1"/>
          <w:highlight w:val="none"/>
          <w14:textFill>
            <w14:solidFill>
              <w14:schemeClr w14:val="tx1"/>
            </w14:solidFill>
          </w14:textFill>
        </w:rPr>
        <w:t>.6.3-2</w:t>
      </w:r>
      <w:r>
        <w:rPr>
          <w:color w:val="000000" w:themeColor="text1"/>
          <w:highlight w:val="none"/>
          <w14:textFill>
            <w14:solidFill>
              <w14:schemeClr w14:val="tx1"/>
            </w14:solidFill>
          </w14:textFill>
        </w:rPr>
        <w:t>。</w:t>
      </w:r>
    </w:p>
    <w:p w14:paraId="53411F1B">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 xml:space="preserve">.6.3-2  </w:t>
      </w:r>
      <w:r>
        <w:rPr>
          <w:color w:val="000000" w:themeColor="text1"/>
          <w:highlight w:val="none"/>
          <w14:textFill>
            <w14:solidFill>
              <w14:schemeClr w14:val="tx1"/>
            </w14:solidFill>
          </w14:textFill>
        </w:rPr>
        <w:t xml:space="preserve">    地下水环境影响评价工作等级划分表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2642"/>
        <w:gridCol w:w="2069"/>
        <w:gridCol w:w="2196"/>
        <w:gridCol w:w="2164"/>
      </w:tblGrid>
      <w:tr w14:paraId="238866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64" w:hRule="atLeast"/>
          <w:jc w:val="center"/>
        </w:trPr>
        <w:tc>
          <w:tcPr>
            <w:tcW w:w="2482" w:type="dxa"/>
            <w:tcBorders>
              <w:bottom w:val="single" w:color="000000" w:sz="12" w:space="0"/>
            </w:tcBorders>
            <w:noWrap w:val="0"/>
            <w:vAlign w:val="top"/>
          </w:tcPr>
          <w:p w14:paraId="4A0E45EF">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 xml:space="preserve">                          敏</w:t>
            </w:r>
            <w:r>
              <w:rPr>
                <w:b/>
                <w:bCs/>
                <w:color w:val="000000" w:themeColor="text1"/>
                <w:highlight w:val="none"/>
                <w14:textFill>
                  <w14:solidFill>
                    <w14:schemeClr w14:val="tx1"/>
                  </w14:solidFill>
                </w14:textFill>
              </w:rPr>
              <w:t>感程度</w:t>
            </w:r>
          </w:p>
          <w:p w14:paraId="6DF776DD">
            <w:pPr>
              <w:pStyle w:val="26"/>
              <w:jc w:val="both"/>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项目类别</w:t>
            </w:r>
          </w:p>
        </w:tc>
        <w:tc>
          <w:tcPr>
            <w:tcW w:w="1944" w:type="dxa"/>
            <w:tcBorders>
              <w:bottom w:val="single" w:color="000000" w:sz="12" w:space="0"/>
            </w:tcBorders>
            <w:noWrap w:val="0"/>
            <w:vAlign w:val="center"/>
          </w:tcPr>
          <w:p w14:paraId="7257239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I类项目</w:t>
            </w:r>
          </w:p>
        </w:tc>
        <w:tc>
          <w:tcPr>
            <w:tcW w:w="2063" w:type="dxa"/>
            <w:tcBorders>
              <w:bottom w:val="single" w:color="000000" w:sz="12" w:space="0"/>
            </w:tcBorders>
            <w:noWrap w:val="0"/>
            <w:vAlign w:val="center"/>
          </w:tcPr>
          <w:p w14:paraId="7660896E">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Ⅱ类</w:t>
            </w:r>
            <w:r>
              <w:rPr>
                <w:b/>
                <w:bCs/>
                <w:color w:val="000000" w:themeColor="text1"/>
                <w:highlight w:val="none"/>
                <w14:textFill>
                  <w14:solidFill>
                    <w14:schemeClr w14:val="tx1"/>
                  </w14:solidFill>
                </w14:textFill>
              </w:rPr>
              <w:t>项目</w:t>
            </w:r>
          </w:p>
        </w:tc>
        <w:tc>
          <w:tcPr>
            <w:tcW w:w="2033" w:type="dxa"/>
            <w:tcBorders>
              <w:bottom w:val="single" w:color="000000" w:sz="12" w:space="0"/>
            </w:tcBorders>
            <w:noWrap w:val="0"/>
            <w:vAlign w:val="center"/>
          </w:tcPr>
          <w:p w14:paraId="16598C45">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Ⅲ类</w:t>
            </w:r>
            <w:r>
              <w:rPr>
                <w:b/>
                <w:bCs/>
                <w:color w:val="000000" w:themeColor="text1"/>
                <w:highlight w:val="none"/>
                <w14:textFill>
                  <w14:solidFill>
                    <w14:schemeClr w14:val="tx1"/>
                  </w14:solidFill>
                </w14:textFill>
              </w:rPr>
              <w:t>项目</w:t>
            </w:r>
          </w:p>
        </w:tc>
      </w:tr>
      <w:tr w14:paraId="681D2C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2482" w:type="dxa"/>
            <w:tcBorders>
              <w:top w:val="single" w:color="000000" w:sz="12" w:space="0"/>
            </w:tcBorders>
            <w:noWrap w:val="0"/>
            <w:vAlign w:val="center"/>
          </w:tcPr>
          <w:p w14:paraId="468AC88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敏感</w:t>
            </w:r>
          </w:p>
        </w:tc>
        <w:tc>
          <w:tcPr>
            <w:tcW w:w="1944" w:type="dxa"/>
            <w:tcBorders>
              <w:top w:val="single" w:color="000000" w:sz="12" w:space="0"/>
            </w:tcBorders>
            <w:noWrap w:val="0"/>
            <w:vAlign w:val="center"/>
          </w:tcPr>
          <w:p w14:paraId="379FD2D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w:t>
            </w:r>
          </w:p>
        </w:tc>
        <w:tc>
          <w:tcPr>
            <w:tcW w:w="2063" w:type="dxa"/>
            <w:tcBorders>
              <w:top w:val="single" w:color="000000" w:sz="12" w:space="0"/>
            </w:tcBorders>
            <w:noWrap w:val="0"/>
            <w:vAlign w:val="center"/>
          </w:tcPr>
          <w:p w14:paraId="2561711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w:t>
            </w:r>
          </w:p>
        </w:tc>
        <w:tc>
          <w:tcPr>
            <w:tcW w:w="2033" w:type="dxa"/>
            <w:tcBorders>
              <w:top w:val="single" w:color="000000" w:sz="12" w:space="0"/>
            </w:tcBorders>
            <w:noWrap w:val="0"/>
            <w:vAlign w:val="center"/>
          </w:tcPr>
          <w:p w14:paraId="36B09E7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w:t>
            </w:r>
          </w:p>
        </w:tc>
      </w:tr>
      <w:tr w14:paraId="6C43DC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2482" w:type="dxa"/>
            <w:noWrap w:val="0"/>
            <w:vAlign w:val="center"/>
          </w:tcPr>
          <w:p w14:paraId="2F0B36C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较敏感</w:t>
            </w:r>
          </w:p>
        </w:tc>
        <w:tc>
          <w:tcPr>
            <w:tcW w:w="1944" w:type="dxa"/>
            <w:noWrap w:val="0"/>
            <w:vAlign w:val="center"/>
          </w:tcPr>
          <w:p w14:paraId="75A36D2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w:t>
            </w:r>
          </w:p>
        </w:tc>
        <w:tc>
          <w:tcPr>
            <w:tcW w:w="2063" w:type="dxa"/>
            <w:noWrap w:val="0"/>
            <w:vAlign w:val="center"/>
          </w:tcPr>
          <w:p w14:paraId="6341DC9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w:t>
            </w:r>
          </w:p>
        </w:tc>
        <w:tc>
          <w:tcPr>
            <w:tcW w:w="2033" w:type="dxa"/>
            <w:noWrap w:val="0"/>
            <w:vAlign w:val="center"/>
          </w:tcPr>
          <w:p w14:paraId="066F9F0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w:t>
            </w:r>
          </w:p>
        </w:tc>
      </w:tr>
      <w:tr w14:paraId="35A648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2482" w:type="dxa"/>
            <w:noWrap w:val="0"/>
            <w:vAlign w:val="center"/>
          </w:tcPr>
          <w:p w14:paraId="076752D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不敏感</w:t>
            </w:r>
          </w:p>
        </w:tc>
        <w:tc>
          <w:tcPr>
            <w:tcW w:w="1944" w:type="dxa"/>
            <w:noWrap w:val="0"/>
            <w:vAlign w:val="center"/>
          </w:tcPr>
          <w:p w14:paraId="3D3777C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w:t>
            </w:r>
          </w:p>
        </w:tc>
        <w:tc>
          <w:tcPr>
            <w:tcW w:w="2063" w:type="dxa"/>
            <w:noWrap w:val="0"/>
            <w:vAlign w:val="center"/>
          </w:tcPr>
          <w:p w14:paraId="6249591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w:t>
            </w:r>
          </w:p>
        </w:tc>
        <w:tc>
          <w:tcPr>
            <w:tcW w:w="2033" w:type="dxa"/>
            <w:noWrap w:val="0"/>
            <w:vAlign w:val="center"/>
          </w:tcPr>
          <w:p w14:paraId="1F34ABB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w:t>
            </w:r>
          </w:p>
        </w:tc>
      </w:tr>
    </w:tbl>
    <w:p w14:paraId="516A9AC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综上，本项目属于I类建设项目，所处区域地下水环境敏感程度为不敏感，结合地下水环境影响评价工作等级划分表可知，本项目地下水环境影响评价工作等级为二级。</w:t>
      </w:r>
    </w:p>
    <w:p w14:paraId="273F0C7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（4）评价范围</w:t>
      </w:r>
    </w:p>
    <w:p w14:paraId="27816E4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根据《环境影响评价技术导则地下水环境》（</w:t>
      </w:r>
      <w:r>
        <w:rPr>
          <w:color w:val="000000" w:themeColor="text1"/>
          <w:highlight w:val="none"/>
          <w14:textFill>
            <w14:solidFill>
              <w14:schemeClr w14:val="tx1"/>
            </w14:solidFill>
          </w14:textFill>
        </w:rPr>
        <w:t>HJ610-2016</w:t>
      </w:r>
      <w:r>
        <w:rPr>
          <w:rFonts w:hint="eastAsia"/>
          <w:color w:val="000000" w:themeColor="text1"/>
          <w:highlight w:val="none"/>
          <w14:textFill>
            <w14:solidFill>
              <w14:schemeClr w14:val="tx1"/>
            </w14:solidFill>
          </w14:textFill>
        </w:rPr>
        <w:t>）要求，地下水环境影响评价宜以同一地下水水文地质单元为调查评价范围，且包含重要的地下水环境保护目标。建设项目地下水环境现状调查评价的范围可采用查表法确定。考虑到厂区所在区域地下水水流方向整体呈现由北向南流向，结合查表法二级评价范围为</w:t>
      </w:r>
      <w:r>
        <w:rPr>
          <w:color w:val="000000" w:themeColor="text1"/>
          <w:highlight w:val="none"/>
          <w14:textFill>
            <w14:solidFill>
              <w14:schemeClr w14:val="tx1"/>
            </w14:solidFill>
          </w14:textFill>
        </w:rPr>
        <w:t>6-20km</w:t>
      </w:r>
      <w:r>
        <w:rPr>
          <w:color w:val="000000" w:themeColor="text1"/>
          <w:highlight w:val="none"/>
          <w:vertAlign w:val="superscript"/>
          <w14:textFill>
            <w14:solidFill>
              <w14:schemeClr w14:val="tx1"/>
            </w14:solidFill>
          </w14:textFill>
        </w:rPr>
        <w:t>2</w:t>
      </w:r>
      <w:r>
        <w:rPr>
          <w:rFonts w:hint="eastAsia"/>
          <w:color w:val="000000" w:themeColor="text1"/>
          <w:highlight w:val="none"/>
          <w14:textFill>
            <w14:solidFill>
              <w14:schemeClr w14:val="tx1"/>
            </w14:solidFill>
          </w14:textFill>
        </w:rPr>
        <w:t>。本项目地下水的评价范围为上游</w:t>
      </w:r>
      <w:r>
        <w:rPr>
          <w:color w:val="000000" w:themeColor="text1"/>
          <w:highlight w:val="none"/>
          <w14:textFill>
            <w14:solidFill>
              <w14:schemeClr w14:val="tx1"/>
            </w14:solidFill>
          </w14:textFill>
        </w:rPr>
        <w:t>1km</w:t>
      </w:r>
      <w:r>
        <w:rPr>
          <w:rFonts w:hint="eastAsia"/>
          <w:color w:val="000000" w:themeColor="text1"/>
          <w:highlight w:val="none"/>
          <w14:textFill>
            <w14:solidFill>
              <w14:schemeClr w14:val="tx1"/>
            </w14:solidFill>
          </w14:textFill>
        </w:rPr>
        <w:t>为边界，下游</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km</w:t>
      </w:r>
      <w:r>
        <w:rPr>
          <w:rFonts w:hint="eastAsia"/>
          <w:color w:val="000000" w:themeColor="text1"/>
          <w:highlight w:val="none"/>
          <w14:textFill>
            <w14:solidFill>
              <w14:schemeClr w14:val="tx1"/>
            </w14:solidFill>
          </w14:textFill>
        </w:rPr>
        <w:t>为边界，两侧各</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km</w:t>
      </w:r>
      <w:r>
        <w:rPr>
          <w:rFonts w:hint="eastAsia"/>
          <w:color w:val="000000" w:themeColor="text1"/>
          <w:highlight w:val="none"/>
          <w14:textFill>
            <w14:solidFill>
              <w14:schemeClr w14:val="tx1"/>
            </w14:solidFill>
          </w14:textFill>
        </w:rPr>
        <w:t>为边界的共计</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km</w:t>
      </w:r>
      <w:r>
        <w:rPr>
          <w:rFonts w:hint="eastAsia"/>
          <w:color w:val="000000" w:themeColor="text1"/>
          <w:highlight w:val="none"/>
          <w:vertAlign w:val="superscript"/>
          <w14:textFill>
            <w14:solidFill>
              <w14:schemeClr w14:val="tx1"/>
            </w14:solidFill>
          </w14:textFill>
        </w:rPr>
        <w:t>2</w:t>
      </w:r>
      <w:r>
        <w:rPr>
          <w:rFonts w:hint="eastAsia"/>
          <w:color w:val="000000" w:themeColor="text1"/>
          <w:highlight w:val="none"/>
          <w14:textFill>
            <w14:solidFill>
              <w14:schemeClr w14:val="tx1"/>
            </w14:solidFill>
          </w14:textFill>
        </w:rPr>
        <w:t>的</w:t>
      </w:r>
      <w:r>
        <w:rPr>
          <w:color w:val="000000" w:themeColor="text1"/>
          <w:highlight w:val="none"/>
          <w14:textFill>
            <w14:solidFill>
              <w14:schemeClr w14:val="tx1"/>
            </w14:solidFill>
          </w14:textFill>
        </w:rPr>
        <w:t>矩形区域</w:t>
      </w:r>
      <w:r>
        <w:rPr>
          <w:rFonts w:hint="eastAsia"/>
          <w:color w:val="000000" w:themeColor="text1"/>
          <w:highlight w:val="none"/>
          <w14:textFill>
            <w14:solidFill>
              <w14:schemeClr w14:val="tx1"/>
            </w14:solidFill>
          </w14:textFill>
        </w:rPr>
        <w:t>。</w:t>
      </w:r>
    </w:p>
    <w:bookmarkEnd w:id="490"/>
    <w:bookmarkEnd w:id="491"/>
    <w:p w14:paraId="768FB415">
      <w:pPr>
        <w:pStyle w:val="4"/>
        <w:tabs>
          <w:tab w:val="left" w:pos="0"/>
        </w:tabs>
        <w:rPr>
          <w:color w:val="000000" w:themeColor="text1"/>
          <w:highlight w:val="none"/>
          <w14:textFill>
            <w14:solidFill>
              <w14:schemeClr w14:val="tx1"/>
            </w14:solidFill>
          </w14:textFill>
        </w:rPr>
      </w:pPr>
      <w:bookmarkStart w:id="492" w:name="_Toc17856"/>
      <w:bookmarkStart w:id="493" w:name="_Toc19131"/>
      <w:bookmarkStart w:id="494" w:name="_Toc15502"/>
      <w:bookmarkStart w:id="495" w:name="_Toc25608"/>
      <w:bookmarkStart w:id="496" w:name="_Toc18672"/>
      <w:bookmarkStart w:id="497" w:name="_Toc6401"/>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声环境</w:t>
      </w:r>
      <w:bookmarkEnd w:id="492"/>
      <w:bookmarkEnd w:id="493"/>
      <w:bookmarkEnd w:id="494"/>
      <w:bookmarkEnd w:id="495"/>
      <w:bookmarkEnd w:id="496"/>
      <w:bookmarkEnd w:id="497"/>
    </w:p>
    <w:p w14:paraId="284E3A8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（1）评价等级判定</w:t>
      </w:r>
    </w:p>
    <w:p w14:paraId="18778CEA">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本项目建设地点位于</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类声环境功能区，按照《环境影响评价技术导则声环境》（HJ2.4-20</w:t>
      </w:r>
      <w:r>
        <w:rPr>
          <w:rFonts w:hint="eastAsia"/>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t>）要求，项目建成前后所在区域噪声级增高量低于3dB，按《环境影响评价技术导则 声环境》（HJ2.4-2021）中关于噪声环境影响评价工作等级划分基本原则，确定本项目噪声环境影响评价工作等级为三级声环境评价工作等级判定为</w:t>
      </w:r>
      <w:r>
        <w:rPr>
          <w:rFonts w:hint="eastAsia"/>
          <w:color w:val="000000" w:themeColor="text1"/>
          <w:highlight w:val="none"/>
          <w14:textFill>
            <w14:solidFill>
              <w14:schemeClr w14:val="tx1"/>
            </w14:solidFill>
          </w14:textFill>
        </w:rPr>
        <w:t>三</w:t>
      </w:r>
      <w:r>
        <w:rPr>
          <w:color w:val="000000" w:themeColor="text1"/>
          <w:highlight w:val="none"/>
          <w14:textFill>
            <w14:solidFill>
              <w14:schemeClr w14:val="tx1"/>
            </w14:solidFill>
          </w14:textFill>
        </w:rPr>
        <w:t>级。</w:t>
      </w:r>
    </w:p>
    <w:p w14:paraId="3726D33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（2）评价范围</w:t>
      </w:r>
    </w:p>
    <w:p w14:paraId="7775B5DA">
      <w:pPr>
        <w:ind w:firstLine="480"/>
        <w:rPr>
          <w:b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根据《环境影响评价技术导则 声环境》（HJ2.4-20</w:t>
      </w:r>
      <w:r>
        <w:rPr>
          <w:rFonts w:hint="eastAsia"/>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t>）中的要求，二级、三级评价范围可根据建设项目所在区域和相邻区域声环境功能区域的声环境功能区类别及敏感目标等实际情况适当缩小。</w:t>
      </w:r>
      <w:r>
        <w:rPr>
          <w:bCs/>
          <w:color w:val="000000" w:themeColor="text1"/>
          <w:highlight w:val="none"/>
          <w14:textFill>
            <w14:solidFill>
              <w14:schemeClr w14:val="tx1"/>
            </w14:solidFill>
          </w14:textFill>
        </w:rPr>
        <w:t>本项目建成后设备噪声对</w:t>
      </w:r>
      <w:r>
        <w:rPr>
          <w:rFonts w:hint="eastAsia"/>
          <w:bCs/>
          <w:color w:val="000000" w:themeColor="text1"/>
          <w:highlight w:val="none"/>
          <w14:textFill>
            <w14:solidFill>
              <w14:schemeClr w14:val="tx1"/>
            </w14:solidFill>
          </w14:textFill>
        </w:rPr>
        <w:t>周边</w:t>
      </w:r>
      <w:r>
        <w:rPr>
          <w:bCs/>
          <w:color w:val="000000" w:themeColor="text1"/>
          <w:highlight w:val="none"/>
          <w14:textFill>
            <w14:solidFill>
              <w14:schemeClr w14:val="tx1"/>
            </w14:solidFill>
          </w14:textFill>
        </w:rPr>
        <w:t>声环境影响不大，且厂界周边200</w:t>
      </w:r>
      <w:r>
        <w:rPr>
          <w:rFonts w:hint="eastAsia"/>
          <w:bCs/>
          <w:color w:val="000000" w:themeColor="text1"/>
          <w:highlight w:val="none"/>
          <w14:textFill>
            <w14:solidFill>
              <w14:schemeClr w14:val="tx1"/>
            </w14:solidFill>
          </w14:textFill>
        </w:rPr>
        <w:t>m</w:t>
      </w:r>
      <w:r>
        <w:rPr>
          <w:bCs/>
          <w:color w:val="000000" w:themeColor="text1"/>
          <w:highlight w:val="none"/>
          <w14:textFill>
            <w14:solidFill>
              <w14:schemeClr w14:val="tx1"/>
            </w14:solidFill>
          </w14:textFill>
        </w:rPr>
        <w:t>范围内无任何敏感保护目标，</w:t>
      </w:r>
      <w:r>
        <w:rPr>
          <w:rFonts w:hint="eastAsia"/>
          <w:bCs/>
          <w:color w:val="000000" w:themeColor="text1"/>
          <w:highlight w:val="none"/>
          <w14:textFill>
            <w14:solidFill>
              <w14:schemeClr w14:val="tx1"/>
            </w14:solidFill>
          </w14:textFill>
        </w:rPr>
        <w:t>因此</w:t>
      </w:r>
      <w:r>
        <w:rPr>
          <w:bCs/>
          <w:color w:val="000000" w:themeColor="text1"/>
          <w:highlight w:val="none"/>
          <w14:textFill>
            <w14:solidFill>
              <w14:schemeClr w14:val="tx1"/>
            </w14:solidFill>
          </w14:textFill>
        </w:rPr>
        <w:t>本次以厂界</w:t>
      </w:r>
      <w:r>
        <w:rPr>
          <w:rFonts w:hint="eastAsia"/>
          <w:bCs/>
          <w:color w:val="000000" w:themeColor="text1"/>
          <w:highlight w:val="none"/>
          <w14:textFill>
            <w14:solidFill>
              <w14:schemeClr w14:val="tx1"/>
            </w14:solidFill>
          </w14:textFill>
        </w:rPr>
        <w:t>范围</w:t>
      </w:r>
      <w:r>
        <w:rPr>
          <w:bCs/>
          <w:color w:val="000000" w:themeColor="text1"/>
          <w:highlight w:val="none"/>
          <w14:textFill>
            <w14:solidFill>
              <w14:schemeClr w14:val="tx1"/>
            </w14:solidFill>
          </w14:textFill>
        </w:rPr>
        <w:t>作为噪声评价范围。</w:t>
      </w:r>
    </w:p>
    <w:p w14:paraId="2C58BD16">
      <w:pPr>
        <w:pStyle w:val="4"/>
        <w:tabs>
          <w:tab w:val="left" w:pos="0"/>
        </w:tabs>
        <w:rPr>
          <w:color w:val="000000" w:themeColor="text1"/>
          <w:highlight w:val="none"/>
          <w14:textFill>
            <w14:solidFill>
              <w14:schemeClr w14:val="tx1"/>
            </w14:solidFill>
          </w14:textFill>
        </w:rPr>
      </w:pPr>
      <w:bookmarkStart w:id="498" w:name="_Toc16465"/>
      <w:bookmarkStart w:id="499" w:name="_Toc6795"/>
      <w:bookmarkStart w:id="500" w:name="_Toc12888"/>
      <w:bookmarkStart w:id="501" w:name="_Toc14934"/>
      <w:bookmarkStart w:id="502" w:name="_Toc7901"/>
      <w:bookmarkStart w:id="503" w:name="_Toc2066"/>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生态环境</w:t>
      </w:r>
      <w:bookmarkEnd w:id="498"/>
      <w:bookmarkEnd w:id="499"/>
      <w:bookmarkEnd w:id="500"/>
      <w:bookmarkEnd w:id="501"/>
      <w:bookmarkEnd w:id="502"/>
      <w:bookmarkEnd w:id="503"/>
    </w:p>
    <w:p w14:paraId="0F39C378">
      <w:pPr>
        <w:ind w:firstLine="480"/>
        <w:rPr>
          <w:rFonts w:hint="eastAsia"/>
          <w:color w:val="000000" w:themeColor="text1"/>
          <w:highlight w:val="none"/>
          <w14:textFill>
            <w14:solidFill>
              <w14:schemeClr w14:val="tx1"/>
            </w14:solidFill>
          </w14:textFill>
        </w:rPr>
      </w:pPr>
      <w:bookmarkStart w:id="504" w:name="_Toc27462"/>
      <w:bookmarkStart w:id="505" w:name="_Toc29989"/>
      <w:r>
        <w:rPr>
          <w:rFonts w:hint="eastAsia"/>
          <w:color w:val="000000" w:themeColor="text1"/>
          <w:highlight w:val="none"/>
          <w14:textFill>
            <w14:solidFill>
              <w14:schemeClr w14:val="tx1"/>
            </w14:solidFill>
          </w14:textFill>
        </w:rPr>
        <w:t>根据《环境影响评价技术导则 生态影响》（HJ19-2022）中</w:t>
      </w:r>
      <w:r>
        <w:rPr>
          <w:color w:val="000000" w:themeColor="text1"/>
          <w:highlight w:val="none"/>
          <w14:textFill>
            <w14:solidFill>
              <w14:schemeClr w14:val="tx1"/>
            </w14:solidFill>
          </w14:textFill>
        </w:rPr>
        <w:t>评价工作分级划分，</w:t>
      </w:r>
      <w:r>
        <w:rPr>
          <w:rFonts w:hint="eastAsia"/>
          <w:color w:val="000000" w:themeColor="text1"/>
          <w:highlight w:val="none"/>
          <w14:textFill>
            <w14:solidFill>
              <w14:schemeClr w14:val="tx1"/>
            </w14:solidFill>
          </w14:textFill>
        </w:rPr>
        <w:t>“6.1.8 符合生态环境分区管控要求且位于原厂界（或永久用地）范围内的污染影响类改扩建项目，位于已批准规划环评的产业园区内且符合规划环评要求、不涉及生态敏感区的污染影响类建设项目，可不确定评价等级，直接进行生态影响简单分析。”</w:t>
      </w:r>
    </w:p>
    <w:p w14:paraId="775DDAA1">
      <w:pPr>
        <w:ind w:firstLine="480"/>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本项目位于</w:t>
      </w:r>
      <w:r>
        <w:rPr>
          <w:rFonts w:hint="eastAsia"/>
          <w:color w:val="000000" w:themeColor="text1"/>
          <w:highlight w:val="none"/>
          <w:lang w:val="en-US" w:eastAsia="zh-CN"/>
          <w14:textFill>
            <w14:solidFill>
              <w14:schemeClr w14:val="tx1"/>
            </w14:solidFill>
          </w14:textFill>
        </w:rPr>
        <w:t>昌吉高新技术产业开发区</w:t>
      </w:r>
      <w:r>
        <w:rPr>
          <w:rFonts w:hint="eastAsia" w:ascii="宋体" w:hAnsi="宋体" w:cs="宋体"/>
          <w:color w:val="000000" w:themeColor="text1"/>
          <w:kern w:val="0"/>
          <w:highlight w:val="none"/>
          <w:lang w:bidi="ar"/>
          <w14:textFill>
            <w14:solidFill>
              <w14:schemeClr w14:val="tx1"/>
            </w14:solidFill>
          </w14:textFill>
        </w:rPr>
        <w:t>，与园区的用地规划和产业布局定位相符，且规划环评已取得审查意见，不涉及生态敏感区，故本项目生态环境影响评价工作等级为简单分析。</w:t>
      </w:r>
    </w:p>
    <w:p w14:paraId="18CFE79C">
      <w:pPr>
        <w:pStyle w:val="4"/>
        <w:tabs>
          <w:tab w:val="left" w:pos="0"/>
        </w:tabs>
        <w:rPr>
          <w:color w:val="000000" w:themeColor="text1"/>
          <w:highlight w:val="none"/>
          <w14:textFill>
            <w14:solidFill>
              <w14:schemeClr w14:val="tx1"/>
            </w14:solidFill>
          </w14:textFill>
        </w:rPr>
      </w:pPr>
      <w:bookmarkStart w:id="506" w:name="_Toc10845"/>
      <w:bookmarkStart w:id="507" w:name="_Toc12361"/>
      <w:bookmarkStart w:id="508" w:name="_Toc8316"/>
      <w:bookmarkStart w:id="509" w:name="_Toc30179"/>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环境风险</w:t>
      </w:r>
      <w:bookmarkEnd w:id="504"/>
      <w:bookmarkEnd w:id="505"/>
      <w:bookmarkEnd w:id="506"/>
      <w:bookmarkEnd w:id="507"/>
      <w:bookmarkEnd w:id="508"/>
      <w:bookmarkEnd w:id="509"/>
    </w:p>
    <w:p w14:paraId="4383F9DA">
      <w:pPr>
        <w:ind w:firstLine="480"/>
        <w:rPr>
          <w:color w:val="000000" w:themeColor="text1"/>
          <w:highlight w:val="none"/>
          <w14:textFill>
            <w14:solidFill>
              <w14:schemeClr w14:val="tx1"/>
            </w14:solidFill>
          </w14:textFill>
        </w:rPr>
      </w:pPr>
      <w:bookmarkStart w:id="510" w:name="_Toc3159"/>
      <w:bookmarkStart w:id="511" w:name="_Toc8251"/>
      <w:r>
        <w:rPr>
          <w:color w:val="000000" w:themeColor="text1"/>
          <w:highlight w:val="none"/>
          <w14:textFill>
            <w14:solidFill>
              <w14:schemeClr w14:val="tx1"/>
            </w14:solidFill>
          </w14:textFill>
        </w:rPr>
        <w:t>（1）判定风险潜势</w:t>
      </w:r>
    </w:p>
    <w:p w14:paraId="6A8804E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根据《建设项目环境风险评价技术导则》</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HJ169-2018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项目所涉及的每种危险物质在场界内的最大存在总量与其对应临界量的比值Q来表征危险性。当只涉及一种危险物质时，计算该物质的总量与其临界值比值，即为Q；当存在多种危险物质时，则按下式计算物质总量与其临界量比值（Q）。</w:t>
      </w:r>
    </w:p>
    <w:p w14:paraId="19007BEF">
      <w:pPr>
        <w:ind w:firstLine="480"/>
        <w:jc w:val="center"/>
        <w:rPr>
          <w:color w:val="000000" w:themeColor="text1"/>
          <w:kern w:val="24"/>
          <w:highlight w:val="none"/>
          <w14:textFill>
            <w14:solidFill>
              <w14:schemeClr w14:val="tx1"/>
            </w14:solidFill>
          </w14:textFill>
        </w:rPr>
      </w:pPr>
      <w:r>
        <w:rPr>
          <w:color w:val="000000" w:themeColor="text1"/>
          <w:kern w:val="24"/>
          <w:highlight w:val="none"/>
          <w14:textFill>
            <w14:solidFill>
              <w14:schemeClr w14:val="tx1"/>
            </w14:solidFill>
          </w14:textFill>
        </w:rPr>
        <w:drawing>
          <wp:inline distT="0" distB="0" distL="114300" distR="114300">
            <wp:extent cx="1625600" cy="550545"/>
            <wp:effectExtent l="0" t="0" r="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rcRect r="57249"/>
                    <a:stretch>
                      <a:fillRect/>
                    </a:stretch>
                  </pic:blipFill>
                  <pic:spPr>
                    <a:xfrm>
                      <a:off x="0" y="0"/>
                      <a:ext cx="1625600" cy="550545"/>
                    </a:xfrm>
                    <a:prstGeom prst="rect">
                      <a:avLst/>
                    </a:prstGeom>
                    <a:noFill/>
                    <a:ln>
                      <a:noFill/>
                    </a:ln>
                  </pic:spPr>
                </pic:pic>
              </a:graphicData>
            </a:graphic>
          </wp:inline>
        </w:drawing>
      </w:r>
    </w:p>
    <w:p w14:paraId="2A6C5543">
      <w:pPr>
        <w:ind w:firstLine="480"/>
        <w:rPr>
          <w:color w:val="000000" w:themeColor="text1"/>
          <w:kern w:val="0"/>
          <w:highlight w:val="none"/>
          <w14:textFill>
            <w14:solidFill>
              <w14:schemeClr w14:val="tx1"/>
            </w14:solidFill>
          </w14:textFill>
        </w:rPr>
      </w:pPr>
      <w:r>
        <w:rPr>
          <w:color w:val="000000" w:themeColor="text1"/>
          <w:highlight w:val="none"/>
          <w14:textFill>
            <w14:solidFill>
              <w14:schemeClr w14:val="tx1"/>
            </w14:solidFill>
          </w14:textFill>
        </w:rPr>
        <w:t>式中：q</w:t>
      </w:r>
      <w:r>
        <w:rPr>
          <w:color w:val="000000" w:themeColor="text1"/>
          <w:highlight w:val="none"/>
          <w:vertAlign w:val="subscript"/>
          <w14:textFill>
            <w14:solidFill>
              <w14:schemeClr w14:val="tx1"/>
            </w14:solidFill>
          </w14:textFill>
        </w:rPr>
        <w:t>1</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n</w:t>
      </w:r>
      <w:r>
        <w:rPr>
          <w:color w:val="000000" w:themeColor="text1"/>
          <w:highlight w:val="none"/>
          <w14:textFill>
            <w14:solidFill>
              <w14:schemeClr w14:val="tx1"/>
            </w14:solidFill>
          </w14:textFill>
        </w:rPr>
        <w:t>——每种危险物质实际存在量，t。</w:t>
      </w:r>
    </w:p>
    <w:p w14:paraId="41947E5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      Q</w:t>
      </w:r>
      <w:r>
        <w:rPr>
          <w:color w:val="000000" w:themeColor="text1"/>
          <w:highlight w:val="none"/>
          <w:vertAlign w:val="subscript"/>
          <w14:textFill>
            <w14:solidFill>
              <w14:schemeClr w14:val="tx1"/>
            </w14:solidFill>
          </w14:textFill>
        </w:rPr>
        <w:t>1</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n</w:t>
      </w:r>
      <w:r>
        <w:rPr>
          <w:color w:val="000000" w:themeColor="text1"/>
          <w:highlight w:val="none"/>
          <w14:textFill>
            <w14:solidFill>
              <w14:schemeClr w14:val="tx1"/>
            </w14:solidFill>
          </w14:textFill>
        </w:rPr>
        <w:t>——各危险物质相对应生产场所或贮存区的临界量，t。</w:t>
      </w:r>
    </w:p>
    <w:p w14:paraId="142353E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      当Q＜1时，该项目环境风险潜势为Ⅰ。</w:t>
      </w:r>
    </w:p>
    <w:p w14:paraId="2A4232A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      当Q≥1时，将Q值划分为：（a）1≤Q＜10；（b）10≤Q＜100；（c）Q≥100。</w:t>
      </w:r>
    </w:p>
    <w:p w14:paraId="75A81B2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本项目Q=</w:t>
      </w:r>
      <w:r>
        <w:rPr>
          <w:rFonts w:hint="eastAsia"/>
          <w:color w:val="000000" w:themeColor="text1"/>
          <w:highlight w:val="none"/>
          <w:lang w:val="en-US" w:eastAsia="zh-CN"/>
          <w14:textFill>
            <w14:solidFill>
              <w14:schemeClr w14:val="tx1"/>
            </w14:solidFill>
          </w14:textFill>
        </w:rPr>
        <w:t>8.58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1≤Q＜10</w:t>
      </w:r>
      <w:r>
        <w:rPr>
          <w:rFonts w:hint="eastAsia"/>
          <w:color w:val="000000" w:themeColor="text1"/>
          <w:highlight w:val="none"/>
          <w14:textFill>
            <w14:solidFill>
              <w14:schemeClr w14:val="tx1"/>
            </w14:solidFill>
          </w14:textFill>
        </w:rPr>
        <w:t>；</w:t>
      </w:r>
    </w:p>
    <w:p w14:paraId="72A1B64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（2）评价等级判定</w:t>
      </w:r>
    </w:p>
    <w:p w14:paraId="65FCAE2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根据环境风险分析章节判定，本项目危险物质数量与临界量比值</w:t>
      </w:r>
      <w:r>
        <w:rPr>
          <w:color w:val="000000" w:themeColor="text1"/>
          <w:highlight w:val="none"/>
          <w14:textFill>
            <w14:solidFill>
              <w14:schemeClr w14:val="tx1"/>
            </w14:solidFill>
          </w14:textFill>
        </w:rPr>
        <w:t>Q=</w:t>
      </w:r>
      <w:r>
        <w:rPr>
          <w:rFonts w:hint="eastAsia"/>
          <w:color w:val="000000" w:themeColor="text1"/>
          <w:highlight w:val="none"/>
          <w:lang w:val="en-US" w:eastAsia="zh-CN"/>
          <w14:textFill>
            <w14:solidFill>
              <w14:schemeClr w14:val="tx1"/>
            </w14:solidFill>
          </w14:textFill>
        </w:rPr>
        <w:t>8.58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1≤Q＜10</w:t>
      </w:r>
      <w:r>
        <w:rPr>
          <w:rFonts w:hint="eastAsia"/>
          <w:color w:val="000000" w:themeColor="text1"/>
          <w:highlight w:val="none"/>
          <w14:textFill>
            <w14:solidFill>
              <w14:schemeClr w14:val="tx1"/>
            </w14:solidFill>
          </w14:textFill>
        </w:rPr>
        <w:t>；行业及生产工艺（M）为M4，判定危险物质及工艺系统危险性等级（P）为P4，大气环境敏感性均为E3，地下水环境敏感性均为E3，根据环境风险评价工作等级判定</w:t>
      </w:r>
      <w:r>
        <w:rPr>
          <w:rFonts w:hint="eastAsia"/>
          <w:color w:val="000000" w:themeColor="text1"/>
          <w:highlight w:val="none"/>
          <w:lang w:val="en-US" w:eastAsia="zh-CN"/>
          <w14:textFill>
            <w14:solidFill>
              <w14:schemeClr w14:val="tx1"/>
            </w14:solidFill>
          </w14:textFill>
        </w:rPr>
        <w:t>见</w:t>
      </w:r>
      <w:r>
        <w:rPr>
          <w:rFonts w:hint="eastAsia"/>
          <w:color w:val="000000" w:themeColor="text1"/>
          <w:highlight w:val="none"/>
          <w14:textFill>
            <w14:solidFill>
              <w14:schemeClr w14:val="tx1"/>
            </w14:solidFill>
          </w14:textFill>
        </w:rPr>
        <w:t>表2.6.6-1。</w:t>
      </w:r>
    </w:p>
    <w:p w14:paraId="3A310C18">
      <w:pPr>
        <w:pStyle w:val="2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表2.6.6-1     本项目环境风险评价工作等级判定</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522"/>
        <w:gridCol w:w="1360"/>
        <w:gridCol w:w="1533"/>
        <w:gridCol w:w="2433"/>
        <w:gridCol w:w="2223"/>
      </w:tblGrid>
      <w:tr w14:paraId="41734CA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1522" w:type="dxa"/>
            <w:vMerge w:val="restart"/>
            <w:noWrap w:val="0"/>
            <w:vAlign w:val="center"/>
          </w:tcPr>
          <w:p w14:paraId="0E4B27C9">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环境要素</w:t>
            </w:r>
          </w:p>
        </w:tc>
        <w:tc>
          <w:tcPr>
            <w:tcW w:w="2893" w:type="dxa"/>
            <w:gridSpan w:val="2"/>
            <w:noWrap w:val="0"/>
            <w:vAlign w:val="center"/>
          </w:tcPr>
          <w:p w14:paraId="4EC6010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环境风险潜势初判</w:t>
            </w:r>
          </w:p>
        </w:tc>
        <w:tc>
          <w:tcPr>
            <w:tcW w:w="2433" w:type="dxa"/>
            <w:vMerge w:val="restart"/>
            <w:noWrap w:val="0"/>
            <w:vAlign w:val="center"/>
          </w:tcPr>
          <w:p w14:paraId="4A2B90C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环境风险潜势划分</w:t>
            </w:r>
          </w:p>
        </w:tc>
        <w:tc>
          <w:tcPr>
            <w:tcW w:w="2223" w:type="dxa"/>
            <w:vMerge w:val="restart"/>
            <w:noWrap w:val="0"/>
            <w:vAlign w:val="center"/>
          </w:tcPr>
          <w:p w14:paraId="06A0768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评价等级确定</w:t>
            </w:r>
          </w:p>
        </w:tc>
      </w:tr>
      <w:tr w14:paraId="5CF7C5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1522" w:type="dxa"/>
            <w:vMerge w:val="continue"/>
            <w:tcBorders>
              <w:bottom w:val="single" w:color="000000" w:sz="12" w:space="0"/>
            </w:tcBorders>
            <w:noWrap w:val="0"/>
            <w:vAlign w:val="center"/>
          </w:tcPr>
          <w:p w14:paraId="7E934390">
            <w:pPr>
              <w:pStyle w:val="26"/>
              <w:rPr>
                <w:b/>
                <w:bCs/>
                <w:color w:val="000000" w:themeColor="text1"/>
                <w:highlight w:val="none"/>
                <w14:textFill>
                  <w14:solidFill>
                    <w14:schemeClr w14:val="tx1"/>
                  </w14:solidFill>
                </w14:textFill>
              </w:rPr>
            </w:pPr>
          </w:p>
        </w:tc>
        <w:tc>
          <w:tcPr>
            <w:tcW w:w="1360" w:type="dxa"/>
            <w:tcBorders>
              <w:bottom w:val="single" w:color="000000" w:sz="12" w:space="0"/>
            </w:tcBorders>
            <w:noWrap w:val="0"/>
            <w:vAlign w:val="center"/>
          </w:tcPr>
          <w:p w14:paraId="67F8BCD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P</w:t>
            </w:r>
          </w:p>
        </w:tc>
        <w:tc>
          <w:tcPr>
            <w:tcW w:w="1533" w:type="dxa"/>
            <w:tcBorders>
              <w:bottom w:val="single" w:color="000000" w:sz="12" w:space="0"/>
            </w:tcBorders>
            <w:noWrap w:val="0"/>
            <w:vAlign w:val="center"/>
          </w:tcPr>
          <w:p w14:paraId="5F0B2C7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E</w:t>
            </w:r>
          </w:p>
        </w:tc>
        <w:tc>
          <w:tcPr>
            <w:tcW w:w="2433" w:type="dxa"/>
            <w:vMerge w:val="continue"/>
            <w:tcBorders>
              <w:bottom w:val="single" w:color="000000" w:sz="12" w:space="0"/>
            </w:tcBorders>
            <w:noWrap w:val="0"/>
            <w:vAlign w:val="center"/>
          </w:tcPr>
          <w:p w14:paraId="38617B9D">
            <w:pPr>
              <w:pStyle w:val="26"/>
              <w:rPr>
                <w:color w:val="000000" w:themeColor="text1"/>
                <w:highlight w:val="none"/>
                <w14:textFill>
                  <w14:solidFill>
                    <w14:schemeClr w14:val="tx1"/>
                  </w14:solidFill>
                </w14:textFill>
              </w:rPr>
            </w:pPr>
          </w:p>
        </w:tc>
        <w:tc>
          <w:tcPr>
            <w:tcW w:w="2223" w:type="dxa"/>
            <w:vMerge w:val="continue"/>
            <w:tcBorders>
              <w:bottom w:val="single" w:color="000000" w:sz="12" w:space="0"/>
            </w:tcBorders>
            <w:noWrap w:val="0"/>
            <w:vAlign w:val="center"/>
          </w:tcPr>
          <w:p w14:paraId="5C412EA5">
            <w:pPr>
              <w:pStyle w:val="26"/>
              <w:rPr>
                <w:color w:val="000000" w:themeColor="text1"/>
                <w:highlight w:val="none"/>
                <w14:textFill>
                  <w14:solidFill>
                    <w14:schemeClr w14:val="tx1"/>
                  </w14:solidFill>
                </w14:textFill>
              </w:rPr>
            </w:pPr>
          </w:p>
        </w:tc>
      </w:tr>
      <w:tr w14:paraId="00CAB7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1522" w:type="dxa"/>
            <w:tcBorders>
              <w:top w:val="single" w:color="000000" w:sz="12" w:space="0"/>
            </w:tcBorders>
            <w:noWrap w:val="0"/>
            <w:vAlign w:val="center"/>
          </w:tcPr>
          <w:p w14:paraId="39E1C79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大气</w:t>
            </w:r>
          </w:p>
        </w:tc>
        <w:tc>
          <w:tcPr>
            <w:tcW w:w="1360" w:type="dxa"/>
            <w:vMerge w:val="restart"/>
            <w:tcBorders>
              <w:top w:val="single" w:color="000000" w:sz="12" w:space="0"/>
            </w:tcBorders>
            <w:noWrap w:val="0"/>
            <w:vAlign w:val="center"/>
          </w:tcPr>
          <w:p w14:paraId="75CC22F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P4</w:t>
            </w:r>
          </w:p>
        </w:tc>
        <w:tc>
          <w:tcPr>
            <w:tcW w:w="1533" w:type="dxa"/>
            <w:tcBorders>
              <w:top w:val="single" w:color="000000" w:sz="12" w:space="0"/>
            </w:tcBorders>
            <w:noWrap w:val="0"/>
            <w:vAlign w:val="center"/>
          </w:tcPr>
          <w:p w14:paraId="26888770">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3</w:t>
            </w:r>
          </w:p>
        </w:tc>
        <w:tc>
          <w:tcPr>
            <w:tcW w:w="2433" w:type="dxa"/>
            <w:tcBorders>
              <w:top w:val="single" w:color="000000" w:sz="12" w:space="0"/>
            </w:tcBorders>
            <w:noWrap w:val="0"/>
            <w:vAlign w:val="center"/>
          </w:tcPr>
          <w:p w14:paraId="1245F70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I</w:t>
            </w:r>
          </w:p>
        </w:tc>
        <w:tc>
          <w:tcPr>
            <w:tcW w:w="2223" w:type="dxa"/>
            <w:tcBorders>
              <w:top w:val="single" w:color="000000" w:sz="12" w:space="0"/>
            </w:tcBorders>
            <w:noWrap w:val="0"/>
            <w:vAlign w:val="center"/>
          </w:tcPr>
          <w:p w14:paraId="4CFF430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简单分析</w:t>
            </w:r>
            <w:r>
              <w:rPr>
                <w:color w:val="000000" w:themeColor="text1"/>
                <w:highlight w:val="none"/>
                <w:vertAlign w:val="superscript"/>
                <w14:textFill>
                  <w14:solidFill>
                    <w14:schemeClr w14:val="tx1"/>
                  </w14:solidFill>
                </w14:textFill>
              </w:rPr>
              <w:t>a</w:t>
            </w:r>
          </w:p>
        </w:tc>
      </w:tr>
      <w:tr w14:paraId="5731BD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1522" w:type="dxa"/>
            <w:noWrap w:val="0"/>
            <w:vAlign w:val="center"/>
          </w:tcPr>
          <w:p w14:paraId="0113FE1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地下水</w:t>
            </w:r>
          </w:p>
        </w:tc>
        <w:tc>
          <w:tcPr>
            <w:tcW w:w="1360" w:type="dxa"/>
            <w:vMerge w:val="continue"/>
            <w:noWrap w:val="0"/>
            <w:vAlign w:val="center"/>
          </w:tcPr>
          <w:p w14:paraId="45DA0EF9">
            <w:pPr>
              <w:pStyle w:val="26"/>
              <w:rPr>
                <w:color w:val="000000" w:themeColor="text1"/>
                <w:highlight w:val="none"/>
                <w14:textFill>
                  <w14:solidFill>
                    <w14:schemeClr w14:val="tx1"/>
                  </w14:solidFill>
                </w14:textFill>
              </w:rPr>
            </w:pPr>
          </w:p>
        </w:tc>
        <w:tc>
          <w:tcPr>
            <w:tcW w:w="1533" w:type="dxa"/>
            <w:noWrap w:val="0"/>
            <w:vAlign w:val="center"/>
          </w:tcPr>
          <w:p w14:paraId="7244EFA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3</w:t>
            </w:r>
          </w:p>
        </w:tc>
        <w:tc>
          <w:tcPr>
            <w:tcW w:w="2433" w:type="dxa"/>
            <w:noWrap w:val="0"/>
            <w:vAlign w:val="center"/>
          </w:tcPr>
          <w:p w14:paraId="078D002C">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I</w:t>
            </w:r>
          </w:p>
        </w:tc>
        <w:tc>
          <w:tcPr>
            <w:tcW w:w="2223" w:type="dxa"/>
            <w:noWrap w:val="0"/>
            <w:vAlign w:val="center"/>
          </w:tcPr>
          <w:p w14:paraId="22DB191C">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简单分析</w:t>
            </w:r>
            <w:r>
              <w:rPr>
                <w:color w:val="000000" w:themeColor="text1"/>
                <w:highlight w:val="none"/>
                <w:vertAlign w:val="superscript"/>
                <w14:textFill>
                  <w14:solidFill>
                    <w14:schemeClr w14:val="tx1"/>
                  </w14:solidFill>
                </w14:textFill>
              </w:rPr>
              <w:t>a</w:t>
            </w:r>
          </w:p>
        </w:tc>
      </w:tr>
    </w:tbl>
    <w:p w14:paraId="5B15B01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《建设项目环境风险评价技术导则》（HJ169-2018）中环境风险评价工作等级划分依据</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见表2</w:t>
      </w:r>
      <w:r>
        <w:rPr>
          <w:rFonts w:hint="eastAsia"/>
          <w:color w:val="000000" w:themeColor="text1"/>
          <w:highlight w:val="none"/>
          <w14:textFill>
            <w14:solidFill>
              <w14:schemeClr w14:val="tx1"/>
            </w14:solidFill>
          </w14:textFill>
        </w:rPr>
        <w:t>.6.6-2</w:t>
      </w:r>
      <w:r>
        <w:rPr>
          <w:color w:val="000000" w:themeColor="text1"/>
          <w:highlight w:val="none"/>
          <w14:textFill>
            <w14:solidFill>
              <w14:schemeClr w14:val="tx1"/>
            </w14:solidFill>
          </w14:textFill>
        </w:rPr>
        <w:t>。</w:t>
      </w:r>
    </w:p>
    <w:p w14:paraId="0A9284F6">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 xml:space="preserve">.6.6-2        </w:t>
      </w:r>
      <w:r>
        <w:rPr>
          <w:color w:val="000000" w:themeColor="text1"/>
          <w:highlight w:val="none"/>
          <w14:textFill>
            <w14:solidFill>
              <w14:schemeClr w14:val="tx1"/>
            </w14:solidFill>
          </w14:textFill>
        </w:rPr>
        <w:t xml:space="preserve">    环境风险评价工作等级划分表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23"/>
        <w:gridCol w:w="1611"/>
        <w:gridCol w:w="1925"/>
        <w:gridCol w:w="1925"/>
        <w:gridCol w:w="1687"/>
      </w:tblGrid>
      <w:tr w14:paraId="379E57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60" w:type="pct"/>
            <w:tcBorders>
              <w:bottom w:val="single" w:color="auto" w:sz="12" w:space="0"/>
            </w:tcBorders>
            <w:noWrap w:val="0"/>
            <w:vAlign w:val="center"/>
          </w:tcPr>
          <w:p w14:paraId="15214D1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环境风险潜势</w:t>
            </w:r>
          </w:p>
        </w:tc>
        <w:tc>
          <w:tcPr>
            <w:tcW w:w="888" w:type="pct"/>
            <w:tcBorders>
              <w:bottom w:val="single" w:color="auto" w:sz="12" w:space="0"/>
            </w:tcBorders>
            <w:noWrap w:val="0"/>
            <w:vAlign w:val="center"/>
          </w:tcPr>
          <w:p w14:paraId="71C0BC3E">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Ⅳ</w:t>
            </w:r>
            <w:r>
              <w:rPr>
                <w:b/>
                <w:bCs/>
                <w:color w:val="000000" w:themeColor="text1"/>
                <w:highlight w:val="none"/>
                <w14:textFill>
                  <w14:solidFill>
                    <w14:schemeClr w14:val="tx1"/>
                  </w14:solidFill>
                </w14:textFill>
              </w:rPr>
              <w:t>、IV+</w:t>
            </w:r>
          </w:p>
        </w:tc>
        <w:tc>
          <w:tcPr>
            <w:tcW w:w="1061" w:type="pct"/>
            <w:tcBorders>
              <w:bottom w:val="single" w:color="auto" w:sz="12" w:space="0"/>
            </w:tcBorders>
            <w:noWrap w:val="0"/>
            <w:vAlign w:val="center"/>
          </w:tcPr>
          <w:p w14:paraId="2FB4F50B">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Ⅲ</w:t>
            </w:r>
          </w:p>
        </w:tc>
        <w:tc>
          <w:tcPr>
            <w:tcW w:w="1061" w:type="pct"/>
            <w:tcBorders>
              <w:bottom w:val="single" w:color="auto" w:sz="12" w:space="0"/>
            </w:tcBorders>
            <w:noWrap w:val="0"/>
            <w:vAlign w:val="center"/>
          </w:tcPr>
          <w:p w14:paraId="23FB5CD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Ⅱ</w:t>
            </w:r>
          </w:p>
        </w:tc>
        <w:tc>
          <w:tcPr>
            <w:tcW w:w="929" w:type="pct"/>
            <w:tcBorders>
              <w:bottom w:val="single" w:color="auto" w:sz="12" w:space="0"/>
            </w:tcBorders>
            <w:noWrap w:val="0"/>
            <w:vAlign w:val="center"/>
          </w:tcPr>
          <w:p w14:paraId="0634C27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I</w:t>
            </w:r>
          </w:p>
        </w:tc>
      </w:tr>
      <w:tr w14:paraId="2958D5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60" w:type="pct"/>
            <w:tcBorders>
              <w:top w:val="single" w:color="auto" w:sz="12" w:space="0"/>
            </w:tcBorders>
            <w:noWrap w:val="0"/>
            <w:vAlign w:val="center"/>
          </w:tcPr>
          <w:p w14:paraId="3F001EE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评价工作等级</w:t>
            </w:r>
          </w:p>
        </w:tc>
        <w:tc>
          <w:tcPr>
            <w:tcW w:w="888" w:type="pct"/>
            <w:tcBorders>
              <w:top w:val="single" w:color="auto" w:sz="12" w:space="0"/>
            </w:tcBorders>
            <w:noWrap w:val="0"/>
            <w:vAlign w:val="center"/>
          </w:tcPr>
          <w:p w14:paraId="6994BCC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w:t>
            </w:r>
          </w:p>
        </w:tc>
        <w:tc>
          <w:tcPr>
            <w:tcW w:w="1061" w:type="pct"/>
            <w:tcBorders>
              <w:top w:val="single" w:color="auto" w:sz="12" w:space="0"/>
            </w:tcBorders>
            <w:noWrap w:val="0"/>
            <w:vAlign w:val="center"/>
          </w:tcPr>
          <w:p w14:paraId="2D63FA7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w:t>
            </w:r>
          </w:p>
        </w:tc>
        <w:tc>
          <w:tcPr>
            <w:tcW w:w="1061" w:type="pct"/>
            <w:tcBorders>
              <w:top w:val="single" w:color="auto" w:sz="12" w:space="0"/>
            </w:tcBorders>
            <w:noWrap w:val="0"/>
            <w:vAlign w:val="center"/>
          </w:tcPr>
          <w:p w14:paraId="66368AC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w:t>
            </w:r>
          </w:p>
        </w:tc>
        <w:tc>
          <w:tcPr>
            <w:tcW w:w="929" w:type="pct"/>
            <w:tcBorders>
              <w:top w:val="single" w:color="auto" w:sz="12" w:space="0"/>
            </w:tcBorders>
            <w:noWrap w:val="0"/>
            <w:vAlign w:val="center"/>
          </w:tcPr>
          <w:p w14:paraId="35C97E9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简单分析a</w:t>
            </w:r>
          </w:p>
        </w:tc>
      </w:tr>
      <w:tr w14:paraId="77F762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5000" w:type="pct"/>
            <w:gridSpan w:val="5"/>
            <w:noWrap w:val="0"/>
            <w:vAlign w:val="center"/>
          </w:tcPr>
          <w:p w14:paraId="332BA1B8">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a是相对于详细评价工作内容而言，在描述危险物质、环境影响途径、环境危险后果、风险防范措施等方面给出定性的说明。</w:t>
            </w:r>
          </w:p>
        </w:tc>
      </w:tr>
    </w:tbl>
    <w:p w14:paraId="3EA10CC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14:textFill>
            <w14:solidFill>
              <w14:schemeClr w14:val="tx1"/>
            </w14:solidFill>
          </w14:textFill>
        </w:rPr>
        <w:t>大气</w:t>
      </w:r>
      <w:r>
        <w:rPr>
          <w:color w:val="000000" w:themeColor="text1"/>
          <w:highlight w:val="none"/>
          <w14:textFill>
            <w14:solidFill>
              <w14:schemeClr w14:val="tx1"/>
            </w14:solidFill>
          </w14:textFill>
        </w:rPr>
        <w:t>风险潜势为</w:t>
      </w:r>
      <w:r>
        <w:rPr>
          <w:rFonts w:hint="eastAsia"/>
          <w:color w:val="000000" w:themeColor="text1"/>
          <w:highlight w:val="none"/>
          <w14:textFill>
            <w14:solidFill>
              <w14:schemeClr w14:val="tx1"/>
            </w14:solidFill>
          </w14:textFill>
        </w:rPr>
        <w:t>Ⅰ</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大气</w:t>
      </w:r>
      <w:r>
        <w:rPr>
          <w:color w:val="000000" w:themeColor="text1"/>
          <w:highlight w:val="none"/>
          <w14:textFill>
            <w14:solidFill>
              <w14:schemeClr w14:val="tx1"/>
            </w14:solidFill>
          </w14:textFill>
        </w:rPr>
        <w:t>环境风险等级为</w:t>
      </w:r>
      <w:r>
        <w:rPr>
          <w:rFonts w:hint="eastAsia"/>
          <w:color w:val="000000" w:themeColor="text1"/>
          <w:highlight w:val="none"/>
          <w14:textFill>
            <w14:solidFill>
              <w14:schemeClr w14:val="tx1"/>
            </w14:solidFill>
          </w14:textFill>
        </w:rPr>
        <w:t>简单分析，地下水</w:t>
      </w:r>
      <w:r>
        <w:rPr>
          <w:color w:val="000000" w:themeColor="text1"/>
          <w:highlight w:val="none"/>
          <w14:textFill>
            <w14:solidFill>
              <w14:schemeClr w14:val="tx1"/>
            </w14:solidFill>
          </w14:textFill>
        </w:rPr>
        <w:t>风险潜势为</w:t>
      </w:r>
      <w:r>
        <w:rPr>
          <w:rFonts w:hint="eastAsia"/>
          <w:color w:val="000000" w:themeColor="text1"/>
          <w:highlight w:val="none"/>
          <w14:textFill>
            <w14:solidFill>
              <w14:schemeClr w14:val="tx1"/>
            </w14:solidFill>
          </w14:textFill>
        </w:rPr>
        <w:t>Ⅰ</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地下水</w:t>
      </w:r>
      <w:r>
        <w:rPr>
          <w:color w:val="000000" w:themeColor="text1"/>
          <w:highlight w:val="none"/>
          <w14:textFill>
            <w14:solidFill>
              <w14:schemeClr w14:val="tx1"/>
            </w14:solidFill>
          </w14:textFill>
        </w:rPr>
        <w:t>环境风险等级为</w:t>
      </w:r>
      <w:r>
        <w:rPr>
          <w:rFonts w:hint="eastAsia"/>
          <w:color w:val="000000" w:themeColor="text1"/>
          <w:highlight w:val="none"/>
          <w14:textFill>
            <w14:solidFill>
              <w14:schemeClr w14:val="tx1"/>
            </w14:solidFill>
          </w14:textFill>
        </w:rPr>
        <w:t>简单分析</w:t>
      </w:r>
      <w:r>
        <w:rPr>
          <w:color w:val="000000" w:themeColor="text1"/>
          <w:highlight w:val="none"/>
          <w14:textFill>
            <w14:solidFill>
              <w14:schemeClr w14:val="tx1"/>
            </w14:solidFill>
          </w14:textFill>
        </w:rPr>
        <w:t>。</w:t>
      </w:r>
    </w:p>
    <w:p w14:paraId="689583D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（3）评价范围</w:t>
      </w:r>
    </w:p>
    <w:p w14:paraId="164B5A28">
      <w:pPr>
        <w:widowControl/>
        <w:ind w:firstLine="48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本项目的</w:t>
      </w:r>
      <w:r>
        <w:rPr>
          <w:rFonts w:hint="eastAsia" w:ascii="宋体" w:hAnsi="宋体" w:cs="宋体"/>
          <w:color w:val="000000" w:themeColor="text1"/>
          <w:kern w:val="0"/>
          <w:highlight w:val="none"/>
          <w:lang w:bidi="ar"/>
          <w14:textFill>
            <w14:solidFill>
              <w14:schemeClr w14:val="tx1"/>
            </w14:solidFill>
          </w14:textFill>
        </w:rPr>
        <w:t>风险评价等级</w:t>
      </w:r>
      <w:r>
        <w:rPr>
          <w:color w:val="000000" w:themeColor="text1"/>
          <w:highlight w:val="none"/>
          <w14:textFill>
            <w14:solidFill>
              <w14:schemeClr w14:val="tx1"/>
            </w14:solidFill>
          </w14:textFill>
        </w:rPr>
        <w:t>为</w:t>
      </w:r>
      <w:r>
        <w:rPr>
          <w:rFonts w:hint="eastAsia"/>
          <w:color w:val="000000" w:themeColor="text1"/>
          <w:highlight w:val="none"/>
          <w14:textFill>
            <w14:solidFill>
              <w14:schemeClr w14:val="tx1"/>
            </w14:solidFill>
          </w14:textFill>
        </w:rPr>
        <w:t>简单分析，不设评价范围。</w:t>
      </w:r>
    </w:p>
    <w:p w14:paraId="14CDB578">
      <w:pPr>
        <w:pStyle w:val="4"/>
        <w:tabs>
          <w:tab w:val="left" w:pos="0"/>
        </w:tabs>
        <w:rPr>
          <w:color w:val="000000" w:themeColor="text1"/>
          <w:highlight w:val="none"/>
          <w14:textFill>
            <w14:solidFill>
              <w14:schemeClr w14:val="tx1"/>
            </w14:solidFill>
          </w14:textFill>
        </w:rPr>
      </w:pPr>
      <w:bookmarkStart w:id="512" w:name="_Toc2073"/>
      <w:bookmarkStart w:id="513" w:name="_Toc3972"/>
      <w:bookmarkStart w:id="514" w:name="_Toc16130"/>
      <w:bookmarkStart w:id="515" w:name="_Toc7595"/>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.7土壤环境</w:t>
      </w:r>
      <w:bookmarkEnd w:id="512"/>
      <w:bookmarkEnd w:id="513"/>
      <w:bookmarkEnd w:id="514"/>
      <w:bookmarkEnd w:id="515"/>
    </w:p>
    <w:p w14:paraId="30F253A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（1）项目类别</w:t>
      </w:r>
    </w:p>
    <w:p w14:paraId="4E479B1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本项目属于污染影响型项目，根据《环境影响评价技术导则</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土壤环境（试行）》（HJ964-2018）附录A 表A.1土壤环境影响评价项目类别，本项目属于Ⅰ类项目。</w:t>
      </w:r>
    </w:p>
    <w:p w14:paraId="7A8EE2D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（2）占地规模</w:t>
      </w:r>
    </w:p>
    <w:p w14:paraId="005F5EF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建设项目占地规模分为大型（</w:t>
      </w:r>
      <w:r>
        <w:rPr>
          <w:color w:val="000000" w:themeColor="text1"/>
          <w:highlight w:val="none"/>
          <w:lang w:val="zh-TW" w:eastAsia="zh-TW"/>
          <w14:textFill>
            <w14:solidFill>
              <w14:schemeClr w14:val="tx1"/>
            </w14:solidFill>
          </w14:textFill>
        </w:rPr>
        <w:t>≥50h</w:t>
      </w:r>
      <w:r>
        <w:rPr>
          <w:rFonts w:hint="eastAsia"/>
          <w:color w:val="000000" w:themeColor="text1"/>
          <w:highlight w:val="none"/>
          <w:lang w:val="zh-TW"/>
          <w14:textFill>
            <w14:solidFill>
              <w14:schemeClr w14:val="tx1"/>
            </w14:solidFill>
          </w14:textFill>
        </w:rPr>
        <w:t>m</w:t>
      </w:r>
      <w:r>
        <w:rPr>
          <w:rFonts w:hint="eastAsia"/>
          <w:color w:val="000000" w:themeColor="text1"/>
          <w:highlight w:val="none"/>
          <w:vertAlign w:val="superscript"/>
          <w:lang w:val="zh-TW"/>
          <w14:textFill>
            <w14:solidFill>
              <w14:schemeClr w14:val="tx1"/>
            </w14:solidFill>
          </w14:textFill>
        </w:rPr>
        <w:t>2</w:t>
      </w:r>
      <w:r>
        <w:rPr>
          <w:color w:val="000000" w:themeColor="text1"/>
          <w:highlight w:val="none"/>
          <w14:textFill>
            <w14:solidFill>
              <w14:schemeClr w14:val="tx1"/>
            </w14:solidFill>
          </w14:textFill>
        </w:rPr>
        <w:t>）、中型（5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50h</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2</w:t>
      </w:r>
      <w:r>
        <w:rPr>
          <w:color w:val="000000" w:themeColor="text1"/>
          <w:highlight w:val="none"/>
          <w14:textFill>
            <w14:solidFill>
              <w14:schemeClr w14:val="tx1"/>
            </w14:solidFill>
          </w14:textFill>
        </w:rPr>
        <w:t>）、小型（</w:t>
      </w:r>
      <w:r>
        <w:rPr>
          <w:color w:val="000000" w:themeColor="text1"/>
          <w:highlight w:val="none"/>
          <w:lang w:val="zh-TW" w:eastAsia="zh-TW"/>
          <w14:textFill>
            <w14:solidFill>
              <w14:schemeClr w14:val="tx1"/>
            </w14:solidFill>
          </w14:textFill>
        </w:rPr>
        <w:t>≤5h</w:t>
      </w:r>
      <w:r>
        <w:rPr>
          <w:rFonts w:hint="eastAsia"/>
          <w:color w:val="000000" w:themeColor="text1"/>
          <w:highlight w:val="none"/>
          <w:lang w:val="zh-TW"/>
          <w14:textFill>
            <w14:solidFill>
              <w14:schemeClr w14:val="tx1"/>
            </w14:solidFill>
          </w14:textFill>
        </w:rPr>
        <w:t>m</w:t>
      </w:r>
      <w:r>
        <w:rPr>
          <w:rFonts w:hint="eastAsia"/>
          <w:color w:val="000000" w:themeColor="text1"/>
          <w:highlight w:val="none"/>
          <w:vertAlign w:val="superscript"/>
          <w:lang w:val="zh-TW"/>
          <w14:textFill>
            <w14:solidFill>
              <w14:schemeClr w14:val="tx1"/>
            </w14:solidFill>
          </w14:textFill>
        </w:rPr>
        <w:t>2</w:t>
      </w:r>
      <w:r>
        <w:rPr>
          <w:color w:val="000000" w:themeColor="text1"/>
          <w:highlight w:val="none"/>
          <w14:textFill>
            <w14:solidFill>
              <w14:schemeClr w14:val="tx1"/>
            </w14:solidFill>
          </w14:textFill>
        </w:rPr>
        <w:t>），本项目占地</w:t>
      </w:r>
      <w:r>
        <w:rPr>
          <w:rFonts w:hint="eastAsia"/>
          <w:color w:val="000000" w:themeColor="text1"/>
          <w:highlight w:val="none"/>
          <w14:textFill>
            <w14:solidFill>
              <w14:schemeClr w14:val="tx1"/>
            </w14:solidFill>
          </w14:textFill>
        </w:rPr>
        <w:t>约</w:t>
      </w:r>
      <w:r>
        <w:rPr>
          <w:rFonts w:hint="eastAsia"/>
          <w:color w:val="000000" w:themeColor="text1"/>
          <w:highlight w:val="none"/>
          <w:lang w:val="en-US" w:eastAsia="zh-CN"/>
          <w14:textFill>
            <w14:solidFill>
              <w14:schemeClr w14:val="tx1"/>
            </w14:solidFill>
          </w14:textFill>
        </w:rPr>
        <w:t>3590.87</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2</w:t>
      </w:r>
      <w:r>
        <w:rPr>
          <w:color w:val="000000" w:themeColor="text1"/>
          <w:highlight w:val="none"/>
          <w14:textFill>
            <w14:solidFill>
              <w14:schemeClr w14:val="tx1"/>
            </w14:solidFill>
          </w14:textFill>
        </w:rPr>
        <w:t>，占地规模为</w:t>
      </w:r>
      <w:r>
        <w:rPr>
          <w:rFonts w:hint="eastAsia"/>
          <w:color w:val="000000" w:themeColor="text1"/>
          <w:highlight w:val="none"/>
          <w14:textFill>
            <w14:solidFill>
              <w14:schemeClr w14:val="tx1"/>
            </w14:solidFill>
          </w14:textFill>
        </w:rPr>
        <w:t>小</w:t>
      </w:r>
      <w:r>
        <w:rPr>
          <w:color w:val="000000" w:themeColor="text1"/>
          <w:highlight w:val="none"/>
          <w14:textFill>
            <w14:solidFill>
              <w14:schemeClr w14:val="tx1"/>
            </w14:solidFill>
          </w14:textFill>
        </w:rPr>
        <w:t>型。</w:t>
      </w:r>
    </w:p>
    <w:p w14:paraId="0B0F765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（3）敏感程度</w:t>
      </w:r>
    </w:p>
    <w:p w14:paraId="6FB1DEE2">
      <w:pPr>
        <w:ind w:firstLine="480"/>
        <w:rPr>
          <w:b/>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建设项目所在地周边土壤环境敏感程度分为敏感、较敏感、不敏感，判别依据见表2</w:t>
      </w:r>
      <w:r>
        <w:rPr>
          <w:rFonts w:hint="eastAsia"/>
          <w:color w:val="000000" w:themeColor="text1"/>
          <w:highlight w:val="none"/>
          <w14:textFill>
            <w14:solidFill>
              <w14:schemeClr w14:val="tx1"/>
            </w14:solidFill>
          </w14:textFill>
        </w:rPr>
        <w:t>.6.7-1</w:t>
      </w:r>
      <w:r>
        <w:rPr>
          <w:color w:val="000000" w:themeColor="text1"/>
          <w:highlight w:val="none"/>
          <w14:textFill>
            <w14:solidFill>
              <w14:schemeClr w14:val="tx1"/>
            </w14:solidFill>
          </w14:textFill>
        </w:rPr>
        <w:t>。</w:t>
      </w:r>
    </w:p>
    <w:p w14:paraId="19E8BA41">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 xml:space="preserve">.6.7-1    </w:t>
      </w:r>
      <w:r>
        <w:rPr>
          <w:color w:val="000000" w:themeColor="text1"/>
          <w:highlight w:val="none"/>
          <w14:textFill>
            <w14:solidFill>
              <w14:schemeClr w14:val="tx1"/>
            </w14:solidFill>
          </w14:textFill>
        </w:rPr>
        <w:t xml:space="preserve">    污染影响型敏感程度分级表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91"/>
        <w:gridCol w:w="7380"/>
      </w:tblGrid>
      <w:tr w14:paraId="67B888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9" w:type="dxa"/>
            <w:tcBorders>
              <w:bottom w:val="single" w:color="auto" w:sz="12" w:space="0"/>
            </w:tcBorders>
            <w:noWrap w:val="0"/>
            <w:vAlign w:val="center"/>
          </w:tcPr>
          <w:p w14:paraId="721EF60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敏感程度</w:t>
            </w:r>
          </w:p>
        </w:tc>
        <w:tc>
          <w:tcPr>
            <w:tcW w:w="6933" w:type="dxa"/>
            <w:tcBorders>
              <w:bottom w:val="single" w:color="auto" w:sz="12" w:space="0"/>
            </w:tcBorders>
            <w:noWrap w:val="0"/>
            <w:vAlign w:val="center"/>
          </w:tcPr>
          <w:p w14:paraId="70D857B7">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判别依据</w:t>
            </w:r>
          </w:p>
        </w:tc>
      </w:tr>
      <w:tr w14:paraId="16A380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9" w:type="dxa"/>
            <w:tcBorders>
              <w:top w:val="single" w:color="auto" w:sz="12" w:space="0"/>
            </w:tcBorders>
            <w:noWrap w:val="0"/>
            <w:vAlign w:val="center"/>
          </w:tcPr>
          <w:p w14:paraId="398801B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敏感</w:t>
            </w:r>
          </w:p>
        </w:tc>
        <w:tc>
          <w:tcPr>
            <w:tcW w:w="6933" w:type="dxa"/>
            <w:tcBorders>
              <w:top w:val="single" w:color="auto" w:sz="12" w:space="0"/>
            </w:tcBorders>
            <w:noWrap w:val="0"/>
            <w:vAlign w:val="center"/>
          </w:tcPr>
          <w:p w14:paraId="2464094E">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建设项目周边存在耕地、园地、牧草地、饮用水水源地或居民区、学校、医院、疗养院、养老院等土壤环境敏感目标</w:t>
            </w:r>
          </w:p>
        </w:tc>
      </w:tr>
      <w:tr w14:paraId="59BE46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9" w:type="dxa"/>
            <w:noWrap w:val="0"/>
            <w:vAlign w:val="center"/>
          </w:tcPr>
          <w:p w14:paraId="3D56EAC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较敏感</w:t>
            </w:r>
          </w:p>
        </w:tc>
        <w:tc>
          <w:tcPr>
            <w:tcW w:w="6933" w:type="dxa"/>
            <w:noWrap w:val="0"/>
            <w:vAlign w:val="center"/>
          </w:tcPr>
          <w:p w14:paraId="357163E7">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建设项目周边存在其他土壤环境敏感目标</w:t>
            </w:r>
          </w:p>
        </w:tc>
      </w:tr>
      <w:tr w14:paraId="639402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89" w:type="dxa"/>
            <w:noWrap w:val="0"/>
            <w:vAlign w:val="center"/>
          </w:tcPr>
          <w:p w14:paraId="0C62641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不敏感</w:t>
            </w:r>
          </w:p>
        </w:tc>
        <w:tc>
          <w:tcPr>
            <w:tcW w:w="6933" w:type="dxa"/>
            <w:noWrap w:val="0"/>
            <w:vAlign w:val="center"/>
          </w:tcPr>
          <w:p w14:paraId="46A42AAD">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其他情况</w:t>
            </w:r>
          </w:p>
        </w:tc>
      </w:tr>
    </w:tbl>
    <w:p w14:paraId="56E4641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根据现场调查，</w:t>
      </w:r>
      <w:r>
        <w:rPr>
          <w:rFonts w:hint="eastAsia"/>
          <w:color w:val="000000" w:themeColor="text1"/>
          <w:highlight w:val="none"/>
          <w14:textFill>
            <w14:solidFill>
              <w14:schemeClr w14:val="tx1"/>
            </w14:solidFill>
          </w14:textFill>
        </w:rPr>
        <w:t>项目区周边无耕地、园地、饮用水源地或居民区、学校、医院、疗养院、养老院等其他土壤环境敏感目标，本次土壤敏感程度确定为“不敏感”。</w:t>
      </w:r>
    </w:p>
    <w:p w14:paraId="12A1CB9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（4）评价等级判定</w:t>
      </w:r>
    </w:p>
    <w:p w14:paraId="0BE7FD5E">
      <w:pPr>
        <w:ind w:firstLine="480"/>
        <w:rPr>
          <w:b/>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根据土壤环境影响评价项目类别、占地规模与敏感程度划分评价工作等级，详见表2</w:t>
      </w:r>
      <w:r>
        <w:rPr>
          <w:rFonts w:hint="eastAsia"/>
          <w:color w:val="000000" w:themeColor="text1"/>
          <w:highlight w:val="none"/>
          <w14:textFill>
            <w14:solidFill>
              <w14:schemeClr w14:val="tx1"/>
            </w14:solidFill>
          </w14:textFill>
        </w:rPr>
        <w:t>.6.7-2</w:t>
      </w:r>
      <w:r>
        <w:rPr>
          <w:color w:val="000000" w:themeColor="text1"/>
          <w:highlight w:val="none"/>
          <w14:textFill>
            <w14:solidFill>
              <w14:schemeClr w14:val="tx1"/>
            </w14:solidFill>
          </w14:textFill>
        </w:rPr>
        <w:t>。</w:t>
      </w:r>
    </w:p>
    <w:p w14:paraId="4CA06086">
      <w:pPr>
        <w:pStyle w:val="25"/>
        <w:rPr>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 xml:space="preserve">.6.7-2   </w:t>
      </w:r>
      <w:r>
        <w:rPr>
          <w:color w:val="000000" w:themeColor="text1"/>
          <w:highlight w:val="none"/>
          <w14:textFill>
            <w14:solidFill>
              <w14:schemeClr w14:val="tx1"/>
            </w14:solidFill>
          </w14:textFill>
        </w:rPr>
        <w:t xml:space="preserve">   污染影响型评价工作等级划分表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611"/>
        <w:gridCol w:w="717"/>
        <w:gridCol w:w="717"/>
        <w:gridCol w:w="718"/>
        <w:gridCol w:w="717"/>
        <w:gridCol w:w="717"/>
        <w:gridCol w:w="718"/>
        <w:gridCol w:w="717"/>
        <w:gridCol w:w="717"/>
        <w:gridCol w:w="722"/>
      </w:tblGrid>
      <w:tr w14:paraId="6532F5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40" w:type="pct"/>
            <w:vMerge w:val="restart"/>
            <w:noWrap w:val="0"/>
            <w:vAlign w:val="center"/>
            <mc:AlternateContent>
              <mc:Choice Requires="wpsCustomData">
                <wpsCustomData:diagonals>
                  <wpsCustomData:diagonal from="30000" to="6900">
                    <wpsCustomData:border w:val="single" w:color="auto" w:sz="4" w:space="0"/>
                  </wpsCustomData:diagonal>
                  <wpsCustomData:diagonal from="15000" to="30000">
                    <wpsCustomData:border w:val="single" w:color="auto" w:sz="4" w:space="0"/>
                  </wpsCustomData:diagonal>
                </wpsCustomData:diagonals>
              </mc:Choice>
            </mc:AlternateContent>
          </w:tcPr>
          <w:p w14:paraId="0F1D45F9">
            <w:pPr>
              <w:pStyle w:val="26"/>
              <w:jc w:val="both"/>
              <w:rPr>
                <w:rFonts w:hint="eastAsia"/>
                <w:b/>
                <w:bCs/>
                <w:color w:val="000000" w:themeColor="text1"/>
                <w:highlight w:val="none"/>
                <w:lang w:val="en-US" w:eastAsia="zh-CN"/>
                <w14:textFill>
                  <w14:solidFill>
                    <w14:schemeClr w14:val="tx1"/>
                  </w14:solidFill>
                </w14:textFill>
              </w:rPr>
            </w:pPr>
          </w:p>
          <w:p w14:paraId="353BFC1A">
            <w:pPr>
              <w:pStyle w:val="26"/>
              <w:jc w:val="both"/>
              <mc:AlternateContent>
                <mc:Choice Requires="wpsCustomData">
                  <wpsCustomData:diagonalParaType/>
                </mc:Choice>
              </mc:AlternateContent>
              <w:rPr>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敏</w:t>
            </w:r>
            <w:r>
              <w:rPr>
                <w:b/>
                <w:bCs/>
                <w:color w:val="000000" w:themeColor="text1"/>
                <w:highlight w:val="none"/>
                <w14:textFill>
                  <w14:solidFill>
                    <w14:schemeClr w14:val="tx1"/>
                  </w14:solidFill>
                </w14:textFill>
              </w:rPr>
              <w:t>感</w:t>
            </w:r>
            <w:r>
              <w:rPr>
                <w:rFonts w:hint="eastAsia"/>
                <w:b/>
                <w:bCs/>
                <w:color w:val="000000" w:themeColor="text1"/>
                <w:highlight w:val="none"/>
                <w:lang w:val="en-US" w:eastAsia="zh-CN"/>
                <w14:textFill>
                  <w14:solidFill>
                    <w14:schemeClr w14:val="tx1"/>
                  </w14:solidFill>
                </w14:textFill>
              </w:rPr>
              <w:t>程度</w:t>
            </w:r>
            <w:r>
              <w:rPr>
                <w:rFonts w:hint="eastAsia"/>
                <w:color w:val="000000" w:themeColor="text1"/>
                <w:highlight w:val="none"/>
                <w:lang w:val="en-US" w:eastAsia="zh-CN"/>
                <w14:textFill>
                  <w14:solidFill>
                    <w14:schemeClr w14:val="tx1"/>
                  </w14:solidFill>
                </w14:textFill>
              </w:rPr>
              <w:t xml:space="preserve"> </w:t>
            </w:r>
          </w:p>
          <w:p w14:paraId="40EAE00C">
            <w:pPr>
              <w:pStyle w:val="26"/>
              <w:snapToGrid w:val="0"/>
              <w:jc w:val="both"/>
              <mc:AlternateContent>
                <mc:Choice Requires="wpsCustomData">
                  <wpsCustomData:diagonalParaType/>
                </mc:Choice>
              </mc:AlternateContent>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工作等级</w:t>
            </w:r>
          </w:p>
          <w:p w14:paraId="51BD2C96">
            <w:pPr>
              <w:pStyle w:val="26"/>
              <w:jc w:val="both"/>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占地规模</w:t>
            </w:r>
          </w:p>
        </w:tc>
        <w:tc>
          <w:tcPr>
            <w:tcW w:w="1186" w:type="pct"/>
            <w:gridSpan w:val="3"/>
            <w:noWrap w:val="0"/>
            <w:vAlign w:val="center"/>
          </w:tcPr>
          <w:p w14:paraId="68C7A499">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Ⅰ类</w:t>
            </w:r>
          </w:p>
        </w:tc>
        <w:tc>
          <w:tcPr>
            <w:tcW w:w="1186" w:type="pct"/>
            <w:gridSpan w:val="3"/>
            <w:noWrap w:val="0"/>
            <w:vAlign w:val="center"/>
          </w:tcPr>
          <w:p w14:paraId="3DFBB9F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Ⅱ类</w:t>
            </w:r>
          </w:p>
        </w:tc>
        <w:tc>
          <w:tcPr>
            <w:tcW w:w="1186" w:type="pct"/>
            <w:gridSpan w:val="3"/>
            <w:noWrap w:val="0"/>
            <w:vAlign w:val="center"/>
          </w:tcPr>
          <w:p w14:paraId="66C1913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Ⅲ类</w:t>
            </w:r>
          </w:p>
        </w:tc>
      </w:tr>
      <w:tr w14:paraId="4500AC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40" w:type="pct"/>
            <w:vMerge w:val="continue"/>
            <w:tcBorders>
              <w:bottom w:val="single" w:color="auto" w:sz="12" w:space="0"/>
            </w:tcBorders>
            <w:noWrap w:val="0"/>
            <w:vAlign w:val="center"/>
          </w:tcPr>
          <w:p w14:paraId="470F2908">
            <w:pPr>
              <w:pStyle w:val="26"/>
              <w:rPr>
                <w:b/>
                <w:bCs/>
                <w:color w:val="000000" w:themeColor="text1"/>
                <w:highlight w:val="none"/>
                <w14:textFill>
                  <w14:solidFill>
                    <w14:schemeClr w14:val="tx1"/>
                  </w14:solidFill>
                </w14:textFill>
              </w:rPr>
            </w:pPr>
          </w:p>
        </w:tc>
        <w:tc>
          <w:tcPr>
            <w:tcW w:w="395" w:type="pct"/>
            <w:tcBorders>
              <w:bottom w:val="single" w:color="auto" w:sz="12" w:space="0"/>
            </w:tcBorders>
            <w:noWrap w:val="0"/>
            <w:vAlign w:val="center"/>
          </w:tcPr>
          <w:p w14:paraId="6B22174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大</w:t>
            </w:r>
          </w:p>
        </w:tc>
        <w:tc>
          <w:tcPr>
            <w:tcW w:w="395" w:type="pct"/>
            <w:tcBorders>
              <w:bottom w:val="single" w:color="auto" w:sz="12" w:space="0"/>
            </w:tcBorders>
            <w:noWrap w:val="0"/>
            <w:vAlign w:val="center"/>
          </w:tcPr>
          <w:p w14:paraId="09B2CC5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中</w:t>
            </w:r>
          </w:p>
        </w:tc>
        <w:tc>
          <w:tcPr>
            <w:tcW w:w="395" w:type="pct"/>
            <w:tcBorders>
              <w:bottom w:val="single" w:color="auto" w:sz="12" w:space="0"/>
            </w:tcBorders>
            <w:noWrap w:val="0"/>
            <w:vAlign w:val="center"/>
          </w:tcPr>
          <w:p w14:paraId="529B4FD7">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小</w:t>
            </w:r>
          </w:p>
        </w:tc>
        <w:tc>
          <w:tcPr>
            <w:tcW w:w="395" w:type="pct"/>
            <w:tcBorders>
              <w:bottom w:val="single" w:color="auto" w:sz="12" w:space="0"/>
            </w:tcBorders>
            <w:noWrap w:val="0"/>
            <w:vAlign w:val="center"/>
          </w:tcPr>
          <w:p w14:paraId="1456BC4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大</w:t>
            </w:r>
          </w:p>
        </w:tc>
        <w:tc>
          <w:tcPr>
            <w:tcW w:w="395" w:type="pct"/>
            <w:tcBorders>
              <w:bottom w:val="single" w:color="auto" w:sz="12" w:space="0"/>
            </w:tcBorders>
            <w:noWrap w:val="0"/>
            <w:vAlign w:val="center"/>
          </w:tcPr>
          <w:p w14:paraId="3381458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中</w:t>
            </w:r>
          </w:p>
        </w:tc>
        <w:tc>
          <w:tcPr>
            <w:tcW w:w="395" w:type="pct"/>
            <w:tcBorders>
              <w:bottom w:val="single" w:color="auto" w:sz="12" w:space="0"/>
            </w:tcBorders>
            <w:noWrap w:val="0"/>
            <w:vAlign w:val="center"/>
          </w:tcPr>
          <w:p w14:paraId="00E69F3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小</w:t>
            </w:r>
          </w:p>
        </w:tc>
        <w:tc>
          <w:tcPr>
            <w:tcW w:w="395" w:type="pct"/>
            <w:tcBorders>
              <w:bottom w:val="single" w:color="auto" w:sz="12" w:space="0"/>
            </w:tcBorders>
            <w:noWrap w:val="0"/>
            <w:vAlign w:val="center"/>
          </w:tcPr>
          <w:p w14:paraId="16D43E1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大</w:t>
            </w:r>
          </w:p>
        </w:tc>
        <w:tc>
          <w:tcPr>
            <w:tcW w:w="395" w:type="pct"/>
            <w:tcBorders>
              <w:bottom w:val="single" w:color="auto" w:sz="12" w:space="0"/>
            </w:tcBorders>
            <w:noWrap w:val="0"/>
            <w:vAlign w:val="center"/>
          </w:tcPr>
          <w:p w14:paraId="468BA22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中</w:t>
            </w:r>
          </w:p>
        </w:tc>
        <w:tc>
          <w:tcPr>
            <w:tcW w:w="396" w:type="pct"/>
            <w:tcBorders>
              <w:bottom w:val="single" w:color="auto" w:sz="12" w:space="0"/>
            </w:tcBorders>
            <w:noWrap w:val="0"/>
            <w:vAlign w:val="center"/>
          </w:tcPr>
          <w:p w14:paraId="0D0FD8B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小</w:t>
            </w:r>
          </w:p>
        </w:tc>
      </w:tr>
      <w:tr w14:paraId="35ADD8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40" w:type="pct"/>
            <w:tcBorders>
              <w:top w:val="single" w:color="auto" w:sz="12" w:space="0"/>
            </w:tcBorders>
            <w:noWrap w:val="0"/>
            <w:vAlign w:val="center"/>
          </w:tcPr>
          <w:p w14:paraId="47155EC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敏感</w:t>
            </w:r>
          </w:p>
        </w:tc>
        <w:tc>
          <w:tcPr>
            <w:tcW w:w="395" w:type="pct"/>
            <w:tcBorders>
              <w:top w:val="single" w:color="auto" w:sz="12" w:space="0"/>
            </w:tcBorders>
            <w:noWrap w:val="0"/>
            <w:vAlign w:val="center"/>
          </w:tcPr>
          <w:p w14:paraId="7A65283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一级</w:t>
            </w:r>
          </w:p>
        </w:tc>
        <w:tc>
          <w:tcPr>
            <w:tcW w:w="395" w:type="pct"/>
            <w:tcBorders>
              <w:top w:val="single" w:color="auto" w:sz="12" w:space="0"/>
            </w:tcBorders>
            <w:noWrap w:val="0"/>
            <w:vAlign w:val="center"/>
          </w:tcPr>
          <w:p w14:paraId="52FB5C3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一级</w:t>
            </w:r>
          </w:p>
        </w:tc>
        <w:tc>
          <w:tcPr>
            <w:tcW w:w="395" w:type="pct"/>
            <w:tcBorders>
              <w:top w:val="single" w:color="auto" w:sz="12" w:space="0"/>
            </w:tcBorders>
            <w:noWrap w:val="0"/>
            <w:vAlign w:val="center"/>
          </w:tcPr>
          <w:p w14:paraId="0EE6947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一级</w:t>
            </w:r>
          </w:p>
        </w:tc>
        <w:tc>
          <w:tcPr>
            <w:tcW w:w="395" w:type="pct"/>
            <w:tcBorders>
              <w:top w:val="single" w:color="auto" w:sz="12" w:space="0"/>
            </w:tcBorders>
            <w:noWrap w:val="0"/>
            <w:vAlign w:val="center"/>
          </w:tcPr>
          <w:p w14:paraId="3245DA4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tcBorders>
              <w:top w:val="single" w:color="auto" w:sz="12" w:space="0"/>
            </w:tcBorders>
            <w:noWrap w:val="0"/>
            <w:vAlign w:val="center"/>
          </w:tcPr>
          <w:p w14:paraId="48A8EA8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tcBorders>
              <w:top w:val="single" w:color="auto" w:sz="12" w:space="0"/>
            </w:tcBorders>
            <w:noWrap w:val="0"/>
            <w:vAlign w:val="center"/>
          </w:tcPr>
          <w:p w14:paraId="485EEB5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tcBorders>
              <w:top w:val="single" w:color="auto" w:sz="12" w:space="0"/>
            </w:tcBorders>
            <w:noWrap w:val="0"/>
            <w:vAlign w:val="center"/>
          </w:tcPr>
          <w:p w14:paraId="66CF37F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395" w:type="pct"/>
            <w:tcBorders>
              <w:top w:val="single" w:color="auto" w:sz="12" w:space="0"/>
            </w:tcBorders>
            <w:noWrap w:val="0"/>
            <w:vAlign w:val="center"/>
          </w:tcPr>
          <w:p w14:paraId="0BD3F77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396" w:type="pct"/>
            <w:tcBorders>
              <w:top w:val="single" w:color="auto" w:sz="12" w:space="0"/>
            </w:tcBorders>
            <w:noWrap w:val="0"/>
            <w:vAlign w:val="center"/>
          </w:tcPr>
          <w:p w14:paraId="56A5C95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r>
      <w:tr w14:paraId="44EF7F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40" w:type="pct"/>
            <w:noWrap w:val="0"/>
            <w:vAlign w:val="center"/>
          </w:tcPr>
          <w:p w14:paraId="2FA110F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较敏感</w:t>
            </w:r>
          </w:p>
        </w:tc>
        <w:tc>
          <w:tcPr>
            <w:tcW w:w="395" w:type="pct"/>
            <w:noWrap w:val="0"/>
            <w:vAlign w:val="center"/>
          </w:tcPr>
          <w:p w14:paraId="6EEDF7B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一级</w:t>
            </w:r>
          </w:p>
        </w:tc>
        <w:tc>
          <w:tcPr>
            <w:tcW w:w="395" w:type="pct"/>
            <w:noWrap w:val="0"/>
            <w:vAlign w:val="center"/>
          </w:tcPr>
          <w:p w14:paraId="50B6CE8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一级</w:t>
            </w:r>
          </w:p>
        </w:tc>
        <w:tc>
          <w:tcPr>
            <w:tcW w:w="395" w:type="pct"/>
            <w:noWrap w:val="0"/>
            <w:vAlign w:val="center"/>
          </w:tcPr>
          <w:p w14:paraId="1CD2187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noWrap w:val="0"/>
            <w:vAlign w:val="center"/>
          </w:tcPr>
          <w:p w14:paraId="72172F0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noWrap w:val="0"/>
            <w:vAlign w:val="center"/>
          </w:tcPr>
          <w:p w14:paraId="5B511B3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noWrap w:val="0"/>
            <w:vAlign w:val="center"/>
          </w:tcPr>
          <w:p w14:paraId="2CB93BA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395" w:type="pct"/>
            <w:noWrap w:val="0"/>
            <w:vAlign w:val="center"/>
          </w:tcPr>
          <w:p w14:paraId="3033DB2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395" w:type="pct"/>
            <w:noWrap w:val="0"/>
            <w:vAlign w:val="center"/>
          </w:tcPr>
          <w:p w14:paraId="57026DE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396" w:type="pct"/>
            <w:noWrap w:val="0"/>
            <w:vAlign w:val="center"/>
          </w:tcPr>
          <w:p w14:paraId="77737E7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67273E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40" w:type="pct"/>
            <w:noWrap w:val="0"/>
            <w:vAlign w:val="center"/>
          </w:tcPr>
          <w:p w14:paraId="7150B4E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不敏感</w:t>
            </w:r>
          </w:p>
        </w:tc>
        <w:tc>
          <w:tcPr>
            <w:tcW w:w="395" w:type="pct"/>
            <w:noWrap w:val="0"/>
            <w:vAlign w:val="center"/>
          </w:tcPr>
          <w:p w14:paraId="66EF968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一级</w:t>
            </w:r>
          </w:p>
        </w:tc>
        <w:tc>
          <w:tcPr>
            <w:tcW w:w="395" w:type="pct"/>
            <w:noWrap w:val="0"/>
            <w:vAlign w:val="center"/>
          </w:tcPr>
          <w:p w14:paraId="0E0A243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noWrap w:val="0"/>
            <w:vAlign w:val="center"/>
          </w:tcPr>
          <w:p w14:paraId="7D91587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noWrap w:val="0"/>
            <w:vAlign w:val="center"/>
          </w:tcPr>
          <w:p w14:paraId="03E2E4A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二级</w:t>
            </w:r>
          </w:p>
        </w:tc>
        <w:tc>
          <w:tcPr>
            <w:tcW w:w="395" w:type="pct"/>
            <w:noWrap w:val="0"/>
            <w:vAlign w:val="center"/>
          </w:tcPr>
          <w:p w14:paraId="0A93E6F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395" w:type="pct"/>
            <w:noWrap w:val="0"/>
            <w:vAlign w:val="center"/>
          </w:tcPr>
          <w:p w14:paraId="6CA97FD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395" w:type="pct"/>
            <w:noWrap w:val="0"/>
            <w:vAlign w:val="center"/>
          </w:tcPr>
          <w:p w14:paraId="23BC641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三级</w:t>
            </w:r>
          </w:p>
        </w:tc>
        <w:tc>
          <w:tcPr>
            <w:tcW w:w="395" w:type="pct"/>
            <w:noWrap w:val="0"/>
            <w:vAlign w:val="center"/>
          </w:tcPr>
          <w:p w14:paraId="375EADD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396" w:type="pct"/>
            <w:noWrap w:val="0"/>
            <w:vAlign w:val="center"/>
          </w:tcPr>
          <w:p w14:paraId="2F0D03F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7789B1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10"/>
            <w:noWrap w:val="0"/>
            <w:vAlign w:val="center"/>
          </w:tcPr>
          <w:p w14:paraId="2A49CD3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注：“</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”表示可不开展土壤环境影响评价工作。</w:t>
            </w:r>
          </w:p>
        </w:tc>
      </w:tr>
    </w:tbl>
    <w:p w14:paraId="7D9E00C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根据表2</w:t>
      </w:r>
      <w:r>
        <w:rPr>
          <w:rFonts w:hint="eastAsia"/>
          <w:color w:val="000000" w:themeColor="text1"/>
          <w:highlight w:val="none"/>
          <w14:textFill>
            <w14:solidFill>
              <w14:schemeClr w14:val="tx1"/>
            </w14:solidFill>
          </w14:textFill>
        </w:rPr>
        <w:t>.6.7-2判定，</w:t>
      </w:r>
      <w:r>
        <w:rPr>
          <w:color w:val="000000" w:themeColor="text1"/>
          <w:highlight w:val="none"/>
          <w14:textFill>
            <w14:solidFill>
              <w14:schemeClr w14:val="tx1"/>
            </w14:solidFill>
          </w14:textFill>
        </w:rPr>
        <w:t>本项目属于Ⅰ类项目，占地规模为</w:t>
      </w:r>
      <w:r>
        <w:rPr>
          <w:rFonts w:hint="eastAsia"/>
          <w:color w:val="000000" w:themeColor="text1"/>
          <w:highlight w:val="none"/>
          <w14:textFill>
            <w14:solidFill>
              <w14:schemeClr w14:val="tx1"/>
            </w14:solidFill>
          </w14:textFill>
        </w:rPr>
        <w:t>小</w:t>
      </w:r>
      <w:r>
        <w:rPr>
          <w:color w:val="000000" w:themeColor="text1"/>
          <w:highlight w:val="none"/>
          <w14:textFill>
            <w14:solidFill>
              <w14:schemeClr w14:val="tx1"/>
            </w14:solidFill>
          </w14:textFill>
        </w:rPr>
        <w:t>型，土壤环境敏感程度为</w:t>
      </w:r>
      <w:r>
        <w:rPr>
          <w:rFonts w:hint="eastAsia"/>
          <w:color w:val="000000" w:themeColor="text1"/>
          <w:highlight w:val="none"/>
          <w14:textFill>
            <w14:solidFill>
              <w14:schemeClr w14:val="tx1"/>
            </w14:solidFill>
          </w14:textFill>
        </w:rPr>
        <w:t>不</w:t>
      </w:r>
      <w:r>
        <w:rPr>
          <w:color w:val="000000" w:themeColor="text1"/>
          <w:highlight w:val="none"/>
          <w14:textFill>
            <w14:solidFill>
              <w14:schemeClr w14:val="tx1"/>
            </w14:solidFill>
          </w14:textFill>
        </w:rPr>
        <w:t>敏感，</w:t>
      </w:r>
      <w:r>
        <w:rPr>
          <w:rFonts w:hint="eastAsia"/>
          <w:color w:val="000000" w:themeColor="text1"/>
          <w:highlight w:val="none"/>
          <w14:textFill>
            <w14:solidFill>
              <w14:schemeClr w14:val="tx1"/>
            </w14:solidFill>
          </w14:textFill>
        </w:rPr>
        <w:t>故</w:t>
      </w:r>
      <w:r>
        <w:rPr>
          <w:color w:val="000000" w:themeColor="text1"/>
          <w:highlight w:val="none"/>
          <w14:textFill>
            <w14:solidFill>
              <w14:schemeClr w14:val="tx1"/>
            </w14:solidFill>
          </w14:textFill>
        </w:rPr>
        <w:t>本项目土壤环境评价工作等级为</w:t>
      </w:r>
      <w:r>
        <w:rPr>
          <w:rFonts w:hint="eastAsia"/>
          <w:color w:val="000000" w:themeColor="text1"/>
          <w:highlight w:val="none"/>
          <w14:textFill>
            <w14:solidFill>
              <w14:schemeClr w14:val="tx1"/>
            </w14:solidFill>
          </w14:textFill>
        </w:rPr>
        <w:t>二</w:t>
      </w:r>
      <w:r>
        <w:rPr>
          <w:color w:val="000000" w:themeColor="text1"/>
          <w:highlight w:val="none"/>
          <w14:textFill>
            <w14:solidFill>
              <w14:schemeClr w14:val="tx1"/>
            </w14:solidFill>
          </w14:textFill>
        </w:rPr>
        <w:t>级。</w:t>
      </w:r>
    </w:p>
    <w:p w14:paraId="0CDA629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（5）评价范围</w:t>
      </w:r>
    </w:p>
    <w:p w14:paraId="37F0F66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w:t>
      </w:r>
      <w:r>
        <w:rPr>
          <w:rFonts w:hint="eastAsia"/>
          <w:color w:val="000000" w:themeColor="text1"/>
          <w:highlight w:val="none"/>
          <w14:textFill>
            <w14:solidFill>
              <w14:schemeClr w14:val="tx1"/>
            </w14:solidFill>
          </w14:textFill>
        </w:rPr>
        <w:t>环境影响评价技术导则 土壤环境（试行）</w:t>
      </w:r>
      <w:r>
        <w:rPr>
          <w:color w:val="000000" w:themeColor="text1"/>
          <w:highlight w:val="none"/>
          <w14:textFill>
            <w14:solidFill>
              <w14:schemeClr w14:val="tx1"/>
            </w14:solidFill>
          </w14:textFill>
        </w:rPr>
        <w:t>》（HJ964-2018），确定本项目评价范围为占地范围内所有区域+占地范围外</w:t>
      </w:r>
      <w:r>
        <w:rPr>
          <w:rFonts w:hint="eastAsia"/>
          <w:color w:val="000000" w:themeColor="text1"/>
          <w:highlight w:val="none"/>
          <w14:textFill>
            <w14:solidFill>
              <w14:schemeClr w14:val="tx1"/>
            </w14:solidFill>
          </w14:textFill>
        </w:rPr>
        <w:t>0.2</w:t>
      </w:r>
      <w:r>
        <w:rPr>
          <w:color w:val="000000" w:themeColor="text1"/>
          <w:highlight w:val="none"/>
          <w14:textFill>
            <w14:solidFill>
              <w14:schemeClr w14:val="tx1"/>
            </w14:solidFill>
          </w14:textFill>
        </w:rPr>
        <w:t>k</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范围内。</w:t>
      </w:r>
    </w:p>
    <w:p w14:paraId="4647650C">
      <w:pPr>
        <w:adjustRightInd w:val="0"/>
        <w:ind w:firstLine="480"/>
        <w:textAlignment w:val="bottom"/>
        <w:rPr>
          <w:b/>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综上，本项目</w:t>
      </w:r>
      <w:r>
        <w:rPr>
          <w:color w:val="000000" w:themeColor="text1"/>
          <w:highlight w:val="none"/>
          <w:lang w:val="zh-CN"/>
          <w14:textFill>
            <w14:solidFill>
              <w14:schemeClr w14:val="tx1"/>
            </w14:solidFill>
          </w14:textFill>
        </w:rPr>
        <w:t>大气、</w:t>
      </w:r>
      <w:r>
        <w:rPr>
          <w:color w:val="000000" w:themeColor="text1"/>
          <w:highlight w:val="none"/>
          <w14:textFill>
            <w14:solidFill>
              <w14:schemeClr w14:val="tx1"/>
            </w14:solidFill>
          </w14:textFill>
        </w:rPr>
        <w:t>水、声、生态、土壤、环境风险等各环境要素影响评价工作等级及评价范围汇总见表2</w:t>
      </w:r>
      <w:r>
        <w:rPr>
          <w:rFonts w:hint="eastAsia"/>
          <w:color w:val="000000" w:themeColor="text1"/>
          <w:highlight w:val="none"/>
          <w14:textFill>
            <w14:solidFill>
              <w14:schemeClr w14:val="tx1"/>
            </w14:solidFill>
          </w14:textFill>
        </w:rPr>
        <w:t>.6.7-3，评价范围见图2.6-1。</w:t>
      </w:r>
    </w:p>
    <w:p w14:paraId="3FC5CCA9">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 xml:space="preserve">.6.7-3      </w:t>
      </w:r>
      <w:r>
        <w:rPr>
          <w:color w:val="000000" w:themeColor="text1"/>
          <w:highlight w:val="none"/>
          <w14:textFill>
            <w14:solidFill>
              <w14:schemeClr w14:val="tx1"/>
            </w14:solidFill>
          </w14:textFill>
        </w:rPr>
        <w:t xml:space="preserve">    环境影响评价等级和评价范围汇总表</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1699"/>
        <w:gridCol w:w="1868"/>
        <w:gridCol w:w="4645"/>
      </w:tblGrid>
      <w:tr w14:paraId="16143E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tcBorders>
              <w:bottom w:val="single" w:color="auto" w:sz="12" w:space="0"/>
            </w:tcBorders>
            <w:noWrap w:val="0"/>
            <w:vAlign w:val="center"/>
          </w:tcPr>
          <w:p w14:paraId="5C5A570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936" w:type="pct"/>
            <w:tcBorders>
              <w:bottom w:val="single" w:color="auto" w:sz="12" w:space="0"/>
            </w:tcBorders>
            <w:noWrap w:val="0"/>
            <w:vAlign w:val="center"/>
          </w:tcPr>
          <w:p w14:paraId="57FAB70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环境要素</w:t>
            </w:r>
          </w:p>
        </w:tc>
        <w:tc>
          <w:tcPr>
            <w:tcW w:w="1029" w:type="pct"/>
            <w:tcBorders>
              <w:bottom w:val="single" w:color="auto" w:sz="12" w:space="0"/>
            </w:tcBorders>
            <w:noWrap w:val="0"/>
            <w:vAlign w:val="center"/>
          </w:tcPr>
          <w:p w14:paraId="4F14073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评价工作等级</w:t>
            </w:r>
          </w:p>
        </w:tc>
        <w:tc>
          <w:tcPr>
            <w:tcW w:w="2559" w:type="pct"/>
            <w:tcBorders>
              <w:bottom w:val="single" w:color="auto" w:sz="12" w:space="0"/>
            </w:tcBorders>
            <w:noWrap w:val="0"/>
            <w:vAlign w:val="center"/>
          </w:tcPr>
          <w:p w14:paraId="5781E36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评价范围</w:t>
            </w:r>
          </w:p>
        </w:tc>
      </w:tr>
      <w:tr w14:paraId="4BC2D7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tcBorders>
              <w:top w:val="single" w:color="auto" w:sz="12" w:space="0"/>
            </w:tcBorders>
            <w:noWrap w:val="0"/>
            <w:vAlign w:val="center"/>
          </w:tcPr>
          <w:p w14:paraId="0CC4E5A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936" w:type="pct"/>
            <w:tcBorders>
              <w:top w:val="single" w:color="auto" w:sz="12" w:space="0"/>
            </w:tcBorders>
            <w:noWrap w:val="0"/>
            <w:vAlign w:val="center"/>
          </w:tcPr>
          <w:p w14:paraId="4A500D53">
            <w:pPr>
              <w:pStyle w:val="26"/>
              <w:rPr>
                <w:color w:val="000000" w:themeColor="text1"/>
                <w:highlight w:val="none"/>
                <w14:textFill>
                  <w14:solidFill>
                    <w14:schemeClr w14:val="tx1"/>
                  </w14:solidFill>
                </w14:textFill>
              </w:rPr>
            </w:pPr>
            <w:r>
              <w:rPr>
                <w:color w:val="000000" w:themeColor="text1"/>
                <w:highlight w:val="none"/>
                <w:lang w:val="zh-CN"/>
                <w14:textFill>
                  <w14:solidFill>
                    <w14:schemeClr w14:val="tx1"/>
                  </w14:solidFill>
                </w14:textFill>
              </w:rPr>
              <w:t>大气环境</w:t>
            </w:r>
          </w:p>
        </w:tc>
        <w:tc>
          <w:tcPr>
            <w:tcW w:w="1029" w:type="pct"/>
            <w:tcBorders>
              <w:top w:val="single" w:color="auto" w:sz="12" w:space="0"/>
            </w:tcBorders>
            <w:noWrap w:val="0"/>
            <w:vAlign w:val="center"/>
          </w:tcPr>
          <w:p w14:paraId="187F6737">
            <w:pPr>
              <w:pStyle w:val="26"/>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二级</w:t>
            </w:r>
          </w:p>
        </w:tc>
        <w:tc>
          <w:tcPr>
            <w:tcW w:w="2559" w:type="pct"/>
            <w:tcBorders>
              <w:top w:val="single" w:color="auto" w:sz="12" w:space="0"/>
            </w:tcBorders>
            <w:noWrap w:val="0"/>
            <w:vAlign w:val="center"/>
          </w:tcPr>
          <w:p w14:paraId="2D313D62">
            <w:pPr>
              <w:pStyle w:val="26"/>
              <w:jc w:val="both"/>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以</w:t>
            </w:r>
            <w:r>
              <w:rPr>
                <w:rFonts w:hint="eastAsia"/>
                <w:color w:val="000000" w:themeColor="text1"/>
                <w:highlight w:val="none"/>
                <w14:textFill>
                  <w14:solidFill>
                    <w14:schemeClr w14:val="tx1"/>
                  </w14:solidFill>
                </w14:textFill>
              </w:rPr>
              <w:t>项目区</w:t>
            </w:r>
            <w:r>
              <w:rPr>
                <w:color w:val="000000" w:themeColor="text1"/>
                <w:highlight w:val="none"/>
                <w14:textFill>
                  <w14:solidFill>
                    <w14:schemeClr w14:val="tx1"/>
                  </w14:solidFill>
                </w14:textFill>
              </w:rPr>
              <w:t>为中心边长5k</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的矩形区域</w:t>
            </w:r>
          </w:p>
        </w:tc>
      </w:tr>
      <w:tr w14:paraId="4EB8BB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noWrap w:val="0"/>
            <w:vAlign w:val="center"/>
          </w:tcPr>
          <w:p w14:paraId="0269DE4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936" w:type="pct"/>
            <w:noWrap w:val="0"/>
            <w:vAlign w:val="center"/>
          </w:tcPr>
          <w:p w14:paraId="44E1A59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地表水环境</w:t>
            </w:r>
          </w:p>
        </w:tc>
        <w:tc>
          <w:tcPr>
            <w:tcW w:w="1029" w:type="pct"/>
            <w:noWrap w:val="0"/>
            <w:vAlign w:val="center"/>
          </w:tcPr>
          <w:p w14:paraId="2CD8C149">
            <w:pPr>
              <w:pStyle w:val="26"/>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三级B</w:t>
            </w:r>
          </w:p>
        </w:tc>
        <w:tc>
          <w:tcPr>
            <w:tcW w:w="2559" w:type="pct"/>
            <w:noWrap w:val="0"/>
            <w:vAlign w:val="center"/>
          </w:tcPr>
          <w:p w14:paraId="2F2B32CD">
            <w:pPr>
              <w:pStyle w:val="26"/>
              <w:jc w:val="both"/>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简要分析</w:t>
            </w:r>
            <w:r>
              <w:rPr>
                <w:rFonts w:hint="eastAsia"/>
                <w:color w:val="000000" w:themeColor="text1"/>
                <w:highlight w:val="none"/>
                <w:lang w:val="zh-CN"/>
                <w14:textFill>
                  <w14:solidFill>
                    <w14:schemeClr w14:val="tx1"/>
                  </w14:solidFill>
                </w14:textFill>
              </w:rPr>
              <w:t>，</w:t>
            </w:r>
            <w:r>
              <w:rPr>
                <w:color w:val="000000" w:themeColor="text1"/>
                <w:highlight w:val="none"/>
                <w14:textFill>
                  <w14:solidFill>
                    <w14:schemeClr w14:val="tx1"/>
                  </w14:solidFill>
                </w14:textFill>
              </w:rPr>
              <w:t>不设置评价范围</w:t>
            </w:r>
          </w:p>
        </w:tc>
      </w:tr>
      <w:tr w14:paraId="0891C6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noWrap w:val="0"/>
            <w:vAlign w:val="center"/>
          </w:tcPr>
          <w:p w14:paraId="23709C8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936" w:type="pct"/>
            <w:noWrap w:val="0"/>
            <w:vAlign w:val="center"/>
          </w:tcPr>
          <w:p w14:paraId="36DC8EE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地下水环境</w:t>
            </w:r>
          </w:p>
        </w:tc>
        <w:tc>
          <w:tcPr>
            <w:tcW w:w="1029" w:type="pct"/>
            <w:noWrap w:val="0"/>
            <w:vAlign w:val="center"/>
          </w:tcPr>
          <w:p w14:paraId="3E33A7BF">
            <w:pPr>
              <w:pStyle w:val="26"/>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二级</w:t>
            </w:r>
          </w:p>
        </w:tc>
        <w:tc>
          <w:tcPr>
            <w:tcW w:w="2559" w:type="pct"/>
            <w:noWrap w:val="0"/>
            <w:vAlign w:val="center"/>
          </w:tcPr>
          <w:p w14:paraId="69D72598">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上游</w:t>
            </w:r>
            <w:r>
              <w:rPr>
                <w:color w:val="000000" w:themeColor="text1"/>
                <w:highlight w:val="none"/>
                <w14:textFill>
                  <w14:solidFill>
                    <w14:schemeClr w14:val="tx1"/>
                  </w14:solidFill>
                </w14:textFill>
              </w:rPr>
              <w:t>1km</w:t>
            </w:r>
            <w:r>
              <w:rPr>
                <w:rFonts w:hint="eastAsia"/>
                <w:color w:val="000000" w:themeColor="text1"/>
                <w:highlight w:val="none"/>
                <w14:textFill>
                  <w14:solidFill>
                    <w14:schemeClr w14:val="tx1"/>
                  </w14:solidFill>
                </w14:textFill>
              </w:rPr>
              <w:t>为边界，下游</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km</w:t>
            </w:r>
            <w:r>
              <w:rPr>
                <w:rFonts w:hint="eastAsia"/>
                <w:color w:val="000000" w:themeColor="text1"/>
                <w:highlight w:val="none"/>
                <w14:textFill>
                  <w14:solidFill>
                    <w14:schemeClr w14:val="tx1"/>
                  </w14:solidFill>
                </w14:textFill>
              </w:rPr>
              <w:t>为边界，两侧各1</w:t>
            </w:r>
            <w:r>
              <w:rPr>
                <w:color w:val="000000" w:themeColor="text1"/>
                <w:highlight w:val="none"/>
                <w14:textFill>
                  <w14:solidFill>
                    <w14:schemeClr w14:val="tx1"/>
                  </w14:solidFill>
                </w14:textFill>
              </w:rPr>
              <w:t>km</w:t>
            </w:r>
            <w:r>
              <w:rPr>
                <w:rFonts w:hint="eastAsia"/>
                <w:color w:val="000000" w:themeColor="text1"/>
                <w:highlight w:val="none"/>
                <w14:textFill>
                  <w14:solidFill>
                    <w14:schemeClr w14:val="tx1"/>
                  </w14:solidFill>
                </w14:textFill>
              </w:rPr>
              <w:t>为边界，</w:t>
            </w:r>
            <w:r>
              <w:rPr>
                <w:color w:val="000000" w:themeColor="text1"/>
                <w:highlight w:val="none"/>
                <w14:textFill>
                  <w14:solidFill>
                    <w14:schemeClr w14:val="tx1"/>
                  </w14:solidFill>
                </w14:textFill>
              </w:rPr>
              <w:t>面积为</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k</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2</w:t>
            </w:r>
            <w:r>
              <w:rPr>
                <w:color w:val="000000" w:themeColor="text1"/>
                <w:highlight w:val="none"/>
                <w14:textFill>
                  <w14:solidFill>
                    <w14:schemeClr w14:val="tx1"/>
                  </w14:solidFill>
                </w14:textFill>
              </w:rPr>
              <w:t>的矩形区域</w:t>
            </w:r>
          </w:p>
        </w:tc>
      </w:tr>
      <w:tr w14:paraId="5514CF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noWrap w:val="0"/>
            <w:vAlign w:val="center"/>
          </w:tcPr>
          <w:p w14:paraId="01CBCC0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936" w:type="pct"/>
            <w:noWrap w:val="0"/>
            <w:vAlign w:val="center"/>
          </w:tcPr>
          <w:p w14:paraId="0FEA06F7">
            <w:pPr>
              <w:pStyle w:val="26"/>
              <w:rPr>
                <w:color w:val="000000" w:themeColor="text1"/>
                <w:highlight w:val="none"/>
                <w14:textFill>
                  <w14:solidFill>
                    <w14:schemeClr w14:val="tx1"/>
                  </w14:solidFill>
                </w14:textFill>
              </w:rPr>
            </w:pPr>
            <w:r>
              <w:rPr>
                <w:color w:val="000000" w:themeColor="text1"/>
                <w:highlight w:val="none"/>
                <w:lang w:val="zh-CN"/>
                <w14:textFill>
                  <w14:solidFill>
                    <w14:schemeClr w14:val="tx1"/>
                  </w14:solidFill>
                </w14:textFill>
              </w:rPr>
              <w:t>声环境</w:t>
            </w:r>
          </w:p>
        </w:tc>
        <w:tc>
          <w:tcPr>
            <w:tcW w:w="1029" w:type="pct"/>
            <w:noWrap w:val="0"/>
            <w:vAlign w:val="center"/>
          </w:tcPr>
          <w:p w14:paraId="6F13B0AF">
            <w:pPr>
              <w:pStyle w:val="26"/>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三级</w:t>
            </w:r>
          </w:p>
        </w:tc>
        <w:tc>
          <w:tcPr>
            <w:tcW w:w="2559" w:type="pct"/>
            <w:noWrap w:val="0"/>
            <w:vAlign w:val="center"/>
          </w:tcPr>
          <w:p w14:paraId="795C2C03">
            <w:pPr>
              <w:pStyle w:val="26"/>
              <w:jc w:val="both"/>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厂界范围</w:t>
            </w:r>
          </w:p>
        </w:tc>
      </w:tr>
      <w:tr w14:paraId="081DC4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noWrap w:val="0"/>
            <w:vAlign w:val="center"/>
          </w:tcPr>
          <w:p w14:paraId="72C8C96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936" w:type="pct"/>
            <w:noWrap w:val="0"/>
            <w:vAlign w:val="center"/>
          </w:tcPr>
          <w:p w14:paraId="193C7E17">
            <w:pPr>
              <w:pStyle w:val="26"/>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生态环境</w:t>
            </w:r>
          </w:p>
        </w:tc>
        <w:tc>
          <w:tcPr>
            <w:tcW w:w="1029" w:type="pct"/>
            <w:noWrap w:val="0"/>
            <w:vAlign w:val="center"/>
          </w:tcPr>
          <w:p w14:paraId="737F116C">
            <w:pPr>
              <w:pStyle w:val="26"/>
              <w:rPr>
                <w:rFonts w:hint="eastAsia"/>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559" w:type="pct"/>
            <w:noWrap w:val="0"/>
            <w:vAlign w:val="center"/>
          </w:tcPr>
          <w:p w14:paraId="457F256F">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r>
      <w:tr w14:paraId="109A18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noWrap w:val="0"/>
            <w:vAlign w:val="center"/>
          </w:tcPr>
          <w:p w14:paraId="4378049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936" w:type="pct"/>
            <w:noWrap w:val="0"/>
            <w:vAlign w:val="center"/>
          </w:tcPr>
          <w:p w14:paraId="1726F8A5">
            <w:pPr>
              <w:pStyle w:val="26"/>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土壤环境</w:t>
            </w:r>
          </w:p>
        </w:tc>
        <w:tc>
          <w:tcPr>
            <w:tcW w:w="1029" w:type="pct"/>
            <w:noWrap w:val="0"/>
            <w:vAlign w:val="center"/>
          </w:tcPr>
          <w:p w14:paraId="583E5ECF">
            <w:pPr>
              <w:pStyle w:val="26"/>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二</w:t>
            </w:r>
            <w:r>
              <w:rPr>
                <w:color w:val="000000" w:themeColor="text1"/>
                <w:highlight w:val="none"/>
                <w:lang w:val="zh-CN"/>
                <w14:textFill>
                  <w14:solidFill>
                    <w14:schemeClr w14:val="tx1"/>
                  </w14:solidFill>
                </w14:textFill>
              </w:rPr>
              <w:t>级</w:t>
            </w:r>
          </w:p>
        </w:tc>
        <w:tc>
          <w:tcPr>
            <w:tcW w:w="2559" w:type="pct"/>
            <w:noWrap w:val="0"/>
            <w:vAlign w:val="center"/>
          </w:tcPr>
          <w:p w14:paraId="4B609855">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占地范围内所有区域+占地范围外</w:t>
            </w:r>
            <w:r>
              <w:rPr>
                <w:rFonts w:hint="eastAsia"/>
                <w:color w:val="000000" w:themeColor="text1"/>
                <w:highlight w:val="none"/>
                <w14:textFill>
                  <w14:solidFill>
                    <w14:schemeClr w14:val="tx1"/>
                  </w14:solidFill>
                </w14:textFill>
              </w:rPr>
              <w:t>0.2</w:t>
            </w:r>
            <w:r>
              <w:rPr>
                <w:color w:val="000000" w:themeColor="text1"/>
                <w:highlight w:val="none"/>
                <w14:textFill>
                  <w14:solidFill>
                    <w14:schemeClr w14:val="tx1"/>
                  </w14:solidFill>
                </w14:textFill>
              </w:rPr>
              <w:t>k</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范围内</w:t>
            </w:r>
          </w:p>
        </w:tc>
      </w:tr>
      <w:tr w14:paraId="422D88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4" w:type="pct"/>
            <w:noWrap w:val="0"/>
            <w:vAlign w:val="center"/>
          </w:tcPr>
          <w:p w14:paraId="6CA61FA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p>
        </w:tc>
        <w:tc>
          <w:tcPr>
            <w:tcW w:w="936" w:type="pct"/>
            <w:noWrap w:val="0"/>
            <w:vAlign w:val="center"/>
          </w:tcPr>
          <w:p w14:paraId="58DD6306">
            <w:pPr>
              <w:pStyle w:val="26"/>
              <w:rPr>
                <w:rFonts w:hint="eastAsia"/>
                <w:color w:val="000000" w:themeColor="text1"/>
                <w:highlight w:val="none"/>
                <w14:textFill>
                  <w14:solidFill>
                    <w14:schemeClr w14:val="tx1"/>
                  </w14:solidFill>
                </w14:textFill>
              </w:rPr>
            </w:pPr>
            <w:r>
              <w:rPr>
                <w:color w:val="000000" w:themeColor="text1"/>
                <w:highlight w:val="none"/>
                <w:lang w:val="zh-CN"/>
                <w14:textFill>
                  <w14:solidFill>
                    <w14:schemeClr w14:val="tx1"/>
                  </w14:solidFill>
                </w14:textFill>
              </w:rPr>
              <w:t>环境风险</w:t>
            </w:r>
          </w:p>
        </w:tc>
        <w:tc>
          <w:tcPr>
            <w:tcW w:w="1029" w:type="pct"/>
            <w:noWrap w:val="0"/>
            <w:vAlign w:val="center"/>
          </w:tcPr>
          <w:p w14:paraId="627BC259">
            <w:pPr>
              <w:pStyle w:val="26"/>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简单分析</w:t>
            </w:r>
          </w:p>
        </w:tc>
        <w:tc>
          <w:tcPr>
            <w:tcW w:w="2559" w:type="pct"/>
            <w:noWrap w:val="0"/>
            <w:vAlign w:val="center"/>
          </w:tcPr>
          <w:p w14:paraId="18AAAAF3">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简单分析，不设置风险评价范围</w:t>
            </w:r>
          </w:p>
        </w:tc>
      </w:tr>
      <w:bookmarkEnd w:id="510"/>
      <w:bookmarkEnd w:id="511"/>
    </w:tbl>
    <w:p w14:paraId="3D6B05CA">
      <w:pPr>
        <w:pStyle w:val="3"/>
        <w:rPr>
          <w:color w:val="000000" w:themeColor="text1"/>
          <w:highlight w:val="none"/>
          <w14:textFill>
            <w14:solidFill>
              <w14:schemeClr w14:val="tx1"/>
            </w14:solidFill>
          </w14:textFill>
        </w:rPr>
      </w:pPr>
      <w:bookmarkStart w:id="516" w:name="_Toc379893933"/>
      <w:bookmarkStart w:id="517" w:name="_Toc408228337"/>
      <w:bookmarkStart w:id="518" w:name="_Toc375831435"/>
      <w:bookmarkStart w:id="519" w:name="_Toc5848"/>
      <w:bookmarkStart w:id="520" w:name="_Toc12923"/>
      <w:bookmarkStart w:id="521" w:name="_Toc381168907"/>
      <w:bookmarkStart w:id="522" w:name="_Toc3905"/>
      <w:bookmarkStart w:id="523" w:name="_Toc334083779"/>
      <w:bookmarkStart w:id="524" w:name="_Toc23613"/>
      <w:bookmarkStart w:id="525" w:name="_Toc521581805"/>
      <w:bookmarkStart w:id="526" w:name="_Toc375161117"/>
      <w:bookmarkStart w:id="527" w:name="_Toc438639444"/>
      <w:bookmarkStart w:id="528" w:name="_Toc374600595"/>
      <w:bookmarkStart w:id="529" w:name="_Toc378583070"/>
      <w:bookmarkStart w:id="530" w:name="_Toc21801"/>
      <w:bookmarkStart w:id="531" w:name="_Toc375214294"/>
      <w:bookmarkStart w:id="532" w:name="_Toc6801"/>
      <w:bookmarkStart w:id="533" w:name="_Toc20620"/>
      <w:bookmarkStart w:id="534" w:name="_Toc16459"/>
      <w:bookmarkStart w:id="535" w:name="_Toc6600"/>
      <w:bookmarkStart w:id="536" w:name="_Toc17071"/>
      <w:bookmarkStart w:id="537" w:name="_Toc19199"/>
      <w:bookmarkStart w:id="538" w:name="_Toc22792"/>
      <w:bookmarkStart w:id="539" w:name="_Toc16588"/>
      <w:bookmarkStart w:id="540" w:name="_Toc634"/>
      <w:bookmarkStart w:id="541" w:name="_Toc28213"/>
      <w:bookmarkStart w:id="542" w:name="_Toc25960"/>
      <w:bookmarkStart w:id="543" w:name="_Toc5270"/>
      <w:bookmarkStart w:id="544" w:name="_Toc24375"/>
      <w:bookmarkStart w:id="545" w:name="_Toc16474"/>
      <w:bookmarkStart w:id="546" w:name="_Toc3401"/>
      <w:bookmarkStart w:id="547" w:name="_Toc16818"/>
      <w:bookmarkStart w:id="548" w:name="_Toc26724"/>
      <w:bookmarkStart w:id="549" w:name="_Toc30350"/>
      <w:bookmarkStart w:id="550" w:name="_Toc19958"/>
      <w:bookmarkStart w:id="551" w:name="_Toc12012"/>
      <w:bookmarkStart w:id="552" w:name="_Toc11077"/>
      <w:bookmarkStart w:id="553" w:name="_Toc1645"/>
      <w:bookmarkStart w:id="554" w:name="_Toc29551"/>
      <w:bookmarkStart w:id="555" w:name="_Toc9123"/>
      <w:bookmarkStart w:id="556" w:name="_Toc11707"/>
      <w:bookmarkStart w:id="557" w:name="_Toc24426"/>
      <w:bookmarkStart w:id="558" w:name="_Toc22215"/>
      <w:bookmarkStart w:id="559" w:name="_Toc22058"/>
      <w:bookmarkStart w:id="560" w:name="_Toc32718"/>
      <w:bookmarkStart w:id="561" w:name="_Toc23976"/>
      <w:bookmarkStart w:id="562" w:name="_Toc17953"/>
      <w:bookmarkStart w:id="563" w:name="_Toc5140"/>
      <w:r>
        <w:rPr>
          <w:rFonts w:hint="eastAsia"/>
          <w:color w:val="000000" w:themeColor="text1"/>
          <w:highlight w:val="none"/>
          <w14:textFill>
            <w14:solidFill>
              <w14:schemeClr w14:val="tx1"/>
            </w14:solidFill>
          </w14:textFill>
        </w:rPr>
        <w:t>2.</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Start w:id="564" w:name="_Toc23646"/>
      <w:bookmarkStart w:id="565" w:name="_Toc29307"/>
      <w:bookmarkStart w:id="566" w:name="_Toc21879"/>
      <w:bookmarkStart w:id="567" w:name="_Toc18293"/>
      <w:bookmarkStart w:id="568" w:name="_Toc23034"/>
      <w:r>
        <w:rPr>
          <w:rFonts w:hint="eastAsia"/>
          <w:color w:val="000000" w:themeColor="text1"/>
          <w:highlight w:val="none"/>
          <w:lang w:val="en-US"/>
          <w14:textFill>
            <w14:solidFill>
              <w14:schemeClr w14:val="tx1"/>
            </w14:solidFill>
          </w14:textFill>
        </w:rPr>
        <w:t>7</w:t>
      </w:r>
      <w:r>
        <w:rPr>
          <w:color w:val="000000" w:themeColor="text1"/>
          <w:highlight w:val="none"/>
          <w14:textFill>
            <w14:solidFill>
              <w14:schemeClr w14:val="tx1"/>
            </w14:solidFill>
          </w14:textFill>
        </w:rPr>
        <w:t>主要环境保护目标</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2F3E4851">
      <w:pPr>
        <w:adjustRightInd w:val="0"/>
        <w:ind w:firstLine="480"/>
        <w:rPr>
          <w:color w:val="000000" w:themeColor="text1"/>
          <w:kern w:val="0"/>
          <w:highlight w:val="none"/>
          <w14:textFill>
            <w14:solidFill>
              <w14:schemeClr w14:val="tx1"/>
            </w14:solidFill>
          </w14:textFill>
        </w:rPr>
      </w:pPr>
      <w:r>
        <w:rPr>
          <w:color w:val="000000" w:themeColor="text1"/>
          <w:highlight w:val="none"/>
          <w14:textFill>
            <w14:solidFill>
              <w14:schemeClr w14:val="tx1"/>
            </w14:solidFill>
          </w14:textFill>
        </w:rPr>
        <w:t>根据《建设项目环境影响评价分类管理名录》中“环境敏感区”的规定（自然保护区、风景名胜区、世界文化和自然遗产地、饮用水水源保护区；基本农田保护区、基本草原、森林公园、地质公园、重要湿地、天然林、珍稀濒危野生动植物天然集中分布区、重要水生生物的自然产卵场、索饵场、越冬场和洄游通道、天然渔场、资源性缺水地区、水土流失重点防治区、沙化土地封禁保护区、封闭及半封闭海域、富营养化水域；以居住、医疗卫生、文化教育、科研、行政办公等为主要功能的区域，文物保护单位，具有特殊历史、文化、科学、民族意义的保护地）</w:t>
      </w:r>
      <w:r>
        <w:rPr>
          <w:rFonts w:hint="eastAsia"/>
          <w:color w:val="000000" w:themeColor="text1"/>
          <w:highlight w:val="none"/>
          <w14:textFill>
            <w14:solidFill>
              <w14:schemeClr w14:val="tx1"/>
            </w14:solidFill>
          </w14:textFill>
        </w:rPr>
        <w:t>，</w:t>
      </w:r>
      <w:r>
        <w:rPr>
          <w:color w:val="000000" w:themeColor="text1"/>
          <w:kern w:val="0"/>
          <w:highlight w:val="none"/>
          <w14:textFill>
            <w14:solidFill>
              <w14:schemeClr w14:val="tx1"/>
            </w14:solidFill>
          </w14:textFill>
        </w:rPr>
        <w:t>根据</w:t>
      </w:r>
      <w:r>
        <w:rPr>
          <w:rFonts w:hint="eastAsia"/>
          <w:color w:val="000000" w:themeColor="text1"/>
          <w:kern w:val="0"/>
          <w:highlight w:val="none"/>
          <w14:textFill>
            <w14:solidFill>
              <w14:schemeClr w14:val="tx1"/>
            </w14:solidFill>
          </w14:textFill>
        </w:rPr>
        <w:t>本项目</w:t>
      </w:r>
      <w:r>
        <w:rPr>
          <w:color w:val="000000" w:themeColor="text1"/>
          <w:kern w:val="0"/>
          <w:highlight w:val="none"/>
          <w14:textFill>
            <w14:solidFill>
              <w14:schemeClr w14:val="tx1"/>
            </w14:solidFill>
          </w14:textFill>
        </w:rPr>
        <w:t>性质及周围环境特征，主要环境敏感区域和保护目标如下：</w:t>
      </w:r>
    </w:p>
    <w:p w14:paraId="59761D77">
      <w:pPr>
        <w:adjustRightInd w:val="0"/>
        <w:ind w:firstLine="48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（1）大气环境：保证不因本项目而降低区域环境空气质量现状级别</w:t>
      </w:r>
      <w:r>
        <w:rPr>
          <w:rFonts w:hint="eastAsia"/>
          <w:color w:val="000000" w:themeColor="text1"/>
          <w:kern w:val="0"/>
          <w:highlight w:val="none"/>
          <w14:textFill>
            <w14:solidFill>
              <w14:schemeClr w14:val="tx1"/>
            </w14:solidFill>
          </w14:textFill>
        </w:rPr>
        <w:t>，确保项目区域大气环境满足</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w:t>
      </w:r>
      <w:r>
        <w:rPr>
          <w:color w:val="000000" w:themeColor="text1"/>
          <w:kern w:val="0"/>
          <w:highlight w:val="none"/>
          <w14:textFill>
            <w14:solidFill>
              <w14:schemeClr w14:val="tx1"/>
            </w14:solidFill>
          </w14:textFill>
        </w:rPr>
        <w:t xml:space="preserve">。 </w:t>
      </w:r>
    </w:p>
    <w:p w14:paraId="1AD91215">
      <w:pPr>
        <w:ind w:firstLine="48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（2）地下水环境：保证不因本项目而降低区域地下水环境质量现状级别</w:t>
      </w:r>
      <w:r>
        <w:rPr>
          <w:rFonts w:hint="eastAsia"/>
          <w:color w:val="000000" w:themeColor="text1"/>
          <w:kern w:val="0"/>
          <w:highlight w:val="none"/>
          <w14:textFill>
            <w14:solidFill>
              <w14:schemeClr w14:val="tx1"/>
            </w14:solidFill>
          </w14:textFill>
        </w:rPr>
        <w:t>，确保项目区域地下水环境满足</w:t>
      </w:r>
      <w:r>
        <w:rPr>
          <w:color w:val="000000" w:themeColor="text1"/>
          <w:kern w:val="0"/>
          <w:highlight w:val="none"/>
          <w14:textFill>
            <w14:solidFill>
              <w14:schemeClr w14:val="tx1"/>
            </w14:solidFill>
          </w14:textFill>
        </w:rPr>
        <w:t>《地下水质量标准》（GB/T14848-2017）Ⅲ类标准。</w:t>
      </w:r>
    </w:p>
    <w:p w14:paraId="7AF24D0A">
      <w:pPr>
        <w:ind w:firstLine="48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（3）声环境</w:t>
      </w:r>
      <w:r>
        <w:rPr>
          <w:rFonts w:hint="eastAsia"/>
          <w:color w:val="000000" w:themeColor="text1"/>
          <w:kern w:val="0"/>
          <w:highlight w:val="none"/>
          <w14:textFill>
            <w14:solidFill>
              <w14:schemeClr w14:val="tx1"/>
            </w14:solidFill>
          </w14:textFill>
        </w:rPr>
        <w:t>：</w:t>
      </w:r>
      <w:r>
        <w:rPr>
          <w:color w:val="000000" w:themeColor="text1"/>
          <w:kern w:val="0"/>
          <w:highlight w:val="none"/>
          <w14:textFill>
            <w14:solidFill>
              <w14:schemeClr w14:val="tx1"/>
            </w14:solidFill>
          </w14:textFill>
        </w:rPr>
        <w:t>保证厂界外噪声符合声环境质量现状级别</w:t>
      </w:r>
      <w:r>
        <w:rPr>
          <w:rFonts w:hint="eastAsia"/>
          <w:color w:val="000000" w:themeColor="text1"/>
          <w:kern w:val="0"/>
          <w:highlight w:val="none"/>
          <w14:textFill>
            <w14:solidFill>
              <w14:schemeClr w14:val="tx1"/>
            </w14:solidFill>
          </w14:textFill>
        </w:rPr>
        <w:t>，确保项目区域声环境满足</w:t>
      </w:r>
      <w:r>
        <w:rPr>
          <w:color w:val="000000" w:themeColor="text1"/>
          <w:kern w:val="0"/>
          <w:highlight w:val="none"/>
          <w14:textFill>
            <w14:solidFill>
              <w14:schemeClr w14:val="tx1"/>
            </w14:solidFill>
          </w14:textFill>
        </w:rPr>
        <w:t>《</w:t>
      </w:r>
      <w:r>
        <w:rPr>
          <w:rFonts w:hint="eastAsia"/>
          <w:color w:val="000000" w:themeColor="text1"/>
          <w:kern w:val="0"/>
          <w:highlight w:val="none"/>
          <w14:textFill>
            <w14:solidFill>
              <w14:schemeClr w14:val="tx1"/>
            </w14:solidFill>
          </w14:textFill>
        </w:rPr>
        <w:t>声环境质量标准</w:t>
      </w:r>
      <w:r>
        <w:rPr>
          <w:color w:val="000000" w:themeColor="text1"/>
          <w:kern w:val="0"/>
          <w:highlight w:val="none"/>
          <w14:textFill>
            <w14:solidFill>
              <w14:schemeClr w14:val="tx1"/>
            </w14:solidFill>
          </w14:textFill>
        </w:rPr>
        <w:fldChar w:fldCharType="begin"/>
      </w:r>
      <w:r>
        <w:rPr>
          <w:color w:val="000000" w:themeColor="text1"/>
          <w:kern w:val="0"/>
          <w:highlight w:val="none"/>
          <w14:textFill>
            <w14:solidFill>
              <w14:schemeClr w14:val="tx1"/>
            </w14:solidFill>
          </w14:textFill>
        </w:rPr>
        <w:instrText xml:space="preserve"> HYPERLINK "http://www.zhb.gov.cn/info/bgw/bgg/200809/W020080917334259620241.pdf" \t "_self" </w:instrText>
      </w:r>
      <w:r>
        <w:rPr>
          <w:color w:val="000000" w:themeColor="text1"/>
          <w:kern w:val="0"/>
          <w:highlight w:val="none"/>
          <w14:textFill>
            <w14:solidFill>
              <w14:schemeClr w14:val="tx1"/>
            </w14:solidFill>
          </w14:textFill>
        </w:rPr>
        <w:fldChar w:fldCharType="separate"/>
      </w:r>
      <w:r>
        <w:rPr>
          <w:color w:val="000000" w:themeColor="text1"/>
          <w:kern w:val="0"/>
          <w:highlight w:val="none"/>
          <w14:textFill>
            <w14:solidFill>
              <w14:schemeClr w14:val="tx1"/>
            </w14:solidFill>
          </w14:textFill>
        </w:rPr>
        <w:t>》（GB3096-2008）</w:t>
      </w:r>
      <w:r>
        <w:rPr>
          <w:color w:val="000000" w:themeColor="text1"/>
          <w:kern w:val="0"/>
          <w:highlight w:val="none"/>
          <w14:textFill>
            <w14:solidFill>
              <w14:schemeClr w14:val="tx1"/>
            </w14:solidFill>
          </w14:textFill>
        </w:rPr>
        <w:fldChar w:fldCharType="end"/>
      </w:r>
      <w:r>
        <w:rPr>
          <w:color w:val="000000" w:themeColor="text1"/>
          <w:kern w:val="0"/>
          <w:highlight w:val="none"/>
          <w14:textFill>
            <w14:solidFill>
              <w14:schemeClr w14:val="tx1"/>
            </w14:solidFill>
          </w14:textFill>
        </w:rPr>
        <w:t>中的</w:t>
      </w:r>
      <w:r>
        <w:rPr>
          <w:rFonts w:hint="eastAsia"/>
          <w:color w:val="000000" w:themeColor="text1"/>
          <w:kern w:val="0"/>
          <w:highlight w:val="none"/>
          <w14:textFill>
            <w14:solidFill>
              <w14:schemeClr w14:val="tx1"/>
            </w14:solidFill>
          </w14:textFill>
        </w:rPr>
        <w:t>3</w:t>
      </w:r>
      <w:r>
        <w:rPr>
          <w:color w:val="000000" w:themeColor="text1"/>
          <w:kern w:val="0"/>
          <w:highlight w:val="none"/>
          <w14:textFill>
            <w14:solidFill>
              <w14:schemeClr w14:val="tx1"/>
            </w14:solidFill>
          </w14:textFill>
        </w:rPr>
        <w:t>类标准。</w:t>
      </w:r>
    </w:p>
    <w:p w14:paraId="78563977">
      <w:pPr>
        <w:ind w:firstLine="480"/>
        <w:outlineLvl w:val="2"/>
        <w:rPr>
          <w:rFonts w:hint="eastAsia"/>
          <w:color w:val="000000" w:themeColor="text1"/>
          <w:kern w:val="0"/>
          <w:highlight w:val="none"/>
          <w14:textFill>
            <w14:solidFill>
              <w14:schemeClr w14:val="tx1"/>
            </w14:solidFill>
          </w14:textFill>
        </w:rPr>
      </w:pPr>
      <w:bookmarkStart w:id="569" w:name="_Toc17432"/>
      <w:r>
        <w:rPr>
          <w:rFonts w:hint="eastAsia"/>
          <w:color w:val="000000" w:themeColor="text1"/>
          <w:kern w:val="0"/>
          <w:highlight w:val="none"/>
          <w14:textFill>
            <w14:solidFill>
              <w14:schemeClr w14:val="tx1"/>
            </w14:solidFill>
          </w14:textFill>
        </w:rPr>
        <w:t>（4）生态环境：</w:t>
      </w:r>
      <w:r>
        <w:rPr>
          <w:color w:val="000000" w:themeColor="text1"/>
          <w:kern w:val="0"/>
          <w:highlight w:val="none"/>
          <w14:textFill>
            <w14:solidFill>
              <w14:schemeClr w14:val="tx1"/>
            </w14:solidFill>
          </w14:textFill>
        </w:rPr>
        <w:t>保证不因本项目</w:t>
      </w:r>
      <w:r>
        <w:rPr>
          <w:rFonts w:hint="eastAsia"/>
          <w:color w:val="000000" w:themeColor="text1"/>
          <w:kern w:val="0"/>
          <w:highlight w:val="none"/>
          <w14:textFill>
            <w14:solidFill>
              <w14:schemeClr w14:val="tx1"/>
            </w14:solidFill>
          </w14:textFill>
        </w:rPr>
        <w:t>的建设</w:t>
      </w:r>
      <w:r>
        <w:rPr>
          <w:color w:val="000000" w:themeColor="text1"/>
          <w:kern w:val="0"/>
          <w:highlight w:val="none"/>
          <w14:textFill>
            <w14:solidFill>
              <w14:schemeClr w14:val="tx1"/>
            </w14:solidFill>
          </w14:textFill>
        </w:rPr>
        <w:t>而降低区域</w:t>
      </w:r>
      <w:r>
        <w:rPr>
          <w:rFonts w:hint="eastAsia"/>
          <w:color w:val="000000" w:themeColor="text1"/>
          <w:kern w:val="0"/>
          <w:highlight w:val="none"/>
          <w14:textFill>
            <w14:solidFill>
              <w14:schemeClr w14:val="tx1"/>
            </w14:solidFill>
          </w14:textFill>
        </w:rPr>
        <w:t>生态环境</w:t>
      </w:r>
      <w:r>
        <w:rPr>
          <w:color w:val="000000" w:themeColor="text1"/>
          <w:kern w:val="0"/>
          <w:highlight w:val="none"/>
          <w14:textFill>
            <w14:solidFill>
              <w14:schemeClr w14:val="tx1"/>
            </w14:solidFill>
          </w14:textFill>
        </w:rPr>
        <w:t>现状</w:t>
      </w:r>
      <w:r>
        <w:rPr>
          <w:rFonts w:hint="eastAsia"/>
          <w:color w:val="000000" w:themeColor="text1"/>
          <w:kern w:val="0"/>
          <w:highlight w:val="none"/>
          <w14:textFill>
            <w14:solidFill>
              <w14:schemeClr w14:val="tx1"/>
            </w14:solidFill>
          </w14:textFill>
        </w:rPr>
        <w:t>。</w:t>
      </w:r>
      <w:bookmarkEnd w:id="569"/>
    </w:p>
    <w:p w14:paraId="665AC499">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（5）土壤环境：</w:t>
      </w:r>
      <w:r>
        <w:rPr>
          <w:color w:val="000000" w:themeColor="text1"/>
          <w:highlight w:val="none"/>
          <w14:textFill>
            <w14:solidFill>
              <w14:schemeClr w14:val="tx1"/>
            </w14:solidFill>
          </w14:textFill>
        </w:rPr>
        <w:t>保证不因本项目</w:t>
      </w:r>
      <w:r>
        <w:rPr>
          <w:rFonts w:hint="eastAsia"/>
          <w:color w:val="000000" w:themeColor="text1"/>
          <w:highlight w:val="none"/>
          <w14:textFill>
            <w14:solidFill>
              <w14:schemeClr w14:val="tx1"/>
            </w14:solidFill>
          </w14:textFill>
        </w:rPr>
        <w:t>的建设</w:t>
      </w:r>
      <w:r>
        <w:rPr>
          <w:color w:val="000000" w:themeColor="text1"/>
          <w:highlight w:val="none"/>
          <w14:textFill>
            <w14:solidFill>
              <w14:schemeClr w14:val="tx1"/>
            </w14:solidFill>
          </w14:textFill>
        </w:rPr>
        <w:t>而降低区域</w:t>
      </w:r>
      <w:r>
        <w:rPr>
          <w:rFonts w:hint="eastAsia"/>
          <w:color w:val="000000" w:themeColor="text1"/>
          <w:highlight w:val="none"/>
          <w14:textFill>
            <w14:solidFill>
              <w14:schemeClr w14:val="tx1"/>
            </w14:solidFill>
          </w14:textFill>
        </w:rPr>
        <w:t>土壤环境质量现状级别，确保项目区域土壤环境质量满足</w:t>
      </w:r>
      <w:r>
        <w:rPr>
          <w:color w:val="000000" w:themeColor="text1"/>
          <w:highlight w:val="none"/>
          <w14:textFill>
            <w14:solidFill>
              <w14:schemeClr w14:val="tx1"/>
            </w14:solidFill>
          </w14:textFill>
        </w:rPr>
        <w:t>《土壤环境质量</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建设用地土壤污染风险管控标准（试行）》（GB36600-2018）表1中第二类用筛选值</w:t>
      </w:r>
      <w:r>
        <w:rPr>
          <w:rFonts w:hint="eastAsia"/>
          <w:color w:val="000000" w:themeColor="text1"/>
          <w:highlight w:val="none"/>
          <w14:textFill>
            <w14:solidFill>
              <w14:schemeClr w14:val="tx1"/>
            </w14:solidFill>
          </w14:textFill>
        </w:rPr>
        <w:t>。</w:t>
      </w:r>
    </w:p>
    <w:p w14:paraId="0E49D00C">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项目环境</w:t>
      </w:r>
      <w:r>
        <w:rPr>
          <w:rFonts w:hint="eastAsia"/>
          <w:color w:val="000000" w:themeColor="text1"/>
          <w:highlight w:val="none"/>
          <w14:textFill>
            <w14:solidFill>
              <w14:schemeClr w14:val="tx1"/>
            </w14:solidFill>
          </w14:textFill>
        </w:rPr>
        <w:t>保护目标</w:t>
      </w:r>
      <w:r>
        <w:rPr>
          <w:rFonts w:hint="eastAsia"/>
          <w:color w:val="000000" w:themeColor="text1"/>
          <w:highlight w:val="none"/>
          <w:lang w:val="en-US" w:eastAsia="zh-CN"/>
          <w14:textFill>
            <w14:solidFill>
              <w14:schemeClr w14:val="tx1"/>
            </w14:solidFill>
          </w14:textFill>
        </w:rPr>
        <w:t>见表2.7.1-1，项目环境</w:t>
      </w:r>
      <w:r>
        <w:rPr>
          <w:rFonts w:hint="eastAsia"/>
          <w:color w:val="000000" w:themeColor="text1"/>
          <w:highlight w:val="none"/>
          <w14:textFill>
            <w14:solidFill>
              <w14:schemeClr w14:val="tx1"/>
            </w14:solidFill>
          </w14:textFill>
        </w:rPr>
        <w:t>保护目标</w:t>
      </w:r>
      <w:r>
        <w:rPr>
          <w:rFonts w:hint="eastAsia"/>
          <w:color w:val="000000" w:themeColor="text1"/>
          <w:highlight w:val="none"/>
          <w:lang w:val="en-US" w:eastAsia="zh-CN"/>
          <w14:textFill>
            <w14:solidFill>
              <w14:schemeClr w14:val="tx1"/>
            </w14:solidFill>
          </w14:textFill>
        </w:rPr>
        <w:t>分布图见图2.7-1。</w:t>
      </w:r>
    </w:p>
    <w:p w14:paraId="5255BF01">
      <w:pPr>
        <w:pStyle w:val="25"/>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表2.</w:t>
      </w:r>
      <w:r>
        <w:rPr>
          <w:rFonts w:hint="eastAsia"/>
          <w:color w:val="000000" w:themeColor="text1"/>
          <w:highlight w:val="none"/>
          <w14:textFill>
            <w14:solidFill>
              <w14:schemeClr w14:val="tx1"/>
            </w14:solidFill>
          </w14:textFill>
        </w:rPr>
        <w:t>7.1-1   环境保护目标及其保护级别</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42"/>
        <w:gridCol w:w="1650"/>
        <w:gridCol w:w="854"/>
        <w:gridCol w:w="1177"/>
        <w:gridCol w:w="1150"/>
        <w:gridCol w:w="890"/>
        <w:gridCol w:w="2408"/>
      </w:tblGrid>
      <w:tr w14:paraId="481244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tcBorders>
              <w:bottom w:val="single" w:color="auto" w:sz="12" w:space="0"/>
            </w:tcBorders>
            <w:noWrap w:val="0"/>
            <w:vAlign w:val="center"/>
          </w:tcPr>
          <w:p w14:paraId="6EB9796C">
            <w:pPr>
              <w:pStyle w:val="26"/>
              <w:widowControl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环境</w:t>
            </w:r>
          </w:p>
          <w:p w14:paraId="6332780B">
            <w:pPr>
              <w:pStyle w:val="26"/>
              <w:widowControl w:val="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要素</w:t>
            </w:r>
          </w:p>
        </w:tc>
        <w:tc>
          <w:tcPr>
            <w:tcW w:w="1650" w:type="dxa"/>
            <w:tcBorders>
              <w:bottom w:val="single" w:color="auto" w:sz="12" w:space="0"/>
            </w:tcBorders>
            <w:noWrap w:val="0"/>
            <w:vAlign w:val="center"/>
          </w:tcPr>
          <w:p w14:paraId="3C419CD1">
            <w:pPr>
              <w:pStyle w:val="26"/>
              <w:widowControl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保护目标</w:t>
            </w:r>
          </w:p>
        </w:tc>
        <w:tc>
          <w:tcPr>
            <w:tcW w:w="854" w:type="dxa"/>
            <w:tcBorders>
              <w:bottom w:val="single" w:color="auto" w:sz="12" w:space="0"/>
            </w:tcBorders>
            <w:noWrap w:val="0"/>
            <w:vAlign w:val="center"/>
          </w:tcPr>
          <w:p w14:paraId="35F76806">
            <w:pPr>
              <w:pStyle w:val="26"/>
              <w:widowControl w:val="0"/>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方位</w:t>
            </w:r>
          </w:p>
        </w:tc>
        <w:tc>
          <w:tcPr>
            <w:tcW w:w="1177" w:type="dxa"/>
            <w:tcBorders>
              <w:bottom w:val="single" w:color="auto" w:sz="12" w:space="0"/>
            </w:tcBorders>
            <w:noWrap w:val="0"/>
            <w:vAlign w:val="center"/>
          </w:tcPr>
          <w:p w14:paraId="30B77F87">
            <w:pPr>
              <w:pStyle w:val="26"/>
              <w:widowControl w:val="0"/>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距离</w:t>
            </w:r>
          </w:p>
        </w:tc>
        <w:tc>
          <w:tcPr>
            <w:tcW w:w="1150" w:type="dxa"/>
            <w:tcBorders>
              <w:bottom w:val="single" w:color="auto" w:sz="12" w:space="0"/>
            </w:tcBorders>
            <w:noWrap w:val="0"/>
            <w:vAlign w:val="center"/>
          </w:tcPr>
          <w:p w14:paraId="029057DA">
            <w:pPr>
              <w:pStyle w:val="26"/>
              <w:widowControl w:val="0"/>
              <w:jc w:val="center"/>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受影响</w:t>
            </w:r>
          </w:p>
          <w:p w14:paraId="73F0A39D">
            <w:pPr>
              <w:pStyle w:val="26"/>
              <w:widowControl w:val="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人数</w:t>
            </w:r>
          </w:p>
        </w:tc>
        <w:tc>
          <w:tcPr>
            <w:tcW w:w="890" w:type="dxa"/>
            <w:tcBorders>
              <w:bottom w:val="single" w:color="auto" w:sz="12" w:space="0"/>
            </w:tcBorders>
            <w:noWrap w:val="0"/>
            <w:vAlign w:val="center"/>
          </w:tcPr>
          <w:p w14:paraId="04DBB49D">
            <w:pPr>
              <w:pStyle w:val="26"/>
              <w:widowControl w:val="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性质</w:t>
            </w:r>
          </w:p>
        </w:tc>
        <w:tc>
          <w:tcPr>
            <w:tcW w:w="2408" w:type="dxa"/>
            <w:tcBorders>
              <w:bottom w:val="single" w:color="auto" w:sz="12" w:space="0"/>
            </w:tcBorders>
            <w:noWrap w:val="0"/>
            <w:vAlign w:val="center"/>
          </w:tcPr>
          <w:p w14:paraId="5DAAF988">
            <w:pPr>
              <w:pStyle w:val="26"/>
              <w:widowControl w:val="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保护级别</w:t>
            </w:r>
          </w:p>
        </w:tc>
      </w:tr>
      <w:tr w14:paraId="501F9F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vMerge w:val="restart"/>
            <w:tcBorders>
              <w:top w:val="single" w:color="auto" w:sz="12" w:space="0"/>
            </w:tcBorders>
            <w:noWrap w:val="0"/>
            <w:vAlign w:val="center"/>
          </w:tcPr>
          <w:p w14:paraId="4BAFC1EA">
            <w:pPr>
              <w:pStyle w:val="26"/>
              <w:widowControl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环境</w:t>
            </w:r>
          </w:p>
          <w:p w14:paraId="77FFF239">
            <w:pPr>
              <w:pStyle w:val="26"/>
              <w:widowControl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空气</w:t>
            </w:r>
          </w:p>
        </w:tc>
        <w:tc>
          <w:tcPr>
            <w:tcW w:w="1650" w:type="dxa"/>
            <w:tcBorders>
              <w:top w:val="single" w:color="auto" w:sz="12" w:space="0"/>
              <w:bottom w:val="single" w:color="auto" w:sz="4" w:space="0"/>
            </w:tcBorders>
            <w:noWrap w:val="0"/>
            <w:vAlign w:val="center"/>
          </w:tcPr>
          <w:p w14:paraId="15C1B78A">
            <w:pPr>
              <w:pStyle w:val="26"/>
              <w:widowControl w:val="0"/>
              <w:jc w:val="center"/>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上移户村</w:t>
            </w:r>
          </w:p>
        </w:tc>
        <w:tc>
          <w:tcPr>
            <w:tcW w:w="854" w:type="dxa"/>
            <w:tcBorders>
              <w:top w:val="single" w:color="auto" w:sz="12" w:space="0"/>
              <w:bottom w:val="single" w:color="auto" w:sz="4" w:space="0"/>
            </w:tcBorders>
            <w:noWrap w:val="0"/>
            <w:vAlign w:val="center"/>
          </w:tcPr>
          <w:p w14:paraId="52B158D1">
            <w:pPr>
              <w:pStyle w:val="26"/>
              <w:widowControl w:val="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西南</w:t>
            </w:r>
          </w:p>
        </w:tc>
        <w:tc>
          <w:tcPr>
            <w:tcW w:w="1177" w:type="dxa"/>
            <w:tcBorders>
              <w:top w:val="single" w:color="auto" w:sz="12" w:space="0"/>
              <w:bottom w:val="single" w:color="auto" w:sz="4" w:space="0"/>
            </w:tcBorders>
            <w:noWrap w:val="0"/>
            <w:vAlign w:val="center"/>
          </w:tcPr>
          <w:p w14:paraId="53791B35">
            <w:pPr>
              <w:pStyle w:val="26"/>
              <w:widowControl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0.9km</w:t>
            </w:r>
          </w:p>
        </w:tc>
        <w:tc>
          <w:tcPr>
            <w:tcW w:w="1150" w:type="dxa"/>
            <w:tcBorders>
              <w:top w:val="single" w:color="auto" w:sz="12" w:space="0"/>
              <w:bottom w:val="single" w:color="auto" w:sz="4" w:space="0"/>
            </w:tcBorders>
            <w:noWrap w:val="0"/>
            <w:vAlign w:val="center"/>
          </w:tcPr>
          <w:p w14:paraId="2D65A93F">
            <w:pPr>
              <w:pStyle w:val="26"/>
              <w:widowControl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600</w:t>
            </w:r>
          </w:p>
        </w:tc>
        <w:tc>
          <w:tcPr>
            <w:tcW w:w="890" w:type="dxa"/>
            <w:tcBorders>
              <w:top w:val="single" w:color="auto" w:sz="12" w:space="0"/>
              <w:bottom w:val="single" w:color="auto" w:sz="4" w:space="0"/>
            </w:tcBorders>
            <w:noWrap w:val="0"/>
            <w:vAlign w:val="center"/>
          </w:tcPr>
          <w:p w14:paraId="18717B51">
            <w:pPr>
              <w:pStyle w:val="26"/>
              <w:widowControl w:val="0"/>
              <w:rPr>
                <w:rFonts w:hint="eastAsia"/>
                <w:color w:val="000000" w:themeColor="text1"/>
                <w:highlight w:val="none"/>
                <w14:textFill>
                  <w14:solidFill>
                    <w14:schemeClr w14:val="tx1"/>
                  </w14:solidFill>
                </w14:textFill>
              </w:rPr>
            </w:pPr>
            <w:r>
              <w:rPr>
                <w:color w:val="000000" w:themeColor="text1"/>
                <w:sz w:val="21"/>
                <w:szCs w:val="21"/>
                <w:highlight w:val="none"/>
                <w14:textFill>
                  <w14:solidFill>
                    <w14:schemeClr w14:val="tx1"/>
                  </w14:solidFill>
                </w14:textFill>
              </w:rPr>
              <w:t>人群聚居区</w:t>
            </w:r>
          </w:p>
        </w:tc>
        <w:tc>
          <w:tcPr>
            <w:tcW w:w="2408" w:type="dxa"/>
            <w:vMerge w:val="restart"/>
            <w:tcBorders>
              <w:top w:val="single" w:color="auto" w:sz="12" w:space="0"/>
            </w:tcBorders>
            <w:noWrap w:val="0"/>
            <w:vAlign w:val="center"/>
          </w:tcPr>
          <w:p w14:paraId="561729C5">
            <w:pPr>
              <w:pStyle w:val="26"/>
              <w:widowControl w:val="0"/>
              <w:jc w:val="both"/>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w:t>
            </w:r>
          </w:p>
        </w:tc>
      </w:tr>
      <w:tr w14:paraId="3CF9EA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942" w:type="dxa"/>
            <w:vMerge w:val="continue"/>
            <w:noWrap w:val="0"/>
            <w:vAlign w:val="center"/>
          </w:tcPr>
          <w:p w14:paraId="28386F84">
            <w:pPr>
              <w:pStyle w:val="26"/>
              <w:widowControl w:val="0"/>
              <w:jc w:val="center"/>
              <w:rPr>
                <w:rFonts w:hint="eastAsia"/>
                <w:color w:val="000000" w:themeColor="text1"/>
                <w:highlight w:val="none"/>
                <w14:textFill>
                  <w14:solidFill>
                    <w14:schemeClr w14:val="tx1"/>
                  </w14:solidFill>
                </w14:textFill>
              </w:rPr>
            </w:pPr>
          </w:p>
        </w:tc>
        <w:tc>
          <w:tcPr>
            <w:tcW w:w="1650" w:type="dxa"/>
            <w:tcBorders>
              <w:top w:val="single" w:color="auto" w:sz="4" w:space="0"/>
              <w:bottom w:val="single" w:color="auto" w:sz="4" w:space="0"/>
            </w:tcBorders>
            <w:noWrap w:val="0"/>
            <w:vAlign w:val="center"/>
          </w:tcPr>
          <w:p w14:paraId="047EA5E3">
            <w:pPr>
              <w:pStyle w:val="26"/>
              <w:widowControl w:val="0"/>
              <w:jc w:val="center"/>
              <w:rPr>
                <w:rFonts w:hint="default"/>
                <w:color w:val="000000" w:themeColor="text1"/>
                <w:highlight w:val="none"/>
                <w:lang w:val="en-US"/>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广东户村</w:t>
            </w:r>
            <w:r>
              <w:rPr>
                <w:rFonts w:hint="eastAsia" w:cs="Times New Roman"/>
                <w:color w:val="000000" w:themeColor="text1"/>
                <w:highlight w:val="none"/>
                <w:lang w:val="en-US" w:eastAsia="zh-CN"/>
                <w14:textFill>
                  <w14:solidFill>
                    <w14:schemeClr w14:val="tx1"/>
                  </w14:solidFill>
                </w14:textFill>
              </w:rPr>
              <w:t>二组</w:t>
            </w:r>
          </w:p>
        </w:tc>
        <w:tc>
          <w:tcPr>
            <w:tcW w:w="854" w:type="dxa"/>
            <w:tcBorders>
              <w:top w:val="single" w:color="auto" w:sz="4" w:space="0"/>
              <w:bottom w:val="single" w:color="auto" w:sz="4" w:space="0"/>
            </w:tcBorders>
            <w:noWrap w:val="0"/>
            <w:vAlign w:val="center"/>
          </w:tcPr>
          <w:p w14:paraId="043DABC2">
            <w:pPr>
              <w:pStyle w:val="26"/>
              <w:widowControl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东</w:t>
            </w:r>
          </w:p>
        </w:tc>
        <w:tc>
          <w:tcPr>
            <w:tcW w:w="1177" w:type="dxa"/>
            <w:tcBorders>
              <w:top w:val="single" w:color="auto" w:sz="4" w:space="0"/>
              <w:bottom w:val="single" w:color="auto" w:sz="4" w:space="0"/>
            </w:tcBorders>
            <w:noWrap w:val="0"/>
            <w:vAlign w:val="center"/>
          </w:tcPr>
          <w:p w14:paraId="1B178343">
            <w:pPr>
              <w:pStyle w:val="26"/>
              <w:widowControl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1.35km</w:t>
            </w:r>
          </w:p>
        </w:tc>
        <w:tc>
          <w:tcPr>
            <w:tcW w:w="1150" w:type="dxa"/>
            <w:tcBorders>
              <w:top w:val="single" w:color="auto" w:sz="4" w:space="0"/>
              <w:bottom w:val="single" w:color="auto" w:sz="4" w:space="0"/>
            </w:tcBorders>
            <w:noWrap w:val="0"/>
            <w:vAlign w:val="center"/>
          </w:tcPr>
          <w:p w14:paraId="22E50DB2">
            <w:pPr>
              <w:pStyle w:val="26"/>
              <w:widowControl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450</w:t>
            </w:r>
          </w:p>
        </w:tc>
        <w:tc>
          <w:tcPr>
            <w:tcW w:w="890" w:type="dxa"/>
            <w:tcBorders>
              <w:top w:val="single" w:color="auto" w:sz="4" w:space="0"/>
              <w:bottom w:val="single" w:color="auto" w:sz="4" w:space="0"/>
            </w:tcBorders>
            <w:noWrap w:val="0"/>
            <w:vAlign w:val="center"/>
          </w:tcPr>
          <w:p w14:paraId="6916D6B5">
            <w:pPr>
              <w:pStyle w:val="26"/>
              <w:widowControl w:val="0"/>
              <w:rPr>
                <w:rFonts w:hint="eastAsia"/>
                <w:color w:val="000000" w:themeColor="text1"/>
                <w:highlight w:val="none"/>
                <w14:textFill>
                  <w14:solidFill>
                    <w14:schemeClr w14:val="tx1"/>
                  </w14:solidFill>
                </w14:textFill>
              </w:rPr>
            </w:pPr>
            <w:r>
              <w:rPr>
                <w:color w:val="000000" w:themeColor="text1"/>
                <w:sz w:val="21"/>
                <w:szCs w:val="21"/>
                <w:highlight w:val="none"/>
                <w14:textFill>
                  <w14:solidFill>
                    <w14:schemeClr w14:val="tx1"/>
                  </w14:solidFill>
                </w14:textFill>
              </w:rPr>
              <w:t>人群聚居区</w:t>
            </w:r>
          </w:p>
        </w:tc>
        <w:tc>
          <w:tcPr>
            <w:tcW w:w="2408" w:type="dxa"/>
            <w:vMerge w:val="continue"/>
            <w:noWrap w:val="0"/>
            <w:vAlign w:val="center"/>
          </w:tcPr>
          <w:p w14:paraId="6A698019">
            <w:pPr>
              <w:pStyle w:val="26"/>
              <w:widowControl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7D897E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vMerge w:val="continue"/>
            <w:noWrap w:val="0"/>
            <w:vAlign w:val="center"/>
          </w:tcPr>
          <w:p w14:paraId="5AC602D1">
            <w:pPr>
              <w:pStyle w:val="26"/>
              <w:widowControl w:val="0"/>
              <w:jc w:val="center"/>
              <w:rPr>
                <w:rFonts w:hint="eastAsia"/>
                <w:color w:val="000000" w:themeColor="text1"/>
                <w:highlight w:val="none"/>
                <w14:textFill>
                  <w14:solidFill>
                    <w14:schemeClr w14:val="tx1"/>
                  </w14:solidFill>
                </w14:textFill>
              </w:rPr>
            </w:pPr>
          </w:p>
        </w:tc>
        <w:tc>
          <w:tcPr>
            <w:tcW w:w="1650" w:type="dxa"/>
            <w:tcBorders>
              <w:top w:val="single" w:color="auto" w:sz="4" w:space="0"/>
              <w:bottom w:val="single" w:color="auto" w:sz="4" w:space="0"/>
            </w:tcBorders>
            <w:noWrap w:val="0"/>
            <w:vAlign w:val="center"/>
          </w:tcPr>
          <w:p w14:paraId="11027FCA">
            <w:pPr>
              <w:pStyle w:val="26"/>
              <w:widowControl w:val="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广东户村</w:t>
            </w:r>
            <w:r>
              <w:rPr>
                <w:rFonts w:hint="eastAsia" w:cs="Times New Roman"/>
                <w:color w:val="000000" w:themeColor="text1"/>
                <w:highlight w:val="none"/>
                <w:lang w:val="en-US" w:eastAsia="zh-CN"/>
                <w14:textFill>
                  <w14:solidFill>
                    <w14:schemeClr w14:val="tx1"/>
                  </w14:solidFill>
                </w14:textFill>
              </w:rPr>
              <w:t>一组</w:t>
            </w:r>
          </w:p>
        </w:tc>
        <w:tc>
          <w:tcPr>
            <w:tcW w:w="854" w:type="dxa"/>
            <w:tcBorders>
              <w:top w:val="single" w:color="auto" w:sz="4" w:space="0"/>
              <w:bottom w:val="single" w:color="auto" w:sz="4" w:space="0"/>
            </w:tcBorders>
            <w:noWrap w:val="0"/>
            <w:vAlign w:val="center"/>
          </w:tcPr>
          <w:p w14:paraId="521EEED1">
            <w:pPr>
              <w:pStyle w:val="26"/>
              <w:widowControl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东</w:t>
            </w:r>
          </w:p>
        </w:tc>
        <w:tc>
          <w:tcPr>
            <w:tcW w:w="1177" w:type="dxa"/>
            <w:tcBorders>
              <w:top w:val="single" w:color="auto" w:sz="4" w:space="0"/>
              <w:bottom w:val="single" w:color="auto" w:sz="4" w:space="0"/>
            </w:tcBorders>
            <w:noWrap w:val="0"/>
            <w:vAlign w:val="center"/>
          </w:tcPr>
          <w:p w14:paraId="63F892D4">
            <w:pPr>
              <w:pStyle w:val="26"/>
              <w:widowControl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2.4km'</w:t>
            </w:r>
          </w:p>
        </w:tc>
        <w:tc>
          <w:tcPr>
            <w:tcW w:w="1150" w:type="dxa"/>
            <w:tcBorders>
              <w:top w:val="single" w:color="auto" w:sz="4" w:space="0"/>
              <w:bottom w:val="single" w:color="auto" w:sz="4" w:space="0"/>
            </w:tcBorders>
            <w:noWrap w:val="0"/>
            <w:vAlign w:val="center"/>
          </w:tcPr>
          <w:p w14:paraId="45CF1E66">
            <w:pPr>
              <w:pStyle w:val="26"/>
              <w:widowControl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260</w:t>
            </w:r>
          </w:p>
        </w:tc>
        <w:tc>
          <w:tcPr>
            <w:tcW w:w="890" w:type="dxa"/>
            <w:tcBorders>
              <w:top w:val="single" w:color="auto" w:sz="4" w:space="0"/>
              <w:bottom w:val="single" w:color="auto" w:sz="4" w:space="0"/>
            </w:tcBorders>
            <w:noWrap w:val="0"/>
            <w:vAlign w:val="center"/>
          </w:tcPr>
          <w:p w14:paraId="7DD71435">
            <w:pPr>
              <w:pStyle w:val="26"/>
              <w:widowControl w:val="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人群聚居区</w:t>
            </w:r>
          </w:p>
        </w:tc>
        <w:tc>
          <w:tcPr>
            <w:tcW w:w="2408" w:type="dxa"/>
            <w:vMerge w:val="continue"/>
            <w:noWrap w:val="0"/>
            <w:vAlign w:val="center"/>
          </w:tcPr>
          <w:p w14:paraId="1B399D64">
            <w:pPr>
              <w:pStyle w:val="26"/>
              <w:widowControl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0771A2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vMerge w:val="continue"/>
            <w:noWrap w:val="0"/>
            <w:vAlign w:val="center"/>
          </w:tcPr>
          <w:p w14:paraId="346EF939">
            <w:pPr>
              <w:pStyle w:val="26"/>
              <w:widowControl w:val="0"/>
              <w:jc w:val="center"/>
              <w:rPr>
                <w:rFonts w:hint="eastAsia"/>
                <w:color w:val="000000" w:themeColor="text1"/>
                <w:highlight w:val="none"/>
                <w14:textFill>
                  <w14:solidFill>
                    <w14:schemeClr w14:val="tx1"/>
                  </w14:solidFill>
                </w14:textFill>
              </w:rPr>
            </w:pPr>
          </w:p>
        </w:tc>
        <w:tc>
          <w:tcPr>
            <w:tcW w:w="1650" w:type="dxa"/>
            <w:tcBorders>
              <w:top w:val="single" w:color="auto" w:sz="4" w:space="0"/>
              <w:bottom w:val="single" w:color="auto" w:sz="4" w:space="0"/>
            </w:tcBorders>
            <w:noWrap w:val="0"/>
            <w:vAlign w:val="center"/>
          </w:tcPr>
          <w:p w14:paraId="241C9635">
            <w:pPr>
              <w:pStyle w:val="26"/>
              <w:widowControl w:val="0"/>
              <w:jc w:val="center"/>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下移户村</w:t>
            </w:r>
          </w:p>
        </w:tc>
        <w:tc>
          <w:tcPr>
            <w:tcW w:w="854" w:type="dxa"/>
            <w:tcBorders>
              <w:top w:val="single" w:color="auto" w:sz="4" w:space="0"/>
              <w:bottom w:val="single" w:color="auto" w:sz="4" w:space="0"/>
            </w:tcBorders>
            <w:noWrap w:val="0"/>
            <w:vAlign w:val="center"/>
          </w:tcPr>
          <w:p w14:paraId="7D425CE8">
            <w:pPr>
              <w:pStyle w:val="26"/>
              <w:widowControl w:val="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西北</w:t>
            </w:r>
          </w:p>
        </w:tc>
        <w:tc>
          <w:tcPr>
            <w:tcW w:w="1177" w:type="dxa"/>
            <w:tcBorders>
              <w:top w:val="single" w:color="auto" w:sz="4" w:space="0"/>
              <w:bottom w:val="single" w:color="auto" w:sz="4" w:space="0"/>
            </w:tcBorders>
            <w:noWrap w:val="0"/>
            <w:vAlign w:val="center"/>
          </w:tcPr>
          <w:p w14:paraId="2BE420AA">
            <w:pPr>
              <w:pStyle w:val="26"/>
              <w:widowControl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1.75km</w:t>
            </w:r>
          </w:p>
        </w:tc>
        <w:tc>
          <w:tcPr>
            <w:tcW w:w="1150" w:type="dxa"/>
            <w:tcBorders>
              <w:top w:val="single" w:color="auto" w:sz="4" w:space="0"/>
              <w:bottom w:val="single" w:color="auto" w:sz="4" w:space="0"/>
            </w:tcBorders>
            <w:noWrap w:val="0"/>
            <w:vAlign w:val="center"/>
          </w:tcPr>
          <w:p w14:paraId="4D1BFF13">
            <w:pPr>
              <w:pStyle w:val="26"/>
              <w:widowControl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510</w:t>
            </w:r>
          </w:p>
        </w:tc>
        <w:tc>
          <w:tcPr>
            <w:tcW w:w="890" w:type="dxa"/>
            <w:tcBorders>
              <w:top w:val="single" w:color="auto" w:sz="4" w:space="0"/>
              <w:bottom w:val="single" w:color="auto" w:sz="4" w:space="0"/>
            </w:tcBorders>
            <w:noWrap w:val="0"/>
            <w:vAlign w:val="center"/>
          </w:tcPr>
          <w:p w14:paraId="7EE82F4F">
            <w:pPr>
              <w:pStyle w:val="26"/>
              <w:widowControl w:val="0"/>
              <w:rPr>
                <w:rFonts w:hint="eastAsia"/>
                <w:color w:val="000000" w:themeColor="text1"/>
                <w:highlight w:val="none"/>
                <w14:textFill>
                  <w14:solidFill>
                    <w14:schemeClr w14:val="tx1"/>
                  </w14:solidFill>
                </w14:textFill>
              </w:rPr>
            </w:pPr>
            <w:r>
              <w:rPr>
                <w:color w:val="000000" w:themeColor="text1"/>
                <w:sz w:val="21"/>
                <w:szCs w:val="21"/>
                <w:highlight w:val="none"/>
                <w14:textFill>
                  <w14:solidFill>
                    <w14:schemeClr w14:val="tx1"/>
                  </w14:solidFill>
                </w14:textFill>
              </w:rPr>
              <w:t>人群聚居区</w:t>
            </w:r>
          </w:p>
        </w:tc>
        <w:tc>
          <w:tcPr>
            <w:tcW w:w="2408" w:type="dxa"/>
            <w:vMerge w:val="continue"/>
            <w:noWrap w:val="0"/>
            <w:vAlign w:val="center"/>
          </w:tcPr>
          <w:p w14:paraId="69F83493">
            <w:pPr>
              <w:pStyle w:val="26"/>
              <w:widowControl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384DBB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vMerge w:val="continue"/>
            <w:noWrap w:val="0"/>
            <w:vAlign w:val="center"/>
          </w:tcPr>
          <w:p w14:paraId="690552D2">
            <w:pPr>
              <w:pStyle w:val="26"/>
              <w:widowControl w:val="0"/>
              <w:jc w:val="center"/>
              <w:rPr>
                <w:rFonts w:hint="eastAsia"/>
                <w:color w:val="000000" w:themeColor="text1"/>
                <w:highlight w:val="none"/>
                <w14:textFill>
                  <w14:solidFill>
                    <w14:schemeClr w14:val="tx1"/>
                  </w14:solidFill>
                </w14:textFill>
              </w:rPr>
            </w:pPr>
          </w:p>
        </w:tc>
        <w:tc>
          <w:tcPr>
            <w:tcW w:w="1650" w:type="dxa"/>
            <w:tcBorders>
              <w:top w:val="single" w:color="auto" w:sz="4" w:space="0"/>
            </w:tcBorders>
            <w:noWrap w:val="0"/>
            <w:vAlign w:val="center"/>
          </w:tcPr>
          <w:p w14:paraId="03B4E792">
            <w:pPr>
              <w:pStyle w:val="26"/>
              <w:widowControl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齐心一队</w:t>
            </w:r>
          </w:p>
        </w:tc>
        <w:tc>
          <w:tcPr>
            <w:tcW w:w="854" w:type="dxa"/>
            <w:tcBorders>
              <w:top w:val="single" w:color="auto" w:sz="4" w:space="0"/>
            </w:tcBorders>
            <w:noWrap w:val="0"/>
            <w:vAlign w:val="center"/>
          </w:tcPr>
          <w:p w14:paraId="540800A0">
            <w:pPr>
              <w:pStyle w:val="26"/>
              <w:widowControl w:val="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东南</w:t>
            </w:r>
          </w:p>
        </w:tc>
        <w:tc>
          <w:tcPr>
            <w:tcW w:w="1177" w:type="dxa"/>
            <w:tcBorders>
              <w:top w:val="single" w:color="auto" w:sz="4" w:space="0"/>
            </w:tcBorders>
            <w:noWrap w:val="0"/>
            <w:vAlign w:val="center"/>
          </w:tcPr>
          <w:p w14:paraId="763AF92E">
            <w:pPr>
              <w:pStyle w:val="26"/>
              <w:widowControl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2.82km</w:t>
            </w:r>
          </w:p>
        </w:tc>
        <w:tc>
          <w:tcPr>
            <w:tcW w:w="1150" w:type="dxa"/>
            <w:tcBorders>
              <w:top w:val="single" w:color="auto" w:sz="4" w:space="0"/>
            </w:tcBorders>
            <w:noWrap w:val="0"/>
            <w:vAlign w:val="center"/>
          </w:tcPr>
          <w:p w14:paraId="35F71D6F">
            <w:pPr>
              <w:pStyle w:val="26"/>
              <w:widowControl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140</w:t>
            </w:r>
          </w:p>
        </w:tc>
        <w:tc>
          <w:tcPr>
            <w:tcW w:w="890" w:type="dxa"/>
            <w:tcBorders>
              <w:top w:val="single" w:color="auto" w:sz="4" w:space="0"/>
            </w:tcBorders>
            <w:noWrap w:val="0"/>
            <w:vAlign w:val="center"/>
          </w:tcPr>
          <w:p w14:paraId="4FADA8D8">
            <w:pPr>
              <w:pStyle w:val="26"/>
              <w:widowControl w:val="0"/>
              <w:rPr>
                <w:rFonts w:hint="eastAsia"/>
                <w:color w:val="000000" w:themeColor="text1"/>
                <w:highlight w:val="none"/>
                <w14:textFill>
                  <w14:solidFill>
                    <w14:schemeClr w14:val="tx1"/>
                  </w14:solidFill>
                </w14:textFill>
              </w:rPr>
            </w:pPr>
            <w:r>
              <w:rPr>
                <w:color w:val="000000" w:themeColor="text1"/>
                <w:sz w:val="21"/>
                <w:szCs w:val="21"/>
                <w:highlight w:val="none"/>
                <w14:textFill>
                  <w14:solidFill>
                    <w14:schemeClr w14:val="tx1"/>
                  </w14:solidFill>
                </w14:textFill>
              </w:rPr>
              <w:t>人群聚居区</w:t>
            </w:r>
          </w:p>
        </w:tc>
        <w:tc>
          <w:tcPr>
            <w:tcW w:w="2408" w:type="dxa"/>
            <w:vMerge w:val="continue"/>
            <w:noWrap w:val="0"/>
            <w:vAlign w:val="center"/>
          </w:tcPr>
          <w:p w14:paraId="4FA2860A">
            <w:pPr>
              <w:pStyle w:val="26"/>
              <w:widowControl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0E6752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vMerge w:val="continue"/>
            <w:noWrap w:val="0"/>
            <w:vAlign w:val="center"/>
          </w:tcPr>
          <w:p w14:paraId="09728A1A">
            <w:pPr>
              <w:pStyle w:val="26"/>
              <w:widowControl w:val="0"/>
              <w:jc w:val="center"/>
              <w:rPr>
                <w:rFonts w:hint="eastAsia"/>
                <w:color w:val="000000" w:themeColor="text1"/>
                <w:highlight w:val="none"/>
                <w14:textFill>
                  <w14:solidFill>
                    <w14:schemeClr w14:val="tx1"/>
                  </w14:solidFill>
                </w14:textFill>
              </w:rPr>
            </w:pPr>
          </w:p>
        </w:tc>
        <w:tc>
          <w:tcPr>
            <w:tcW w:w="1650" w:type="dxa"/>
            <w:tcBorders>
              <w:top w:val="single" w:color="auto" w:sz="4" w:space="0"/>
            </w:tcBorders>
            <w:noWrap w:val="0"/>
            <w:vAlign w:val="center"/>
          </w:tcPr>
          <w:p w14:paraId="780A2EF5">
            <w:pPr>
              <w:pStyle w:val="26"/>
              <w:widowControl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曙光村</w:t>
            </w:r>
          </w:p>
        </w:tc>
        <w:tc>
          <w:tcPr>
            <w:tcW w:w="854" w:type="dxa"/>
            <w:tcBorders>
              <w:top w:val="single" w:color="auto" w:sz="4" w:space="0"/>
            </w:tcBorders>
            <w:noWrap w:val="0"/>
            <w:vAlign w:val="center"/>
          </w:tcPr>
          <w:p w14:paraId="5D3A133D">
            <w:pPr>
              <w:pStyle w:val="26"/>
              <w:widowControl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西</w:t>
            </w:r>
          </w:p>
        </w:tc>
        <w:tc>
          <w:tcPr>
            <w:tcW w:w="1177" w:type="dxa"/>
            <w:tcBorders>
              <w:top w:val="single" w:color="auto" w:sz="4" w:space="0"/>
            </w:tcBorders>
            <w:noWrap w:val="0"/>
            <w:vAlign w:val="center"/>
          </w:tcPr>
          <w:p w14:paraId="21421C20">
            <w:pPr>
              <w:pStyle w:val="26"/>
              <w:widowControl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2.43km</w:t>
            </w:r>
          </w:p>
        </w:tc>
        <w:tc>
          <w:tcPr>
            <w:tcW w:w="1150" w:type="dxa"/>
            <w:tcBorders>
              <w:top w:val="single" w:color="auto" w:sz="4" w:space="0"/>
            </w:tcBorders>
            <w:noWrap w:val="0"/>
            <w:vAlign w:val="center"/>
          </w:tcPr>
          <w:p w14:paraId="489B8C2E">
            <w:pPr>
              <w:pStyle w:val="26"/>
              <w:widowControl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w:t>
            </w:r>
          </w:p>
        </w:tc>
        <w:tc>
          <w:tcPr>
            <w:tcW w:w="890" w:type="dxa"/>
            <w:tcBorders>
              <w:top w:val="single" w:color="auto" w:sz="4" w:space="0"/>
            </w:tcBorders>
            <w:noWrap w:val="0"/>
            <w:vAlign w:val="center"/>
          </w:tcPr>
          <w:p w14:paraId="434CC21D">
            <w:pPr>
              <w:pStyle w:val="26"/>
              <w:widowControl w:val="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人群聚居区</w:t>
            </w:r>
          </w:p>
        </w:tc>
        <w:tc>
          <w:tcPr>
            <w:tcW w:w="2408" w:type="dxa"/>
            <w:vMerge w:val="continue"/>
            <w:noWrap w:val="0"/>
            <w:vAlign w:val="center"/>
          </w:tcPr>
          <w:p w14:paraId="6456D5D8">
            <w:pPr>
              <w:pStyle w:val="26"/>
              <w:widowControl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62FDC7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noWrap w:val="0"/>
            <w:vAlign w:val="center"/>
          </w:tcPr>
          <w:p w14:paraId="72560132">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地下水</w:t>
            </w:r>
          </w:p>
        </w:tc>
        <w:tc>
          <w:tcPr>
            <w:tcW w:w="1650" w:type="dxa"/>
            <w:noWrap w:val="0"/>
            <w:vAlign w:val="center"/>
          </w:tcPr>
          <w:p w14:paraId="6ECB7294">
            <w:pPr>
              <w:pStyle w:val="26"/>
              <w:widowControl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上游</w:t>
            </w:r>
            <w:r>
              <w:rPr>
                <w:color w:val="000000" w:themeColor="text1"/>
                <w:highlight w:val="none"/>
                <w14:textFill>
                  <w14:solidFill>
                    <w14:schemeClr w14:val="tx1"/>
                  </w14:solidFill>
                </w14:textFill>
              </w:rPr>
              <w:t>1km</w:t>
            </w:r>
            <w:r>
              <w:rPr>
                <w:rFonts w:hint="eastAsia"/>
                <w:color w:val="000000" w:themeColor="text1"/>
                <w:highlight w:val="none"/>
                <w14:textFill>
                  <w14:solidFill>
                    <w14:schemeClr w14:val="tx1"/>
                  </w14:solidFill>
                </w14:textFill>
              </w:rPr>
              <w:t>为边界，下游</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km</w:t>
            </w:r>
            <w:r>
              <w:rPr>
                <w:rFonts w:hint="eastAsia"/>
                <w:color w:val="000000" w:themeColor="text1"/>
                <w:highlight w:val="none"/>
                <w14:textFill>
                  <w14:solidFill>
                    <w14:schemeClr w14:val="tx1"/>
                  </w14:solidFill>
                </w14:textFill>
              </w:rPr>
              <w:t>为边界，两侧各1</w:t>
            </w:r>
            <w:r>
              <w:rPr>
                <w:color w:val="000000" w:themeColor="text1"/>
                <w:highlight w:val="none"/>
                <w14:textFill>
                  <w14:solidFill>
                    <w14:schemeClr w14:val="tx1"/>
                  </w14:solidFill>
                </w14:textFill>
              </w:rPr>
              <w:t>km</w:t>
            </w:r>
            <w:r>
              <w:rPr>
                <w:rFonts w:hint="eastAsia"/>
                <w:color w:val="000000" w:themeColor="text1"/>
                <w:highlight w:val="none"/>
                <w:lang w:val="en-US" w:eastAsia="zh-CN"/>
                <w14:textFill>
                  <w14:solidFill>
                    <w14:schemeClr w14:val="tx1"/>
                  </w14:solidFill>
                </w14:textFill>
              </w:rPr>
              <w:t>范围内内潜水含水层</w:t>
            </w:r>
          </w:p>
        </w:tc>
        <w:tc>
          <w:tcPr>
            <w:tcW w:w="854" w:type="dxa"/>
            <w:shd w:val="clear" w:color="auto" w:fill="auto"/>
            <w:noWrap w:val="0"/>
            <w:vAlign w:val="center"/>
          </w:tcPr>
          <w:p w14:paraId="596B526C">
            <w:pPr>
              <w:pStyle w:val="26"/>
              <w:widowControl w:val="0"/>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77" w:type="dxa"/>
            <w:shd w:val="clear" w:color="auto" w:fill="auto"/>
            <w:noWrap w:val="0"/>
            <w:vAlign w:val="center"/>
          </w:tcPr>
          <w:p w14:paraId="6EDEFA07">
            <w:pPr>
              <w:pStyle w:val="26"/>
              <w:widowControl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7FBF6109">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890" w:type="dxa"/>
            <w:noWrap w:val="0"/>
            <w:vAlign w:val="center"/>
          </w:tcPr>
          <w:p w14:paraId="310786D0">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408" w:type="dxa"/>
            <w:noWrap w:val="0"/>
            <w:vAlign w:val="center"/>
          </w:tcPr>
          <w:p w14:paraId="0FD7F482">
            <w:pPr>
              <w:pStyle w:val="26"/>
              <w:widowControl w:val="0"/>
              <w:jc w:val="both"/>
              <w:rPr>
                <w:color w:val="000000" w:themeColor="text1"/>
                <w:highlight w:val="none"/>
                <w14:textFill>
                  <w14:solidFill>
                    <w14:schemeClr w14:val="tx1"/>
                  </w14:solidFill>
                </w14:textFill>
              </w:rPr>
            </w:pPr>
            <w:r>
              <w:rPr>
                <w:color w:val="000000" w:themeColor="text1"/>
                <w:kern w:val="0"/>
                <w:highlight w:val="none"/>
                <w14:textFill>
                  <w14:solidFill>
                    <w14:schemeClr w14:val="tx1"/>
                  </w14:solidFill>
                </w14:textFill>
              </w:rPr>
              <w:t>保证不因本项目而降低区域地下水环境质量现状级别</w:t>
            </w:r>
          </w:p>
        </w:tc>
      </w:tr>
      <w:tr w14:paraId="46036F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noWrap w:val="0"/>
            <w:vAlign w:val="center"/>
          </w:tcPr>
          <w:p w14:paraId="0031D349">
            <w:pPr>
              <w:pStyle w:val="26"/>
              <w:widowControl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声环境</w:t>
            </w:r>
          </w:p>
        </w:tc>
        <w:tc>
          <w:tcPr>
            <w:tcW w:w="1650" w:type="dxa"/>
            <w:noWrap w:val="0"/>
            <w:vAlign w:val="center"/>
          </w:tcPr>
          <w:p w14:paraId="37D1320D">
            <w:pPr>
              <w:pStyle w:val="26"/>
              <w:widowControl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厂界范围</w:t>
            </w:r>
          </w:p>
        </w:tc>
        <w:tc>
          <w:tcPr>
            <w:tcW w:w="854" w:type="dxa"/>
            <w:noWrap w:val="0"/>
            <w:vAlign w:val="center"/>
          </w:tcPr>
          <w:p w14:paraId="1228DE68">
            <w:pPr>
              <w:pStyle w:val="26"/>
              <w:widowControl w:val="0"/>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177" w:type="dxa"/>
            <w:noWrap w:val="0"/>
            <w:vAlign w:val="center"/>
          </w:tcPr>
          <w:p w14:paraId="3D8CA7FE">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4E985DA7">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890" w:type="dxa"/>
            <w:noWrap w:val="0"/>
            <w:vAlign w:val="center"/>
          </w:tcPr>
          <w:p w14:paraId="78CB39EC">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408" w:type="dxa"/>
            <w:noWrap w:val="0"/>
            <w:vAlign w:val="center"/>
          </w:tcPr>
          <w:p w14:paraId="35ADC88C">
            <w:pPr>
              <w:pStyle w:val="26"/>
              <w:widowControl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《声环境质量标准》</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GB3096</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2008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中的</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类</w:t>
            </w:r>
          </w:p>
        </w:tc>
      </w:tr>
      <w:tr w14:paraId="1FB648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noWrap w:val="0"/>
            <w:vAlign w:val="center"/>
          </w:tcPr>
          <w:p w14:paraId="6A8D03F5">
            <w:pPr>
              <w:pStyle w:val="26"/>
              <w:widowControl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土壤</w:t>
            </w:r>
          </w:p>
        </w:tc>
        <w:tc>
          <w:tcPr>
            <w:tcW w:w="1650" w:type="dxa"/>
            <w:noWrap w:val="0"/>
            <w:vAlign w:val="center"/>
          </w:tcPr>
          <w:p w14:paraId="19090D8B">
            <w:pPr>
              <w:pStyle w:val="26"/>
              <w:widowControl w:val="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w:t>
            </w:r>
            <w:r>
              <w:rPr>
                <w:color w:val="000000" w:themeColor="text1"/>
                <w:highlight w:val="none"/>
                <w14:textFill>
                  <w14:solidFill>
                    <w14:schemeClr w14:val="tx1"/>
                  </w14:solidFill>
                </w14:textFill>
              </w:rPr>
              <w:t>占地范围</w:t>
            </w:r>
            <w:r>
              <w:rPr>
                <w:rFonts w:hint="eastAsia"/>
                <w:color w:val="000000" w:themeColor="text1"/>
                <w:highlight w:val="none"/>
                <w:lang w:val="en-US" w:eastAsia="zh-CN"/>
                <w14:textFill>
                  <w14:solidFill>
                    <w14:schemeClr w14:val="tx1"/>
                  </w14:solidFill>
                </w14:textFill>
              </w:rPr>
              <w:t>内+</w:t>
            </w:r>
            <w:r>
              <w:rPr>
                <w:color w:val="000000" w:themeColor="text1"/>
                <w:highlight w:val="none"/>
                <w14:textFill>
                  <w14:solidFill>
                    <w14:schemeClr w14:val="tx1"/>
                  </w14:solidFill>
                </w14:textFill>
              </w:rPr>
              <w:t>外</w:t>
            </w:r>
            <w:r>
              <w:rPr>
                <w:rFonts w:hint="eastAsia"/>
                <w:color w:val="000000" w:themeColor="text1"/>
                <w:highlight w:val="none"/>
                <w14:textFill>
                  <w14:solidFill>
                    <w14:schemeClr w14:val="tx1"/>
                  </w14:solidFill>
                </w14:textFill>
              </w:rPr>
              <w:t>0.2</w:t>
            </w:r>
            <w:r>
              <w:rPr>
                <w:color w:val="000000" w:themeColor="text1"/>
                <w:highlight w:val="none"/>
                <w14:textFill>
                  <w14:solidFill>
                    <w14:schemeClr w14:val="tx1"/>
                  </w14:solidFill>
                </w14:textFill>
              </w:rPr>
              <w:t>k</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范围</w:t>
            </w:r>
          </w:p>
        </w:tc>
        <w:tc>
          <w:tcPr>
            <w:tcW w:w="854" w:type="dxa"/>
            <w:noWrap w:val="0"/>
            <w:vAlign w:val="center"/>
          </w:tcPr>
          <w:p w14:paraId="38A6C8DA">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77" w:type="dxa"/>
            <w:noWrap w:val="0"/>
            <w:vAlign w:val="center"/>
          </w:tcPr>
          <w:p w14:paraId="13271653">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78669C9D">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890" w:type="dxa"/>
            <w:noWrap w:val="0"/>
            <w:vAlign w:val="center"/>
          </w:tcPr>
          <w:p w14:paraId="07CF28E4">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408" w:type="dxa"/>
            <w:noWrap w:val="0"/>
            <w:vAlign w:val="center"/>
          </w:tcPr>
          <w:p w14:paraId="59C05D13">
            <w:pPr>
              <w:pStyle w:val="26"/>
              <w:widowControl w:val="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《土壤环境质量</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建设用地土壤污染风险管控标准（试行）》（GB36600-2018）表1中第二类用筛选值</w:t>
            </w:r>
          </w:p>
        </w:tc>
      </w:tr>
      <w:tr w14:paraId="41E034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noWrap w:val="0"/>
            <w:vAlign w:val="center"/>
          </w:tcPr>
          <w:p w14:paraId="6F4E8B8E">
            <w:pPr>
              <w:pStyle w:val="26"/>
              <w:widowControl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生态</w:t>
            </w:r>
          </w:p>
        </w:tc>
        <w:tc>
          <w:tcPr>
            <w:tcW w:w="1650" w:type="dxa"/>
            <w:noWrap w:val="0"/>
            <w:vAlign w:val="center"/>
          </w:tcPr>
          <w:p w14:paraId="6406A065">
            <w:pPr>
              <w:pStyle w:val="26"/>
              <w:widowControl w:val="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854" w:type="dxa"/>
            <w:noWrap w:val="0"/>
            <w:vAlign w:val="center"/>
          </w:tcPr>
          <w:p w14:paraId="203C76CA">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77" w:type="dxa"/>
            <w:noWrap w:val="0"/>
            <w:vAlign w:val="center"/>
          </w:tcPr>
          <w:p w14:paraId="5DC2ACA3">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449EAC8C">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890" w:type="dxa"/>
            <w:noWrap w:val="0"/>
            <w:vAlign w:val="center"/>
          </w:tcPr>
          <w:p w14:paraId="2533B957">
            <w:pPr>
              <w:pStyle w:val="26"/>
              <w:widowControl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408" w:type="dxa"/>
            <w:noWrap w:val="0"/>
            <w:vAlign w:val="center"/>
          </w:tcPr>
          <w:p w14:paraId="658EDDC9">
            <w:pPr>
              <w:pStyle w:val="26"/>
              <w:widowControl w:val="0"/>
              <w:jc w:val="both"/>
              <w:rPr>
                <w:rFonts w:hint="eastAsia" w:eastAsia="宋体"/>
                <w:color w:val="000000" w:themeColor="text1"/>
                <w:highlight w:val="none"/>
                <w:lang w:eastAsia="zh-CN"/>
                <w14:textFill>
                  <w14:solidFill>
                    <w14:schemeClr w14:val="tx1"/>
                  </w14:solidFill>
                </w14:textFill>
              </w:rPr>
            </w:pPr>
            <w:r>
              <w:rPr>
                <w:color w:val="000000" w:themeColor="text1"/>
                <w:kern w:val="0"/>
                <w:highlight w:val="none"/>
                <w14:textFill>
                  <w14:solidFill>
                    <w14:schemeClr w14:val="tx1"/>
                  </w14:solidFill>
                </w14:textFill>
              </w:rPr>
              <w:t>保证不因本项目</w:t>
            </w:r>
            <w:r>
              <w:rPr>
                <w:rFonts w:hint="eastAsia"/>
                <w:color w:val="000000" w:themeColor="text1"/>
                <w:kern w:val="0"/>
                <w:highlight w:val="none"/>
                <w14:textFill>
                  <w14:solidFill>
                    <w14:schemeClr w14:val="tx1"/>
                  </w14:solidFill>
                </w14:textFill>
              </w:rPr>
              <w:t>的建设</w:t>
            </w:r>
            <w:r>
              <w:rPr>
                <w:color w:val="000000" w:themeColor="text1"/>
                <w:kern w:val="0"/>
                <w:highlight w:val="none"/>
                <w14:textFill>
                  <w14:solidFill>
                    <w14:schemeClr w14:val="tx1"/>
                  </w14:solidFill>
                </w14:textFill>
              </w:rPr>
              <w:t>而降低区域</w:t>
            </w:r>
            <w:r>
              <w:rPr>
                <w:rFonts w:hint="eastAsia"/>
                <w:color w:val="000000" w:themeColor="text1"/>
                <w:kern w:val="0"/>
                <w:highlight w:val="none"/>
                <w14:textFill>
                  <w14:solidFill>
                    <w14:schemeClr w14:val="tx1"/>
                  </w14:solidFill>
                </w14:textFill>
              </w:rPr>
              <w:t>生态环境</w:t>
            </w:r>
            <w:r>
              <w:rPr>
                <w:color w:val="000000" w:themeColor="text1"/>
                <w:kern w:val="0"/>
                <w:highlight w:val="none"/>
                <w14:textFill>
                  <w14:solidFill>
                    <w14:schemeClr w14:val="tx1"/>
                  </w14:solidFill>
                </w14:textFill>
              </w:rPr>
              <w:t>现状</w:t>
            </w:r>
          </w:p>
        </w:tc>
      </w:tr>
    </w:tbl>
    <w:p w14:paraId="3EF05FA9">
      <w:pPr>
        <w:ind w:firstLine="0" w:firstLineChars="0"/>
        <w:rPr>
          <w:color w:val="000000" w:themeColor="text1"/>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4D5EF3D">
      <w:pPr>
        <w:pStyle w:val="2"/>
        <w:numPr>
          <w:ilvl w:val="0"/>
          <w:numId w:val="0"/>
        </w:numPr>
        <w:rPr>
          <w:rFonts w:hint="default" w:eastAsia="宋体"/>
          <w:color w:val="000000" w:themeColor="text1"/>
          <w:highlight w:val="none"/>
          <w:lang w:val="en-US" w:eastAsia="zh-CN"/>
          <w14:textFill>
            <w14:solidFill>
              <w14:schemeClr w14:val="tx1"/>
            </w14:solidFill>
          </w14:textFill>
        </w:rPr>
      </w:pPr>
      <w:bookmarkStart w:id="570" w:name="_Toc28004"/>
      <w:bookmarkStart w:id="571" w:name="_Toc30901"/>
      <w:bookmarkStart w:id="572" w:name="_Toc31167"/>
      <w:bookmarkStart w:id="573" w:name="_Toc6351"/>
      <w:r>
        <w:rPr>
          <w:rFonts w:hint="eastAsia"/>
          <w:color w:val="000000" w:themeColor="text1"/>
          <w:highlight w:val="none"/>
          <w:lang w:val="en-US" w:eastAsia="zh-CN"/>
          <w14:textFill>
            <w14:solidFill>
              <w14:schemeClr w14:val="tx1"/>
            </w14:solidFill>
          </w14:textFill>
        </w:rPr>
        <w:t>3 项目基本情况</w:t>
      </w:r>
      <w:bookmarkEnd w:id="570"/>
      <w:bookmarkEnd w:id="571"/>
      <w:bookmarkEnd w:id="572"/>
      <w:bookmarkEnd w:id="573"/>
    </w:p>
    <w:p w14:paraId="7F292F2F">
      <w:pPr>
        <w:pStyle w:val="3"/>
        <w:rPr>
          <w:color w:val="000000" w:themeColor="text1"/>
          <w:highlight w:val="none"/>
          <w:lang w:val="en-US"/>
          <w14:textFill>
            <w14:solidFill>
              <w14:schemeClr w14:val="tx1"/>
            </w14:solidFill>
          </w14:textFill>
        </w:rPr>
      </w:pPr>
      <w:bookmarkStart w:id="574" w:name="_Toc26808"/>
      <w:bookmarkStart w:id="575" w:name="_Toc25825"/>
      <w:bookmarkStart w:id="576" w:name="_Toc8193"/>
      <w:bookmarkStart w:id="577" w:name="_Toc10418"/>
      <w:bookmarkStart w:id="578" w:name="_Toc7025"/>
      <w:bookmarkStart w:id="579" w:name="_Toc17689"/>
      <w:bookmarkStart w:id="580" w:name="_Toc22007"/>
      <w:bookmarkStart w:id="581" w:name="_Toc3785"/>
      <w:bookmarkStart w:id="582" w:name="_Toc18420"/>
      <w:bookmarkStart w:id="583" w:name="_Toc3863"/>
      <w:r>
        <w:rPr>
          <w:rFonts w:hint="eastAsia"/>
          <w:color w:val="000000" w:themeColor="text1"/>
          <w:highlight w:val="none"/>
          <w:lang w:val="en-US"/>
          <w14:textFill>
            <w14:solidFill>
              <w14:schemeClr w14:val="tx1"/>
            </w14:solidFill>
          </w14:textFill>
        </w:rPr>
        <w:t>3.1</w:t>
      </w:r>
      <w:bookmarkStart w:id="584" w:name="_Toc8586"/>
      <w:bookmarkStart w:id="585" w:name="_Toc26885"/>
      <w:bookmarkStart w:id="586" w:name="_Toc24150"/>
      <w:bookmarkStart w:id="587" w:name="_Toc12656"/>
      <w:bookmarkStart w:id="588" w:name="_Toc15200"/>
      <w:bookmarkStart w:id="589" w:name="_Toc6606"/>
      <w:bookmarkStart w:id="590" w:name="_Toc8839"/>
      <w:bookmarkStart w:id="591" w:name="_Toc21082"/>
      <w:bookmarkStart w:id="592" w:name="_Toc32630"/>
      <w:bookmarkStart w:id="593" w:name="_Toc29637"/>
      <w:bookmarkStart w:id="594" w:name="_Toc5796"/>
      <w:bookmarkStart w:id="595" w:name="_Toc23218"/>
      <w:bookmarkStart w:id="596" w:name="_Toc6361"/>
      <w:r>
        <w:rPr>
          <w:rFonts w:hint="eastAsia"/>
          <w:color w:val="000000" w:themeColor="text1"/>
          <w:highlight w:val="none"/>
          <w:lang w:val="en-US"/>
          <w14:textFill>
            <w14:solidFill>
              <w14:schemeClr w14:val="tx1"/>
            </w14:solidFill>
          </w14:textFill>
        </w:rPr>
        <w:t>建设项目</w:t>
      </w:r>
      <w:bookmarkEnd w:id="584"/>
      <w:bookmarkEnd w:id="585"/>
      <w:bookmarkEnd w:id="586"/>
      <w:bookmarkEnd w:id="587"/>
      <w:bookmarkEnd w:id="588"/>
      <w:r>
        <w:rPr>
          <w:rFonts w:hint="eastAsia"/>
          <w:color w:val="000000" w:themeColor="text1"/>
          <w:highlight w:val="none"/>
          <w:lang w:val="en-US"/>
          <w14:textFill>
            <w14:solidFill>
              <w14:schemeClr w14:val="tx1"/>
            </w14:solidFill>
          </w14:textFill>
        </w:rPr>
        <w:t>基本情况</w:t>
      </w:r>
      <w:bookmarkEnd w:id="574"/>
      <w:bookmarkEnd w:id="575"/>
      <w:bookmarkEnd w:id="576"/>
      <w:bookmarkEnd w:id="577"/>
      <w:bookmarkEnd w:id="578"/>
      <w:bookmarkEnd w:id="579"/>
      <w:bookmarkEnd w:id="580"/>
      <w:bookmarkEnd w:id="581"/>
      <w:bookmarkEnd w:id="582"/>
      <w:bookmarkEnd w:id="583"/>
      <w:bookmarkEnd w:id="589"/>
      <w:bookmarkEnd w:id="590"/>
      <w:bookmarkEnd w:id="591"/>
      <w:bookmarkEnd w:id="592"/>
      <w:bookmarkEnd w:id="593"/>
      <w:bookmarkEnd w:id="594"/>
      <w:bookmarkEnd w:id="595"/>
      <w:bookmarkEnd w:id="596"/>
    </w:p>
    <w:p w14:paraId="50FDFF91">
      <w:pPr>
        <w:pStyle w:val="4"/>
        <w:rPr>
          <w:color w:val="000000" w:themeColor="text1"/>
          <w:highlight w:val="none"/>
          <w14:textFill>
            <w14:solidFill>
              <w14:schemeClr w14:val="tx1"/>
            </w14:solidFill>
          </w14:textFill>
        </w:rPr>
      </w:pPr>
      <w:bookmarkStart w:id="597" w:name="_Toc5983"/>
      <w:r>
        <w:rPr>
          <w:rFonts w:hint="eastAsia"/>
          <w:color w:val="000000" w:themeColor="text1"/>
          <w:highlight w:val="none"/>
          <w14:textFill>
            <w14:solidFill>
              <w14:schemeClr w14:val="tx1"/>
            </w14:solidFill>
          </w14:textFill>
        </w:rPr>
        <w:t>3.1.1项目基本情况</w:t>
      </w:r>
      <w:bookmarkEnd w:id="597"/>
    </w:p>
    <w:p w14:paraId="5E6CA16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项目名称：</w:t>
      </w:r>
      <w:r>
        <w:rPr>
          <w:rFonts w:hint="eastAsia"/>
          <w:color w:val="000000" w:themeColor="text1"/>
          <w:highlight w:val="none"/>
          <w14:textFill>
            <w14:solidFill>
              <w14:schemeClr w14:val="tx1"/>
            </w14:solidFill>
          </w14:textFill>
        </w:rPr>
        <w:t>恒泰晋昇生产速凝剂及硫酸铝外加剂建设项目</w:t>
      </w:r>
      <w:r>
        <w:rPr>
          <w:color w:val="000000" w:themeColor="text1"/>
          <w:highlight w:val="none"/>
          <w14:textFill>
            <w14:solidFill>
              <w14:schemeClr w14:val="tx1"/>
            </w14:solidFill>
          </w14:textFill>
        </w:rPr>
        <w:t>；</w:t>
      </w:r>
    </w:p>
    <w:p w14:paraId="5FFD6E9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建设单位：</w:t>
      </w:r>
      <w:r>
        <w:rPr>
          <w:rFonts w:hint="eastAsia"/>
          <w:color w:val="000000" w:themeColor="text1"/>
          <w:highlight w:val="none"/>
          <w14:textFill>
            <w14:solidFill>
              <w14:schemeClr w14:val="tx1"/>
            </w14:solidFill>
          </w14:textFill>
        </w:rPr>
        <w:t>新疆恒泰晋昇新型建材有限公司</w:t>
      </w:r>
      <w:r>
        <w:rPr>
          <w:color w:val="000000" w:themeColor="text1"/>
          <w:highlight w:val="none"/>
          <w14:textFill>
            <w14:solidFill>
              <w14:schemeClr w14:val="tx1"/>
            </w14:solidFill>
          </w14:textFill>
        </w:rPr>
        <w:t>；</w:t>
      </w:r>
    </w:p>
    <w:p w14:paraId="6790FB94">
      <w:pPr>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建设地点：</w:t>
      </w:r>
      <w:r>
        <w:rPr>
          <w:rFonts w:hint="eastAsia"/>
          <w:color w:val="000000" w:themeColor="text1"/>
          <w:highlight w:val="none"/>
          <w14:textFill>
            <w14:solidFill>
              <w14:schemeClr w14:val="tx1"/>
            </w14:solidFill>
          </w14:textFill>
        </w:rPr>
        <w:t>项目位于</w:t>
      </w:r>
      <w:r>
        <w:rPr>
          <w:rFonts w:hint="eastAsia"/>
          <w:color w:val="000000" w:themeColor="text1"/>
          <w:highlight w:val="none"/>
          <w:lang w:val="en-US" w:eastAsia="zh-CN"/>
          <w14:textFill>
            <w14:solidFill>
              <w14:schemeClr w14:val="tx1"/>
            </w14:solidFill>
          </w14:textFill>
        </w:rPr>
        <w:t>昌吉国家高新技术产业开发区建材区，租赁</w:t>
      </w:r>
      <w:r>
        <w:rPr>
          <w:rFonts w:hint="eastAsia"/>
          <w:color w:val="000000" w:themeColor="text1"/>
          <w:highlight w:val="none"/>
          <w14:textFill>
            <w14:solidFill>
              <w14:schemeClr w14:val="tx1"/>
            </w14:solidFill>
          </w14:textFill>
        </w:rPr>
        <w:t>新疆恒泰新型建材有限公司现有厂房，</w:t>
      </w:r>
      <w:r>
        <w:rPr>
          <w:rFonts w:hint="eastAsia"/>
          <w:color w:val="000000" w:themeColor="text1"/>
          <w:highlight w:val="none"/>
          <w:lang w:val="en-US" w:eastAsia="zh-CN"/>
          <w14:textFill>
            <w14:solidFill>
              <w14:schemeClr w14:val="tx1"/>
            </w14:solidFill>
          </w14:textFill>
        </w:rPr>
        <w:t>项目中心</w:t>
      </w:r>
      <w:r>
        <w:rPr>
          <w:color w:val="000000" w:themeColor="text1"/>
          <w:highlight w:val="none"/>
          <w14:textFill>
            <w14:solidFill>
              <w14:schemeClr w14:val="tx1"/>
            </w14:solidFill>
          </w14:textFill>
        </w:rPr>
        <w:t>地理坐标：</w:t>
      </w:r>
      <w:r>
        <w:rPr>
          <w:rFonts w:hint="default" w:ascii="Times New Roman" w:hAnsi="Times New Roman" w:cs="Times New Roman"/>
          <w:color w:val="000000" w:themeColor="text1"/>
          <w:highlight w:val="none"/>
          <w14:textFill>
            <w14:solidFill>
              <w14:schemeClr w14:val="tx1"/>
            </w14:solidFill>
          </w14:textFill>
        </w:rPr>
        <w:t>E87°08'03.49"，N44°05'26.02"，项目所在地地理位置见图3.1-</w:t>
      </w:r>
      <w:r>
        <w:rPr>
          <w:rFonts w:hint="eastAsia"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；项目区东侧</w:t>
      </w:r>
      <w:r>
        <w:rPr>
          <w:rFonts w:hint="eastAsia" w:cs="Times New Roman"/>
          <w:color w:val="000000" w:themeColor="text1"/>
          <w:highlight w:val="none"/>
          <w:lang w:val="en-US" w:eastAsia="zh-CN"/>
          <w14:textFill>
            <w14:solidFill>
              <w14:schemeClr w14:val="tx1"/>
            </w14:solidFill>
          </w14:textFill>
        </w:rPr>
        <w:t>为</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原料堆场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南侧</w:t>
      </w:r>
      <w:r>
        <w:rPr>
          <w:rFonts w:hint="eastAsia" w:cs="Times New Roman"/>
          <w:color w:val="000000" w:themeColor="text1"/>
          <w:highlight w:val="none"/>
          <w:lang w:val="en-US" w:eastAsia="zh-CN"/>
          <w14:textFill>
            <w14:solidFill>
              <w14:schemeClr w14:val="tx1"/>
            </w14:solidFill>
          </w14:textFill>
        </w:rPr>
        <w:t>为</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停车场，西侧为空地，</w:t>
      </w:r>
      <w:r>
        <w:rPr>
          <w:rFonts w:hint="default" w:ascii="Times New Roman" w:hAnsi="Times New Roman" w:cs="Times New Roman"/>
          <w:color w:val="000000" w:themeColor="text1"/>
          <w:highlight w:val="none"/>
          <w14:textFill>
            <w14:solidFill>
              <w14:schemeClr w14:val="tx1"/>
            </w14:solidFill>
          </w14:textFill>
        </w:rPr>
        <w:t>北侧为</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拟建厂房，项目周边关系图见图3.1-2。</w:t>
      </w:r>
    </w:p>
    <w:p w14:paraId="04FEA578">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建设性质：新建；</w:t>
      </w:r>
    </w:p>
    <w:p w14:paraId="340FFB4D">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占地面积：</w:t>
      </w:r>
      <w:r>
        <w:rPr>
          <w:rFonts w:hint="eastAsia"/>
          <w:color w:val="000000" w:themeColor="text1"/>
          <w:highlight w:val="none"/>
          <w14:textFill>
            <w14:solidFill>
              <w14:schemeClr w14:val="tx1"/>
            </w14:solidFill>
          </w14:textFill>
        </w:rPr>
        <w:t>3590.87</w:t>
      </w:r>
      <w:r>
        <w:rPr>
          <w:rFonts w:hint="eastAsia"/>
          <w:color w:val="000000" w:themeColor="text1"/>
          <w:highlight w:val="none"/>
          <w:lang w:val="en-US" w:eastAsia="zh-CN"/>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w:t>
      </w:r>
    </w:p>
    <w:p w14:paraId="6F9CF03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建设规模：本项目拟新建1条速凝剂生产线，新建1条硫酸铝生产线，新建1条减水剂生产线，</w:t>
      </w:r>
      <w:r>
        <w:rPr>
          <w:rFonts w:hint="eastAsia"/>
          <w:color w:val="000000" w:themeColor="text1"/>
          <w:highlight w:val="none"/>
          <w:lang w:val="en-US" w:eastAsia="zh-CN"/>
          <w14:textFill>
            <w14:solidFill>
              <w14:schemeClr w14:val="tx1"/>
            </w14:solidFill>
          </w14:textFill>
        </w:rPr>
        <w:t>拆除原有生产线设备，</w:t>
      </w:r>
      <w:r>
        <w:rPr>
          <w:rFonts w:hint="eastAsia"/>
          <w:color w:val="000000" w:themeColor="text1"/>
          <w:highlight w:val="none"/>
          <w14:textFill>
            <w14:solidFill>
              <w14:schemeClr w14:val="tx1"/>
            </w14:solidFill>
          </w14:textFill>
        </w:rPr>
        <w:t>搬迁原有的3条减水剂生产线至新</w:t>
      </w:r>
      <w:r>
        <w:rPr>
          <w:rFonts w:hint="eastAsia"/>
          <w:color w:val="000000" w:themeColor="text1"/>
          <w:highlight w:val="none"/>
          <w:lang w:val="en-US" w:eastAsia="zh-CN"/>
          <w14:textFill>
            <w14:solidFill>
              <w14:schemeClr w14:val="tx1"/>
            </w14:solidFill>
          </w14:textFill>
        </w:rPr>
        <w:t>厂</w:t>
      </w:r>
      <w:r>
        <w:rPr>
          <w:rFonts w:hint="eastAsia"/>
          <w:color w:val="000000" w:themeColor="text1"/>
          <w:highlight w:val="none"/>
          <w14:textFill>
            <w14:solidFill>
              <w14:schemeClr w14:val="tx1"/>
            </w14:solidFill>
          </w14:textFill>
        </w:rPr>
        <w:t>房，新购置设备，项目建成后可形成年产2万吨速凝剂、2万吨硫酸铝、2万吨减水剂。</w:t>
      </w:r>
    </w:p>
    <w:p w14:paraId="4BEDDD0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项目总投资：</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00</w:t>
      </w:r>
      <w:r>
        <w:rPr>
          <w:color w:val="000000" w:themeColor="text1"/>
          <w:highlight w:val="none"/>
          <w14:textFill>
            <w14:solidFill>
              <w14:schemeClr w14:val="tx1"/>
            </w14:solidFill>
          </w14:textFill>
        </w:rPr>
        <w:t>万元；</w:t>
      </w:r>
    </w:p>
    <w:p w14:paraId="6D140A1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劳动定员及工作制度：</w:t>
      </w:r>
      <w:r>
        <w:rPr>
          <w:rFonts w:hint="eastAsia"/>
          <w:color w:val="000000" w:themeColor="text1"/>
          <w:highlight w:val="none"/>
          <w:lang w:val="en-US" w:eastAsia="zh-CN"/>
          <w14:textFill>
            <w14:solidFill>
              <w14:schemeClr w14:val="tx1"/>
            </w14:solidFill>
          </w14:textFill>
        </w:rPr>
        <w:t>总劳动</w:t>
      </w:r>
      <w:r>
        <w:rPr>
          <w:color w:val="000000" w:themeColor="text1"/>
          <w:highlight w:val="none"/>
          <w14:textFill>
            <w14:solidFill>
              <w14:schemeClr w14:val="tx1"/>
            </w14:solidFill>
          </w14:textFill>
        </w:rPr>
        <w:t>定员</w:t>
      </w:r>
      <w:r>
        <w:rPr>
          <w:rFonts w:hint="eastAsia"/>
          <w:color w:val="000000" w:themeColor="text1"/>
          <w:highlight w:val="none"/>
          <w:lang w:val="en-US" w:eastAsia="zh-CN"/>
          <w14:textFill>
            <w14:solidFill>
              <w14:schemeClr w14:val="tx1"/>
            </w14:solidFill>
          </w14:textFill>
        </w:rPr>
        <w:t>30</w:t>
      </w:r>
      <w:r>
        <w:rPr>
          <w:color w:val="000000" w:themeColor="text1"/>
          <w:highlight w:val="none"/>
          <w14:textFill>
            <w14:solidFill>
              <w14:schemeClr w14:val="tx1"/>
            </w14:solidFill>
          </w14:textFill>
        </w:rPr>
        <w:t>人，厂生产部门实行</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班制，</w:t>
      </w:r>
      <w:r>
        <w:rPr>
          <w:rFonts w:hint="eastAsia"/>
          <w:color w:val="000000" w:themeColor="text1"/>
          <w:highlight w:val="none"/>
          <w14:textFill>
            <w14:solidFill>
              <w14:schemeClr w14:val="tx1"/>
            </w14:solidFill>
          </w14:textFill>
        </w:rPr>
        <w:t>每班运行时间8</w:t>
      </w:r>
      <w:r>
        <w:rPr>
          <w:color w:val="000000" w:themeColor="text1"/>
          <w:highlight w:val="none"/>
          <w14:textFill>
            <w14:solidFill>
              <w14:schemeClr w14:val="tx1"/>
            </w14:solidFill>
          </w14:textFill>
        </w:rPr>
        <w:t>小时</w:t>
      </w:r>
      <w:r>
        <w:rPr>
          <w:rFonts w:hint="eastAsia"/>
          <w:color w:val="000000" w:themeColor="text1"/>
          <w:highlight w:val="none"/>
          <w14:textFill>
            <w14:solidFill>
              <w14:schemeClr w14:val="tx1"/>
            </w14:solidFill>
          </w14:textFill>
        </w:rPr>
        <w:t>，年工作日</w:t>
      </w:r>
      <w:r>
        <w:rPr>
          <w:color w:val="000000" w:themeColor="text1"/>
          <w:highlight w:val="none"/>
          <w14:textFill>
            <w14:solidFill>
              <w14:schemeClr w14:val="tx1"/>
            </w14:solidFill>
          </w14:textFill>
        </w:rPr>
        <w:t>为</w:t>
      </w:r>
      <w:r>
        <w:rPr>
          <w:rFonts w:hint="eastAsia"/>
          <w:color w:val="000000" w:themeColor="text1"/>
          <w:highlight w:val="none"/>
          <w:lang w:val="en-US" w:eastAsia="zh-CN"/>
          <w14:textFill>
            <w14:solidFill>
              <w14:schemeClr w14:val="tx1"/>
            </w14:solidFill>
          </w14:textFill>
        </w:rPr>
        <w:t>180</w:t>
      </w:r>
      <w:r>
        <w:rPr>
          <w:color w:val="000000" w:themeColor="text1"/>
          <w:highlight w:val="none"/>
          <w14:textFill>
            <w14:solidFill>
              <w14:schemeClr w14:val="tx1"/>
            </w14:solidFill>
          </w14:textFill>
        </w:rPr>
        <w:t>天</w:t>
      </w:r>
      <w:r>
        <w:rPr>
          <w:rFonts w:hint="eastAsia"/>
          <w:color w:val="000000" w:themeColor="text1"/>
          <w:highlight w:val="none"/>
          <w14:textFill>
            <w14:solidFill>
              <w14:schemeClr w14:val="tx1"/>
            </w14:solidFill>
          </w14:textFill>
        </w:rPr>
        <w:t>，共</w:t>
      </w:r>
      <w:r>
        <w:rPr>
          <w:rFonts w:hint="eastAsia"/>
          <w:color w:val="000000" w:themeColor="text1"/>
          <w:highlight w:val="none"/>
          <w:lang w:val="en-US" w:eastAsia="zh-CN"/>
          <w14:textFill>
            <w14:solidFill>
              <w14:schemeClr w14:val="tx1"/>
            </w14:solidFill>
          </w14:textFill>
        </w:rPr>
        <w:t>4320</w:t>
      </w:r>
      <w:r>
        <w:rPr>
          <w:rFonts w:hint="eastAsia"/>
          <w:color w:val="000000" w:themeColor="text1"/>
          <w:highlight w:val="none"/>
          <w14:textFill>
            <w14:solidFill>
              <w14:schemeClr w14:val="tx1"/>
            </w14:solidFill>
          </w14:textFill>
        </w:rPr>
        <w:t>h</w:t>
      </w:r>
      <w:r>
        <w:rPr>
          <w:color w:val="000000" w:themeColor="text1"/>
          <w:highlight w:val="none"/>
          <w14:textFill>
            <w14:solidFill>
              <w14:schemeClr w14:val="tx1"/>
            </w14:solidFill>
          </w14:textFill>
        </w:rPr>
        <w:t>。</w:t>
      </w:r>
    </w:p>
    <w:p w14:paraId="727C0555">
      <w:pPr>
        <w:bidi w:val="0"/>
        <w:rPr>
          <w:rFonts w:hint="eastAsia"/>
          <w:color w:val="000000" w:themeColor="text1"/>
          <w:highlight w:val="none"/>
          <w:lang w:val="en-US" w:eastAsia="zh-CN"/>
          <w14:textFill>
            <w14:solidFill>
              <w14:schemeClr w14:val="tx1"/>
            </w14:solidFill>
          </w14:textFill>
        </w:rPr>
      </w:pPr>
      <w:bookmarkStart w:id="598" w:name="_Toc20063"/>
      <w:r>
        <w:rPr>
          <w:rFonts w:hint="default"/>
          <w:color w:val="000000" w:themeColor="text1"/>
          <w:highlight w:val="none"/>
          <w:lang w:val="en-US"/>
          <w14:textFill>
            <w14:solidFill>
              <w14:schemeClr w14:val="tx1"/>
            </w14:solidFill>
          </w14:textFill>
        </w:rPr>
        <w:t>建设进度</w:t>
      </w:r>
      <w:bookmarkEnd w:id="598"/>
      <w:r>
        <w:rPr>
          <w:rFonts w:hint="default"/>
          <w:color w:val="000000" w:themeColor="text1"/>
          <w:highlight w:val="none"/>
          <w:lang w:val="en-US"/>
          <w14:textFill>
            <w14:solidFill>
              <w14:schemeClr w14:val="tx1"/>
            </w14:solidFill>
          </w14:textFill>
        </w:rPr>
        <w:t>：项目</w:t>
      </w:r>
      <w:r>
        <w:rPr>
          <w:rFonts w:hint="eastAsia"/>
          <w:color w:val="000000" w:themeColor="text1"/>
          <w:highlight w:val="none"/>
          <w:lang w:val="en-US" w:eastAsia="zh-CN"/>
          <w14:textFill>
            <w14:solidFill>
              <w14:schemeClr w14:val="tx1"/>
            </w14:solidFill>
          </w14:textFill>
        </w:rPr>
        <w:t>计划</w:t>
      </w:r>
      <w:r>
        <w:rPr>
          <w:rFonts w:hint="default"/>
          <w:color w:val="000000" w:themeColor="text1"/>
          <w:highlight w:val="none"/>
          <w:lang w:val="en-US"/>
          <w14:textFill>
            <w14:solidFill>
              <w14:schemeClr w14:val="tx1"/>
            </w14:solidFill>
          </w14:textFill>
        </w:rPr>
        <w:t>于202</w:t>
      </w:r>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7</w:t>
      </w:r>
      <w:r>
        <w:rPr>
          <w:rFonts w:hint="default"/>
          <w:color w:val="000000" w:themeColor="text1"/>
          <w:highlight w:val="none"/>
          <w:lang w:val="en-US"/>
          <w14:textFill>
            <w14:solidFill>
              <w14:schemeClr w14:val="tx1"/>
            </w14:solidFill>
          </w14:textFill>
        </w:rPr>
        <w:t>月开工，202</w:t>
      </w:r>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10</w:t>
      </w:r>
      <w:r>
        <w:rPr>
          <w:rFonts w:hint="default"/>
          <w:color w:val="000000" w:themeColor="text1"/>
          <w:highlight w:val="none"/>
          <w:lang w:val="en-US"/>
          <w14:textFill>
            <w14:solidFill>
              <w14:schemeClr w14:val="tx1"/>
            </w14:solidFill>
          </w14:textFill>
        </w:rPr>
        <w:t>月竣工</w:t>
      </w:r>
      <w:r>
        <w:rPr>
          <w:rFonts w:hint="eastAsia"/>
          <w:color w:val="000000" w:themeColor="text1"/>
          <w:highlight w:val="none"/>
          <w:lang w:val="en-US" w:eastAsia="zh-CN"/>
          <w14:textFill>
            <w14:solidFill>
              <w14:schemeClr w14:val="tx1"/>
            </w14:solidFill>
          </w14:textFill>
        </w:rPr>
        <w:t>，建设周期为4个月；</w:t>
      </w:r>
    </w:p>
    <w:p w14:paraId="6473C40C">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3.1.2原有项目基本情况</w:t>
      </w:r>
    </w:p>
    <w:p w14:paraId="783CB01E">
      <w:pPr>
        <w:ind w:firstLine="480"/>
        <w:rPr>
          <w:rFonts w:hint="eastAsia"/>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新疆恒泰晋昇新型建材有限公司</w:t>
      </w:r>
      <w:r>
        <w:rPr>
          <w:rFonts w:hint="eastAsia"/>
          <w:color w:val="000000" w:themeColor="text1"/>
          <w:highlight w:val="none"/>
          <w:lang w:val="en-US" w:eastAsia="zh-CN"/>
          <w14:textFill>
            <w14:solidFill>
              <w14:schemeClr w14:val="tx1"/>
            </w14:solidFill>
          </w14:textFill>
        </w:rPr>
        <w:t>租赁</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建设年产1万吨高性能外加剂项目，建设内容为租赁</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现有厂房建设3条聚羧酸减水剂生产线，年产聚羧酸减水剂1万吨</w:t>
      </w:r>
      <w:r>
        <w:rPr>
          <w:rFonts w:hint="eastAsia"/>
          <w:color w:val="000000" w:themeColor="text1"/>
          <w:highlight w:val="none"/>
          <w:lang w:eastAsia="zh-CN"/>
          <w14:textFill>
            <w14:solidFill>
              <w14:schemeClr w14:val="tx1"/>
            </w14:solidFill>
          </w14:textFill>
        </w:rPr>
        <w:t>。</w:t>
      </w:r>
    </w:p>
    <w:p w14:paraId="52E49485">
      <w:pPr>
        <w:pStyle w:val="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3.1.2.</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原有项目环保手续履行情况</w:t>
      </w:r>
    </w:p>
    <w:p w14:paraId="011C6439">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新疆恒泰晋昇新型建材有限公司于201</w:t>
      </w: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月</w:t>
      </w:r>
      <w:r>
        <w:rPr>
          <w:rFonts w:hint="eastAsia"/>
          <w:color w:val="000000" w:themeColor="text1"/>
          <w:highlight w:val="none"/>
          <w14:textFill>
            <w14:solidFill>
              <w14:schemeClr w14:val="tx1"/>
            </w14:solidFill>
          </w14:textFill>
        </w:rPr>
        <w:t>委托</w:t>
      </w:r>
      <w:r>
        <w:rPr>
          <w:rFonts w:hint="eastAsia"/>
          <w:color w:val="000000" w:themeColor="text1"/>
          <w:highlight w:val="none"/>
          <w:lang w:val="en-US" w:eastAsia="zh-CN"/>
          <w14:textFill>
            <w14:solidFill>
              <w14:schemeClr w14:val="tx1"/>
            </w14:solidFill>
          </w14:textFill>
        </w:rPr>
        <w:t>新疆水木清华环保咨询有限公司</w:t>
      </w:r>
      <w:r>
        <w:rPr>
          <w:color w:val="000000" w:themeColor="text1"/>
          <w:highlight w:val="none"/>
          <w14:textFill>
            <w14:solidFill>
              <w14:schemeClr w14:val="tx1"/>
            </w14:solidFill>
          </w14:textFill>
        </w:rPr>
        <w:t>编制</w:t>
      </w:r>
      <w:r>
        <w:rPr>
          <w:rFonts w:hint="eastAsia"/>
          <w:color w:val="000000" w:themeColor="text1"/>
          <w:highlight w:val="none"/>
          <w14:textFill>
            <w14:solidFill>
              <w14:schemeClr w14:val="tx1"/>
            </w14:solidFill>
          </w14:textFill>
        </w:rPr>
        <w:t>完成了《</w:t>
      </w:r>
      <w:r>
        <w:rPr>
          <w:rFonts w:hint="eastAsia"/>
          <w:color w:val="000000" w:themeColor="text1"/>
          <w:highlight w:val="none"/>
          <w:lang w:val="en-US" w:eastAsia="zh-CN"/>
          <w14:textFill>
            <w14:solidFill>
              <w14:schemeClr w14:val="tx1"/>
            </w14:solidFill>
          </w14:textFill>
        </w:rPr>
        <w:t>年产1万吨高性能外加剂项目</w:t>
      </w:r>
      <w:r>
        <w:rPr>
          <w:color w:val="000000" w:themeColor="text1"/>
          <w:highlight w:val="none"/>
          <w14:textFill>
            <w14:solidFill>
              <w14:schemeClr w14:val="tx1"/>
            </w14:solidFill>
          </w14:textFill>
        </w:rPr>
        <w:t>环境影响评价报告表</w:t>
      </w:r>
      <w:r>
        <w:rPr>
          <w:rFonts w:hint="eastAsia"/>
          <w:color w:val="000000" w:themeColor="text1"/>
          <w:highlight w:val="none"/>
          <w14:textFill>
            <w14:solidFill>
              <w14:schemeClr w14:val="tx1"/>
            </w14:solidFill>
          </w14:textFill>
        </w:rPr>
        <w:t>》，201</w:t>
      </w: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日，</w:t>
      </w:r>
      <w:r>
        <w:rPr>
          <w:rFonts w:hint="eastAsia"/>
          <w:color w:val="000000" w:themeColor="text1"/>
          <w:highlight w:val="none"/>
          <w14:textFill>
            <w14:solidFill>
              <w14:schemeClr w14:val="tx1"/>
            </w14:solidFill>
          </w14:textFill>
        </w:rPr>
        <w:t>原</w:t>
      </w:r>
      <w:r>
        <w:rPr>
          <w:rFonts w:hint="eastAsia"/>
          <w:color w:val="000000" w:themeColor="text1"/>
          <w:highlight w:val="none"/>
          <w:lang w:val="en-US" w:eastAsia="zh-CN"/>
          <w14:textFill>
            <w14:solidFill>
              <w14:schemeClr w14:val="tx1"/>
            </w14:solidFill>
          </w14:textFill>
        </w:rPr>
        <w:t>昌吉高新技术产业开发区环境保护局</w:t>
      </w:r>
      <w:r>
        <w:rPr>
          <w:rFonts w:hint="eastAsia"/>
          <w:color w:val="000000" w:themeColor="text1"/>
          <w:highlight w:val="none"/>
          <w14:textFill>
            <w14:solidFill>
              <w14:schemeClr w14:val="tx1"/>
            </w14:solidFill>
          </w14:textFill>
        </w:rPr>
        <w:t>出具了《</w:t>
      </w:r>
      <w:r>
        <w:rPr>
          <w:color w:val="000000" w:themeColor="text1"/>
          <w:highlight w:val="none"/>
          <w14:textFill>
            <w14:solidFill>
              <w14:schemeClr w14:val="tx1"/>
            </w14:solidFill>
          </w14:textFill>
        </w:rPr>
        <w:t>关于</w:t>
      </w:r>
      <w:r>
        <w:rPr>
          <w:rFonts w:hint="eastAsia"/>
          <w:color w:val="000000" w:themeColor="text1"/>
          <w:highlight w:val="none"/>
          <w14:textFill>
            <w14:solidFill>
              <w14:schemeClr w14:val="tx1"/>
            </w14:solidFill>
          </w14:textFill>
        </w:rPr>
        <w:t>&lt;</w:t>
      </w:r>
      <w:r>
        <w:rPr>
          <w:rFonts w:hint="eastAsia"/>
          <w:color w:val="000000" w:themeColor="text1"/>
          <w:highlight w:val="none"/>
          <w:lang w:val="en-US" w:eastAsia="zh-CN"/>
          <w14:textFill>
            <w14:solidFill>
              <w14:schemeClr w14:val="tx1"/>
            </w14:solidFill>
          </w14:textFill>
        </w:rPr>
        <w:t>年产1万吨高性能外加剂项目</w:t>
      </w:r>
      <w:r>
        <w:rPr>
          <w:color w:val="000000" w:themeColor="text1"/>
          <w:highlight w:val="none"/>
          <w14:textFill>
            <w14:solidFill>
              <w14:schemeClr w14:val="tx1"/>
            </w14:solidFill>
          </w14:textFill>
        </w:rPr>
        <w:t>环境影响评价报告表</w:t>
      </w:r>
      <w:r>
        <w:rPr>
          <w:rFonts w:hint="eastAsia"/>
          <w:color w:val="000000" w:themeColor="text1"/>
          <w:highlight w:val="none"/>
          <w14:textFill>
            <w14:solidFill>
              <w14:schemeClr w14:val="tx1"/>
            </w14:solidFill>
          </w14:textFill>
        </w:rPr>
        <w:t>&gt;</w:t>
      </w:r>
      <w:r>
        <w:rPr>
          <w:color w:val="000000" w:themeColor="text1"/>
          <w:highlight w:val="none"/>
          <w14:textFill>
            <w14:solidFill>
              <w14:schemeClr w14:val="tx1"/>
            </w14:solidFill>
          </w14:textFill>
        </w:rPr>
        <w:t>的批复</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昌高环</w:t>
      </w:r>
      <w:r>
        <w:rPr>
          <w:rFonts w:hint="eastAsia"/>
          <w:color w:val="000000" w:themeColor="text1"/>
          <w:highlight w:val="none"/>
          <w14:textFill>
            <w14:solidFill>
              <w14:schemeClr w14:val="tx1"/>
            </w14:solidFill>
          </w14:textFill>
        </w:rPr>
        <w:t>发</w:t>
      </w:r>
      <w:r>
        <w:rPr>
          <w:rFonts w:hint="eastAsia" w:ascii="仿宋" w:hAnsi="仿宋" w:eastAsia="仿宋" w:cs="仿宋"/>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201</w:t>
      </w:r>
      <w:r>
        <w:rPr>
          <w:rFonts w:hint="eastAsia"/>
          <w:color w:val="000000" w:themeColor="text1"/>
          <w:highlight w:val="none"/>
          <w:lang w:val="en-US" w:eastAsia="zh-CN"/>
          <w14:textFill>
            <w14:solidFill>
              <w14:schemeClr w14:val="tx1"/>
            </w14:solidFill>
          </w14:textFill>
        </w:rPr>
        <w:t>9</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32</w:t>
      </w:r>
      <w:r>
        <w:rPr>
          <w:color w:val="000000" w:themeColor="text1"/>
          <w:highlight w:val="none"/>
          <w14:textFill>
            <w14:solidFill>
              <w14:schemeClr w14:val="tx1"/>
            </w14:solidFill>
          </w14:textFill>
        </w:rPr>
        <w:t>号</w:t>
      </w:r>
      <w:r>
        <w:rPr>
          <w:rFonts w:hint="eastAsia"/>
          <w:color w:val="000000" w:themeColor="text1"/>
          <w:highlight w:val="none"/>
          <w14:textFill>
            <w14:solidFill>
              <w14:schemeClr w14:val="tx1"/>
            </w14:solidFill>
          </w14:textFill>
        </w:rPr>
        <w:t>）；原有工程于201</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月开工建设，</w:t>
      </w:r>
      <w:r>
        <w:rPr>
          <w:rFonts w:hint="eastAsia"/>
          <w:color w:val="000000" w:themeColor="text1"/>
          <w:highlight w:val="none"/>
          <w:lang w:val="en-US" w:eastAsia="zh-CN"/>
          <w14:textFill>
            <w14:solidFill>
              <w14:schemeClr w14:val="tx1"/>
            </w14:solidFill>
          </w14:textFill>
        </w:rPr>
        <w:t>同年7</w:t>
      </w:r>
      <w:r>
        <w:rPr>
          <w:rFonts w:hint="eastAsia"/>
          <w:color w:val="000000" w:themeColor="text1"/>
          <w:highlight w:val="none"/>
          <w14:textFill>
            <w14:solidFill>
              <w14:schemeClr w14:val="tx1"/>
            </w14:solidFill>
          </w14:textFill>
        </w:rPr>
        <w:t>月竣工，202</w:t>
      </w:r>
      <w:r>
        <w:rPr>
          <w:rFonts w:hint="eastAsia"/>
          <w:color w:val="000000" w:themeColor="text1"/>
          <w:highlight w:val="none"/>
          <w:lang w:val="en-US" w:eastAsia="zh-CN"/>
          <w14:textFill>
            <w14:solidFill>
              <w14:schemeClr w14:val="tx1"/>
            </w14:solidFill>
          </w14:textFill>
        </w:rPr>
        <w:t>0</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月1</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日，取得登记排污许可证（登记编号</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91652301MA78DE0494001W），20</w:t>
      </w:r>
      <w:r>
        <w:rPr>
          <w:rFonts w:hint="eastAsia"/>
          <w:color w:val="000000" w:themeColor="text1"/>
          <w:highlight w:val="none"/>
          <w:lang w:val="en-US" w:eastAsia="zh-CN"/>
          <w14:textFill>
            <w14:solidFill>
              <w14:schemeClr w14:val="tx1"/>
            </w14:solidFill>
          </w14:textFill>
        </w:rPr>
        <w:t>19</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月进行了竣工环保验收并通过。</w:t>
      </w:r>
    </w:p>
    <w:p w14:paraId="0BBD08F5">
      <w:pPr>
        <w:pStyle w:val="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3.1.2.2现有工程污染物排放情况</w:t>
      </w:r>
    </w:p>
    <w:p w14:paraId="7864A26A">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（1）废气</w:t>
      </w:r>
    </w:p>
    <w:p w14:paraId="22086E2D">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现有工程产生的废气的废气主要为投料过程中产生的粉尘，产生量较少，以无组织形式排放，本次评价收集了企业最近一次的自行监测报告，根据企业2024年8月的监测数据，现有工程无组织组织废气排放情况见表3.1.2-1。</w:t>
      </w:r>
    </w:p>
    <w:p w14:paraId="76DEE4B4">
      <w:pPr>
        <w:adjustRightInd w:val="0"/>
        <w:snapToGrid w:val="0"/>
        <w:spacing w:line="240" w:lineRule="auto"/>
        <w:ind w:left="0" w:leftChars="0" w:right="0" w:rightChars="0" w:firstLine="0" w:firstLineChars="0"/>
        <w:jc w:val="center"/>
        <w:rPr>
          <w:rFonts w:hint="default"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val="0"/>
          <w:color w:val="000000" w:themeColor="text1"/>
          <w:sz w:val="21"/>
          <w:szCs w:val="21"/>
          <w:highlight w:val="none"/>
          <w:vertAlign w:val="baseline"/>
          <w:lang w:val="en-US" w:eastAsia="zh-CN"/>
          <w14:textFill>
            <w14:solidFill>
              <w14:schemeClr w14:val="tx1"/>
            </w14:solidFill>
          </w14:textFill>
        </w:rPr>
        <w:t>表3.1.2-1    现有工程废气排放情况表</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1814"/>
        <w:gridCol w:w="1814"/>
        <w:gridCol w:w="1814"/>
        <w:gridCol w:w="1815"/>
      </w:tblGrid>
      <w:tr w14:paraId="434EDD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vAlign w:val="center"/>
          </w:tcPr>
          <w:p w14:paraId="29DA50AA">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监测时段</w:t>
            </w:r>
          </w:p>
        </w:tc>
        <w:tc>
          <w:tcPr>
            <w:tcW w:w="5681" w:type="dxa"/>
            <w:gridSpan w:val="4"/>
            <w:vAlign w:val="center"/>
          </w:tcPr>
          <w:p w14:paraId="6955EFAE">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监测结果（mg/m</w:t>
            </w:r>
            <w:r>
              <w:rPr>
                <w:rFonts w:hint="eastAsia"/>
                <w:b/>
                <w:bCs/>
                <w:color w:val="000000" w:themeColor="text1"/>
                <w:highlight w:val="none"/>
                <w:vertAlign w:val="superscript"/>
                <w:lang w:val="en-US" w:eastAsia="zh-CN"/>
                <w14:textFill>
                  <w14:solidFill>
                    <w14:schemeClr w14:val="tx1"/>
                  </w14:solidFill>
                </w14:textFill>
              </w:rPr>
              <w:t>3</w:t>
            </w:r>
            <w:r>
              <w:rPr>
                <w:rFonts w:hint="eastAsia"/>
                <w:b/>
                <w:bCs/>
                <w:color w:val="000000" w:themeColor="text1"/>
                <w:highlight w:val="none"/>
                <w:lang w:val="en-US" w:eastAsia="zh-CN"/>
                <w14:textFill>
                  <w14:solidFill>
                    <w14:schemeClr w14:val="tx1"/>
                  </w14:solidFill>
                </w14:textFill>
              </w:rPr>
              <w:t>）</w:t>
            </w:r>
          </w:p>
        </w:tc>
      </w:tr>
      <w:tr w14:paraId="1412DA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tcBorders>
              <w:bottom w:val="single" w:color="auto" w:sz="12" w:space="0"/>
            </w:tcBorders>
            <w:vAlign w:val="center"/>
          </w:tcPr>
          <w:p w14:paraId="6F3F1AE5">
            <w:pPr>
              <w:pStyle w:val="26"/>
              <w:bidi w:val="0"/>
              <w:jc w:val="center"/>
              <w:rPr>
                <w:rFonts w:hint="eastAsia"/>
                <w:b/>
                <w:bCs/>
                <w:color w:val="000000" w:themeColor="text1"/>
                <w:highlight w:val="none"/>
                <w:lang w:val="en-US" w:eastAsia="zh-CN"/>
                <w14:textFill>
                  <w14:solidFill>
                    <w14:schemeClr w14:val="tx1"/>
                  </w14:solidFill>
                </w14:textFill>
              </w:rPr>
            </w:pPr>
          </w:p>
        </w:tc>
        <w:tc>
          <w:tcPr>
            <w:tcW w:w="1420" w:type="dxa"/>
            <w:tcBorders>
              <w:bottom w:val="single" w:color="auto" w:sz="12" w:space="0"/>
            </w:tcBorders>
            <w:vAlign w:val="center"/>
          </w:tcPr>
          <w:p w14:paraId="4A12B8A1">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1#监测点（上风向）</w:t>
            </w:r>
          </w:p>
        </w:tc>
        <w:tc>
          <w:tcPr>
            <w:tcW w:w="1420" w:type="dxa"/>
            <w:tcBorders>
              <w:bottom w:val="single" w:color="auto" w:sz="12" w:space="0"/>
            </w:tcBorders>
            <w:vAlign w:val="center"/>
          </w:tcPr>
          <w:p w14:paraId="7489FDA7">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2#监测点（下风向）</w:t>
            </w:r>
          </w:p>
        </w:tc>
        <w:tc>
          <w:tcPr>
            <w:tcW w:w="1420" w:type="dxa"/>
            <w:tcBorders>
              <w:bottom w:val="single" w:color="auto" w:sz="12" w:space="0"/>
            </w:tcBorders>
            <w:vAlign w:val="center"/>
          </w:tcPr>
          <w:p w14:paraId="34090614">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3#监测点（下风向）</w:t>
            </w:r>
          </w:p>
        </w:tc>
        <w:tc>
          <w:tcPr>
            <w:tcW w:w="1421" w:type="dxa"/>
            <w:tcBorders>
              <w:bottom w:val="single" w:color="auto" w:sz="12" w:space="0"/>
            </w:tcBorders>
            <w:vAlign w:val="center"/>
          </w:tcPr>
          <w:p w14:paraId="603A89E9">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4#监测点（下风向）</w:t>
            </w:r>
          </w:p>
        </w:tc>
      </w:tr>
      <w:tr w14:paraId="58152E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top w:val="single" w:color="auto" w:sz="12" w:space="0"/>
              <w:tl2br w:val="nil"/>
              <w:tr2bl w:val="nil"/>
            </w:tcBorders>
            <w:vAlign w:val="center"/>
          </w:tcPr>
          <w:p w14:paraId="6712762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10:00~11:00</w:t>
            </w:r>
          </w:p>
        </w:tc>
        <w:tc>
          <w:tcPr>
            <w:tcW w:w="1420" w:type="dxa"/>
            <w:tcBorders>
              <w:top w:val="single" w:color="auto" w:sz="12" w:space="0"/>
              <w:tl2br w:val="nil"/>
              <w:tr2bl w:val="nil"/>
            </w:tcBorders>
            <w:vAlign w:val="center"/>
          </w:tcPr>
          <w:p w14:paraId="4B0A628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0.134</w:t>
            </w:r>
          </w:p>
        </w:tc>
        <w:tc>
          <w:tcPr>
            <w:tcW w:w="1420" w:type="dxa"/>
            <w:tcBorders>
              <w:top w:val="single" w:color="auto" w:sz="12" w:space="0"/>
              <w:tl2br w:val="nil"/>
              <w:tr2bl w:val="nil"/>
            </w:tcBorders>
            <w:vAlign w:val="center"/>
          </w:tcPr>
          <w:p w14:paraId="4F05244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0.268</w:t>
            </w:r>
          </w:p>
        </w:tc>
        <w:tc>
          <w:tcPr>
            <w:tcW w:w="1420" w:type="dxa"/>
            <w:tcBorders>
              <w:top w:val="single" w:color="auto" w:sz="12" w:space="0"/>
              <w:tl2br w:val="nil"/>
              <w:tr2bl w:val="nil"/>
            </w:tcBorders>
            <w:vAlign w:val="center"/>
          </w:tcPr>
          <w:p w14:paraId="7E4CBC3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0.318</w:t>
            </w:r>
          </w:p>
        </w:tc>
        <w:tc>
          <w:tcPr>
            <w:tcW w:w="1421" w:type="dxa"/>
            <w:tcBorders>
              <w:top w:val="single" w:color="auto" w:sz="12" w:space="0"/>
              <w:tl2br w:val="nil"/>
              <w:tr2bl w:val="nil"/>
            </w:tcBorders>
            <w:vAlign w:val="center"/>
          </w:tcPr>
          <w:p w14:paraId="06DDE90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0.269</w:t>
            </w:r>
          </w:p>
        </w:tc>
      </w:tr>
      <w:tr w14:paraId="1968D0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tl2br w:val="nil"/>
              <w:tr2bl w:val="nil"/>
            </w:tcBorders>
            <w:vAlign w:val="center"/>
          </w:tcPr>
          <w:p w14:paraId="71FBCDB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12:00~13:00</w:t>
            </w:r>
          </w:p>
        </w:tc>
        <w:tc>
          <w:tcPr>
            <w:tcW w:w="1420" w:type="dxa"/>
            <w:tcBorders>
              <w:tl2br w:val="nil"/>
              <w:tr2bl w:val="nil"/>
            </w:tcBorders>
            <w:vAlign w:val="center"/>
          </w:tcPr>
          <w:p w14:paraId="799FFA9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w:t>
            </w:r>
          </w:p>
        </w:tc>
        <w:tc>
          <w:tcPr>
            <w:tcW w:w="1420" w:type="dxa"/>
            <w:tcBorders>
              <w:tl2br w:val="nil"/>
              <w:tr2bl w:val="nil"/>
            </w:tcBorders>
            <w:vAlign w:val="center"/>
          </w:tcPr>
          <w:p w14:paraId="706B815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0.235</w:t>
            </w:r>
          </w:p>
        </w:tc>
        <w:tc>
          <w:tcPr>
            <w:tcW w:w="1420" w:type="dxa"/>
            <w:tcBorders>
              <w:tl2br w:val="nil"/>
              <w:tr2bl w:val="nil"/>
            </w:tcBorders>
            <w:vAlign w:val="center"/>
          </w:tcPr>
          <w:p w14:paraId="7B10899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0.503</w:t>
            </w:r>
          </w:p>
        </w:tc>
        <w:tc>
          <w:tcPr>
            <w:tcW w:w="1421" w:type="dxa"/>
            <w:tcBorders>
              <w:tl2br w:val="nil"/>
              <w:tr2bl w:val="nil"/>
            </w:tcBorders>
            <w:vAlign w:val="center"/>
          </w:tcPr>
          <w:p w14:paraId="7D1C94C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0.235</w:t>
            </w:r>
          </w:p>
        </w:tc>
      </w:tr>
      <w:tr w14:paraId="75CF9F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tl2br w:val="nil"/>
              <w:tr2bl w:val="nil"/>
            </w:tcBorders>
            <w:vAlign w:val="center"/>
          </w:tcPr>
          <w:p w14:paraId="07D727D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16:00~17:00</w:t>
            </w:r>
          </w:p>
        </w:tc>
        <w:tc>
          <w:tcPr>
            <w:tcW w:w="1420" w:type="dxa"/>
            <w:tcBorders>
              <w:tl2br w:val="nil"/>
              <w:tr2bl w:val="nil"/>
            </w:tcBorders>
            <w:vAlign w:val="center"/>
          </w:tcPr>
          <w:p w14:paraId="7BD64D0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0.117</w:t>
            </w:r>
          </w:p>
        </w:tc>
        <w:tc>
          <w:tcPr>
            <w:tcW w:w="1420" w:type="dxa"/>
            <w:tcBorders>
              <w:tl2br w:val="nil"/>
              <w:tr2bl w:val="nil"/>
            </w:tcBorders>
            <w:vAlign w:val="center"/>
          </w:tcPr>
          <w:p w14:paraId="1729772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0.134</w:t>
            </w:r>
          </w:p>
        </w:tc>
        <w:tc>
          <w:tcPr>
            <w:tcW w:w="1420" w:type="dxa"/>
            <w:tcBorders>
              <w:tl2br w:val="nil"/>
              <w:tr2bl w:val="nil"/>
            </w:tcBorders>
            <w:vAlign w:val="center"/>
          </w:tcPr>
          <w:p w14:paraId="1A4166D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0.268</w:t>
            </w:r>
          </w:p>
        </w:tc>
        <w:tc>
          <w:tcPr>
            <w:tcW w:w="1421" w:type="dxa"/>
            <w:tcBorders>
              <w:tl2br w:val="nil"/>
              <w:tr2bl w:val="nil"/>
            </w:tcBorders>
            <w:vAlign w:val="center"/>
          </w:tcPr>
          <w:p w14:paraId="3E354AF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0.42</w:t>
            </w:r>
          </w:p>
        </w:tc>
      </w:tr>
      <w:tr w14:paraId="6DE5FD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tl2br w:val="nil"/>
              <w:tr2bl w:val="nil"/>
            </w:tcBorders>
            <w:vAlign w:val="center"/>
          </w:tcPr>
          <w:p w14:paraId="392A877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18:00~19:00</w:t>
            </w:r>
          </w:p>
        </w:tc>
        <w:tc>
          <w:tcPr>
            <w:tcW w:w="1420" w:type="dxa"/>
            <w:tcBorders>
              <w:tl2br w:val="nil"/>
              <w:tr2bl w:val="nil"/>
            </w:tcBorders>
            <w:vAlign w:val="center"/>
          </w:tcPr>
          <w:p w14:paraId="66757EB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0.101</w:t>
            </w:r>
          </w:p>
        </w:tc>
        <w:tc>
          <w:tcPr>
            <w:tcW w:w="1420" w:type="dxa"/>
            <w:tcBorders>
              <w:tl2br w:val="nil"/>
              <w:tr2bl w:val="nil"/>
            </w:tcBorders>
            <w:vAlign w:val="center"/>
          </w:tcPr>
          <w:p w14:paraId="19E726C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0.218</w:t>
            </w:r>
          </w:p>
        </w:tc>
        <w:tc>
          <w:tcPr>
            <w:tcW w:w="1420" w:type="dxa"/>
            <w:tcBorders>
              <w:tl2br w:val="nil"/>
              <w:tr2bl w:val="nil"/>
            </w:tcBorders>
            <w:vAlign w:val="center"/>
          </w:tcPr>
          <w:p w14:paraId="21BFCF4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0.352</w:t>
            </w:r>
          </w:p>
        </w:tc>
        <w:tc>
          <w:tcPr>
            <w:tcW w:w="1421" w:type="dxa"/>
            <w:tcBorders>
              <w:tl2br w:val="nil"/>
              <w:tr2bl w:val="nil"/>
            </w:tcBorders>
            <w:vAlign w:val="center"/>
          </w:tcPr>
          <w:p w14:paraId="399F77E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0.471</w:t>
            </w:r>
          </w:p>
        </w:tc>
      </w:tr>
    </w:tbl>
    <w:p w14:paraId="4D53FAC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根据监测结果，现有工程废气满足《大气污染物综合排放标准》（</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）表</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中的无组织排放限值。</w:t>
      </w:r>
    </w:p>
    <w:p w14:paraId="3476B50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（2）废水</w:t>
      </w:r>
    </w:p>
    <w:p w14:paraId="417B9B95">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现有工程生产废水全部回用，生活污水排入园区污水管网，最终进入园区污水处理厂处理。</w:t>
      </w:r>
    </w:p>
    <w:p w14:paraId="237BBDAA">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（3）噪声</w:t>
      </w:r>
    </w:p>
    <w:p w14:paraId="6369B6F3">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现有工程噪声</w:t>
      </w:r>
      <w:r>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t>主要是</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泵、搅拌</w:t>
      </w:r>
      <w:r>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t>机等。通过采用车间隔声、基础减震、采用低噪设备等措施进行控制。</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根据企业</w:t>
      </w:r>
      <w:r>
        <w:rPr>
          <w:rFonts w:hint="eastAsia"/>
          <w:color w:val="000000" w:themeColor="text1"/>
          <w:highlight w:val="none"/>
          <w:lang w:val="en-US" w:eastAsia="zh-CN"/>
          <w14:textFill>
            <w14:solidFill>
              <w14:schemeClr w14:val="tx1"/>
            </w14:solidFill>
          </w14:textFill>
        </w:rPr>
        <w:t>2024年8月</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对现有工程监测数据，</w:t>
      </w:r>
      <w:r>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t>具体见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3.1.2-2</w:t>
      </w:r>
      <w:r>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t>。</w:t>
      </w:r>
    </w:p>
    <w:p w14:paraId="02BA1099">
      <w:pPr>
        <w:pStyle w:val="2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表3.1.2-2     厂界噪声监测结果</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360"/>
        <w:gridCol w:w="2429"/>
        <w:gridCol w:w="2282"/>
      </w:tblGrid>
      <w:tr w14:paraId="1FE922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blHeader/>
          <w:jc w:val="center"/>
        </w:trPr>
        <w:tc>
          <w:tcPr>
            <w:tcW w:w="2819" w:type="dxa"/>
            <w:vMerge w:val="restart"/>
            <w:noWrap w:val="0"/>
            <w:vAlign w:val="center"/>
          </w:tcPr>
          <w:p w14:paraId="532FE6F5">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b/>
                <w:bCs/>
                <w:color w:val="000000" w:themeColor="text1"/>
                <w:highlight w:val="none"/>
                <w:lang w:val="zh-CN"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zh-CN" w:eastAsia="zh-CN"/>
                <w14:textFill>
                  <w14:solidFill>
                    <w14:schemeClr w14:val="tx1"/>
                  </w14:solidFill>
                </w14:textFill>
              </w:rPr>
              <w:t>测点位置及编号</w:t>
            </w:r>
          </w:p>
        </w:tc>
        <w:tc>
          <w:tcPr>
            <w:tcW w:w="3045" w:type="dxa"/>
            <w:gridSpan w:val="2"/>
            <w:noWrap w:val="0"/>
            <w:vAlign w:val="center"/>
          </w:tcPr>
          <w:p w14:paraId="77F76C44">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b/>
                <w:bCs/>
                <w:color w:val="000000" w:themeColor="text1"/>
                <w:highlight w:val="none"/>
                <w:lang w:val="zh-CN"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zh-CN" w:eastAsia="zh-CN"/>
                <w14:textFill>
                  <w14:solidFill>
                    <w14:schemeClr w14:val="tx1"/>
                  </w14:solidFill>
                </w14:textFill>
              </w:rPr>
              <w:t>监测结果</w:t>
            </w:r>
          </w:p>
        </w:tc>
      </w:tr>
      <w:tr w14:paraId="0CBA4C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blHeader/>
          <w:jc w:val="center"/>
        </w:trPr>
        <w:tc>
          <w:tcPr>
            <w:tcW w:w="2819" w:type="dxa"/>
            <w:vMerge w:val="continue"/>
            <w:tcBorders>
              <w:bottom w:val="single" w:color="auto" w:sz="12" w:space="0"/>
            </w:tcBorders>
            <w:noWrap w:val="0"/>
            <w:vAlign w:val="center"/>
          </w:tcPr>
          <w:p w14:paraId="6B7E7420">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b/>
                <w:bCs/>
                <w:color w:val="000000" w:themeColor="text1"/>
                <w:highlight w:val="none"/>
                <w:lang w:val="zh-CN" w:eastAsia="zh-CN"/>
                <w14:textFill>
                  <w14:solidFill>
                    <w14:schemeClr w14:val="tx1"/>
                  </w14:solidFill>
                </w14:textFill>
              </w:rPr>
            </w:pPr>
          </w:p>
        </w:tc>
        <w:tc>
          <w:tcPr>
            <w:tcW w:w="1570" w:type="dxa"/>
            <w:tcBorders>
              <w:bottom w:val="single" w:color="auto" w:sz="12" w:space="0"/>
            </w:tcBorders>
            <w:noWrap w:val="0"/>
            <w:vAlign w:val="center"/>
          </w:tcPr>
          <w:p w14:paraId="7DB02745">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b/>
                <w:bCs/>
                <w:color w:val="000000" w:themeColor="text1"/>
                <w:highlight w:val="none"/>
                <w:lang w:val="zh-CN"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zh-CN" w:eastAsia="zh-CN"/>
                <w14:textFill>
                  <w14:solidFill>
                    <w14:schemeClr w14:val="tx1"/>
                  </w14:solidFill>
                </w14:textFill>
              </w:rPr>
              <w:t>昼间</w:t>
            </w:r>
          </w:p>
        </w:tc>
        <w:tc>
          <w:tcPr>
            <w:tcW w:w="1475" w:type="dxa"/>
            <w:tcBorders>
              <w:bottom w:val="single" w:color="auto" w:sz="12" w:space="0"/>
            </w:tcBorders>
            <w:noWrap w:val="0"/>
            <w:vAlign w:val="center"/>
          </w:tcPr>
          <w:p w14:paraId="7C4EEAD1">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b/>
                <w:bCs/>
                <w:color w:val="000000" w:themeColor="text1"/>
                <w:highlight w:val="none"/>
                <w:lang w:val="zh-CN"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zh-CN" w:eastAsia="zh-CN"/>
                <w14:textFill>
                  <w14:solidFill>
                    <w14:schemeClr w14:val="tx1"/>
                  </w14:solidFill>
                </w14:textFill>
              </w:rPr>
              <w:t>夜间</w:t>
            </w:r>
          </w:p>
        </w:tc>
      </w:tr>
      <w:tr w14:paraId="06810E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819" w:type="dxa"/>
            <w:tcBorders>
              <w:top w:val="single" w:color="auto" w:sz="12" w:space="0"/>
              <w:tl2br w:val="nil"/>
              <w:tr2bl w:val="nil"/>
            </w:tcBorders>
            <w:noWrap w:val="0"/>
            <w:vAlign w:val="center"/>
          </w:tcPr>
          <w:p w14:paraId="78277CDA">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color w:val="000000" w:themeColor="text1"/>
                <w:highlight w:val="none"/>
                <w:lang w:val="zh-CN" w:eastAsia="zh-CN"/>
                <w14:textFill>
                  <w14:solidFill>
                    <w14:schemeClr w14:val="tx1"/>
                  </w14:solidFill>
                </w14:textFill>
              </w:rPr>
            </w:pPr>
            <w:r>
              <w:rPr>
                <w:rFonts w:hint="eastAsia" w:ascii="Times New Roman" w:hAnsi="Times New Roman" w:eastAsia="宋体" w:cs="Times New Roman"/>
                <w:color w:val="000000" w:themeColor="text1"/>
                <w:highlight w:val="none"/>
                <w:lang w:val="zh-CN" w:eastAsia="zh-CN"/>
                <w14:textFill>
                  <w14:solidFill>
                    <w14:schemeClr w14:val="tx1"/>
                  </w14:solidFill>
                </w14:textFill>
              </w:rPr>
              <w:t>1#</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东</w:t>
            </w:r>
            <w:r>
              <w:rPr>
                <w:rFonts w:hint="eastAsia" w:ascii="Times New Roman" w:hAnsi="Times New Roman" w:eastAsia="宋体" w:cs="Times New Roman"/>
                <w:color w:val="000000" w:themeColor="text1"/>
                <w:highlight w:val="none"/>
                <w:lang w:val="zh-CN" w:eastAsia="zh-CN"/>
                <w14:textFill>
                  <w14:solidFill>
                    <w14:schemeClr w14:val="tx1"/>
                  </w14:solidFill>
                </w14:textFill>
              </w:rPr>
              <w:t>侧厂界外1m</w:t>
            </w:r>
          </w:p>
        </w:tc>
        <w:tc>
          <w:tcPr>
            <w:tcW w:w="1570" w:type="dxa"/>
            <w:tcBorders>
              <w:top w:val="single" w:color="auto" w:sz="12" w:space="0"/>
              <w:tl2br w:val="nil"/>
              <w:tr2bl w:val="nil"/>
            </w:tcBorders>
            <w:noWrap w:val="0"/>
            <w:vAlign w:val="center"/>
          </w:tcPr>
          <w:p w14:paraId="2DC8C88B">
            <w:pPr>
              <w:pStyle w:val="34"/>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51</w:t>
            </w:r>
          </w:p>
        </w:tc>
        <w:tc>
          <w:tcPr>
            <w:tcW w:w="1475" w:type="dxa"/>
            <w:tcBorders>
              <w:top w:val="single" w:color="auto" w:sz="12" w:space="0"/>
              <w:tl2br w:val="nil"/>
              <w:tr2bl w:val="nil"/>
            </w:tcBorders>
            <w:noWrap w:val="0"/>
            <w:vAlign w:val="center"/>
          </w:tcPr>
          <w:p w14:paraId="0FDE5D86">
            <w:pPr>
              <w:pStyle w:val="34"/>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47</w:t>
            </w:r>
          </w:p>
        </w:tc>
      </w:tr>
      <w:tr w14:paraId="61AC3C9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819" w:type="dxa"/>
            <w:tcBorders>
              <w:tl2br w:val="nil"/>
              <w:tr2bl w:val="nil"/>
            </w:tcBorders>
            <w:noWrap w:val="0"/>
            <w:vAlign w:val="center"/>
          </w:tcPr>
          <w:p w14:paraId="4378E156">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color w:val="000000" w:themeColor="text1"/>
                <w:highlight w:val="none"/>
                <w:lang w:val="zh-CN" w:eastAsia="zh-CN"/>
                <w14:textFill>
                  <w14:solidFill>
                    <w14:schemeClr w14:val="tx1"/>
                  </w14:solidFill>
                </w14:textFill>
              </w:rPr>
            </w:pPr>
            <w:r>
              <w:rPr>
                <w:rFonts w:hint="eastAsia" w:ascii="Times New Roman" w:hAnsi="Times New Roman" w:eastAsia="宋体" w:cs="Times New Roman"/>
                <w:color w:val="000000" w:themeColor="text1"/>
                <w:highlight w:val="none"/>
                <w:lang w:val="zh-CN"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南</w:t>
            </w:r>
            <w:r>
              <w:rPr>
                <w:rFonts w:hint="eastAsia" w:ascii="Times New Roman" w:hAnsi="Times New Roman" w:eastAsia="宋体" w:cs="Times New Roman"/>
                <w:color w:val="000000" w:themeColor="text1"/>
                <w:highlight w:val="none"/>
                <w:lang w:val="zh-CN" w:eastAsia="zh-CN"/>
                <w14:textFill>
                  <w14:solidFill>
                    <w14:schemeClr w14:val="tx1"/>
                  </w14:solidFill>
                </w14:textFill>
              </w:rPr>
              <w:t>侧厂界外1m</w:t>
            </w:r>
          </w:p>
        </w:tc>
        <w:tc>
          <w:tcPr>
            <w:tcW w:w="1570" w:type="dxa"/>
            <w:tcBorders>
              <w:tl2br w:val="nil"/>
              <w:tr2bl w:val="nil"/>
            </w:tcBorders>
            <w:noWrap w:val="0"/>
            <w:vAlign w:val="center"/>
          </w:tcPr>
          <w:p w14:paraId="6D9B3762">
            <w:pPr>
              <w:pStyle w:val="34"/>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54</w:t>
            </w:r>
          </w:p>
        </w:tc>
        <w:tc>
          <w:tcPr>
            <w:tcW w:w="1475" w:type="dxa"/>
            <w:tcBorders>
              <w:tl2br w:val="nil"/>
              <w:tr2bl w:val="nil"/>
            </w:tcBorders>
            <w:noWrap w:val="0"/>
            <w:vAlign w:val="center"/>
          </w:tcPr>
          <w:p w14:paraId="5DAF31EC">
            <w:pPr>
              <w:pStyle w:val="34"/>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46</w:t>
            </w:r>
          </w:p>
        </w:tc>
      </w:tr>
      <w:tr w14:paraId="76B7F7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819" w:type="dxa"/>
            <w:tcBorders>
              <w:tl2br w:val="nil"/>
              <w:tr2bl w:val="nil"/>
            </w:tcBorders>
            <w:noWrap w:val="0"/>
            <w:vAlign w:val="center"/>
          </w:tcPr>
          <w:p w14:paraId="28863801">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color w:val="000000" w:themeColor="text1"/>
                <w:highlight w:val="none"/>
                <w:lang w:val="zh-CN" w:eastAsia="zh-CN"/>
                <w14:textFill>
                  <w14:solidFill>
                    <w14:schemeClr w14:val="tx1"/>
                  </w14:solidFill>
                </w14:textFill>
              </w:rPr>
            </w:pPr>
            <w:r>
              <w:rPr>
                <w:rFonts w:hint="eastAsia" w:ascii="Times New Roman" w:hAnsi="Times New Roman" w:eastAsia="宋体" w:cs="Times New Roman"/>
                <w:color w:val="000000" w:themeColor="text1"/>
                <w:highlight w:val="none"/>
                <w:lang w:val="zh-CN" w:eastAsia="zh-CN"/>
                <w14:textFill>
                  <w14:solidFill>
                    <w14:schemeClr w14:val="tx1"/>
                  </w14:solidFill>
                </w14:textFill>
              </w:rPr>
              <w:t>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西</w:t>
            </w:r>
            <w:r>
              <w:rPr>
                <w:rFonts w:hint="eastAsia" w:ascii="Times New Roman" w:hAnsi="Times New Roman" w:eastAsia="宋体" w:cs="Times New Roman"/>
                <w:color w:val="000000" w:themeColor="text1"/>
                <w:highlight w:val="none"/>
                <w:lang w:val="zh-CN" w:eastAsia="zh-CN"/>
                <w14:textFill>
                  <w14:solidFill>
                    <w14:schemeClr w14:val="tx1"/>
                  </w14:solidFill>
                </w14:textFill>
              </w:rPr>
              <w:t>侧厂界外1m</w:t>
            </w:r>
          </w:p>
        </w:tc>
        <w:tc>
          <w:tcPr>
            <w:tcW w:w="1570" w:type="dxa"/>
            <w:tcBorders>
              <w:tl2br w:val="nil"/>
              <w:tr2bl w:val="nil"/>
            </w:tcBorders>
            <w:noWrap w:val="0"/>
            <w:vAlign w:val="center"/>
          </w:tcPr>
          <w:p w14:paraId="168B873B">
            <w:pPr>
              <w:pStyle w:val="34"/>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49</w:t>
            </w:r>
          </w:p>
        </w:tc>
        <w:tc>
          <w:tcPr>
            <w:tcW w:w="1475" w:type="dxa"/>
            <w:tcBorders>
              <w:tl2br w:val="nil"/>
              <w:tr2bl w:val="nil"/>
            </w:tcBorders>
            <w:noWrap w:val="0"/>
            <w:vAlign w:val="center"/>
          </w:tcPr>
          <w:p w14:paraId="64F0DA3C">
            <w:pPr>
              <w:pStyle w:val="34"/>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46</w:t>
            </w:r>
          </w:p>
        </w:tc>
      </w:tr>
      <w:tr w14:paraId="193F97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819" w:type="dxa"/>
            <w:tcBorders>
              <w:tl2br w:val="nil"/>
              <w:tr2bl w:val="nil"/>
            </w:tcBorders>
            <w:noWrap w:val="0"/>
            <w:vAlign w:val="center"/>
          </w:tcPr>
          <w:p w14:paraId="62126C1E">
            <w:pPr>
              <w:pStyle w:val="34"/>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color w:val="000000" w:themeColor="text1"/>
                <w:highlight w:val="none"/>
                <w:lang w:val="zh-CN" w:eastAsia="zh-CN"/>
                <w14:textFill>
                  <w14:solidFill>
                    <w14:schemeClr w14:val="tx1"/>
                  </w14:solidFill>
                </w14:textFill>
              </w:rPr>
            </w:pPr>
            <w:r>
              <w:rPr>
                <w:rFonts w:hint="eastAsia" w:ascii="Times New Roman" w:hAnsi="Times New Roman" w:eastAsia="宋体" w:cs="Times New Roman"/>
                <w:color w:val="000000" w:themeColor="text1"/>
                <w:highlight w:val="none"/>
                <w:lang w:val="zh-CN" w:eastAsia="zh-CN"/>
                <w14:textFill>
                  <w14:solidFill>
                    <w14:schemeClr w14:val="tx1"/>
                  </w14:solidFill>
                </w14:textFill>
              </w:rPr>
              <w:t>4#</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北</w:t>
            </w:r>
            <w:r>
              <w:rPr>
                <w:rFonts w:hint="eastAsia" w:ascii="Times New Roman" w:hAnsi="Times New Roman" w:eastAsia="宋体" w:cs="Times New Roman"/>
                <w:color w:val="000000" w:themeColor="text1"/>
                <w:highlight w:val="none"/>
                <w:lang w:val="zh-CN" w:eastAsia="zh-CN"/>
                <w14:textFill>
                  <w14:solidFill>
                    <w14:schemeClr w14:val="tx1"/>
                  </w14:solidFill>
                </w14:textFill>
              </w:rPr>
              <w:t>侧厂界外1m</w:t>
            </w:r>
          </w:p>
        </w:tc>
        <w:tc>
          <w:tcPr>
            <w:tcW w:w="1570" w:type="dxa"/>
            <w:tcBorders>
              <w:tl2br w:val="nil"/>
              <w:tr2bl w:val="nil"/>
            </w:tcBorders>
            <w:noWrap w:val="0"/>
            <w:vAlign w:val="center"/>
          </w:tcPr>
          <w:p w14:paraId="62C2278C">
            <w:pPr>
              <w:pStyle w:val="34"/>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52</w:t>
            </w:r>
          </w:p>
        </w:tc>
        <w:tc>
          <w:tcPr>
            <w:tcW w:w="1475" w:type="dxa"/>
            <w:tcBorders>
              <w:tl2br w:val="nil"/>
              <w:tr2bl w:val="nil"/>
            </w:tcBorders>
            <w:noWrap w:val="0"/>
            <w:vAlign w:val="center"/>
          </w:tcPr>
          <w:p w14:paraId="3EC7D7B2">
            <w:pPr>
              <w:pStyle w:val="34"/>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47</w:t>
            </w:r>
          </w:p>
        </w:tc>
      </w:tr>
    </w:tbl>
    <w:p w14:paraId="1B3152D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根据监测结果，现有工程</w:t>
      </w:r>
      <w:r>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t>厂界噪声均满足《工业企业厂界环境噪声排放标准》（GB12348-2008）</w:t>
      </w:r>
      <w:r>
        <w:rPr>
          <w:rFonts w:hint="eastAsia" w:cs="Times New Roman"/>
          <w:color w:val="000000" w:themeColor="text1"/>
          <w:sz w:val="24"/>
          <w:szCs w:val="24"/>
          <w:highlight w:val="none"/>
          <w:lang w:val="en-US" w:eastAsia="zh-CN"/>
          <w14:textFill>
            <w14:solidFill>
              <w14:schemeClr w14:val="tx1"/>
            </w14:solidFill>
          </w14:textFill>
        </w:rPr>
        <w:t>中</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t>类区标准</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限值</w:t>
      </w:r>
      <w:r>
        <w:rPr>
          <w:rFonts w:hint="eastAsia" w:ascii="Times New Roman" w:hAnsi="Times New Roman" w:eastAsia="宋体" w:cs="Times New Roman"/>
          <w:color w:val="000000" w:themeColor="text1"/>
          <w:sz w:val="24"/>
          <w:szCs w:val="24"/>
          <w:highlight w:val="none"/>
          <w:lang w:val="zh-CN" w:eastAsia="zh-CN"/>
          <w14:textFill>
            <w14:solidFill>
              <w14:schemeClr w14:val="tx1"/>
            </w14:solidFill>
          </w14:textFill>
        </w:rPr>
        <w:t>。</w:t>
      </w:r>
    </w:p>
    <w:p w14:paraId="437527D2">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（4）固体废物</w:t>
      </w:r>
    </w:p>
    <w:p w14:paraId="7DFFBF33">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现有工程产生的固体废物主要为一般工业固废和生活垃圾，一般工业固废主要为废包装，产生量约0.24吨，集中收集后外售废品回收站综合利用，生活垃圾由项目区垃圾船收集后，由园区环卫部门定期清运。</w:t>
      </w:r>
    </w:p>
    <w:p w14:paraId="0BBC8B19">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3.1.2.3现有工程</w:t>
      </w:r>
      <w:r>
        <w:rPr>
          <w:color w:val="000000" w:themeColor="text1"/>
          <w:highlight w:val="none"/>
          <w14:textFill>
            <w14:solidFill>
              <w14:schemeClr w14:val="tx1"/>
            </w14:solidFill>
          </w14:textFill>
        </w:rPr>
        <w:t>环境污染事故与环保投诉回顾</w:t>
      </w:r>
    </w:p>
    <w:p w14:paraId="1F11DF6C">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经现场查验、资料查询及</w:t>
      </w:r>
      <w:r>
        <w:rPr>
          <w:rFonts w:hint="eastAsia"/>
          <w:color w:val="000000" w:themeColor="text1"/>
          <w:highlight w:val="none"/>
          <w:lang w:val="en-US" w:eastAsia="zh-CN"/>
          <w14:textFill>
            <w14:solidFill>
              <w14:schemeClr w14:val="tx1"/>
            </w14:solidFill>
          </w14:textFill>
        </w:rPr>
        <w:t>问询高新区环境主管部门</w:t>
      </w:r>
      <w:r>
        <w:rPr>
          <w:rFonts w:hint="eastAsia"/>
          <w:color w:val="000000" w:themeColor="text1"/>
          <w:highlight w:val="none"/>
          <w14:textFill>
            <w14:solidFill>
              <w14:schemeClr w14:val="tx1"/>
            </w14:solidFill>
          </w14:textFill>
        </w:rPr>
        <w:t>，企业自建厂至今未发生过环境污染事故和环保投诉事件</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环保督察未</w:t>
      </w:r>
      <w:r>
        <w:rPr>
          <w:color w:val="000000" w:themeColor="text1"/>
          <w:highlight w:val="none"/>
          <w:lang w:val="en-US" w:eastAsia="zh-CN"/>
          <w14:textFill>
            <w14:solidFill>
              <w14:schemeClr w14:val="tx1"/>
            </w14:solidFill>
          </w14:textFill>
        </w:rPr>
        <w:t>下达整改等工</w:t>
      </w:r>
      <w:r>
        <w:rPr>
          <w:rFonts w:hint="eastAsia"/>
          <w:color w:val="000000" w:themeColor="text1"/>
          <w:highlight w:val="none"/>
          <w:lang w:val="en-US" w:eastAsia="zh-CN"/>
          <w14:textFill>
            <w14:solidFill>
              <w14:schemeClr w14:val="tx1"/>
            </w14:solidFill>
          </w14:textFill>
        </w:rPr>
        <w:t>作</w:t>
      </w:r>
      <w:r>
        <w:rPr>
          <w:rFonts w:hint="eastAsia"/>
          <w:color w:val="000000" w:themeColor="text1"/>
          <w:highlight w:val="none"/>
          <w14:textFill>
            <w14:solidFill>
              <w14:schemeClr w14:val="tx1"/>
            </w14:solidFill>
          </w14:textFill>
        </w:rPr>
        <w:t xml:space="preserve">。企业按环评报告、环评批复及主管部门要求将各类污染物进行了合理处置，项目建设、运营未对周边群众日常生活、生产产生不利影响。根据查阅相关资料，近三年各级环境管理部门未对企业提出过整改及处罚。 </w:t>
      </w:r>
    </w:p>
    <w:p w14:paraId="56088630">
      <w:pPr>
        <w:pStyle w:val="5"/>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3.1.2.</w:t>
      </w:r>
      <w:r>
        <w:rPr>
          <w:rFonts w:hint="eastAsia" w:cs="Times New Roman"/>
          <w:color w:val="000000" w:themeColor="text1"/>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原有项目现状情况</w:t>
      </w:r>
    </w:p>
    <w:p w14:paraId="3C238B9D">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（1）原有项目建构筑物情况</w:t>
      </w:r>
    </w:p>
    <w:p w14:paraId="195DBB8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原有项目租赁</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生产车间1座，占地面积约1400m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，其中生产车间1000m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，库房建筑面积400m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，经现场踏勘，现有生产厂房等构建筑物完整。</w:t>
      </w:r>
    </w:p>
    <w:p w14:paraId="14E9BEDF">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2）原有项目厂区污染物防控情况</w:t>
      </w:r>
    </w:p>
    <w:p w14:paraId="2A791B7B">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项目现有项目环评及查阅项目建设资料结合现场踏勘情况，原有项目生产过程无废水外排，生活污水排入园区污水管网，项目区生产车间及原料库房采取了混凝土浇筑，经现场踏勘，现场未发现遗留的原辅材料、固废、废水等。</w:t>
      </w:r>
    </w:p>
    <w:p w14:paraId="332A4019">
      <w:pPr>
        <w:pStyle w:val="5"/>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3.1.2.</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原有项目遗留的环境问题</w:t>
      </w:r>
      <w:r>
        <w:rPr>
          <w:rFonts w:hint="eastAsia"/>
          <w:color w:val="000000" w:themeColor="text1"/>
          <w:highlight w:val="none"/>
          <w:lang w:val="en-US" w:eastAsia="zh-CN"/>
          <w14:textFill>
            <w14:solidFill>
              <w14:schemeClr w14:val="tx1"/>
            </w14:solidFill>
          </w14:textFill>
        </w:rPr>
        <w:t>及整改措施</w:t>
      </w:r>
    </w:p>
    <w:p w14:paraId="3A876FF1">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根据现场踏勘，</w:t>
      </w:r>
      <w:r>
        <w:rPr>
          <w:rFonts w:hint="eastAsia"/>
          <w:color w:val="000000" w:themeColor="text1"/>
          <w:highlight w:val="none"/>
          <w:lang w:val="en-US" w:eastAsia="zh-CN"/>
          <w14:textFill>
            <w14:solidFill>
              <w14:schemeClr w14:val="tx1"/>
            </w14:solidFill>
          </w14:textFill>
        </w:rPr>
        <w:t>项目现场各构建筑物完整，不存在遗留环境问题。</w:t>
      </w:r>
    </w:p>
    <w:p w14:paraId="6FC082C9">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3.1.3项目建设方案</w:t>
      </w:r>
    </w:p>
    <w:p w14:paraId="4FB93881">
      <w:pPr>
        <w:pStyle w:val="27"/>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本项目租赁</w:t>
      </w:r>
      <w:r>
        <w:rPr>
          <w:rFonts w:hint="eastAsia"/>
          <w:color w:val="000000" w:themeColor="text1"/>
          <w:highlight w:val="none"/>
          <w14:textFill>
            <w14:solidFill>
              <w14:schemeClr w14:val="tx1"/>
            </w14:solidFill>
          </w14:textFill>
        </w:rPr>
        <w:t>新疆恒泰新型建材有限公司现有厂房</w:t>
      </w:r>
      <w:r>
        <w:rPr>
          <w:rFonts w:hint="eastAsia"/>
          <w:color w:val="000000" w:themeColor="text1"/>
          <w:highlight w:val="none"/>
          <w:lang w:val="en-US" w:eastAsia="zh-CN"/>
          <w14:textFill>
            <w14:solidFill>
              <w14:schemeClr w14:val="tx1"/>
            </w14:solidFill>
          </w14:textFill>
        </w:rPr>
        <w:t>进行建设，涉及新建和迁建两部分内容，其中迁建内容为将位于厂区南侧的原</w:t>
      </w:r>
      <w:r>
        <w:rPr>
          <w:rFonts w:hint="eastAsia"/>
          <w:color w:val="000000" w:themeColor="text1"/>
          <w:highlight w:val="none"/>
          <w14:textFill>
            <w14:solidFill>
              <w14:schemeClr w14:val="tx1"/>
            </w14:solidFill>
          </w14:textFill>
        </w:rPr>
        <w:t>减水剂生产线</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3条）搬迁至租赁的新厂房，新建内容为在新厂房</w:t>
      </w:r>
      <w:r>
        <w:rPr>
          <w:rFonts w:hint="eastAsia"/>
          <w:color w:val="000000" w:themeColor="text1"/>
          <w:highlight w:val="none"/>
          <w14:textFill>
            <w14:solidFill>
              <w14:schemeClr w14:val="tx1"/>
            </w14:solidFill>
          </w14:textFill>
        </w:rPr>
        <w:t>减水剂生产</w:t>
      </w:r>
      <w:r>
        <w:rPr>
          <w:rFonts w:hint="eastAsia"/>
          <w:color w:val="000000" w:themeColor="text1"/>
          <w:highlight w:val="none"/>
          <w:lang w:val="en-US" w:eastAsia="zh-CN"/>
          <w14:textFill>
            <w14:solidFill>
              <w14:schemeClr w14:val="tx1"/>
            </w14:solidFill>
          </w14:textFill>
        </w:rPr>
        <w:t>车间新建1条</w:t>
      </w:r>
      <w:r>
        <w:rPr>
          <w:rFonts w:hint="eastAsia"/>
          <w:color w:val="000000" w:themeColor="text1"/>
          <w:highlight w:val="none"/>
          <w14:textFill>
            <w14:solidFill>
              <w14:schemeClr w14:val="tx1"/>
            </w14:solidFill>
          </w14:textFill>
        </w:rPr>
        <w:t>生产线</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与迁建过来的3条生产线形成4</w:t>
      </w:r>
      <w:r>
        <w:rPr>
          <w:rFonts w:hint="eastAsia"/>
          <w:color w:val="000000" w:themeColor="text1"/>
          <w:highlight w:val="none"/>
          <w14:textFill>
            <w14:solidFill>
              <w14:schemeClr w14:val="tx1"/>
            </w14:solidFill>
          </w14:textFill>
        </w:rPr>
        <w:t>条减水剂生产线</w:t>
      </w:r>
      <w:r>
        <w:rPr>
          <w:rFonts w:hint="eastAsia"/>
          <w:color w:val="000000" w:themeColor="text1"/>
          <w:highlight w:val="none"/>
          <w:lang w:val="en-US" w:eastAsia="zh-CN"/>
          <w14:textFill>
            <w14:solidFill>
              <w14:schemeClr w14:val="tx1"/>
            </w14:solidFill>
          </w14:textFill>
        </w:rPr>
        <w:t>；在新厂房建设速凝剂硫酸铝生产车间，</w:t>
      </w:r>
      <w:r>
        <w:rPr>
          <w:rFonts w:hint="eastAsia"/>
          <w:color w:val="000000" w:themeColor="text1"/>
          <w:highlight w:val="none"/>
          <w14:textFill>
            <w14:solidFill>
              <w14:schemeClr w14:val="tx1"/>
            </w14:solidFill>
          </w14:textFill>
        </w:rPr>
        <w:t>新建1条硫酸铝生产线</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新建1条速凝剂生产线</w:t>
      </w:r>
      <w:r>
        <w:rPr>
          <w:rFonts w:hint="eastAsia"/>
          <w:color w:val="000000" w:themeColor="text1"/>
          <w:highlight w:val="none"/>
          <w:lang w:eastAsia="zh-CN"/>
          <w14:textFill>
            <w14:solidFill>
              <w14:schemeClr w14:val="tx1"/>
            </w14:solidFill>
          </w14:textFill>
        </w:rPr>
        <w:t>。</w:t>
      </w:r>
    </w:p>
    <w:p w14:paraId="4B628495">
      <w:pPr>
        <w:pStyle w:val="3"/>
        <w:bidi w:val="0"/>
        <w:rPr>
          <w:rFonts w:hint="default"/>
          <w:color w:val="000000" w:themeColor="text1"/>
          <w:highlight w:val="none"/>
          <w:lang w:val="en-US" w:eastAsia="zh-CN"/>
          <w14:textFill>
            <w14:solidFill>
              <w14:schemeClr w14:val="tx1"/>
            </w14:solidFill>
          </w14:textFill>
        </w:rPr>
      </w:pPr>
      <w:bookmarkStart w:id="599" w:name="_Toc20544"/>
      <w:bookmarkStart w:id="600" w:name="_Toc26194"/>
      <w:bookmarkStart w:id="601" w:name="_Toc25112"/>
      <w:r>
        <w:rPr>
          <w:rFonts w:hint="eastAsia"/>
          <w:color w:val="000000" w:themeColor="text1"/>
          <w:highlight w:val="none"/>
          <w:lang w:val="en-US" w:eastAsia="zh-CN"/>
          <w14:textFill>
            <w14:solidFill>
              <w14:schemeClr w14:val="tx1"/>
            </w14:solidFill>
          </w14:textFill>
        </w:rPr>
        <w:t>3.2项目组成及</w:t>
      </w:r>
      <w:r>
        <w:rPr>
          <w:rFonts w:hint="default"/>
          <w:color w:val="000000" w:themeColor="text1"/>
          <w:highlight w:val="none"/>
          <w14:textFill>
            <w14:solidFill>
              <w14:schemeClr w14:val="tx1"/>
            </w14:solidFill>
          </w14:textFill>
        </w:rPr>
        <w:t>主要</w:t>
      </w:r>
      <w:r>
        <w:rPr>
          <w:rFonts w:hint="eastAsia"/>
          <w:color w:val="000000" w:themeColor="text1"/>
          <w:highlight w:val="none"/>
          <w:lang w:val="en-US" w:eastAsia="zh-CN"/>
          <w14:textFill>
            <w14:solidFill>
              <w14:schemeClr w14:val="tx1"/>
            </w14:solidFill>
          </w14:textFill>
        </w:rPr>
        <w:t>生产</w:t>
      </w:r>
      <w:r>
        <w:rPr>
          <w:rFonts w:hint="default"/>
          <w:color w:val="000000" w:themeColor="text1"/>
          <w:highlight w:val="none"/>
          <w14:textFill>
            <w14:solidFill>
              <w14:schemeClr w14:val="tx1"/>
            </w14:solidFill>
          </w14:textFill>
        </w:rPr>
        <w:t>设备</w:t>
      </w:r>
      <w:bookmarkEnd w:id="599"/>
      <w:bookmarkEnd w:id="600"/>
      <w:bookmarkEnd w:id="601"/>
    </w:p>
    <w:p w14:paraId="0AD5486D">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3.2.1项目组成</w:t>
      </w:r>
    </w:p>
    <w:p w14:paraId="43275B63">
      <w:pPr>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拟建项目包括主体工程、</w:t>
      </w:r>
      <w:r>
        <w:rPr>
          <w:rFonts w:hint="default"/>
          <w:color w:val="000000" w:themeColor="text1"/>
          <w:highlight w:val="none"/>
          <w:lang w:val="en-US" w:eastAsia="zh-CN"/>
          <w14:textFill>
            <w14:solidFill>
              <w14:schemeClr w14:val="tx1"/>
            </w14:solidFill>
          </w14:textFill>
        </w:rPr>
        <w:t>储运工程、</w:t>
      </w:r>
      <w:r>
        <w:rPr>
          <w:rFonts w:hint="default"/>
          <w:color w:val="000000" w:themeColor="text1"/>
          <w:highlight w:val="none"/>
          <w14:textFill>
            <w14:solidFill>
              <w14:schemeClr w14:val="tx1"/>
            </w14:solidFill>
          </w14:textFill>
        </w:rPr>
        <w:t>辅助工程、</w:t>
      </w:r>
      <w:r>
        <w:rPr>
          <w:rFonts w:hint="eastAsia"/>
          <w:color w:val="000000" w:themeColor="text1"/>
          <w:highlight w:val="none"/>
          <w:lang w:val="en-US" w:eastAsia="zh-CN"/>
          <w14:textFill>
            <w14:solidFill>
              <w14:schemeClr w14:val="tx1"/>
            </w14:solidFill>
          </w14:textFill>
        </w:rPr>
        <w:t>拆除工程、</w:t>
      </w:r>
      <w:r>
        <w:rPr>
          <w:rFonts w:hint="default"/>
          <w:color w:val="000000" w:themeColor="text1"/>
          <w:highlight w:val="none"/>
          <w14:textFill>
            <w14:solidFill>
              <w14:schemeClr w14:val="tx1"/>
            </w14:solidFill>
          </w14:textFill>
        </w:rPr>
        <w:t>公用工程</w:t>
      </w:r>
      <w:r>
        <w:rPr>
          <w:rFonts w:hint="default"/>
          <w:color w:val="000000" w:themeColor="text1"/>
          <w:highlight w:val="none"/>
          <w:lang w:val="en-US" w:eastAsia="zh-CN"/>
          <w14:textFill>
            <w14:solidFill>
              <w14:schemeClr w14:val="tx1"/>
            </w14:solidFill>
          </w14:textFill>
        </w:rPr>
        <w:t>及</w:t>
      </w:r>
      <w:r>
        <w:rPr>
          <w:rFonts w:hint="default"/>
          <w:color w:val="000000" w:themeColor="text1"/>
          <w:highlight w:val="none"/>
          <w14:textFill>
            <w14:solidFill>
              <w14:schemeClr w14:val="tx1"/>
            </w14:solidFill>
          </w14:textFill>
        </w:rPr>
        <w:t>环保工程</w:t>
      </w:r>
      <w:r>
        <w:rPr>
          <w:rFonts w:hint="default"/>
          <w:color w:val="000000" w:themeColor="text1"/>
          <w:highlight w:val="none"/>
          <w:lang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项目</w:t>
      </w:r>
      <w:r>
        <w:rPr>
          <w:rFonts w:hint="default"/>
          <w:color w:val="000000" w:themeColor="text1"/>
          <w:highlight w:val="none"/>
          <w14:textFill>
            <w14:solidFill>
              <w14:schemeClr w14:val="tx1"/>
            </w14:solidFill>
          </w14:textFill>
        </w:rPr>
        <w:t>主要组成见表</w:t>
      </w:r>
      <w:r>
        <w:rPr>
          <w:rFonts w:hint="eastAsia"/>
          <w:color w:val="000000" w:themeColor="text1"/>
          <w:highlight w:val="none"/>
          <w:lang w:val="en-US" w:eastAsia="zh-CN"/>
          <w14:textFill>
            <w14:solidFill>
              <w14:schemeClr w14:val="tx1"/>
            </w14:solidFill>
          </w14:textFill>
        </w:rPr>
        <w:t>3.2.1</w:t>
      </w:r>
      <w:r>
        <w:rPr>
          <w:rFonts w:hint="default"/>
          <w:color w:val="000000" w:themeColor="text1"/>
          <w:highlight w:val="none"/>
          <w14:textFill>
            <w14:solidFill>
              <w14:schemeClr w14:val="tx1"/>
            </w14:solidFill>
          </w14:textFill>
        </w:rPr>
        <w:t>-1。</w:t>
      </w:r>
    </w:p>
    <w:p w14:paraId="11317A17">
      <w:pPr>
        <w:pStyle w:val="25"/>
        <w:rPr>
          <w:rFonts w:hint="default"/>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3.2.1</w:t>
      </w:r>
      <w:r>
        <w:rPr>
          <w:rFonts w:hint="default" w:ascii="Times New Roman" w:hAnsi="Times New Roman" w:cs="Times New Roman"/>
          <w:color w:val="000000" w:themeColor="text1"/>
          <w:highlight w:val="none"/>
          <w14:textFill>
            <w14:solidFill>
              <w14:schemeClr w14:val="tx1"/>
            </w14:solidFill>
          </w14:textFill>
        </w:rPr>
        <w:t>-1</w:t>
      </w:r>
      <w:r>
        <w:rPr>
          <w:rFonts w:hint="default" w:ascii="Times New Roman" w:hAnsi="Times New Roman" w:cs="Times New Roman"/>
          <w:color w:val="000000" w:themeColor="text1"/>
          <w:highlight w:val="none"/>
          <w:lang w:val="en-US"/>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 xml:space="preserve"> 项目组成一览表</w:t>
      </w:r>
    </w:p>
    <w:tbl>
      <w:tblPr>
        <w:tblStyle w:val="20"/>
        <w:tblW w:w="5419"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28" w:type="dxa"/>
          <w:bottom w:w="0" w:type="dxa"/>
          <w:right w:w="28" w:type="dxa"/>
        </w:tblCellMar>
      </w:tblPr>
      <w:tblGrid>
        <w:gridCol w:w="663"/>
        <w:gridCol w:w="737"/>
        <w:gridCol w:w="1314"/>
        <w:gridCol w:w="4903"/>
        <w:gridCol w:w="1446"/>
      </w:tblGrid>
      <w:tr w14:paraId="6F1776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23" w:hRule="atLeast"/>
          <w:jc w:val="center"/>
        </w:trPr>
        <w:tc>
          <w:tcPr>
            <w:tcW w:w="365" w:type="pct"/>
            <w:tcBorders>
              <w:bottom w:val="single" w:color="000000" w:sz="12" w:space="0"/>
            </w:tcBorders>
            <w:noWrap w:val="0"/>
            <w:vAlign w:val="center"/>
          </w:tcPr>
          <w:p w14:paraId="562B3149">
            <w:pPr>
              <w:pStyle w:val="26"/>
              <w:bidi w:val="0"/>
              <w:jc w:val="center"/>
              <w:rPr>
                <w:rFonts w:hint="default"/>
                <w:color w:val="000000" w:themeColor="text1"/>
                <w:highlight w:val="none"/>
                <w14:textFill>
                  <w14:solidFill>
                    <w14:schemeClr w14:val="tx1"/>
                  </w14:solidFill>
                </w14:textFill>
              </w:rPr>
            </w:pPr>
            <w:bookmarkStart w:id="602" w:name="_Toc23564"/>
            <w:bookmarkStart w:id="603" w:name="_Toc29532"/>
            <w:r>
              <w:rPr>
                <w:rFonts w:hint="default"/>
                <w:color w:val="000000" w:themeColor="text1"/>
                <w:highlight w:val="none"/>
                <w14:textFill>
                  <w14:solidFill>
                    <w14:schemeClr w14:val="tx1"/>
                  </w14:solidFill>
                </w14:textFill>
              </w:rPr>
              <w:t>项目</w:t>
            </w:r>
          </w:p>
        </w:tc>
        <w:tc>
          <w:tcPr>
            <w:tcW w:w="1131" w:type="pct"/>
            <w:gridSpan w:val="2"/>
            <w:tcBorders>
              <w:bottom w:val="single" w:color="000000" w:sz="12" w:space="0"/>
            </w:tcBorders>
            <w:noWrap w:val="0"/>
            <w:vAlign w:val="center"/>
          </w:tcPr>
          <w:p w14:paraId="1F834CA2">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项目名称</w:t>
            </w:r>
          </w:p>
        </w:tc>
        <w:tc>
          <w:tcPr>
            <w:tcW w:w="2704" w:type="pct"/>
            <w:tcBorders>
              <w:bottom w:val="single" w:color="000000" w:sz="12" w:space="0"/>
            </w:tcBorders>
            <w:noWrap w:val="0"/>
            <w:vAlign w:val="center"/>
          </w:tcPr>
          <w:p w14:paraId="7556D112">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建设内容</w:t>
            </w:r>
          </w:p>
        </w:tc>
        <w:tc>
          <w:tcPr>
            <w:tcW w:w="797" w:type="pct"/>
            <w:tcBorders>
              <w:bottom w:val="single" w:color="000000" w:sz="12" w:space="0"/>
            </w:tcBorders>
            <w:noWrap w:val="0"/>
            <w:vAlign w:val="center"/>
          </w:tcPr>
          <w:p w14:paraId="10D3C19C">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14:textFill>
                  <w14:solidFill>
                    <w14:schemeClr w14:val="tx1"/>
                  </w14:solidFill>
                </w14:textFill>
              </w:rPr>
              <w:t>备注</w:t>
            </w:r>
          </w:p>
        </w:tc>
      </w:tr>
      <w:tr w14:paraId="30BF13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2" w:hRule="atLeast"/>
          <w:jc w:val="center"/>
        </w:trPr>
        <w:tc>
          <w:tcPr>
            <w:tcW w:w="365" w:type="pct"/>
            <w:vMerge w:val="restart"/>
            <w:tcBorders>
              <w:top w:val="single" w:color="000000" w:sz="12" w:space="0"/>
              <w:tl2br w:val="nil"/>
              <w:tr2bl w:val="nil"/>
            </w:tcBorders>
            <w:noWrap w:val="0"/>
            <w:vAlign w:val="center"/>
          </w:tcPr>
          <w:p w14:paraId="21E970D8">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主体工程</w:t>
            </w:r>
          </w:p>
        </w:tc>
        <w:tc>
          <w:tcPr>
            <w:tcW w:w="1131" w:type="pct"/>
            <w:gridSpan w:val="2"/>
            <w:tcBorders>
              <w:top w:val="single" w:color="000000" w:sz="12" w:space="0"/>
              <w:tl2br w:val="nil"/>
              <w:tr2bl w:val="nil"/>
            </w:tcBorders>
            <w:noWrap w:val="0"/>
            <w:vAlign w:val="center"/>
          </w:tcPr>
          <w:p w14:paraId="1CFE7FBC">
            <w:pPr>
              <w:pStyle w:val="26"/>
              <w:bidi w:val="0"/>
              <w:jc w:val="center"/>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减水剂</w:t>
            </w:r>
            <w:r>
              <w:rPr>
                <w:rFonts w:hint="default"/>
                <w:color w:val="000000" w:themeColor="text1"/>
                <w:highlight w:val="none"/>
                <w14:textFill>
                  <w14:solidFill>
                    <w14:schemeClr w14:val="tx1"/>
                  </w14:solidFill>
                </w14:textFill>
              </w:rPr>
              <w:t>生产车间</w:t>
            </w:r>
          </w:p>
        </w:tc>
        <w:tc>
          <w:tcPr>
            <w:tcW w:w="2704" w:type="pct"/>
            <w:tcBorders>
              <w:top w:val="single" w:color="000000" w:sz="12" w:space="0"/>
              <w:tl2br w:val="nil"/>
              <w:tr2bl w:val="nil"/>
            </w:tcBorders>
            <w:noWrap w:val="0"/>
            <w:vAlign w:val="center"/>
          </w:tcPr>
          <w:p w14:paraId="05E88528">
            <w:pPr>
              <w:pStyle w:val="26"/>
              <w:bidi w:val="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在租赁厂房中分割，位于厂房西北侧，占地</w:t>
            </w:r>
            <w:r>
              <w:rPr>
                <w:rFonts w:hint="default"/>
                <w:color w:val="000000" w:themeColor="text1"/>
                <w:highlight w:val="none"/>
                <w:lang w:val="en-US"/>
                <w14:textFill>
                  <w14:solidFill>
                    <w14:schemeClr w14:val="tx1"/>
                  </w14:solidFill>
                </w14:textFill>
              </w:rPr>
              <w:t>面积</w:t>
            </w:r>
            <w:r>
              <w:rPr>
                <w:rFonts w:hint="eastAsia"/>
                <w:color w:val="000000" w:themeColor="text1"/>
                <w:highlight w:val="none"/>
                <w:lang w:val="en-US" w:eastAsia="zh-CN"/>
                <w14:textFill>
                  <w14:solidFill>
                    <w14:schemeClr w14:val="tx1"/>
                  </w14:solidFill>
                </w14:textFill>
              </w:rPr>
              <w:t>约897.5</w:t>
            </w:r>
            <w:r>
              <w:rPr>
                <w:rFonts w:hint="default"/>
                <w:color w:val="000000" w:themeColor="text1"/>
                <w:highlight w:val="none"/>
                <w14:textFill>
                  <w14:solidFill>
                    <w14:schemeClr w14:val="tx1"/>
                  </w14:solidFill>
                </w14:textFill>
              </w:rPr>
              <w:t>m</w:t>
            </w:r>
            <w:r>
              <w:rPr>
                <w:rFonts w:hint="default"/>
                <w:color w:val="000000" w:themeColor="text1"/>
                <w:highlight w:val="none"/>
                <w:vertAlign w:val="superscript"/>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，设置4</w:t>
            </w:r>
            <w:r>
              <w:rPr>
                <w:rFonts w:hint="eastAsia"/>
                <w:color w:val="000000" w:themeColor="text1"/>
                <w:highlight w:val="none"/>
                <w14:textFill>
                  <w14:solidFill>
                    <w14:schemeClr w14:val="tx1"/>
                  </w14:solidFill>
                </w14:textFill>
              </w:rPr>
              <w:t>条减水剂生产线</w:t>
            </w:r>
          </w:p>
        </w:tc>
        <w:tc>
          <w:tcPr>
            <w:tcW w:w="797" w:type="pct"/>
            <w:tcBorders>
              <w:top w:val="single" w:color="000000" w:sz="12" w:space="0"/>
              <w:tl2br w:val="nil"/>
              <w:tr2bl w:val="nil"/>
            </w:tcBorders>
            <w:noWrap w:val="0"/>
            <w:vAlign w:val="center"/>
          </w:tcPr>
          <w:p w14:paraId="44BBD976">
            <w:pPr>
              <w:pStyle w:val="26"/>
              <w:bidi w:val="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厂房租赁，设备部分新购，部分拆迁</w:t>
            </w:r>
          </w:p>
        </w:tc>
      </w:tr>
      <w:tr w14:paraId="3714F30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365" w:type="pct"/>
            <w:vMerge w:val="continue"/>
            <w:tcBorders>
              <w:tl2br w:val="nil"/>
              <w:tr2bl w:val="nil"/>
            </w:tcBorders>
            <w:noWrap w:val="0"/>
            <w:vAlign w:val="center"/>
          </w:tcPr>
          <w:p w14:paraId="427C6E5C">
            <w:pPr>
              <w:pStyle w:val="26"/>
              <w:bidi w:val="0"/>
              <w:jc w:val="center"/>
              <w:rPr>
                <w:rFonts w:hint="default"/>
                <w:color w:val="000000" w:themeColor="text1"/>
                <w:highlight w:val="none"/>
                <w:lang w:val="en-US"/>
                <w14:textFill>
                  <w14:solidFill>
                    <w14:schemeClr w14:val="tx1"/>
                  </w14:solidFill>
                </w14:textFill>
              </w:rPr>
            </w:pPr>
          </w:p>
        </w:tc>
        <w:tc>
          <w:tcPr>
            <w:tcW w:w="1131" w:type="pct"/>
            <w:gridSpan w:val="2"/>
            <w:tcBorders>
              <w:tl2br w:val="nil"/>
              <w:tr2bl w:val="nil"/>
            </w:tcBorders>
            <w:noWrap w:val="0"/>
            <w:vAlign w:val="center"/>
          </w:tcPr>
          <w:p w14:paraId="6D02C7ED">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速凝剂、硫酸铝</w:t>
            </w:r>
            <w:r>
              <w:rPr>
                <w:rFonts w:hint="default"/>
                <w:color w:val="000000" w:themeColor="text1"/>
                <w:highlight w:val="none"/>
                <w14:textFill>
                  <w14:solidFill>
                    <w14:schemeClr w14:val="tx1"/>
                  </w14:solidFill>
                </w14:textFill>
              </w:rPr>
              <w:t>生产车间</w:t>
            </w:r>
          </w:p>
        </w:tc>
        <w:tc>
          <w:tcPr>
            <w:tcW w:w="2704" w:type="pct"/>
            <w:tcBorders>
              <w:tl2br w:val="nil"/>
              <w:tr2bl w:val="nil"/>
            </w:tcBorders>
            <w:noWrap w:val="0"/>
            <w:vAlign w:val="center"/>
          </w:tcPr>
          <w:p w14:paraId="118E9EEB">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在租赁厂房中分割，位于厂房东北侧，占地</w:t>
            </w:r>
            <w:r>
              <w:rPr>
                <w:rFonts w:hint="default"/>
                <w:color w:val="000000" w:themeColor="text1"/>
                <w:highlight w:val="none"/>
                <w:lang w:val="en-US"/>
                <w14:textFill>
                  <w14:solidFill>
                    <w14:schemeClr w14:val="tx1"/>
                  </w14:solidFill>
                </w14:textFill>
              </w:rPr>
              <w:t>面积</w:t>
            </w:r>
            <w:r>
              <w:rPr>
                <w:rFonts w:hint="eastAsia"/>
                <w:color w:val="000000" w:themeColor="text1"/>
                <w:highlight w:val="none"/>
                <w:lang w:val="en-US" w:eastAsia="zh-CN"/>
                <w14:textFill>
                  <w14:solidFill>
                    <w14:schemeClr w14:val="tx1"/>
                  </w14:solidFill>
                </w14:textFill>
              </w:rPr>
              <w:t>约897.5</w:t>
            </w:r>
            <w:r>
              <w:rPr>
                <w:rFonts w:hint="default"/>
                <w:color w:val="000000" w:themeColor="text1"/>
                <w:highlight w:val="none"/>
                <w14:textFill>
                  <w14:solidFill>
                    <w14:schemeClr w14:val="tx1"/>
                  </w14:solidFill>
                </w14:textFill>
              </w:rPr>
              <w:t>m</w:t>
            </w:r>
            <w:r>
              <w:rPr>
                <w:rFonts w:hint="default"/>
                <w:color w:val="000000" w:themeColor="text1"/>
                <w:highlight w:val="none"/>
                <w:vertAlign w:val="superscript"/>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，设置</w:t>
            </w:r>
            <w:r>
              <w:rPr>
                <w:rFonts w:hint="eastAsia"/>
                <w:color w:val="000000" w:themeColor="text1"/>
                <w:highlight w:val="none"/>
                <w14:textFill>
                  <w14:solidFill>
                    <w14:schemeClr w14:val="tx1"/>
                  </w14:solidFill>
                </w14:textFill>
              </w:rPr>
              <w:t>1条速凝剂生产线，1条硫酸铝生产线，</w:t>
            </w:r>
          </w:p>
        </w:tc>
        <w:tc>
          <w:tcPr>
            <w:tcW w:w="797" w:type="pct"/>
            <w:tcBorders>
              <w:tl2br w:val="nil"/>
              <w:tr2bl w:val="nil"/>
            </w:tcBorders>
            <w:noWrap w:val="0"/>
            <w:vAlign w:val="center"/>
          </w:tcPr>
          <w:p w14:paraId="4AD07A87">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厂房租赁，设备新购</w:t>
            </w:r>
          </w:p>
        </w:tc>
      </w:tr>
      <w:tr w14:paraId="2A6E96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365" w:type="pct"/>
            <w:vMerge w:val="restart"/>
            <w:tcBorders>
              <w:tl2br w:val="nil"/>
              <w:tr2bl w:val="nil"/>
            </w:tcBorders>
            <w:noWrap w:val="0"/>
            <w:vAlign w:val="center"/>
          </w:tcPr>
          <w:p w14:paraId="3E345449">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lang w:val="en-US"/>
                <w14:textFill>
                  <w14:solidFill>
                    <w14:schemeClr w14:val="tx1"/>
                  </w14:solidFill>
                </w14:textFill>
              </w:rPr>
              <w:t>储运工程</w:t>
            </w:r>
          </w:p>
        </w:tc>
        <w:tc>
          <w:tcPr>
            <w:tcW w:w="1131" w:type="pct"/>
            <w:gridSpan w:val="2"/>
            <w:tcBorders>
              <w:tl2br w:val="nil"/>
              <w:tr2bl w:val="nil"/>
            </w:tcBorders>
            <w:noWrap w:val="0"/>
            <w:vAlign w:val="center"/>
          </w:tcPr>
          <w:p w14:paraId="65A39FCB">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原料</w:t>
            </w:r>
            <w:r>
              <w:rPr>
                <w:rFonts w:hint="default"/>
                <w:color w:val="000000" w:themeColor="text1"/>
                <w:highlight w:val="none"/>
                <w:lang w:val="en-US"/>
                <w14:textFill>
                  <w14:solidFill>
                    <w14:schemeClr w14:val="tx1"/>
                  </w14:solidFill>
                </w14:textFill>
              </w:rPr>
              <w:t>库房</w:t>
            </w:r>
          </w:p>
        </w:tc>
        <w:tc>
          <w:tcPr>
            <w:tcW w:w="2704" w:type="pct"/>
            <w:tcBorders>
              <w:tl2br w:val="nil"/>
              <w:tr2bl w:val="nil"/>
            </w:tcBorders>
            <w:noWrap w:val="0"/>
            <w:vAlign w:val="center"/>
          </w:tcPr>
          <w:p w14:paraId="53F5F8A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在租赁厂房分割原料库房，占地</w:t>
            </w:r>
            <w:r>
              <w:rPr>
                <w:rFonts w:hint="default"/>
                <w:color w:val="000000" w:themeColor="text1"/>
                <w:highlight w:val="none"/>
                <w:lang w:val="en-US"/>
                <w14:textFill>
                  <w14:solidFill>
                    <w14:schemeClr w14:val="tx1"/>
                  </w14:solidFill>
                </w14:textFill>
              </w:rPr>
              <w:t>面积</w:t>
            </w:r>
            <w:r>
              <w:rPr>
                <w:rFonts w:hint="eastAsia"/>
                <w:color w:val="000000" w:themeColor="text1"/>
                <w:highlight w:val="none"/>
                <w:lang w:val="en-US" w:eastAsia="zh-CN"/>
                <w14:textFill>
                  <w14:solidFill>
                    <w14:schemeClr w14:val="tx1"/>
                  </w14:solidFill>
                </w14:textFill>
              </w:rPr>
              <w:t>约900</w:t>
            </w:r>
            <w:r>
              <w:rPr>
                <w:rFonts w:hint="default"/>
                <w:color w:val="000000" w:themeColor="text1"/>
                <w:highlight w:val="none"/>
                <w14:textFill>
                  <w14:solidFill>
                    <w14:schemeClr w14:val="tx1"/>
                  </w14:solidFill>
                </w14:textFill>
              </w:rPr>
              <w:t>m</w:t>
            </w:r>
            <w:r>
              <w:rPr>
                <w:rFonts w:hint="default"/>
                <w:color w:val="000000" w:themeColor="text1"/>
                <w:highlight w:val="none"/>
                <w:vertAlign w:val="superscript"/>
                <w14:textFill>
                  <w14:solidFill>
                    <w14:schemeClr w14:val="tx1"/>
                  </w14:solidFill>
                </w14:textFill>
              </w:rPr>
              <w:t>2</w:t>
            </w:r>
          </w:p>
        </w:tc>
        <w:tc>
          <w:tcPr>
            <w:tcW w:w="797" w:type="pct"/>
            <w:tcBorders>
              <w:tl2br w:val="nil"/>
              <w:tr2bl w:val="nil"/>
            </w:tcBorders>
            <w:noWrap w:val="0"/>
            <w:vAlign w:val="center"/>
          </w:tcPr>
          <w:p w14:paraId="11D6E171">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新建</w:t>
            </w:r>
          </w:p>
        </w:tc>
      </w:tr>
      <w:tr w14:paraId="59FB98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207" w:hRule="atLeast"/>
          <w:jc w:val="center"/>
        </w:trPr>
        <w:tc>
          <w:tcPr>
            <w:tcW w:w="365" w:type="pct"/>
            <w:vMerge w:val="continue"/>
            <w:tcBorders>
              <w:tl2br w:val="nil"/>
              <w:tr2bl w:val="nil"/>
            </w:tcBorders>
            <w:noWrap w:val="0"/>
            <w:vAlign w:val="center"/>
          </w:tcPr>
          <w:p w14:paraId="4831B6BD">
            <w:pPr>
              <w:pStyle w:val="26"/>
              <w:bidi w:val="0"/>
              <w:jc w:val="center"/>
              <w:rPr>
                <w:rFonts w:hint="default"/>
                <w:color w:val="000000" w:themeColor="text1"/>
                <w:highlight w:val="none"/>
                <w:lang w:val="en-US"/>
                <w14:textFill>
                  <w14:solidFill>
                    <w14:schemeClr w14:val="tx1"/>
                  </w14:solidFill>
                </w14:textFill>
              </w:rPr>
            </w:pPr>
          </w:p>
        </w:tc>
        <w:tc>
          <w:tcPr>
            <w:tcW w:w="1131" w:type="pct"/>
            <w:gridSpan w:val="2"/>
            <w:tcBorders>
              <w:tl2br w:val="nil"/>
              <w:tr2bl w:val="nil"/>
            </w:tcBorders>
            <w:noWrap w:val="0"/>
            <w:vAlign w:val="center"/>
          </w:tcPr>
          <w:p w14:paraId="478811B0">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产品</w:t>
            </w:r>
            <w:r>
              <w:rPr>
                <w:rFonts w:hint="default"/>
                <w:color w:val="000000" w:themeColor="text1"/>
                <w:highlight w:val="none"/>
                <w:lang w:val="en-US"/>
                <w14:textFill>
                  <w14:solidFill>
                    <w14:schemeClr w14:val="tx1"/>
                  </w14:solidFill>
                </w14:textFill>
              </w:rPr>
              <w:t>库房</w:t>
            </w:r>
          </w:p>
        </w:tc>
        <w:tc>
          <w:tcPr>
            <w:tcW w:w="2704" w:type="pct"/>
            <w:tcBorders>
              <w:tl2br w:val="nil"/>
              <w:tr2bl w:val="nil"/>
            </w:tcBorders>
            <w:noWrap w:val="0"/>
            <w:vAlign w:val="center"/>
          </w:tcPr>
          <w:p w14:paraId="5DA86163">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在租赁厂房分割产品储存区，占地</w:t>
            </w:r>
            <w:r>
              <w:rPr>
                <w:rFonts w:hint="default"/>
                <w:color w:val="000000" w:themeColor="text1"/>
                <w:highlight w:val="none"/>
                <w:lang w:val="en-US"/>
                <w14:textFill>
                  <w14:solidFill>
                    <w14:schemeClr w14:val="tx1"/>
                  </w14:solidFill>
                </w14:textFill>
              </w:rPr>
              <w:t>面积</w:t>
            </w:r>
            <w:r>
              <w:rPr>
                <w:rFonts w:hint="eastAsia"/>
                <w:color w:val="000000" w:themeColor="text1"/>
                <w:highlight w:val="none"/>
                <w:lang w:val="en-US" w:eastAsia="zh-CN"/>
                <w14:textFill>
                  <w14:solidFill>
                    <w14:schemeClr w14:val="tx1"/>
                  </w14:solidFill>
                </w14:textFill>
              </w:rPr>
              <w:t>约895</w:t>
            </w:r>
            <w:r>
              <w:rPr>
                <w:rFonts w:hint="default"/>
                <w:color w:val="000000" w:themeColor="text1"/>
                <w:highlight w:val="none"/>
                <w14:textFill>
                  <w14:solidFill>
                    <w14:schemeClr w14:val="tx1"/>
                  </w14:solidFill>
                </w14:textFill>
              </w:rPr>
              <w:t>m</w:t>
            </w:r>
            <w:r>
              <w:rPr>
                <w:rFonts w:hint="default"/>
                <w:color w:val="000000" w:themeColor="text1"/>
                <w:highlight w:val="none"/>
                <w:vertAlign w:val="superscript"/>
                <w14:textFill>
                  <w14:solidFill>
                    <w14:schemeClr w14:val="tx1"/>
                  </w14:solidFill>
                </w14:textFill>
              </w:rPr>
              <w:t>2</w:t>
            </w:r>
          </w:p>
        </w:tc>
        <w:tc>
          <w:tcPr>
            <w:tcW w:w="797" w:type="pct"/>
            <w:tcBorders>
              <w:tl2br w:val="nil"/>
              <w:tr2bl w:val="nil"/>
            </w:tcBorders>
            <w:noWrap w:val="0"/>
            <w:vAlign w:val="center"/>
          </w:tcPr>
          <w:p w14:paraId="373E64CF">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新建</w:t>
            </w:r>
          </w:p>
        </w:tc>
      </w:tr>
      <w:tr w14:paraId="7421CF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154" w:hRule="atLeast"/>
          <w:jc w:val="center"/>
        </w:trPr>
        <w:tc>
          <w:tcPr>
            <w:tcW w:w="365" w:type="pct"/>
            <w:vMerge w:val="continue"/>
            <w:tcBorders>
              <w:tl2br w:val="nil"/>
              <w:tr2bl w:val="nil"/>
            </w:tcBorders>
            <w:noWrap w:val="0"/>
            <w:vAlign w:val="center"/>
          </w:tcPr>
          <w:p w14:paraId="63D21605">
            <w:pPr>
              <w:pStyle w:val="26"/>
              <w:bidi w:val="0"/>
              <w:jc w:val="center"/>
              <w:rPr>
                <w:rFonts w:hint="default"/>
                <w:color w:val="000000" w:themeColor="text1"/>
                <w:highlight w:val="none"/>
                <w:lang w:val="en-US"/>
                <w14:textFill>
                  <w14:solidFill>
                    <w14:schemeClr w14:val="tx1"/>
                  </w14:solidFill>
                </w14:textFill>
              </w:rPr>
            </w:pPr>
          </w:p>
        </w:tc>
        <w:tc>
          <w:tcPr>
            <w:tcW w:w="1131" w:type="pct"/>
            <w:gridSpan w:val="2"/>
            <w:tcBorders>
              <w:tl2br w:val="nil"/>
              <w:tr2bl w:val="nil"/>
            </w:tcBorders>
            <w:noWrap w:val="0"/>
            <w:vAlign w:val="center"/>
          </w:tcPr>
          <w:p w14:paraId="2BA51D27">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硫酸罐区</w:t>
            </w:r>
          </w:p>
        </w:tc>
        <w:tc>
          <w:tcPr>
            <w:tcW w:w="2704" w:type="pct"/>
            <w:tcBorders>
              <w:tl2br w:val="nil"/>
              <w:tr2bl w:val="nil"/>
            </w:tcBorders>
            <w:noWrap w:val="0"/>
            <w:vAlign w:val="center"/>
          </w:tcPr>
          <w:p w14:paraId="38A5D03E">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14:textFill>
                  <w14:solidFill>
                    <w14:schemeClr w14:val="tx1"/>
                  </w14:solidFill>
                </w14:textFill>
              </w:rPr>
              <w:t>内设</w:t>
            </w:r>
            <w:r>
              <w:rPr>
                <w:rFonts w:hint="eastAsia"/>
                <w:color w:val="000000" w:themeColor="text1"/>
                <w:highlight w:val="none"/>
                <w:lang w:val="en-US" w:eastAsia="zh-CN"/>
                <w14:textFill>
                  <w14:solidFill>
                    <w14:schemeClr w14:val="tx1"/>
                  </w14:solidFill>
                </w14:textFill>
              </w:rPr>
              <w:t>硫酸储</w:t>
            </w:r>
            <w:r>
              <w:rPr>
                <w:rFonts w:hint="default"/>
                <w:color w:val="000000" w:themeColor="text1"/>
                <w:highlight w:val="none"/>
                <w:lang w:val="en-US"/>
                <w14:textFill>
                  <w14:solidFill>
                    <w14:schemeClr w14:val="tx1"/>
                  </w14:solidFill>
                </w14:textFill>
              </w:rPr>
              <w:t>罐</w:t>
            </w: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14:textFill>
                  <w14:solidFill>
                    <w14:schemeClr w14:val="tx1"/>
                  </w14:solidFill>
                </w14:textFill>
              </w:rPr>
              <w:t>个，每个容积</w:t>
            </w: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14:textFill>
                  <w14:solidFill>
                    <w14:schemeClr w14:val="tx1"/>
                  </w14:solidFill>
                </w14:textFill>
              </w:rPr>
              <w:t>0m</w:t>
            </w:r>
            <w:r>
              <w:rPr>
                <w:rFonts w:hint="default"/>
                <w:color w:val="000000" w:themeColor="text1"/>
                <w:highlight w:val="none"/>
                <w:vertAlign w:val="superscript"/>
                <w:lang w:val="en-US"/>
                <w14:textFill>
                  <w14:solidFill>
                    <w14:schemeClr w14:val="tx1"/>
                  </w14:solidFill>
                </w14:textFill>
              </w:rPr>
              <w:t>3</w:t>
            </w:r>
          </w:p>
        </w:tc>
        <w:tc>
          <w:tcPr>
            <w:tcW w:w="797" w:type="pct"/>
            <w:tcBorders>
              <w:tl2br w:val="nil"/>
              <w:tr2bl w:val="nil"/>
            </w:tcBorders>
            <w:noWrap w:val="0"/>
            <w:vAlign w:val="center"/>
          </w:tcPr>
          <w:p w14:paraId="09D8D7A6">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新建</w:t>
            </w:r>
          </w:p>
        </w:tc>
      </w:tr>
      <w:tr w14:paraId="54B202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282" w:hRule="atLeast"/>
          <w:jc w:val="center"/>
        </w:trPr>
        <w:tc>
          <w:tcPr>
            <w:tcW w:w="365" w:type="pct"/>
            <w:vMerge w:val="restart"/>
            <w:tcBorders>
              <w:tl2br w:val="nil"/>
              <w:tr2bl w:val="nil"/>
            </w:tcBorders>
            <w:noWrap w:val="0"/>
            <w:vAlign w:val="center"/>
          </w:tcPr>
          <w:p w14:paraId="43A12A94">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14:textFill>
                  <w14:solidFill>
                    <w14:schemeClr w14:val="tx1"/>
                  </w14:solidFill>
                </w14:textFill>
              </w:rPr>
              <w:t>辅助工程</w:t>
            </w:r>
          </w:p>
        </w:tc>
        <w:tc>
          <w:tcPr>
            <w:tcW w:w="1131" w:type="pct"/>
            <w:gridSpan w:val="2"/>
            <w:tcBorders>
              <w:tl2br w:val="nil"/>
              <w:tr2bl w:val="nil"/>
            </w:tcBorders>
            <w:noWrap w:val="0"/>
            <w:vAlign w:val="center"/>
          </w:tcPr>
          <w:p w14:paraId="66C66E00">
            <w:pPr>
              <w:pStyle w:val="26"/>
              <w:bidi w:val="0"/>
              <w:ind w:left="0" w:right="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办公生活区</w:t>
            </w:r>
          </w:p>
        </w:tc>
        <w:tc>
          <w:tcPr>
            <w:tcW w:w="2704" w:type="pct"/>
            <w:tcBorders>
              <w:tl2br w:val="nil"/>
              <w:tr2bl w:val="nil"/>
            </w:tcBorders>
            <w:noWrap w:val="0"/>
            <w:vAlign w:val="center"/>
          </w:tcPr>
          <w:p w14:paraId="5DA59410">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依托</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现有办公</w:t>
            </w:r>
          </w:p>
        </w:tc>
        <w:tc>
          <w:tcPr>
            <w:tcW w:w="797" w:type="pct"/>
            <w:tcBorders>
              <w:tl2br w:val="nil"/>
              <w:tr2bl w:val="nil"/>
            </w:tcBorders>
            <w:noWrap w:val="0"/>
            <w:vAlign w:val="center"/>
          </w:tcPr>
          <w:p w14:paraId="24DBEC1B">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依托</w:t>
            </w:r>
          </w:p>
        </w:tc>
      </w:tr>
      <w:tr w14:paraId="068334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282" w:hRule="atLeast"/>
          <w:jc w:val="center"/>
        </w:trPr>
        <w:tc>
          <w:tcPr>
            <w:tcW w:w="365" w:type="pct"/>
            <w:vMerge w:val="continue"/>
            <w:tcBorders>
              <w:tl2br w:val="nil"/>
              <w:tr2bl w:val="nil"/>
            </w:tcBorders>
            <w:noWrap w:val="0"/>
            <w:vAlign w:val="center"/>
          </w:tcPr>
          <w:p w14:paraId="61892EA6">
            <w:pPr>
              <w:pStyle w:val="26"/>
              <w:bidi w:val="0"/>
              <w:jc w:val="center"/>
              <w:rPr>
                <w:rFonts w:hint="default"/>
                <w:color w:val="000000" w:themeColor="text1"/>
                <w:highlight w:val="none"/>
                <w14:textFill>
                  <w14:solidFill>
                    <w14:schemeClr w14:val="tx1"/>
                  </w14:solidFill>
                </w14:textFill>
              </w:rPr>
            </w:pPr>
          </w:p>
        </w:tc>
        <w:tc>
          <w:tcPr>
            <w:tcW w:w="1131" w:type="pct"/>
            <w:gridSpan w:val="2"/>
            <w:tcBorders>
              <w:tl2br w:val="nil"/>
              <w:tr2bl w:val="nil"/>
            </w:tcBorders>
            <w:noWrap w:val="0"/>
            <w:vAlign w:val="center"/>
          </w:tcPr>
          <w:p w14:paraId="2664F23F">
            <w:pPr>
              <w:pStyle w:val="26"/>
              <w:bidi w:val="0"/>
              <w:ind w:left="0" w:right="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化验室</w:t>
            </w:r>
          </w:p>
        </w:tc>
        <w:tc>
          <w:tcPr>
            <w:tcW w:w="2704" w:type="pct"/>
            <w:tcBorders>
              <w:tl2br w:val="nil"/>
              <w:tr2bl w:val="nil"/>
            </w:tcBorders>
            <w:noWrap w:val="0"/>
            <w:vAlign w:val="center"/>
          </w:tcPr>
          <w:p w14:paraId="48530C2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依托</w:t>
            </w:r>
            <w:r>
              <w:rPr>
                <w:rFonts w:hint="eastAsia"/>
                <w:color w:val="000000" w:themeColor="text1"/>
                <w:highlight w:val="none"/>
                <w14:textFill>
                  <w14:solidFill>
                    <w14:schemeClr w14:val="tx1"/>
                  </w14:solidFill>
                </w14:textFill>
              </w:rPr>
              <w:t>新疆恒泰新型建材有限公司</w:t>
            </w:r>
            <w:r>
              <w:rPr>
                <w:rFonts w:hint="eastAsia"/>
                <w:color w:val="000000" w:themeColor="text1"/>
                <w:highlight w:val="none"/>
                <w:lang w:val="en-US" w:eastAsia="zh-CN"/>
                <w14:textFill>
                  <w14:solidFill>
                    <w14:schemeClr w14:val="tx1"/>
                  </w14:solidFill>
                </w14:textFill>
              </w:rPr>
              <w:t>现有空置房间</w:t>
            </w:r>
          </w:p>
        </w:tc>
        <w:tc>
          <w:tcPr>
            <w:tcW w:w="797" w:type="pct"/>
            <w:tcBorders>
              <w:tl2br w:val="nil"/>
              <w:tr2bl w:val="nil"/>
            </w:tcBorders>
            <w:noWrap w:val="0"/>
            <w:vAlign w:val="center"/>
          </w:tcPr>
          <w:p w14:paraId="680BD13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依托</w:t>
            </w:r>
          </w:p>
        </w:tc>
      </w:tr>
      <w:tr w14:paraId="3DCEC7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282" w:hRule="atLeast"/>
          <w:jc w:val="center"/>
        </w:trPr>
        <w:tc>
          <w:tcPr>
            <w:tcW w:w="365" w:type="pct"/>
            <w:tcBorders>
              <w:tl2br w:val="nil"/>
              <w:tr2bl w:val="nil"/>
            </w:tcBorders>
            <w:noWrap w:val="0"/>
            <w:vAlign w:val="center"/>
          </w:tcPr>
          <w:p w14:paraId="0C341DC6">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拆除工程</w:t>
            </w:r>
          </w:p>
        </w:tc>
        <w:tc>
          <w:tcPr>
            <w:tcW w:w="1131" w:type="pct"/>
            <w:gridSpan w:val="2"/>
            <w:tcBorders>
              <w:tl2br w:val="nil"/>
              <w:tr2bl w:val="nil"/>
            </w:tcBorders>
            <w:noWrap w:val="0"/>
            <w:vAlign w:val="center"/>
          </w:tcPr>
          <w:p w14:paraId="41F63986">
            <w:pPr>
              <w:pStyle w:val="26"/>
              <w:bidi w:val="0"/>
              <w:ind w:left="0" w:right="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原减水剂生产线</w:t>
            </w:r>
          </w:p>
        </w:tc>
        <w:tc>
          <w:tcPr>
            <w:tcW w:w="2704" w:type="pct"/>
            <w:tcBorders>
              <w:tl2br w:val="nil"/>
              <w:tr2bl w:val="nil"/>
            </w:tcBorders>
            <w:noWrap w:val="0"/>
            <w:vAlign w:val="center"/>
          </w:tcPr>
          <w:p w14:paraId="658392FC">
            <w:pPr>
              <w:pStyle w:val="26"/>
              <w:bidi w:val="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拆除原有的3条减水剂生产设备，搬迁至本项目新建设</w:t>
            </w:r>
            <w:r>
              <w:rPr>
                <w:rFonts w:hint="eastAsia"/>
                <w:color w:val="000000" w:themeColor="text1"/>
                <w:highlight w:val="none"/>
                <w14:textFill>
                  <w14:solidFill>
                    <w14:schemeClr w14:val="tx1"/>
                  </w14:solidFill>
                </w14:textFill>
              </w:rPr>
              <w:t>减水剂</w:t>
            </w:r>
            <w:r>
              <w:rPr>
                <w:rFonts w:hint="default"/>
                <w:color w:val="000000" w:themeColor="text1"/>
                <w:highlight w:val="none"/>
                <w14:textFill>
                  <w14:solidFill>
                    <w14:schemeClr w14:val="tx1"/>
                  </w14:solidFill>
                </w14:textFill>
              </w:rPr>
              <w:t>生产车间</w:t>
            </w:r>
          </w:p>
        </w:tc>
        <w:tc>
          <w:tcPr>
            <w:tcW w:w="797" w:type="pct"/>
            <w:tcBorders>
              <w:tl2br w:val="nil"/>
              <w:tr2bl w:val="nil"/>
            </w:tcBorders>
            <w:noWrap w:val="0"/>
            <w:vAlign w:val="center"/>
          </w:tcPr>
          <w:p w14:paraId="0E71D74D">
            <w:pPr>
              <w:pStyle w:val="26"/>
              <w:bidi w:val="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设备拆除，厂房保留退还出租单位</w:t>
            </w:r>
          </w:p>
        </w:tc>
      </w:tr>
      <w:tr w14:paraId="01353D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182" w:hRule="atLeast"/>
          <w:jc w:val="center"/>
        </w:trPr>
        <w:tc>
          <w:tcPr>
            <w:tcW w:w="365" w:type="pct"/>
            <w:vMerge w:val="restart"/>
            <w:tcBorders>
              <w:tl2br w:val="nil"/>
              <w:tr2bl w:val="nil"/>
            </w:tcBorders>
            <w:noWrap w:val="0"/>
            <w:vAlign w:val="center"/>
          </w:tcPr>
          <w:p w14:paraId="1C4D7F5B">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公用工程</w:t>
            </w:r>
          </w:p>
        </w:tc>
        <w:tc>
          <w:tcPr>
            <w:tcW w:w="1131" w:type="pct"/>
            <w:gridSpan w:val="2"/>
            <w:tcBorders>
              <w:tl2br w:val="nil"/>
              <w:tr2bl w:val="nil"/>
            </w:tcBorders>
            <w:noWrap w:val="0"/>
            <w:vAlign w:val="center"/>
          </w:tcPr>
          <w:p w14:paraId="34455B72">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供水</w:t>
            </w:r>
          </w:p>
        </w:tc>
        <w:tc>
          <w:tcPr>
            <w:tcW w:w="2704" w:type="pct"/>
            <w:tcBorders>
              <w:tl2br w:val="nil"/>
              <w:tr2bl w:val="nil"/>
            </w:tcBorders>
            <w:noWrap w:val="0"/>
            <w:vAlign w:val="center"/>
          </w:tcPr>
          <w:p w14:paraId="581D5BB7">
            <w:pPr>
              <w:pStyle w:val="26"/>
              <w:bidi w:val="0"/>
              <w:jc w:val="both"/>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从厂区西南侧园区预留接口接入</w:t>
            </w:r>
            <w:r>
              <w:rPr>
                <w:rFonts w:hint="default"/>
                <w:color w:val="000000" w:themeColor="text1"/>
                <w:highlight w:val="none"/>
                <w:lang w:val="en-US"/>
                <w14:textFill>
                  <w14:solidFill>
                    <w14:schemeClr w14:val="tx1"/>
                  </w14:solidFill>
                </w14:textFill>
              </w:rPr>
              <w:t>由园区供水管网供给</w:t>
            </w:r>
          </w:p>
        </w:tc>
        <w:tc>
          <w:tcPr>
            <w:tcW w:w="797" w:type="pct"/>
            <w:tcBorders>
              <w:tl2br w:val="nil"/>
              <w:tr2bl w:val="nil"/>
            </w:tcBorders>
            <w:noWrap w:val="0"/>
            <w:vAlign w:val="center"/>
          </w:tcPr>
          <w:p w14:paraId="338728D6">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依托</w:t>
            </w:r>
          </w:p>
        </w:tc>
      </w:tr>
      <w:tr w14:paraId="09F543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110" w:hRule="atLeast"/>
          <w:jc w:val="center"/>
        </w:trPr>
        <w:tc>
          <w:tcPr>
            <w:tcW w:w="365" w:type="pct"/>
            <w:vMerge w:val="continue"/>
            <w:tcBorders>
              <w:tl2br w:val="nil"/>
              <w:tr2bl w:val="nil"/>
            </w:tcBorders>
            <w:noWrap w:val="0"/>
            <w:vAlign w:val="center"/>
          </w:tcPr>
          <w:p w14:paraId="540C3E40">
            <w:pPr>
              <w:pStyle w:val="26"/>
              <w:bidi w:val="0"/>
              <w:jc w:val="center"/>
              <w:rPr>
                <w:rFonts w:hint="default"/>
                <w:color w:val="000000" w:themeColor="text1"/>
                <w:highlight w:val="none"/>
                <w14:textFill>
                  <w14:solidFill>
                    <w14:schemeClr w14:val="tx1"/>
                  </w14:solidFill>
                </w14:textFill>
              </w:rPr>
            </w:pPr>
          </w:p>
        </w:tc>
        <w:tc>
          <w:tcPr>
            <w:tcW w:w="1131" w:type="pct"/>
            <w:gridSpan w:val="2"/>
            <w:tcBorders>
              <w:tl2br w:val="nil"/>
              <w:tr2bl w:val="nil"/>
            </w:tcBorders>
            <w:noWrap w:val="0"/>
            <w:vAlign w:val="center"/>
          </w:tcPr>
          <w:p w14:paraId="7E7C62F7">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排水</w:t>
            </w:r>
          </w:p>
        </w:tc>
        <w:tc>
          <w:tcPr>
            <w:tcW w:w="2704" w:type="pct"/>
            <w:tcBorders>
              <w:tl2br w:val="nil"/>
              <w:tr2bl w:val="nil"/>
            </w:tcBorders>
            <w:noWrap w:val="0"/>
            <w:vAlign w:val="center"/>
          </w:tcPr>
          <w:p w14:paraId="6479B9B6">
            <w:pPr>
              <w:pStyle w:val="26"/>
              <w:bidi w:val="0"/>
              <w:jc w:val="both"/>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生产废水</w:t>
            </w:r>
            <w:r>
              <w:rPr>
                <w:rFonts w:hint="default"/>
                <w:color w:val="000000" w:themeColor="text1"/>
                <w:highlight w:val="none"/>
                <w14:textFill>
                  <w14:solidFill>
                    <w14:schemeClr w14:val="tx1"/>
                  </w14:solidFill>
                </w14:textFill>
              </w:rPr>
              <w:t>回用</w:t>
            </w:r>
            <w:r>
              <w:rPr>
                <w:rFonts w:hint="eastAsia"/>
                <w:color w:val="000000" w:themeColor="text1"/>
                <w:highlight w:val="none"/>
                <w:lang w:val="en-US" w:eastAsia="zh-CN"/>
                <w14:textFill>
                  <w14:solidFill>
                    <w14:schemeClr w14:val="tx1"/>
                  </w14:solidFill>
                </w14:textFill>
              </w:rPr>
              <w:t>用生产工序，</w:t>
            </w:r>
            <w:r>
              <w:rPr>
                <w:rFonts w:hint="default"/>
                <w:color w:val="000000" w:themeColor="text1"/>
                <w:highlight w:val="none"/>
                <w14:textFill>
                  <w14:solidFill>
                    <w14:schemeClr w14:val="tx1"/>
                  </w14:solidFill>
                </w14:textFill>
              </w:rPr>
              <w:t>生活污水排入</w:t>
            </w:r>
            <w:r>
              <w:rPr>
                <w:rFonts w:hint="eastAsia"/>
                <w:color w:val="000000" w:themeColor="text1"/>
                <w:highlight w:val="none"/>
                <w:lang w:eastAsia="zh-CN"/>
                <w14:textFill>
                  <w14:solidFill>
                    <w14:schemeClr w14:val="tx1"/>
                  </w14:solidFill>
                </w14:textFill>
              </w:rPr>
              <w:t>污水管网，</w:t>
            </w:r>
            <w:r>
              <w:rPr>
                <w:rFonts w:hint="eastAsia"/>
                <w:color w:val="000000" w:themeColor="text1"/>
                <w:highlight w:val="none"/>
                <w:lang w:val="en-US" w:eastAsia="zh-CN"/>
                <w14:textFill>
                  <w14:solidFill>
                    <w14:schemeClr w14:val="tx1"/>
                  </w14:solidFill>
                </w14:textFill>
              </w:rPr>
              <w:t>进入园区污水处理厂进一步处理</w:t>
            </w:r>
          </w:p>
        </w:tc>
        <w:tc>
          <w:tcPr>
            <w:tcW w:w="797" w:type="pct"/>
            <w:tcBorders>
              <w:tl2br w:val="nil"/>
              <w:tr2bl w:val="nil"/>
            </w:tcBorders>
            <w:noWrap w:val="0"/>
            <w:vAlign w:val="center"/>
          </w:tcPr>
          <w:p w14:paraId="279820E7">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依托</w:t>
            </w:r>
          </w:p>
        </w:tc>
      </w:tr>
      <w:tr w14:paraId="7B88C0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23" w:hRule="atLeast"/>
          <w:jc w:val="center"/>
        </w:trPr>
        <w:tc>
          <w:tcPr>
            <w:tcW w:w="365" w:type="pct"/>
            <w:vMerge w:val="continue"/>
            <w:tcBorders>
              <w:tl2br w:val="nil"/>
              <w:tr2bl w:val="nil"/>
            </w:tcBorders>
            <w:noWrap w:val="0"/>
            <w:vAlign w:val="center"/>
          </w:tcPr>
          <w:p w14:paraId="3EDC3F77">
            <w:pPr>
              <w:pStyle w:val="26"/>
              <w:bidi w:val="0"/>
              <w:jc w:val="center"/>
              <w:rPr>
                <w:rFonts w:hint="default"/>
                <w:color w:val="000000" w:themeColor="text1"/>
                <w:highlight w:val="none"/>
                <w14:textFill>
                  <w14:solidFill>
                    <w14:schemeClr w14:val="tx1"/>
                  </w14:solidFill>
                </w14:textFill>
              </w:rPr>
            </w:pPr>
          </w:p>
        </w:tc>
        <w:tc>
          <w:tcPr>
            <w:tcW w:w="1131" w:type="pct"/>
            <w:gridSpan w:val="2"/>
            <w:tcBorders>
              <w:tl2br w:val="nil"/>
              <w:tr2bl w:val="nil"/>
            </w:tcBorders>
            <w:noWrap w:val="0"/>
            <w:vAlign w:val="center"/>
          </w:tcPr>
          <w:p w14:paraId="792B8989">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供电</w:t>
            </w:r>
          </w:p>
        </w:tc>
        <w:tc>
          <w:tcPr>
            <w:tcW w:w="2704" w:type="pct"/>
            <w:tcBorders>
              <w:tl2br w:val="nil"/>
              <w:tr2bl w:val="nil"/>
            </w:tcBorders>
            <w:noWrap w:val="0"/>
            <w:vAlign w:val="center"/>
          </w:tcPr>
          <w:p w14:paraId="1536C645">
            <w:pPr>
              <w:pStyle w:val="26"/>
              <w:bidi w:val="0"/>
              <w:jc w:val="both"/>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从厂区南侧现有变压器接入，</w:t>
            </w:r>
            <w:r>
              <w:rPr>
                <w:rFonts w:hint="default"/>
                <w:color w:val="000000" w:themeColor="text1"/>
                <w:highlight w:val="none"/>
                <w:lang w:val="en-US"/>
                <w14:textFill>
                  <w14:solidFill>
                    <w14:schemeClr w14:val="tx1"/>
                  </w14:solidFill>
                </w14:textFill>
              </w:rPr>
              <w:t>由园区供电管网供给</w:t>
            </w:r>
          </w:p>
        </w:tc>
        <w:tc>
          <w:tcPr>
            <w:tcW w:w="797" w:type="pct"/>
            <w:tcBorders>
              <w:tl2br w:val="nil"/>
              <w:tr2bl w:val="nil"/>
            </w:tcBorders>
            <w:noWrap w:val="0"/>
            <w:vAlign w:val="center"/>
          </w:tcPr>
          <w:p w14:paraId="6B204A01">
            <w:pPr>
              <w:pStyle w:val="26"/>
              <w:bidi w:val="0"/>
              <w:jc w:val="center"/>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依托</w:t>
            </w:r>
          </w:p>
        </w:tc>
      </w:tr>
      <w:tr w14:paraId="584644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185" w:hRule="atLeast"/>
          <w:jc w:val="center"/>
        </w:trPr>
        <w:tc>
          <w:tcPr>
            <w:tcW w:w="365" w:type="pct"/>
            <w:vMerge w:val="continue"/>
            <w:tcBorders>
              <w:tl2br w:val="nil"/>
              <w:tr2bl w:val="nil"/>
            </w:tcBorders>
            <w:noWrap w:val="0"/>
            <w:vAlign w:val="center"/>
          </w:tcPr>
          <w:p w14:paraId="66B9813B">
            <w:pPr>
              <w:pStyle w:val="26"/>
              <w:bidi w:val="0"/>
              <w:jc w:val="center"/>
              <w:rPr>
                <w:rFonts w:hint="default"/>
                <w:color w:val="000000" w:themeColor="text1"/>
                <w:highlight w:val="none"/>
                <w14:textFill>
                  <w14:solidFill>
                    <w14:schemeClr w14:val="tx1"/>
                  </w14:solidFill>
                </w14:textFill>
              </w:rPr>
            </w:pPr>
          </w:p>
        </w:tc>
        <w:tc>
          <w:tcPr>
            <w:tcW w:w="1131" w:type="pct"/>
            <w:gridSpan w:val="2"/>
            <w:tcBorders>
              <w:tl2br w:val="nil"/>
              <w:tr2bl w:val="nil"/>
            </w:tcBorders>
            <w:noWrap w:val="0"/>
            <w:vAlign w:val="center"/>
          </w:tcPr>
          <w:p w14:paraId="296ED862">
            <w:pPr>
              <w:pStyle w:val="26"/>
              <w:bidi w:val="0"/>
              <w:jc w:val="center"/>
              <w:rPr>
                <w:rFonts w:hint="eastAsia"/>
                <w:color w:val="000000" w:themeColor="text1"/>
                <w:highlight w:val="none"/>
                <w:lang w:eastAsia="zh-CN"/>
                <w14:textFill>
                  <w14:solidFill>
                    <w14:schemeClr w14:val="tx1"/>
                  </w14:solidFill>
                </w14:textFill>
              </w:rPr>
            </w:pPr>
            <w:r>
              <w:rPr>
                <w:rFonts w:hint="default"/>
                <w:color w:val="000000" w:themeColor="text1"/>
                <w:highlight w:val="none"/>
                <w14:textFill>
                  <w14:solidFill>
                    <w14:schemeClr w14:val="tx1"/>
                  </w14:solidFill>
                </w14:textFill>
              </w:rPr>
              <w:t>供</w:t>
            </w:r>
            <w:r>
              <w:rPr>
                <w:rFonts w:hint="eastAsia"/>
                <w:color w:val="000000" w:themeColor="text1"/>
                <w:highlight w:val="none"/>
                <w:lang w:val="en-US" w:eastAsia="zh-CN"/>
                <w14:textFill>
                  <w14:solidFill>
                    <w14:schemeClr w14:val="tx1"/>
                  </w14:solidFill>
                </w14:textFill>
              </w:rPr>
              <w:t>热</w:t>
            </w:r>
          </w:p>
        </w:tc>
        <w:tc>
          <w:tcPr>
            <w:tcW w:w="2704" w:type="pct"/>
            <w:tcBorders>
              <w:tl2br w:val="nil"/>
              <w:tr2bl w:val="nil"/>
            </w:tcBorders>
            <w:noWrap w:val="0"/>
            <w:vAlign w:val="center"/>
          </w:tcPr>
          <w:p w14:paraId="70BD9915">
            <w:pPr>
              <w:pStyle w:val="26"/>
              <w:bidi w:val="0"/>
              <w:jc w:val="both"/>
              <w:rPr>
                <w:rFonts w:hint="default" w:eastAsia="宋体"/>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工艺过程采用电加热，冬季不生产，值班人员采用电采暖</w:t>
            </w:r>
          </w:p>
        </w:tc>
        <w:tc>
          <w:tcPr>
            <w:tcW w:w="797" w:type="pct"/>
            <w:tcBorders>
              <w:tl2br w:val="nil"/>
              <w:tr2bl w:val="nil"/>
            </w:tcBorders>
            <w:noWrap w:val="0"/>
            <w:vAlign w:val="center"/>
          </w:tcPr>
          <w:p w14:paraId="53731181">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14:textFill>
                  <w14:solidFill>
                    <w14:schemeClr w14:val="tx1"/>
                  </w14:solidFill>
                </w14:textFill>
              </w:rPr>
              <w:t>新建</w:t>
            </w:r>
          </w:p>
        </w:tc>
      </w:tr>
      <w:tr w14:paraId="46BC109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282" w:hRule="atLeast"/>
          <w:jc w:val="center"/>
        </w:trPr>
        <w:tc>
          <w:tcPr>
            <w:tcW w:w="365" w:type="pct"/>
            <w:vMerge w:val="restart"/>
            <w:tcBorders>
              <w:tl2br w:val="nil"/>
              <w:tr2bl w:val="nil"/>
            </w:tcBorders>
            <w:noWrap w:val="0"/>
            <w:vAlign w:val="center"/>
          </w:tcPr>
          <w:p w14:paraId="644E5BF5">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环保工程</w:t>
            </w:r>
          </w:p>
        </w:tc>
        <w:tc>
          <w:tcPr>
            <w:tcW w:w="1131" w:type="pct"/>
            <w:gridSpan w:val="2"/>
            <w:tcBorders>
              <w:tl2br w:val="nil"/>
              <w:tr2bl w:val="nil"/>
            </w:tcBorders>
            <w:noWrap w:val="0"/>
            <w:vAlign w:val="center"/>
          </w:tcPr>
          <w:p w14:paraId="4131ED7D">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14:textFill>
                  <w14:solidFill>
                    <w14:schemeClr w14:val="tx1"/>
                  </w14:solidFill>
                </w14:textFill>
              </w:rPr>
              <w:t>废气</w:t>
            </w:r>
          </w:p>
        </w:tc>
        <w:tc>
          <w:tcPr>
            <w:tcW w:w="2704" w:type="pct"/>
            <w:tcBorders>
              <w:tl2br w:val="nil"/>
              <w:tr2bl w:val="nil"/>
            </w:tcBorders>
            <w:noWrap w:val="0"/>
            <w:vAlign w:val="center"/>
          </w:tcPr>
          <w:p w14:paraId="374DC7D9">
            <w:pPr>
              <w:pStyle w:val="26"/>
              <w:bidi w:val="0"/>
              <w:jc w:val="both"/>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w:t>
            </w:r>
            <w:r>
              <w:rPr>
                <w:rFonts w:hint="default"/>
                <w:color w:val="000000" w:themeColor="text1"/>
                <w:highlight w:val="none"/>
                <w:lang w:val="en-US"/>
                <w14:textFill>
                  <w14:solidFill>
                    <w14:schemeClr w14:val="tx1"/>
                  </w14:solidFill>
                </w14:textFill>
              </w:rPr>
              <w:t>废气收集后由</w:t>
            </w:r>
            <w:r>
              <w:rPr>
                <w:rFonts w:hint="eastAsia"/>
                <w:color w:val="000000" w:themeColor="text1"/>
                <w:highlight w:val="none"/>
                <w:lang w:val="en-US" w:eastAsia="zh-CN"/>
                <w14:textFill>
                  <w14:solidFill>
                    <w14:schemeClr w14:val="tx1"/>
                  </w14:solidFill>
                </w14:textFill>
              </w:rPr>
              <w:t>二级碱</w:t>
            </w:r>
            <w:r>
              <w:rPr>
                <w:rFonts w:hint="default"/>
                <w:color w:val="000000" w:themeColor="text1"/>
                <w:highlight w:val="none"/>
                <w:lang w:val="en-US"/>
                <w14:textFill>
                  <w14:solidFill>
                    <w14:schemeClr w14:val="tx1"/>
                  </w14:solidFill>
                </w14:textFill>
              </w:rPr>
              <w:t>喷淋塔处理后经</w:t>
            </w:r>
            <w:r>
              <w:rPr>
                <w:rFonts w:hint="eastAsia"/>
                <w:color w:val="000000" w:themeColor="text1"/>
                <w:highlight w:val="none"/>
                <w:lang w:val="en-US" w:eastAsia="zh-CN"/>
                <w14:textFill>
                  <w14:solidFill>
                    <w14:schemeClr w14:val="tx1"/>
                  </w14:solidFill>
                </w14:textFill>
              </w:rPr>
              <w:t>1根高度为15m内径为0.4m的</w:t>
            </w:r>
            <w:r>
              <w:rPr>
                <w:rFonts w:hint="default"/>
                <w:color w:val="000000" w:themeColor="text1"/>
                <w:highlight w:val="none"/>
                <w:lang w:val="en-US"/>
                <w14:textFill>
                  <w14:solidFill>
                    <w14:schemeClr w14:val="tx1"/>
                  </w14:solidFill>
                </w14:textFill>
              </w:rPr>
              <w:t>排气筒（DA001）排放</w:t>
            </w:r>
          </w:p>
        </w:tc>
        <w:tc>
          <w:tcPr>
            <w:tcW w:w="797" w:type="pct"/>
            <w:tcBorders>
              <w:tl2br w:val="nil"/>
              <w:tr2bl w:val="nil"/>
            </w:tcBorders>
            <w:noWrap w:val="0"/>
            <w:vAlign w:val="center"/>
          </w:tcPr>
          <w:p w14:paraId="6B927D18">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14:textFill>
                  <w14:solidFill>
                    <w14:schemeClr w14:val="tx1"/>
                  </w14:solidFill>
                </w14:textFill>
              </w:rPr>
              <w:t>新建</w:t>
            </w:r>
          </w:p>
        </w:tc>
      </w:tr>
      <w:tr w14:paraId="77E35A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514" w:hRule="atLeast"/>
          <w:jc w:val="center"/>
        </w:trPr>
        <w:tc>
          <w:tcPr>
            <w:tcW w:w="365" w:type="pct"/>
            <w:vMerge w:val="continue"/>
            <w:tcBorders>
              <w:tl2br w:val="nil"/>
              <w:tr2bl w:val="nil"/>
            </w:tcBorders>
            <w:noWrap w:val="0"/>
            <w:vAlign w:val="center"/>
          </w:tcPr>
          <w:p w14:paraId="6AB48519">
            <w:pPr>
              <w:pStyle w:val="26"/>
              <w:bidi w:val="0"/>
              <w:jc w:val="center"/>
              <w:rPr>
                <w:rFonts w:hint="default"/>
                <w:color w:val="000000" w:themeColor="text1"/>
                <w:highlight w:val="none"/>
                <w14:textFill>
                  <w14:solidFill>
                    <w14:schemeClr w14:val="tx1"/>
                  </w14:solidFill>
                </w14:textFill>
              </w:rPr>
            </w:pPr>
          </w:p>
        </w:tc>
        <w:tc>
          <w:tcPr>
            <w:tcW w:w="1131" w:type="pct"/>
            <w:gridSpan w:val="2"/>
            <w:tcBorders>
              <w:tl2br w:val="nil"/>
              <w:tr2bl w:val="nil"/>
            </w:tcBorders>
            <w:noWrap w:val="0"/>
            <w:vAlign w:val="center"/>
          </w:tcPr>
          <w:p w14:paraId="32904420">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14:textFill>
                  <w14:solidFill>
                    <w14:schemeClr w14:val="tx1"/>
                  </w14:solidFill>
                </w14:textFill>
              </w:rPr>
              <w:t>废水</w:t>
            </w:r>
          </w:p>
        </w:tc>
        <w:tc>
          <w:tcPr>
            <w:tcW w:w="2704" w:type="pct"/>
            <w:tcBorders>
              <w:tl2br w:val="nil"/>
              <w:tr2bl w:val="nil"/>
            </w:tcBorders>
            <w:noWrap w:val="0"/>
            <w:vAlign w:val="center"/>
          </w:tcPr>
          <w:p w14:paraId="5B8CD577">
            <w:pPr>
              <w:pStyle w:val="26"/>
              <w:bidi w:val="0"/>
              <w:ind w:left="0" w:leftChars="0" w:right="0" w:rightChars="0" w:firstLine="0" w:firstLineChars="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生产废水</w:t>
            </w:r>
            <w:r>
              <w:rPr>
                <w:rFonts w:hint="default"/>
                <w:color w:val="000000" w:themeColor="text1"/>
                <w:highlight w:val="none"/>
                <w14:textFill>
                  <w14:solidFill>
                    <w14:schemeClr w14:val="tx1"/>
                  </w14:solidFill>
                </w14:textFill>
              </w:rPr>
              <w:t>回用</w:t>
            </w:r>
            <w:r>
              <w:rPr>
                <w:rFonts w:hint="eastAsia"/>
                <w:color w:val="000000" w:themeColor="text1"/>
                <w:highlight w:val="none"/>
                <w:lang w:val="en-US" w:eastAsia="zh-CN"/>
                <w14:textFill>
                  <w14:solidFill>
                    <w14:schemeClr w14:val="tx1"/>
                  </w14:solidFill>
                </w14:textFill>
              </w:rPr>
              <w:t>用生产工序，</w:t>
            </w:r>
            <w:r>
              <w:rPr>
                <w:rFonts w:hint="default"/>
                <w:color w:val="000000" w:themeColor="text1"/>
                <w:highlight w:val="none"/>
                <w14:textFill>
                  <w14:solidFill>
                    <w14:schemeClr w14:val="tx1"/>
                  </w14:solidFill>
                </w14:textFill>
              </w:rPr>
              <w:t>生活污水排入</w:t>
            </w:r>
            <w:r>
              <w:rPr>
                <w:rFonts w:hint="eastAsia"/>
                <w:color w:val="000000" w:themeColor="text1"/>
                <w:highlight w:val="none"/>
                <w:lang w:eastAsia="zh-CN"/>
                <w14:textFill>
                  <w14:solidFill>
                    <w14:schemeClr w14:val="tx1"/>
                  </w14:solidFill>
                </w14:textFill>
              </w:rPr>
              <w:t>污水管网，</w:t>
            </w:r>
            <w:r>
              <w:rPr>
                <w:rFonts w:hint="eastAsia"/>
                <w:color w:val="000000" w:themeColor="text1"/>
                <w:highlight w:val="none"/>
                <w:lang w:val="en-US" w:eastAsia="zh-CN"/>
                <w14:textFill>
                  <w14:solidFill>
                    <w14:schemeClr w14:val="tx1"/>
                  </w14:solidFill>
                </w14:textFill>
              </w:rPr>
              <w:t>进入园区污水处理厂进一步处理</w:t>
            </w:r>
          </w:p>
        </w:tc>
        <w:tc>
          <w:tcPr>
            <w:tcW w:w="797" w:type="pct"/>
            <w:tcBorders>
              <w:tl2br w:val="nil"/>
              <w:tr2bl w:val="nil"/>
            </w:tcBorders>
            <w:noWrap w:val="0"/>
            <w:vAlign w:val="center"/>
          </w:tcPr>
          <w:p w14:paraId="24C78B0D">
            <w:pPr>
              <w:pStyle w:val="26"/>
              <w:bidi w:val="0"/>
              <w:ind w:left="0" w:leftChars="0" w:right="0" w:rightChars="0" w:firstLine="0" w:firstLineChars="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14:textFill>
                  <w14:solidFill>
                    <w14:schemeClr w14:val="tx1"/>
                  </w14:solidFill>
                </w14:textFill>
              </w:rPr>
              <w:t>新建</w:t>
            </w:r>
          </w:p>
        </w:tc>
      </w:tr>
      <w:tr w14:paraId="4BC042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587" w:hRule="atLeast"/>
          <w:jc w:val="center"/>
        </w:trPr>
        <w:tc>
          <w:tcPr>
            <w:tcW w:w="365" w:type="pct"/>
            <w:vMerge w:val="continue"/>
            <w:tcBorders>
              <w:tl2br w:val="nil"/>
              <w:tr2bl w:val="nil"/>
            </w:tcBorders>
            <w:noWrap w:val="0"/>
            <w:vAlign w:val="center"/>
          </w:tcPr>
          <w:p w14:paraId="2AEDC2B6">
            <w:pPr>
              <w:pStyle w:val="26"/>
              <w:bidi w:val="0"/>
              <w:jc w:val="center"/>
              <w:rPr>
                <w:rFonts w:hint="default"/>
                <w:color w:val="000000" w:themeColor="text1"/>
                <w:highlight w:val="none"/>
                <w14:textFill>
                  <w14:solidFill>
                    <w14:schemeClr w14:val="tx1"/>
                  </w14:solidFill>
                </w14:textFill>
              </w:rPr>
            </w:pPr>
          </w:p>
        </w:tc>
        <w:tc>
          <w:tcPr>
            <w:tcW w:w="406" w:type="pct"/>
            <w:vMerge w:val="restart"/>
            <w:tcBorders>
              <w:tl2br w:val="nil"/>
              <w:tr2bl w:val="nil"/>
            </w:tcBorders>
            <w:noWrap w:val="0"/>
            <w:vAlign w:val="center"/>
          </w:tcPr>
          <w:p w14:paraId="0AEA3E5C">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固废</w:t>
            </w:r>
          </w:p>
        </w:tc>
        <w:tc>
          <w:tcPr>
            <w:tcW w:w="724" w:type="pct"/>
            <w:tcBorders>
              <w:tl2br w:val="nil"/>
              <w:tr2bl w:val="nil"/>
            </w:tcBorders>
            <w:noWrap w:val="0"/>
            <w:vAlign w:val="center"/>
          </w:tcPr>
          <w:p w14:paraId="6E6D2B33">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一般固体废物</w:t>
            </w:r>
          </w:p>
        </w:tc>
        <w:tc>
          <w:tcPr>
            <w:tcW w:w="2704" w:type="pct"/>
            <w:tcBorders>
              <w:tl2br w:val="nil"/>
              <w:tr2bl w:val="nil"/>
            </w:tcBorders>
            <w:noWrap w:val="0"/>
            <w:vAlign w:val="center"/>
          </w:tcPr>
          <w:p w14:paraId="1EF2598F">
            <w:pPr>
              <w:pStyle w:val="26"/>
              <w:bidi w:val="0"/>
              <w:ind w:left="0" w:leftChars="0" w:right="0" w:rightChars="0" w:firstLine="0" w:firstLineChars="0"/>
              <w:jc w:val="both"/>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未沾染有毒有害物质的包装袋</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桶</w:t>
            </w:r>
            <w:r>
              <w:rPr>
                <w:rFonts w:hint="eastAsia"/>
                <w:color w:val="000000" w:themeColor="text1"/>
                <w:highlight w:val="none"/>
                <w:lang w:val="en-US" w:eastAsia="zh-CN"/>
                <w14:textFill>
                  <w14:solidFill>
                    <w14:schemeClr w14:val="tx1"/>
                  </w14:solidFill>
                </w14:textFill>
              </w:rPr>
              <w:t>）外售处理；废离子交换树脂由厂家回收处理</w:t>
            </w:r>
          </w:p>
        </w:tc>
        <w:tc>
          <w:tcPr>
            <w:tcW w:w="797" w:type="pct"/>
            <w:tcBorders>
              <w:tl2br w:val="nil"/>
              <w:tr2bl w:val="nil"/>
            </w:tcBorders>
            <w:noWrap w:val="0"/>
            <w:vAlign w:val="center"/>
          </w:tcPr>
          <w:p w14:paraId="6AEF2A40">
            <w:pPr>
              <w:pStyle w:val="26"/>
              <w:bidi w:val="0"/>
              <w:ind w:left="0" w:leftChars="0" w:right="0" w:rightChars="0" w:firstLine="0" w:firstLineChars="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新建</w:t>
            </w:r>
          </w:p>
        </w:tc>
      </w:tr>
      <w:tr w14:paraId="02E1B7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587" w:hRule="atLeast"/>
          <w:jc w:val="center"/>
        </w:trPr>
        <w:tc>
          <w:tcPr>
            <w:tcW w:w="365" w:type="pct"/>
            <w:vMerge w:val="continue"/>
            <w:tcBorders>
              <w:tl2br w:val="nil"/>
              <w:tr2bl w:val="nil"/>
            </w:tcBorders>
            <w:noWrap w:val="0"/>
            <w:vAlign w:val="center"/>
          </w:tcPr>
          <w:p w14:paraId="2A36E3F5">
            <w:pPr>
              <w:pStyle w:val="26"/>
              <w:bidi w:val="0"/>
              <w:jc w:val="center"/>
              <w:rPr>
                <w:rFonts w:hint="default"/>
                <w:color w:val="000000" w:themeColor="text1"/>
                <w:highlight w:val="none"/>
                <w14:textFill>
                  <w14:solidFill>
                    <w14:schemeClr w14:val="tx1"/>
                  </w14:solidFill>
                </w14:textFill>
              </w:rPr>
            </w:pPr>
          </w:p>
        </w:tc>
        <w:tc>
          <w:tcPr>
            <w:tcW w:w="406" w:type="pct"/>
            <w:vMerge w:val="continue"/>
            <w:tcBorders>
              <w:tl2br w:val="nil"/>
              <w:tr2bl w:val="nil"/>
            </w:tcBorders>
            <w:noWrap w:val="0"/>
            <w:vAlign w:val="center"/>
          </w:tcPr>
          <w:p w14:paraId="35B5F594">
            <w:pPr>
              <w:pStyle w:val="26"/>
              <w:bidi w:val="0"/>
              <w:jc w:val="center"/>
              <w:rPr>
                <w:rFonts w:hint="default"/>
                <w:color w:val="000000" w:themeColor="text1"/>
                <w:highlight w:val="none"/>
                <w14:textFill>
                  <w14:solidFill>
                    <w14:schemeClr w14:val="tx1"/>
                  </w14:solidFill>
                </w14:textFill>
              </w:rPr>
            </w:pPr>
          </w:p>
        </w:tc>
        <w:tc>
          <w:tcPr>
            <w:tcW w:w="724" w:type="pct"/>
            <w:tcBorders>
              <w:tl2br w:val="nil"/>
              <w:tr2bl w:val="nil"/>
            </w:tcBorders>
            <w:noWrap w:val="0"/>
            <w:vAlign w:val="center"/>
          </w:tcPr>
          <w:p w14:paraId="0C416142">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危险废物</w:t>
            </w:r>
          </w:p>
        </w:tc>
        <w:tc>
          <w:tcPr>
            <w:tcW w:w="2704" w:type="pct"/>
            <w:tcBorders>
              <w:tl2br w:val="nil"/>
              <w:tr2bl w:val="nil"/>
            </w:tcBorders>
            <w:noWrap w:val="0"/>
            <w:vAlign w:val="center"/>
          </w:tcPr>
          <w:p w14:paraId="0A4ED2A9">
            <w:pPr>
              <w:pStyle w:val="26"/>
              <w:bidi w:val="0"/>
              <w:ind w:left="0" w:leftChars="0" w:right="0" w:rightChars="0" w:firstLine="0" w:firstLineChars="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废润滑油和废润滑油桶暂存于厂区新建危废贮存库，定期交由资质单位处置</w:t>
            </w:r>
          </w:p>
        </w:tc>
        <w:tc>
          <w:tcPr>
            <w:tcW w:w="797" w:type="pct"/>
            <w:tcBorders>
              <w:tl2br w:val="nil"/>
              <w:tr2bl w:val="nil"/>
            </w:tcBorders>
            <w:noWrap w:val="0"/>
            <w:vAlign w:val="center"/>
          </w:tcPr>
          <w:p w14:paraId="5C6BC4E2">
            <w:pPr>
              <w:pStyle w:val="26"/>
              <w:bidi w:val="0"/>
              <w:ind w:left="0" w:leftChars="0" w:right="0" w:rightChars="0" w:firstLine="0" w:firstLineChars="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新建</w:t>
            </w:r>
          </w:p>
        </w:tc>
      </w:tr>
      <w:tr w14:paraId="573A1C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92" w:hRule="atLeast"/>
          <w:jc w:val="center"/>
        </w:trPr>
        <w:tc>
          <w:tcPr>
            <w:tcW w:w="365" w:type="pct"/>
            <w:vMerge w:val="continue"/>
            <w:tcBorders>
              <w:tl2br w:val="nil"/>
              <w:tr2bl w:val="nil"/>
            </w:tcBorders>
            <w:noWrap w:val="0"/>
            <w:vAlign w:val="center"/>
          </w:tcPr>
          <w:p w14:paraId="2A3530FF">
            <w:pPr>
              <w:pStyle w:val="26"/>
              <w:bidi w:val="0"/>
              <w:jc w:val="center"/>
              <w:rPr>
                <w:rFonts w:hint="default"/>
                <w:color w:val="000000" w:themeColor="text1"/>
                <w:highlight w:val="none"/>
                <w14:textFill>
                  <w14:solidFill>
                    <w14:schemeClr w14:val="tx1"/>
                  </w14:solidFill>
                </w14:textFill>
              </w:rPr>
            </w:pPr>
          </w:p>
        </w:tc>
        <w:tc>
          <w:tcPr>
            <w:tcW w:w="1131" w:type="pct"/>
            <w:gridSpan w:val="2"/>
            <w:tcBorders>
              <w:tl2br w:val="nil"/>
              <w:tr2bl w:val="nil"/>
            </w:tcBorders>
            <w:noWrap w:val="0"/>
            <w:vAlign w:val="center"/>
          </w:tcPr>
          <w:p w14:paraId="4948A732">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噪声治理</w:t>
            </w:r>
          </w:p>
        </w:tc>
        <w:tc>
          <w:tcPr>
            <w:tcW w:w="2704" w:type="pct"/>
            <w:tcBorders>
              <w:tl2br w:val="nil"/>
              <w:tr2bl w:val="nil"/>
            </w:tcBorders>
            <w:noWrap w:val="0"/>
            <w:vAlign w:val="center"/>
          </w:tcPr>
          <w:p w14:paraId="1B9C617E">
            <w:pPr>
              <w:pStyle w:val="26"/>
              <w:bidi w:val="0"/>
              <w:jc w:val="center"/>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车间采用隔声材料，配</w:t>
            </w:r>
            <w:r>
              <w:rPr>
                <w:rFonts w:hint="eastAsia"/>
                <w:color w:val="000000" w:themeColor="text1"/>
                <w:highlight w:val="none"/>
                <w:lang w:eastAsia="zh-CN"/>
                <w14:textFill>
                  <w14:solidFill>
                    <w14:schemeClr w14:val="tx1"/>
                  </w14:solidFill>
                </w14:textFill>
              </w:rPr>
              <w:t>置</w:t>
            </w:r>
            <w:r>
              <w:rPr>
                <w:rFonts w:hint="default"/>
                <w:color w:val="000000" w:themeColor="text1"/>
                <w:highlight w:val="none"/>
                <w14:textFill>
                  <w14:solidFill>
                    <w14:schemeClr w14:val="tx1"/>
                  </w14:solidFill>
                </w14:textFill>
              </w:rPr>
              <w:t>隔声、消声、减震装置</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合理安排运输车辆路线和时间等，厂区内减速、禁鸣。</w:t>
            </w:r>
          </w:p>
        </w:tc>
        <w:tc>
          <w:tcPr>
            <w:tcW w:w="797" w:type="pct"/>
            <w:tcBorders>
              <w:tl2br w:val="nil"/>
              <w:tr2bl w:val="nil"/>
            </w:tcBorders>
            <w:noWrap w:val="0"/>
            <w:vAlign w:val="center"/>
          </w:tcPr>
          <w:p w14:paraId="235F4B2C">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14:textFill>
                  <w14:solidFill>
                    <w14:schemeClr w14:val="tx1"/>
                  </w14:solidFill>
                </w14:textFill>
              </w:rPr>
              <w:t>新建</w:t>
            </w:r>
          </w:p>
        </w:tc>
      </w:tr>
      <w:tr w14:paraId="22269E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2022" w:hRule="atLeast"/>
          <w:jc w:val="center"/>
        </w:trPr>
        <w:tc>
          <w:tcPr>
            <w:tcW w:w="365" w:type="pct"/>
            <w:vMerge w:val="continue"/>
            <w:tcBorders>
              <w:tl2br w:val="nil"/>
              <w:tr2bl w:val="nil"/>
            </w:tcBorders>
            <w:noWrap w:val="0"/>
            <w:vAlign w:val="center"/>
          </w:tcPr>
          <w:p w14:paraId="1FE3EB0A">
            <w:pPr>
              <w:pStyle w:val="26"/>
              <w:bidi w:val="0"/>
              <w:jc w:val="center"/>
              <w:rPr>
                <w:rFonts w:hint="default"/>
                <w:color w:val="000000" w:themeColor="text1"/>
                <w:highlight w:val="none"/>
                <w14:textFill>
                  <w14:solidFill>
                    <w14:schemeClr w14:val="tx1"/>
                  </w14:solidFill>
                </w14:textFill>
              </w:rPr>
            </w:pPr>
          </w:p>
        </w:tc>
        <w:tc>
          <w:tcPr>
            <w:tcW w:w="1131" w:type="pct"/>
            <w:gridSpan w:val="2"/>
            <w:tcBorders>
              <w:tl2br w:val="nil"/>
              <w:tr2bl w:val="nil"/>
            </w:tcBorders>
            <w:noWrap w:val="0"/>
            <w:vAlign w:val="center"/>
          </w:tcPr>
          <w:p w14:paraId="2172DA9B">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14:textFill>
                  <w14:solidFill>
                    <w14:schemeClr w14:val="tx1"/>
                  </w14:solidFill>
                </w14:textFill>
              </w:rPr>
              <w:t>地下水、土壤保护</w:t>
            </w:r>
          </w:p>
        </w:tc>
        <w:tc>
          <w:tcPr>
            <w:tcW w:w="2704" w:type="pct"/>
            <w:tcBorders>
              <w:tl2br w:val="nil"/>
              <w:tr2bl w:val="nil"/>
            </w:tcBorders>
            <w:noWrap w:val="0"/>
            <w:vAlign w:val="center"/>
          </w:tcPr>
          <w:p w14:paraId="095E6479">
            <w:pPr>
              <w:pStyle w:val="26"/>
              <w:bidi w:val="0"/>
              <w:jc w:val="both"/>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重点防渗区：防渗措施应采用等效黏土防渗层 Mb≥6.0m，K≤10</w:t>
            </w:r>
            <w:r>
              <w:rPr>
                <w:rFonts w:hint="default"/>
                <w:color w:val="000000" w:themeColor="text1"/>
                <w:highlight w:val="none"/>
                <w:vertAlign w:val="superscript"/>
                <w14:textFill>
                  <w14:solidFill>
                    <w14:schemeClr w14:val="tx1"/>
                  </w14:solidFill>
                </w14:textFill>
              </w:rPr>
              <w:t>-</w:t>
            </w:r>
            <w:r>
              <w:rPr>
                <w:rFonts w:hint="eastAsia"/>
                <w:color w:val="000000" w:themeColor="text1"/>
                <w:highlight w:val="none"/>
                <w:vertAlign w:val="superscript"/>
                <w:lang w:val="en-US" w:eastAsia="zh-CN"/>
                <w14:textFill>
                  <w14:solidFill>
                    <w14:schemeClr w14:val="tx1"/>
                  </w14:solidFill>
                </w14:textFill>
              </w:rPr>
              <w:t>10</w:t>
            </w:r>
            <w:r>
              <w:rPr>
                <w:rFonts w:hint="default"/>
                <w:color w:val="000000" w:themeColor="text1"/>
                <w:highlight w:val="none"/>
                <w14:textFill>
                  <w14:solidFill>
                    <w14:schemeClr w14:val="tx1"/>
                  </w14:solidFill>
                </w14:textFill>
              </w:rPr>
              <w:t>cm/s；</w:t>
            </w:r>
          </w:p>
          <w:p w14:paraId="426EFDE1">
            <w:pPr>
              <w:pStyle w:val="26"/>
              <w:bidi w:val="0"/>
              <w:jc w:val="both"/>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一般防渗区：</w:t>
            </w:r>
            <w:r>
              <w:rPr>
                <w:rFonts w:hint="eastAsia"/>
                <w:color w:val="000000" w:themeColor="text1"/>
                <w:highlight w:val="none"/>
                <w:lang w:val="en-US" w:eastAsia="zh-CN"/>
                <w14:textFill>
                  <w14:solidFill>
                    <w14:schemeClr w14:val="tx1"/>
                  </w14:solidFill>
                </w14:textFill>
              </w:rPr>
              <w:t>库房</w:t>
            </w:r>
            <w:r>
              <w:rPr>
                <w:rFonts w:hint="default"/>
                <w:color w:val="000000" w:themeColor="text1"/>
                <w:highlight w:val="none"/>
                <w14:textFill>
                  <w14:solidFill>
                    <w14:schemeClr w14:val="tx1"/>
                  </w14:solidFill>
                </w14:textFill>
              </w:rPr>
              <w:t>防渗措施应采用等效黏土防渗层 Mb≥1.5m，K≤10</w:t>
            </w:r>
            <w:r>
              <w:rPr>
                <w:rFonts w:hint="default"/>
                <w:color w:val="000000" w:themeColor="text1"/>
                <w:highlight w:val="none"/>
                <w:vertAlign w:val="superscript"/>
                <w14:textFill>
                  <w14:solidFill>
                    <w14:schemeClr w14:val="tx1"/>
                  </w14:solidFill>
                </w14:textFill>
              </w:rPr>
              <w:t>-7</w:t>
            </w:r>
            <w:r>
              <w:rPr>
                <w:rFonts w:hint="default"/>
                <w:color w:val="000000" w:themeColor="text1"/>
                <w:highlight w:val="none"/>
                <w14:textFill>
                  <w14:solidFill>
                    <w14:schemeClr w14:val="tx1"/>
                  </w14:solidFill>
                </w14:textFill>
              </w:rPr>
              <w:t>cm/s；</w:t>
            </w:r>
          </w:p>
          <w:p w14:paraId="5B7EA190">
            <w:pPr>
              <w:pStyle w:val="26"/>
              <w:bidi w:val="0"/>
              <w:jc w:val="both"/>
              <w:rPr>
                <w:rFonts w:hint="default"/>
                <w:color w:val="000000" w:themeColor="text1"/>
                <w:highlight w:val="none"/>
                <w:lang w:val="en-US"/>
                <w14:textFill>
                  <w14:solidFill>
                    <w14:schemeClr w14:val="tx1"/>
                  </w14:solidFill>
                </w14:textFill>
              </w:rPr>
            </w:pPr>
            <w:r>
              <w:rPr>
                <w:rFonts w:hint="default"/>
                <w:color w:val="000000" w:themeColor="text1"/>
                <w:highlight w:val="none"/>
                <w14:textFill>
                  <w14:solidFill>
                    <w14:schemeClr w14:val="tx1"/>
                  </w14:solidFill>
                </w14:textFill>
              </w:rPr>
              <w:t>简单防渗区：上述区域以外的办公区、厂区道路等，进行一般地面硬化</w:t>
            </w:r>
          </w:p>
        </w:tc>
        <w:tc>
          <w:tcPr>
            <w:tcW w:w="797" w:type="pct"/>
            <w:tcBorders>
              <w:tl2br w:val="nil"/>
              <w:tr2bl w:val="nil"/>
            </w:tcBorders>
            <w:noWrap w:val="0"/>
            <w:vAlign w:val="center"/>
          </w:tcPr>
          <w:p w14:paraId="49FE9A3A">
            <w:pPr>
              <w:pStyle w:val="26"/>
              <w:bidi w:val="0"/>
              <w:jc w:val="center"/>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14:textFill>
                  <w14:solidFill>
                    <w14:schemeClr w14:val="tx1"/>
                  </w14:solidFill>
                </w14:textFill>
              </w:rPr>
              <w:t>新建</w:t>
            </w:r>
          </w:p>
        </w:tc>
      </w:tr>
      <w:bookmarkEnd w:id="602"/>
      <w:bookmarkEnd w:id="603"/>
    </w:tbl>
    <w:p w14:paraId="33D535D1">
      <w:pPr>
        <w:pStyle w:val="4"/>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2</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主要</w:t>
      </w:r>
      <w:r>
        <w:rPr>
          <w:rFonts w:hint="eastAsia" w:ascii="Times New Roman" w:hAnsi="Times New Roman" w:cs="Times New Roman"/>
          <w:color w:val="000000" w:themeColor="text1"/>
          <w:highlight w:val="none"/>
          <w:lang w:val="en-US" w:eastAsia="zh-CN"/>
          <w14:textFill>
            <w14:solidFill>
              <w14:schemeClr w14:val="tx1"/>
            </w14:solidFill>
          </w14:textFill>
        </w:rPr>
        <w:t>生产</w:t>
      </w:r>
      <w:r>
        <w:rPr>
          <w:rFonts w:hint="default" w:ascii="Times New Roman" w:hAnsi="Times New Roman" w:cs="Times New Roman"/>
          <w:color w:val="000000" w:themeColor="text1"/>
          <w:highlight w:val="none"/>
          <w14:textFill>
            <w14:solidFill>
              <w14:schemeClr w14:val="tx1"/>
            </w14:solidFill>
          </w14:textFill>
        </w:rPr>
        <w:t>设备</w:t>
      </w:r>
    </w:p>
    <w:p w14:paraId="455072FE">
      <w:pPr>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本项目主要机械设备为</w:t>
      </w:r>
      <w:r>
        <w:rPr>
          <w:rFonts w:hint="eastAsia"/>
          <w:color w:val="000000" w:themeColor="text1"/>
          <w:highlight w:val="none"/>
          <w:lang w:val="en-US" w:eastAsia="zh-CN"/>
          <w14:textFill>
            <w14:solidFill>
              <w14:schemeClr w14:val="tx1"/>
            </w14:solidFill>
          </w14:textFill>
        </w:rPr>
        <w:t>减水剂生产线</w:t>
      </w:r>
      <w:r>
        <w:rPr>
          <w:rFonts w:hint="default"/>
          <w:color w:val="000000" w:themeColor="text1"/>
          <w:highlight w:val="none"/>
          <w:lang w:val="en-US"/>
          <w14:textFill>
            <w14:solidFill>
              <w14:schemeClr w14:val="tx1"/>
            </w14:solidFill>
          </w14:textFill>
        </w:rPr>
        <w:t>反应釜</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上水泵</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抽料泵</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硫酸铝外加剂生产线</w:t>
      </w:r>
      <w:r>
        <w:rPr>
          <w:rFonts w:hint="default"/>
          <w:color w:val="000000" w:themeColor="text1"/>
          <w:highlight w:val="none"/>
          <w:lang w:val="en-US"/>
          <w14:textFill>
            <w14:solidFill>
              <w14:schemeClr w14:val="tx1"/>
            </w14:solidFill>
          </w14:textFill>
        </w:rPr>
        <w:t>反应釜</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搅拌罐</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速凝剂生产线反应釜、搅拌釜</w:t>
      </w:r>
      <w:r>
        <w:rPr>
          <w:rFonts w:hint="default"/>
          <w:color w:val="000000" w:themeColor="text1"/>
          <w:highlight w:val="none"/>
          <w14:textFill>
            <w14:solidFill>
              <w14:schemeClr w14:val="tx1"/>
            </w14:solidFill>
          </w14:textFill>
        </w:rPr>
        <w:t>，主要设备清单见表</w:t>
      </w:r>
      <w:r>
        <w:rPr>
          <w:rFonts w:hint="eastAsia"/>
          <w:color w:val="000000" w:themeColor="text1"/>
          <w:highlight w:val="none"/>
          <w:lang w:val="en-US" w:eastAsia="zh-CN"/>
          <w14:textFill>
            <w14:solidFill>
              <w14:schemeClr w14:val="tx1"/>
            </w14:solidFill>
          </w14:textFill>
        </w:rPr>
        <w:t>3.2.2-1</w:t>
      </w:r>
      <w:r>
        <w:rPr>
          <w:rFonts w:hint="default"/>
          <w:color w:val="000000" w:themeColor="text1"/>
          <w:highlight w:val="none"/>
          <w14:textFill>
            <w14:solidFill>
              <w14:schemeClr w14:val="tx1"/>
            </w14:solidFill>
          </w14:textFill>
        </w:rPr>
        <w:t>。</w:t>
      </w:r>
    </w:p>
    <w:p w14:paraId="32875ADB">
      <w:pPr>
        <w:pStyle w:val="2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表3.2.2-1      项目</w:t>
      </w:r>
      <w:r>
        <w:rPr>
          <w:rFonts w:hint="default"/>
          <w:color w:val="000000" w:themeColor="text1"/>
          <w:highlight w:val="none"/>
          <w14:textFill>
            <w14:solidFill>
              <w14:schemeClr w14:val="tx1"/>
            </w14:solidFill>
          </w14:textFill>
        </w:rPr>
        <w:t>主要设备清单</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2479"/>
        <w:gridCol w:w="2343"/>
        <w:gridCol w:w="960"/>
        <w:gridCol w:w="2229"/>
      </w:tblGrid>
      <w:tr w14:paraId="2E8D40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noWrap w:val="0"/>
            <w:vAlign w:val="center"/>
          </w:tcPr>
          <w:p w14:paraId="19F1318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2479" w:type="dxa"/>
            <w:noWrap w:val="0"/>
            <w:vAlign w:val="center"/>
          </w:tcPr>
          <w:p w14:paraId="29EC55C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设备名称</w:t>
            </w:r>
          </w:p>
        </w:tc>
        <w:tc>
          <w:tcPr>
            <w:tcW w:w="2343" w:type="dxa"/>
            <w:noWrap w:val="0"/>
            <w:vAlign w:val="center"/>
          </w:tcPr>
          <w:p w14:paraId="787ED216">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型号规格</w:t>
            </w:r>
          </w:p>
        </w:tc>
        <w:tc>
          <w:tcPr>
            <w:tcW w:w="960" w:type="dxa"/>
            <w:noWrap w:val="0"/>
            <w:vAlign w:val="center"/>
          </w:tcPr>
          <w:p w14:paraId="5C4300D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数量</w:t>
            </w:r>
          </w:p>
        </w:tc>
        <w:tc>
          <w:tcPr>
            <w:tcW w:w="2229" w:type="dxa"/>
            <w:noWrap w:val="0"/>
            <w:vAlign w:val="center"/>
          </w:tcPr>
          <w:p w14:paraId="770248D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备注</w:t>
            </w:r>
          </w:p>
        </w:tc>
      </w:tr>
      <w:tr w14:paraId="471981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7669127C">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w:t>
            </w:r>
          </w:p>
        </w:tc>
        <w:tc>
          <w:tcPr>
            <w:tcW w:w="8011" w:type="dxa"/>
            <w:gridSpan w:val="4"/>
            <w:shd w:val="clear" w:color="auto" w:fill="auto"/>
            <w:noWrap w:val="0"/>
            <w:vAlign w:val="center"/>
          </w:tcPr>
          <w:p w14:paraId="1B67DA52">
            <w:pPr>
              <w:pStyle w:val="26"/>
              <w:bidi w:val="0"/>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聚羧酸减水剂生产线</w:t>
            </w:r>
          </w:p>
        </w:tc>
      </w:tr>
      <w:tr w14:paraId="1931B6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2DD99648">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479" w:type="dxa"/>
            <w:shd w:val="clear" w:color="auto" w:fill="auto"/>
            <w:noWrap w:val="0"/>
            <w:vAlign w:val="center"/>
          </w:tcPr>
          <w:p w14:paraId="53BDF64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反应釜</w:t>
            </w:r>
          </w:p>
        </w:tc>
        <w:tc>
          <w:tcPr>
            <w:tcW w:w="2343" w:type="dxa"/>
            <w:shd w:val="clear" w:color="auto" w:fill="auto"/>
            <w:noWrap w:val="0"/>
            <w:vAlign w:val="center"/>
          </w:tcPr>
          <w:p w14:paraId="32845FC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10t</w:t>
            </w:r>
            <w:r>
              <w:rPr>
                <w:rFonts w:hint="eastAsia" w:cs="Times New Roman"/>
                <w:color w:val="000000" w:themeColor="text1"/>
                <w:highlight w:val="none"/>
                <w:lang w:val="en-US" w:eastAsia="zh-CN"/>
                <w14:textFill>
                  <w14:solidFill>
                    <w14:schemeClr w14:val="tx1"/>
                  </w14:solidFill>
                </w14:textFill>
              </w:rPr>
              <w:t xml:space="preserve">, </w:t>
            </w:r>
            <w:r>
              <w:rPr>
                <w:rFonts w:hint="eastAsia" w:ascii="Times New Roman" w:hAnsi="Times New Roman" w:eastAsia="宋体" w:cs="Times New Roman"/>
                <w:color w:val="000000" w:themeColor="text1"/>
                <w:highlight w:val="none"/>
                <w14:textFill>
                  <w14:solidFill>
                    <w14:schemeClr w14:val="tx1"/>
                  </w14:solidFill>
                </w14:textFill>
              </w:rPr>
              <w:t>YE</w:t>
            </w:r>
            <w:r>
              <w:rPr>
                <w:rFonts w:hint="eastAsia" w:cs="Times New Roman"/>
                <w:color w:val="000000" w:themeColor="text1"/>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highlight w:val="none"/>
                <w14:textFill>
                  <w14:solidFill>
                    <w14:schemeClr w14:val="tx1"/>
                  </w14:solidFill>
                </w14:textFill>
              </w:rPr>
              <w:t>-160M-4</w:t>
            </w:r>
          </w:p>
        </w:tc>
        <w:tc>
          <w:tcPr>
            <w:tcW w:w="960" w:type="dxa"/>
            <w:shd w:val="clear" w:color="auto" w:fill="auto"/>
            <w:noWrap w:val="0"/>
            <w:vAlign w:val="center"/>
          </w:tcPr>
          <w:p w14:paraId="72095E11">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2229" w:type="dxa"/>
            <w:shd w:val="clear" w:color="auto" w:fill="auto"/>
            <w:noWrap w:val="0"/>
            <w:vAlign w:val="center"/>
          </w:tcPr>
          <w:p w14:paraId="471FBA8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新建1</w:t>
            </w:r>
            <w:r>
              <w:rPr>
                <w:rFonts w:hint="eastAsia" w:cs="Times New Roman"/>
                <w:color w:val="000000" w:themeColor="text1"/>
                <w:highlight w:val="none"/>
                <w:lang w:val="en-US" w:eastAsia="zh-CN"/>
                <w14:textFill>
                  <w14:solidFill>
                    <w14:schemeClr w14:val="tx1"/>
                  </w14:solidFill>
                </w14:textFill>
              </w:rPr>
              <w:t>套</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拆建</w:t>
            </w: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套</w:t>
            </w:r>
          </w:p>
        </w:tc>
      </w:tr>
      <w:tr w14:paraId="18E6EF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694D67A8">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479" w:type="dxa"/>
            <w:shd w:val="clear" w:color="auto" w:fill="auto"/>
            <w:noWrap w:val="0"/>
            <w:vAlign w:val="center"/>
          </w:tcPr>
          <w:p w14:paraId="604AD182">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水罐</w:t>
            </w:r>
          </w:p>
        </w:tc>
        <w:tc>
          <w:tcPr>
            <w:tcW w:w="2343" w:type="dxa"/>
            <w:shd w:val="clear" w:color="auto" w:fill="auto"/>
            <w:noWrap w:val="0"/>
            <w:vAlign w:val="center"/>
          </w:tcPr>
          <w:p w14:paraId="6FBCE6D7">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30t</w:t>
            </w:r>
          </w:p>
        </w:tc>
        <w:tc>
          <w:tcPr>
            <w:tcW w:w="960" w:type="dxa"/>
            <w:shd w:val="clear" w:color="auto" w:fill="auto"/>
            <w:noWrap w:val="0"/>
            <w:vAlign w:val="center"/>
          </w:tcPr>
          <w:p w14:paraId="278AD47D">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w:t>
            </w:r>
          </w:p>
        </w:tc>
        <w:tc>
          <w:tcPr>
            <w:tcW w:w="2229" w:type="dxa"/>
            <w:shd w:val="clear" w:color="auto" w:fill="auto"/>
            <w:noWrap w:val="0"/>
            <w:vAlign w:val="center"/>
          </w:tcPr>
          <w:p w14:paraId="127CD63A">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3E263D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0CF3CC97">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479" w:type="dxa"/>
            <w:shd w:val="clear" w:color="auto" w:fill="auto"/>
            <w:noWrap w:val="0"/>
            <w:vAlign w:val="center"/>
          </w:tcPr>
          <w:p w14:paraId="6DDE67C4">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储存罐</w:t>
            </w:r>
          </w:p>
        </w:tc>
        <w:tc>
          <w:tcPr>
            <w:tcW w:w="2343" w:type="dxa"/>
            <w:shd w:val="clear" w:color="auto" w:fill="auto"/>
            <w:noWrap w:val="0"/>
            <w:vAlign w:val="center"/>
          </w:tcPr>
          <w:p w14:paraId="496A9CB1">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30t</w:t>
            </w:r>
          </w:p>
        </w:tc>
        <w:tc>
          <w:tcPr>
            <w:tcW w:w="960" w:type="dxa"/>
            <w:shd w:val="clear" w:color="auto" w:fill="auto"/>
            <w:noWrap w:val="0"/>
            <w:vAlign w:val="center"/>
          </w:tcPr>
          <w:p w14:paraId="789521EC">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9</w:t>
            </w:r>
          </w:p>
        </w:tc>
        <w:tc>
          <w:tcPr>
            <w:tcW w:w="2229" w:type="dxa"/>
            <w:shd w:val="clear" w:color="auto" w:fill="auto"/>
            <w:noWrap w:val="0"/>
            <w:vAlign w:val="center"/>
          </w:tcPr>
          <w:p w14:paraId="7875869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09309F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3A3EF1CF">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479" w:type="dxa"/>
            <w:shd w:val="clear" w:color="auto" w:fill="auto"/>
            <w:noWrap w:val="0"/>
            <w:vAlign w:val="center"/>
          </w:tcPr>
          <w:p w14:paraId="5558C0AC">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预混罐1</w:t>
            </w:r>
          </w:p>
        </w:tc>
        <w:tc>
          <w:tcPr>
            <w:tcW w:w="2343" w:type="dxa"/>
            <w:shd w:val="clear" w:color="auto" w:fill="auto"/>
            <w:noWrap w:val="0"/>
            <w:vAlign w:val="center"/>
          </w:tcPr>
          <w:p w14:paraId="29D3AC6D">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2t</w:t>
            </w:r>
          </w:p>
        </w:tc>
        <w:tc>
          <w:tcPr>
            <w:tcW w:w="960" w:type="dxa"/>
            <w:shd w:val="clear" w:color="auto" w:fill="auto"/>
            <w:noWrap w:val="0"/>
            <w:vAlign w:val="center"/>
          </w:tcPr>
          <w:p w14:paraId="78667F68">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w:t>
            </w:r>
          </w:p>
        </w:tc>
        <w:tc>
          <w:tcPr>
            <w:tcW w:w="2229" w:type="dxa"/>
            <w:shd w:val="clear" w:color="auto" w:fill="auto"/>
            <w:noWrap w:val="0"/>
            <w:vAlign w:val="center"/>
          </w:tcPr>
          <w:p w14:paraId="4EA48B76">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3C186F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35DC558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479" w:type="dxa"/>
            <w:shd w:val="clear" w:color="auto" w:fill="auto"/>
            <w:noWrap w:val="0"/>
            <w:vAlign w:val="center"/>
          </w:tcPr>
          <w:p w14:paraId="76980BCA">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预混罐</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2343" w:type="dxa"/>
            <w:shd w:val="clear" w:color="auto" w:fill="auto"/>
            <w:noWrap w:val="0"/>
            <w:vAlign w:val="center"/>
          </w:tcPr>
          <w:p w14:paraId="2452214F">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2t</w:t>
            </w:r>
          </w:p>
        </w:tc>
        <w:tc>
          <w:tcPr>
            <w:tcW w:w="960" w:type="dxa"/>
            <w:shd w:val="clear" w:color="auto" w:fill="auto"/>
            <w:noWrap w:val="0"/>
            <w:vAlign w:val="center"/>
          </w:tcPr>
          <w:p w14:paraId="033301C0">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2</w:t>
            </w:r>
          </w:p>
        </w:tc>
        <w:tc>
          <w:tcPr>
            <w:tcW w:w="2229" w:type="dxa"/>
            <w:shd w:val="clear" w:color="auto" w:fill="auto"/>
            <w:noWrap w:val="0"/>
            <w:vAlign w:val="center"/>
          </w:tcPr>
          <w:p w14:paraId="2983180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2F1ADA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0D6151D6">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p>
        </w:tc>
        <w:tc>
          <w:tcPr>
            <w:tcW w:w="2479" w:type="dxa"/>
            <w:shd w:val="clear" w:color="auto" w:fill="auto"/>
            <w:noWrap w:val="0"/>
            <w:vAlign w:val="center"/>
          </w:tcPr>
          <w:p w14:paraId="5D75361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复配罐</w:t>
            </w:r>
          </w:p>
        </w:tc>
        <w:tc>
          <w:tcPr>
            <w:tcW w:w="2343" w:type="dxa"/>
            <w:shd w:val="clear" w:color="auto" w:fill="auto"/>
            <w:noWrap w:val="0"/>
            <w:vAlign w:val="center"/>
          </w:tcPr>
          <w:p w14:paraId="2051D85C">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12t</w:t>
            </w:r>
          </w:p>
        </w:tc>
        <w:tc>
          <w:tcPr>
            <w:tcW w:w="960" w:type="dxa"/>
            <w:shd w:val="clear" w:color="auto" w:fill="auto"/>
            <w:noWrap w:val="0"/>
            <w:vAlign w:val="center"/>
          </w:tcPr>
          <w:p w14:paraId="18548CD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3</w:t>
            </w:r>
          </w:p>
        </w:tc>
        <w:tc>
          <w:tcPr>
            <w:tcW w:w="2229" w:type="dxa"/>
            <w:shd w:val="clear" w:color="auto" w:fill="auto"/>
            <w:noWrap w:val="0"/>
            <w:vAlign w:val="center"/>
          </w:tcPr>
          <w:p w14:paraId="5FEA675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21F143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634C4C09">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p>
        </w:tc>
        <w:tc>
          <w:tcPr>
            <w:tcW w:w="2479" w:type="dxa"/>
            <w:shd w:val="clear" w:color="auto" w:fill="auto"/>
            <w:noWrap w:val="0"/>
            <w:vAlign w:val="center"/>
          </w:tcPr>
          <w:p w14:paraId="54248FD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eastAsia="zh-CN"/>
                <w14:textFill>
                  <w14:solidFill>
                    <w14:schemeClr w14:val="tx1"/>
                  </w14:solidFill>
                </w14:textFill>
              </w:rPr>
              <w:t>滴加罐</w:t>
            </w:r>
          </w:p>
        </w:tc>
        <w:tc>
          <w:tcPr>
            <w:tcW w:w="2343" w:type="dxa"/>
            <w:shd w:val="clear" w:color="auto" w:fill="auto"/>
            <w:noWrap w:val="0"/>
            <w:vAlign w:val="center"/>
          </w:tcPr>
          <w:p w14:paraId="02E8D6AA">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1t</w:t>
            </w:r>
          </w:p>
        </w:tc>
        <w:tc>
          <w:tcPr>
            <w:tcW w:w="960" w:type="dxa"/>
            <w:shd w:val="clear" w:color="auto" w:fill="auto"/>
            <w:noWrap w:val="0"/>
            <w:vAlign w:val="center"/>
          </w:tcPr>
          <w:p w14:paraId="715464C4">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p>
        </w:tc>
        <w:tc>
          <w:tcPr>
            <w:tcW w:w="2229" w:type="dxa"/>
            <w:shd w:val="clear" w:color="auto" w:fill="auto"/>
            <w:noWrap w:val="0"/>
            <w:vAlign w:val="center"/>
          </w:tcPr>
          <w:p w14:paraId="789C4860">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127B15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55038DA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p>
        </w:tc>
        <w:tc>
          <w:tcPr>
            <w:tcW w:w="2479" w:type="dxa"/>
            <w:shd w:val="clear" w:color="auto" w:fill="auto"/>
            <w:noWrap w:val="0"/>
            <w:vAlign w:val="center"/>
          </w:tcPr>
          <w:p w14:paraId="3C72BB96">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上水泵</w:t>
            </w:r>
          </w:p>
        </w:tc>
        <w:tc>
          <w:tcPr>
            <w:tcW w:w="2343" w:type="dxa"/>
            <w:shd w:val="clear" w:color="auto" w:fill="auto"/>
            <w:noWrap w:val="0"/>
            <w:vAlign w:val="center"/>
          </w:tcPr>
          <w:p w14:paraId="4D563A5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RM1</w:t>
            </w:r>
            <w:r>
              <w:rPr>
                <w:rFonts w:hint="eastAsia" w:ascii="Times New Roman" w:hAnsi="Times New Roman" w:eastAsia="宋体" w:cs="Times New Roman"/>
                <w:color w:val="000000" w:themeColor="text1"/>
                <w:highlight w:val="none"/>
                <w:lang w:val="en-US" w:eastAsia="zh-CN"/>
                <w14:textFill>
                  <w14:solidFill>
                    <w14:schemeClr w14:val="tx1"/>
                  </w14:solidFill>
                </w14:textFill>
              </w:rPr>
              <w:t>12</w:t>
            </w:r>
            <w:r>
              <w:rPr>
                <w:rFonts w:hint="eastAsia" w:ascii="Times New Roman" w:hAnsi="Times New Roman" w:eastAsia="宋体" w:cs="Times New Roman"/>
                <w:color w:val="000000" w:themeColor="text1"/>
                <w:highlight w:val="none"/>
                <w14:textFill>
                  <w14:solidFill>
                    <w14:schemeClr w14:val="tx1"/>
                  </w14:solidFill>
                </w14:textFill>
              </w:rPr>
              <w:t>-2</w:t>
            </w:r>
          </w:p>
        </w:tc>
        <w:tc>
          <w:tcPr>
            <w:tcW w:w="960" w:type="dxa"/>
            <w:shd w:val="clear" w:color="auto" w:fill="auto"/>
            <w:noWrap w:val="0"/>
            <w:vAlign w:val="center"/>
          </w:tcPr>
          <w:p w14:paraId="68D5737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w:t>
            </w:r>
          </w:p>
        </w:tc>
        <w:tc>
          <w:tcPr>
            <w:tcW w:w="2229" w:type="dxa"/>
            <w:shd w:val="clear" w:color="auto" w:fill="auto"/>
            <w:noWrap w:val="0"/>
            <w:vAlign w:val="center"/>
          </w:tcPr>
          <w:p w14:paraId="0E8D3A57">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237900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328A93EA">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w:t>
            </w:r>
          </w:p>
        </w:tc>
        <w:tc>
          <w:tcPr>
            <w:tcW w:w="2479" w:type="dxa"/>
            <w:shd w:val="clear" w:color="auto" w:fill="auto"/>
            <w:noWrap w:val="0"/>
            <w:vAlign w:val="center"/>
          </w:tcPr>
          <w:p w14:paraId="4ECC6DBC">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上水泵</w:t>
            </w:r>
          </w:p>
        </w:tc>
        <w:tc>
          <w:tcPr>
            <w:tcW w:w="2343" w:type="dxa"/>
            <w:shd w:val="clear" w:color="auto" w:fill="auto"/>
            <w:noWrap w:val="0"/>
            <w:vAlign w:val="center"/>
          </w:tcPr>
          <w:p w14:paraId="36A05D01">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RM1001-2</w:t>
            </w:r>
          </w:p>
        </w:tc>
        <w:tc>
          <w:tcPr>
            <w:tcW w:w="960" w:type="dxa"/>
            <w:shd w:val="clear" w:color="auto" w:fill="auto"/>
            <w:noWrap w:val="0"/>
            <w:vAlign w:val="center"/>
          </w:tcPr>
          <w:p w14:paraId="6CEFCB82">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56C9FBC0">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70A634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6F3276C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w:t>
            </w:r>
          </w:p>
        </w:tc>
        <w:tc>
          <w:tcPr>
            <w:tcW w:w="2479" w:type="dxa"/>
            <w:shd w:val="clear" w:color="auto" w:fill="auto"/>
            <w:noWrap w:val="0"/>
            <w:vAlign w:val="center"/>
          </w:tcPr>
          <w:p w14:paraId="2E3E05D2">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反应釜抽料泵</w:t>
            </w:r>
          </w:p>
        </w:tc>
        <w:tc>
          <w:tcPr>
            <w:tcW w:w="2343" w:type="dxa"/>
            <w:shd w:val="clear" w:color="auto" w:fill="auto"/>
            <w:noWrap w:val="0"/>
            <w:vAlign w:val="center"/>
          </w:tcPr>
          <w:p w14:paraId="29D58ED0">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YE</w:t>
            </w:r>
            <w:r>
              <w:rPr>
                <w:rFonts w:hint="eastAsia" w:cs="Times New Roman"/>
                <w:color w:val="000000" w:themeColor="text1"/>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highlight w:val="none"/>
                <w14:textFill>
                  <w14:solidFill>
                    <w14:schemeClr w14:val="tx1"/>
                  </w14:solidFill>
                </w14:textFill>
              </w:rPr>
              <w:t>-132S1-2</w:t>
            </w:r>
          </w:p>
        </w:tc>
        <w:tc>
          <w:tcPr>
            <w:tcW w:w="960" w:type="dxa"/>
            <w:shd w:val="clear" w:color="auto" w:fill="auto"/>
            <w:noWrap w:val="0"/>
            <w:vAlign w:val="center"/>
          </w:tcPr>
          <w:p w14:paraId="2E5D14AF">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3</w:t>
            </w:r>
          </w:p>
        </w:tc>
        <w:tc>
          <w:tcPr>
            <w:tcW w:w="2229" w:type="dxa"/>
            <w:shd w:val="clear" w:color="auto" w:fill="auto"/>
            <w:noWrap w:val="0"/>
            <w:vAlign w:val="center"/>
          </w:tcPr>
          <w:p w14:paraId="210D5988">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638828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5AF33F3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11</w:t>
            </w:r>
          </w:p>
        </w:tc>
        <w:tc>
          <w:tcPr>
            <w:tcW w:w="2479" w:type="dxa"/>
            <w:shd w:val="clear" w:color="auto" w:fill="auto"/>
            <w:noWrap w:val="0"/>
            <w:vAlign w:val="center"/>
          </w:tcPr>
          <w:p w14:paraId="579B8804">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水罐</w:t>
            </w:r>
          </w:p>
        </w:tc>
        <w:tc>
          <w:tcPr>
            <w:tcW w:w="2343" w:type="dxa"/>
            <w:shd w:val="clear" w:color="auto" w:fill="auto"/>
            <w:noWrap w:val="0"/>
            <w:vAlign w:val="center"/>
          </w:tcPr>
          <w:p w14:paraId="2866D784">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30t</w:t>
            </w:r>
          </w:p>
        </w:tc>
        <w:tc>
          <w:tcPr>
            <w:tcW w:w="960" w:type="dxa"/>
            <w:shd w:val="clear" w:color="auto" w:fill="auto"/>
            <w:noWrap w:val="0"/>
            <w:vAlign w:val="center"/>
          </w:tcPr>
          <w:p w14:paraId="011D40CE">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6ECD7956">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3D1C54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4E4C301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12</w:t>
            </w:r>
          </w:p>
        </w:tc>
        <w:tc>
          <w:tcPr>
            <w:tcW w:w="2479" w:type="dxa"/>
            <w:shd w:val="clear" w:color="auto" w:fill="auto"/>
            <w:noWrap w:val="0"/>
            <w:vAlign w:val="center"/>
          </w:tcPr>
          <w:p w14:paraId="3A6B2DB0">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离子交换树脂软水制备</w:t>
            </w:r>
          </w:p>
        </w:tc>
        <w:tc>
          <w:tcPr>
            <w:tcW w:w="2343" w:type="dxa"/>
            <w:shd w:val="clear" w:color="auto" w:fill="auto"/>
            <w:noWrap w:val="0"/>
            <w:vAlign w:val="center"/>
          </w:tcPr>
          <w:p w14:paraId="6A26288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2t/h</w:t>
            </w:r>
          </w:p>
        </w:tc>
        <w:tc>
          <w:tcPr>
            <w:tcW w:w="960" w:type="dxa"/>
            <w:shd w:val="clear" w:color="auto" w:fill="auto"/>
            <w:noWrap w:val="0"/>
            <w:vAlign w:val="center"/>
          </w:tcPr>
          <w:p w14:paraId="24EA7C5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3D5FC35D">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新建</w:t>
            </w:r>
          </w:p>
        </w:tc>
      </w:tr>
      <w:tr w14:paraId="549675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noWrap w:val="0"/>
            <w:vAlign w:val="center"/>
          </w:tcPr>
          <w:p w14:paraId="0E33EDA9">
            <w:pPr>
              <w:pStyle w:val="26"/>
              <w:bidi w:val="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w:t>
            </w:r>
          </w:p>
        </w:tc>
        <w:tc>
          <w:tcPr>
            <w:tcW w:w="8011" w:type="dxa"/>
            <w:gridSpan w:val="4"/>
            <w:noWrap w:val="0"/>
            <w:vAlign w:val="center"/>
          </w:tcPr>
          <w:p w14:paraId="50255028">
            <w:pPr>
              <w:pStyle w:val="26"/>
              <w:ind w:left="0" w:right="0"/>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硫酸铝外加剂生产线</w:t>
            </w:r>
          </w:p>
        </w:tc>
      </w:tr>
      <w:tr w14:paraId="00852E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24D137F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479" w:type="dxa"/>
            <w:shd w:val="clear" w:color="auto" w:fill="auto"/>
            <w:noWrap w:val="0"/>
            <w:vAlign w:val="center"/>
          </w:tcPr>
          <w:p w14:paraId="5AE2045F">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olor w:val="000000" w:themeColor="text1"/>
                <w:sz w:val="21"/>
                <w:szCs w:val="21"/>
                <w:highlight w:val="none"/>
                <w:u w:val="none"/>
                <w14:textFill>
                  <w14:solidFill>
                    <w14:schemeClr w14:val="tx1"/>
                  </w14:solidFill>
                </w14:textFill>
              </w:rPr>
              <w:t>合成硫酸铝反应釜</w:t>
            </w:r>
          </w:p>
        </w:tc>
        <w:tc>
          <w:tcPr>
            <w:tcW w:w="2343" w:type="dxa"/>
            <w:noWrap w:val="0"/>
            <w:vAlign w:val="center"/>
          </w:tcPr>
          <w:p w14:paraId="6273C047">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30m</w:t>
            </w:r>
            <w:r>
              <w:rPr>
                <w:rFonts w:hint="eastAsia"/>
                <w:color w:val="000000" w:themeColor="text1"/>
                <w:highlight w:val="none"/>
                <w:vertAlign w:val="superscript"/>
                <w:lang w:val="en-US" w:eastAsia="zh-CN"/>
                <w14:textFill>
                  <w14:solidFill>
                    <w14:schemeClr w14:val="tx1"/>
                  </w14:solidFill>
                </w14:textFill>
              </w:rPr>
              <w:t>3</w:t>
            </w:r>
          </w:p>
        </w:tc>
        <w:tc>
          <w:tcPr>
            <w:tcW w:w="960" w:type="dxa"/>
            <w:shd w:val="clear" w:color="auto" w:fill="auto"/>
            <w:noWrap w:val="0"/>
            <w:vAlign w:val="center"/>
          </w:tcPr>
          <w:p w14:paraId="0284926B">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olor w:val="000000" w:themeColor="text1"/>
                <w:sz w:val="21"/>
                <w:szCs w:val="21"/>
                <w:highlight w:val="none"/>
                <w:u w:val="none"/>
                <w14:textFill>
                  <w14:solidFill>
                    <w14:schemeClr w14:val="tx1"/>
                  </w14:solidFill>
                </w14:textFill>
              </w:rPr>
              <w:t>1</w:t>
            </w:r>
          </w:p>
        </w:tc>
        <w:tc>
          <w:tcPr>
            <w:tcW w:w="2229" w:type="dxa"/>
            <w:shd w:val="clear" w:color="auto" w:fill="auto"/>
            <w:noWrap w:val="0"/>
            <w:vAlign w:val="center"/>
          </w:tcPr>
          <w:p w14:paraId="206E023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2A6C2D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5DF9205E">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479" w:type="dxa"/>
            <w:shd w:val="clear" w:color="auto" w:fill="auto"/>
            <w:noWrap w:val="0"/>
            <w:vAlign w:val="center"/>
          </w:tcPr>
          <w:p w14:paraId="7CEE2789">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olor w:val="000000" w:themeColor="text1"/>
                <w:sz w:val="21"/>
                <w:szCs w:val="21"/>
                <w:highlight w:val="none"/>
                <w:u w:val="none"/>
                <w14:textFill>
                  <w14:solidFill>
                    <w14:schemeClr w14:val="tx1"/>
                  </w14:solidFill>
                </w14:textFill>
              </w:rPr>
              <w:t>水化铝搅拌罐</w:t>
            </w:r>
          </w:p>
        </w:tc>
        <w:tc>
          <w:tcPr>
            <w:tcW w:w="2343" w:type="dxa"/>
            <w:noWrap w:val="0"/>
            <w:vAlign w:val="center"/>
          </w:tcPr>
          <w:p w14:paraId="580E6466">
            <w:pPr>
              <w:pStyle w:val="26"/>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30m</w:t>
            </w:r>
            <w:r>
              <w:rPr>
                <w:rFonts w:hint="eastAsia"/>
                <w:color w:val="000000" w:themeColor="text1"/>
                <w:highlight w:val="none"/>
                <w:vertAlign w:val="superscript"/>
                <w:lang w:val="en-US" w:eastAsia="zh-CN"/>
                <w14:textFill>
                  <w14:solidFill>
                    <w14:schemeClr w14:val="tx1"/>
                  </w14:solidFill>
                </w14:textFill>
              </w:rPr>
              <w:t>3</w:t>
            </w:r>
          </w:p>
        </w:tc>
        <w:tc>
          <w:tcPr>
            <w:tcW w:w="960" w:type="dxa"/>
            <w:shd w:val="clear" w:color="auto" w:fill="auto"/>
            <w:noWrap w:val="0"/>
            <w:vAlign w:val="center"/>
          </w:tcPr>
          <w:p w14:paraId="43706817">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olor w:val="000000" w:themeColor="text1"/>
                <w:sz w:val="21"/>
                <w:szCs w:val="21"/>
                <w:highlight w:val="none"/>
                <w:u w:val="none"/>
                <w14:textFill>
                  <w14:solidFill>
                    <w14:schemeClr w14:val="tx1"/>
                  </w14:solidFill>
                </w14:textFill>
              </w:rPr>
              <w:t>1</w:t>
            </w:r>
          </w:p>
        </w:tc>
        <w:tc>
          <w:tcPr>
            <w:tcW w:w="2229" w:type="dxa"/>
            <w:shd w:val="clear" w:color="auto" w:fill="auto"/>
            <w:noWrap w:val="0"/>
            <w:vAlign w:val="center"/>
          </w:tcPr>
          <w:p w14:paraId="7DDF933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4A2DC6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0CA9186C">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479" w:type="dxa"/>
            <w:shd w:val="clear" w:color="auto" w:fill="auto"/>
            <w:noWrap w:val="0"/>
            <w:vAlign w:val="center"/>
          </w:tcPr>
          <w:p w14:paraId="6462368B">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olor w:val="000000" w:themeColor="text1"/>
                <w:sz w:val="21"/>
                <w:szCs w:val="21"/>
                <w:highlight w:val="none"/>
                <w:u w:val="none"/>
                <w14:textFill>
                  <w14:solidFill>
                    <w14:schemeClr w14:val="tx1"/>
                  </w14:solidFill>
                </w14:textFill>
              </w:rPr>
              <w:t>硫酸铝稀释储备罐</w:t>
            </w:r>
          </w:p>
        </w:tc>
        <w:tc>
          <w:tcPr>
            <w:tcW w:w="2343" w:type="dxa"/>
            <w:noWrap w:val="0"/>
            <w:vAlign w:val="center"/>
          </w:tcPr>
          <w:p w14:paraId="5BDABFBD">
            <w:pPr>
              <w:pStyle w:val="26"/>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30m</w:t>
            </w:r>
            <w:r>
              <w:rPr>
                <w:rFonts w:hint="eastAsia"/>
                <w:color w:val="000000" w:themeColor="text1"/>
                <w:highlight w:val="none"/>
                <w:vertAlign w:val="superscript"/>
                <w:lang w:val="en-US" w:eastAsia="zh-CN"/>
                <w14:textFill>
                  <w14:solidFill>
                    <w14:schemeClr w14:val="tx1"/>
                  </w14:solidFill>
                </w14:textFill>
              </w:rPr>
              <w:t>3</w:t>
            </w:r>
          </w:p>
        </w:tc>
        <w:tc>
          <w:tcPr>
            <w:tcW w:w="960" w:type="dxa"/>
            <w:shd w:val="clear" w:color="auto" w:fill="auto"/>
            <w:noWrap w:val="0"/>
            <w:vAlign w:val="center"/>
          </w:tcPr>
          <w:p w14:paraId="10B4D8B4">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olor w:val="000000" w:themeColor="text1"/>
                <w:sz w:val="21"/>
                <w:szCs w:val="21"/>
                <w:highlight w:val="none"/>
                <w:u w:val="none"/>
                <w14:textFill>
                  <w14:solidFill>
                    <w14:schemeClr w14:val="tx1"/>
                  </w14:solidFill>
                </w14:textFill>
              </w:rPr>
              <w:t>1</w:t>
            </w:r>
          </w:p>
        </w:tc>
        <w:tc>
          <w:tcPr>
            <w:tcW w:w="2229" w:type="dxa"/>
            <w:shd w:val="clear" w:color="auto" w:fill="auto"/>
            <w:noWrap w:val="0"/>
            <w:vAlign w:val="center"/>
          </w:tcPr>
          <w:p w14:paraId="2E440CBD">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0786E4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5A211F3F">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479" w:type="dxa"/>
            <w:shd w:val="clear" w:color="auto" w:fill="auto"/>
            <w:noWrap w:val="0"/>
            <w:vAlign w:val="center"/>
          </w:tcPr>
          <w:p w14:paraId="6F4EAB11">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olor w:val="000000" w:themeColor="text1"/>
                <w:sz w:val="21"/>
                <w:szCs w:val="21"/>
                <w:highlight w:val="none"/>
                <w:u w:val="none"/>
                <w14:textFill>
                  <w14:solidFill>
                    <w14:schemeClr w14:val="tx1"/>
                  </w14:solidFill>
                </w14:textFill>
              </w:rPr>
              <w:t>有碱反应釜</w:t>
            </w:r>
          </w:p>
        </w:tc>
        <w:tc>
          <w:tcPr>
            <w:tcW w:w="2343" w:type="dxa"/>
            <w:noWrap w:val="0"/>
            <w:vAlign w:val="center"/>
          </w:tcPr>
          <w:p w14:paraId="5BD7EA72">
            <w:pPr>
              <w:pStyle w:val="26"/>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30m</w:t>
            </w:r>
            <w:r>
              <w:rPr>
                <w:rFonts w:hint="eastAsia"/>
                <w:color w:val="000000" w:themeColor="text1"/>
                <w:highlight w:val="none"/>
                <w:vertAlign w:val="superscript"/>
                <w:lang w:val="en-US" w:eastAsia="zh-CN"/>
                <w14:textFill>
                  <w14:solidFill>
                    <w14:schemeClr w14:val="tx1"/>
                  </w14:solidFill>
                </w14:textFill>
              </w:rPr>
              <w:t>3</w:t>
            </w:r>
          </w:p>
        </w:tc>
        <w:tc>
          <w:tcPr>
            <w:tcW w:w="960" w:type="dxa"/>
            <w:shd w:val="clear" w:color="auto" w:fill="auto"/>
            <w:noWrap w:val="0"/>
            <w:vAlign w:val="center"/>
          </w:tcPr>
          <w:p w14:paraId="3A47FC0F">
            <w:pPr>
              <w:keepNext w:val="0"/>
              <w:keepLines w:val="0"/>
              <w:pageBreakBefore w:val="0"/>
              <w:widowControl w:val="0"/>
              <w:kinsoku w:val="0"/>
              <w:wordWrap/>
              <w:overflowPunct w:val="0"/>
              <w:topLinePunct w:val="0"/>
              <w:autoSpaceDE w:val="0"/>
              <w:autoSpaceDN w:val="0"/>
              <w:bidi w:val="0"/>
              <w:adjustRightInd/>
              <w:snapToGrid/>
              <w:spacing w:line="240" w:lineRule="auto"/>
              <w:ind w:firstLine="0" w:firstLineChars="0"/>
              <w:jc w:val="center"/>
              <w:textAlignment w:val="auto"/>
              <w:rPr>
                <w:rFonts w:hint="eastAsia" w:ascii="宋体" w:hAnsi="宋体"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olor w:val="000000" w:themeColor="text1"/>
                <w:sz w:val="21"/>
                <w:szCs w:val="21"/>
                <w:highlight w:val="none"/>
                <w:u w:val="none"/>
                <w14:textFill>
                  <w14:solidFill>
                    <w14:schemeClr w14:val="tx1"/>
                  </w14:solidFill>
                </w14:textFill>
              </w:rPr>
              <w:t>1</w:t>
            </w:r>
          </w:p>
        </w:tc>
        <w:tc>
          <w:tcPr>
            <w:tcW w:w="2229" w:type="dxa"/>
            <w:shd w:val="clear" w:color="auto" w:fill="auto"/>
            <w:noWrap w:val="0"/>
            <w:vAlign w:val="center"/>
          </w:tcPr>
          <w:p w14:paraId="495F3904">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561627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17E7B08C">
            <w:pPr>
              <w:pStyle w:val="26"/>
              <w:bidi w:val="0"/>
              <w:ind w:left="0" w:leftChars="0" w:right="0" w:rightChars="0" w:firstLine="0" w:firstLineChars="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p>
        </w:tc>
        <w:tc>
          <w:tcPr>
            <w:tcW w:w="2479" w:type="dxa"/>
            <w:shd w:val="clear" w:color="auto" w:fill="auto"/>
            <w:noWrap w:val="0"/>
            <w:vAlign w:val="center"/>
          </w:tcPr>
          <w:p w14:paraId="2D29CEE1">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硫酸储罐</w:t>
            </w:r>
          </w:p>
        </w:tc>
        <w:tc>
          <w:tcPr>
            <w:tcW w:w="2343" w:type="dxa"/>
            <w:noWrap w:val="0"/>
            <w:vAlign w:val="center"/>
          </w:tcPr>
          <w:p w14:paraId="4C2386D4">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单个容积30m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，卧式，碳钢衬PO储罐</w:t>
            </w:r>
          </w:p>
        </w:tc>
        <w:tc>
          <w:tcPr>
            <w:tcW w:w="960" w:type="dxa"/>
            <w:shd w:val="clear" w:color="auto" w:fill="auto"/>
            <w:noWrap w:val="0"/>
            <w:vAlign w:val="center"/>
          </w:tcPr>
          <w:p w14:paraId="7A8B421A">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2229" w:type="dxa"/>
            <w:shd w:val="clear" w:color="auto" w:fill="auto"/>
            <w:noWrap w:val="0"/>
            <w:vAlign w:val="center"/>
          </w:tcPr>
          <w:p w14:paraId="3F3BFE29">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16722F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noWrap w:val="0"/>
            <w:vAlign w:val="center"/>
          </w:tcPr>
          <w:p w14:paraId="4FD2FEDE">
            <w:pPr>
              <w:pStyle w:val="26"/>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三</w:t>
            </w:r>
          </w:p>
        </w:tc>
        <w:tc>
          <w:tcPr>
            <w:tcW w:w="8011" w:type="dxa"/>
            <w:gridSpan w:val="4"/>
            <w:noWrap w:val="0"/>
            <w:vAlign w:val="center"/>
          </w:tcPr>
          <w:p w14:paraId="135D2778">
            <w:pPr>
              <w:pStyle w:val="26"/>
              <w:bidi w:val="0"/>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速凝剂生产线</w:t>
            </w:r>
          </w:p>
        </w:tc>
      </w:tr>
      <w:tr w14:paraId="53B320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4DEA7CA8">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479" w:type="dxa"/>
            <w:shd w:val="clear" w:color="auto" w:fill="auto"/>
            <w:noWrap w:val="0"/>
            <w:vAlign w:val="center"/>
          </w:tcPr>
          <w:p w14:paraId="24935F12">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搪瓷反应釜</w:t>
            </w:r>
          </w:p>
        </w:tc>
        <w:tc>
          <w:tcPr>
            <w:tcW w:w="2343" w:type="dxa"/>
            <w:shd w:val="clear" w:color="auto" w:fill="auto"/>
            <w:noWrap w:val="0"/>
            <w:vAlign w:val="center"/>
          </w:tcPr>
          <w:p w14:paraId="5778F31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10t</w:t>
            </w:r>
          </w:p>
        </w:tc>
        <w:tc>
          <w:tcPr>
            <w:tcW w:w="960" w:type="dxa"/>
            <w:shd w:val="clear" w:color="auto" w:fill="auto"/>
            <w:noWrap w:val="0"/>
            <w:vAlign w:val="center"/>
          </w:tcPr>
          <w:p w14:paraId="4B6EA368">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4D54E67A">
            <w:pPr>
              <w:pStyle w:val="26"/>
              <w:bidi w:val="0"/>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6FD033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49C88AC1">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479" w:type="dxa"/>
            <w:shd w:val="clear" w:color="auto" w:fill="auto"/>
            <w:noWrap w:val="0"/>
            <w:vAlign w:val="center"/>
          </w:tcPr>
          <w:p w14:paraId="4B7110E8">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不锈钢反应釜</w:t>
            </w:r>
          </w:p>
        </w:tc>
        <w:tc>
          <w:tcPr>
            <w:tcW w:w="2343" w:type="dxa"/>
            <w:shd w:val="clear" w:color="auto" w:fill="auto"/>
            <w:noWrap w:val="0"/>
            <w:vAlign w:val="center"/>
          </w:tcPr>
          <w:p w14:paraId="0EBB5C7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10t</w:t>
            </w:r>
          </w:p>
        </w:tc>
        <w:tc>
          <w:tcPr>
            <w:tcW w:w="960" w:type="dxa"/>
            <w:shd w:val="clear" w:color="auto" w:fill="auto"/>
            <w:noWrap w:val="0"/>
            <w:vAlign w:val="center"/>
          </w:tcPr>
          <w:p w14:paraId="30260D37">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05B5C2C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64AD06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1B254B1D">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479" w:type="dxa"/>
            <w:shd w:val="clear" w:color="auto" w:fill="auto"/>
            <w:noWrap w:val="0"/>
            <w:vAlign w:val="center"/>
          </w:tcPr>
          <w:p w14:paraId="40F1D3B2">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不锈钢反应釜</w:t>
            </w:r>
          </w:p>
        </w:tc>
        <w:tc>
          <w:tcPr>
            <w:tcW w:w="2343" w:type="dxa"/>
            <w:shd w:val="clear" w:color="auto" w:fill="auto"/>
            <w:noWrap w:val="0"/>
            <w:vAlign w:val="center"/>
          </w:tcPr>
          <w:p w14:paraId="4C67D5E6">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20t</w:t>
            </w:r>
          </w:p>
        </w:tc>
        <w:tc>
          <w:tcPr>
            <w:tcW w:w="960" w:type="dxa"/>
            <w:shd w:val="clear" w:color="auto" w:fill="auto"/>
            <w:noWrap w:val="0"/>
            <w:vAlign w:val="center"/>
          </w:tcPr>
          <w:p w14:paraId="6B10822D">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27565A18">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5EB2C9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32A3D6BA">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479" w:type="dxa"/>
            <w:shd w:val="clear" w:color="auto" w:fill="auto"/>
            <w:noWrap w:val="0"/>
            <w:vAlign w:val="center"/>
          </w:tcPr>
          <w:p w14:paraId="69F22520">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速凝剂搅拌釜</w:t>
            </w:r>
          </w:p>
        </w:tc>
        <w:tc>
          <w:tcPr>
            <w:tcW w:w="2343" w:type="dxa"/>
            <w:shd w:val="clear" w:color="auto" w:fill="auto"/>
            <w:noWrap w:val="0"/>
            <w:vAlign w:val="center"/>
          </w:tcPr>
          <w:p w14:paraId="5786276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10t/2200*2800</w:t>
            </w:r>
          </w:p>
        </w:tc>
        <w:tc>
          <w:tcPr>
            <w:tcW w:w="960" w:type="dxa"/>
            <w:shd w:val="clear" w:color="auto" w:fill="auto"/>
            <w:noWrap w:val="0"/>
            <w:vAlign w:val="center"/>
          </w:tcPr>
          <w:p w14:paraId="13F45CD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13D215FE">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6E2E5D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767CCFD1">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479" w:type="dxa"/>
            <w:shd w:val="clear" w:color="auto" w:fill="auto"/>
            <w:noWrap w:val="0"/>
            <w:vAlign w:val="center"/>
          </w:tcPr>
          <w:p w14:paraId="4E94E826">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中和搅拌釜</w:t>
            </w:r>
          </w:p>
        </w:tc>
        <w:tc>
          <w:tcPr>
            <w:tcW w:w="2343" w:type="dxa"/>
            <w:shd w:val="clear" w:color="auto" w:fill="auto"/>
            <w:noWrap w:val="0"/>
            <w:vAlign w:val="center"/>
          </w:tcPr>
          <w:p w14:paraId="52728A50">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30t/3200*3800</w:t>
            </w:r>
          </w:p>
        </w:tc>
        <w:tc>
          <w:tcPr>
            <w:tcW w:w="960" w:type="dxa"/>
            <w:shd w:val="clear" w:color="auto" w:fill="auto"/>
            <w:noWrap w:val="0"/>
            <w:vAlign w:val="center"/>
          </w:tcPr>
          <w:p w14:paraId="7DAA87EC">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2351C91A">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2B435D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1ADCF41B">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p>
        </w:tc>
        <w:tc>
          <w:tcPr>
            <w:tcW w:w="2479" w:type="dxa"/>
            <w:shd w:val="clear" w:color="auto" w:fill="auto"/>
            <w:noWrap w:val="0"/>
            <w:vAlign w:val="center"/>
          </w:tcPr>
          <w:p w14:paraId="23C09A4F">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喷淋净化塔</w:t>
            </w:r>
          </w:p>
        </w:tc>
        <w:tc>
          <w:tcPr>
            <w:tcW w:w="2343" w:type="dxa"/>
            <w:shd w:val="clear" w:color="auto" w:fill="auto"/>
            <w:noWrap w:val="0"/>
            <w:vAlign w:val="center"/>
          </w:tcPr>
          <w:p w14:paraId="4C479529">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1400*5000</w:t>
            </w:r>
          </w:p>
        </w:tc>
        <w:tc>
          <w:tcPr>
            <w:tcW w:w="960" w:type="dxa"/>
            <w:shd w:val="clear" w:color="auto" w:fill="auto"/>
            <w:noWrap w:val="0"/>
            <w:vAlign w:val="center"/>
          </w:tcPr>
          <w:p w14:paraId="7E843DDA">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5AED616C">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2A49D5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537322A4">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p>
        </w:tc>
        <w:tc>
          <w:tcPr>
            <w:tcW w:w="2479" w:type="dxa"/>
            <w:shd w:val="clear" w:color="auto" w:fill="auto"/>
            <w:noWrap w:val="0"/>
            <w:vAlign w:val="center"/>
          </w:tcPr>
          <w:p w14:paraId="4E7823EE">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储存罐</w:t>
            </w:r>
          </w:p>
        </w:tc>
        <w:tc>
          <w:tcPr>
            <w:tcW w:w="2343" w:type="dxa"/>
            <w:shd w:val="clear" w:color="auto" w:fill="auto"/>
            <w:noWrap w:val="0"/>
            <w:vAlign w:val="center"/>
          </w:tcPr>
          <w:p w14:paraId="0DCFD4A9">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30t/3000*4200</w:t>
            </w:r>
          </w:p>
        </w:tc>
        <w:tc>
          <w:tcPr>
            <w:tcW w:w="960" w:type="dxa"/>
            <w:shd w:val="clear" w:color="auto" w:fill="auto"/>
            <w:noWrap w:val="0"/>
            <w:vAlign w:val="center"/>
          </w:tcPr>
          <w:p w14:paraId="7083884D">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p>
        </w:tc>
        <w:tc>
          <w:tcPr>
            <w:tcW w:w="2229" w:type="dxa"/>
            <w:shd w:val="clear" w:color="auto" w:fill="auto"/>
            <w:noWrap w:val="0"/>
            <w:vAlign w:val="center"/>
          </w:tcPr>
          <w:p w14:paraId="14D53B52">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r w14:paraId="78DFD7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60" w:type="dxa"/>
            <w:shd w:val="clear" w:color="auto" w:fill="auto"/>
            <w:noWrap w:val="0"/>
            <w:vAlign w:val="center"/>
          </w:tcPr>
          <w:p w14:paraId="0A9E4992">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p>
        </w:tc>
        <w:tc>
          <w:tcPr>
            <w:tcW w:w="2479" w:type="dxa"/>
            <w:shd w:val="clear" w:color="auto" w:fill="auto"/>
            <w:noWrap w:val="0"/>
            <w:vAlign w:val="center"/>
          </w:tcPr>
          <w:p w14:paraId="2DBA6A1D">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有碱速凝剂搅拌釜</w:t>
            </w:r>
          </w:p>
        </w:tc>
        <w:tc>
          <w:tcPr>
            <w:tcW w:w="2343" w:type="dxa"/>
            <w:shd w:val="clear" w:color="auto" w:fill="auto"/>
            <w:noWrap w:val="0"/>
            <w:vAlign w:val="center"/>
          </w:tcPr>
          <w:p w14:paraId="6E984EC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10t</w:t>
            </w:r>
          </w:p>
        </w:tc>
        <w:tc>
          <w:tcPr>
            <w:tcW w:w="960" w:type="dxa"/>
            <w:shd w:val="clear" w:color="auto" w:fill="auto"/>
            <w:noWrap w:val="0"/>
            <w:vAlign w:val="center"/>
          </w:tcPr>
          <w:p w14:paraId="781E1951">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229" w:type="dxa"/>
            <w:shd w:val="clear" w:color="auto" w:fill="auto"/>
            <w:noWrap w:val="0"/>
            <w:vAlign w:val="center"/>
          </w:tcPr>
          <w:p w14:paraId="2538FCFF">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新建</w:t>
            </w:r>
          </w:p>
        </w:tc>
      </w:tr>
    </w:tbl>
    <w:p w14:paraId="03BF6A8B">
      <w:pPr>
        <w:pStyle w:val="3"/>
        <w:bidi w:val="0"/>
        <w:rPr>
          <w:rFonts w:hint="default"/>
          <w:color w:val="000000" w:themeColor="text1"/>
          <w:highlight w:val="none"/>
          <w:lang w:val="en-US" w:eastAsia="zh-CN"/>
          <w14:textFill>
            <w14:solidFill>
              <w14:schemeClr w14:val="tx1"/>
            </w14:solidFill>
          </w14:textFill>
        </w:rPr>
      </w:pPr>
      <w:bookmarkStart w:id="604" w:name="_Toc10144"/>
      <w:bookmarkStart w:id="605" w:name="_Toc13990"/>
      <w:bookmarkStart w:id="606" w:name="_Toc31787"/>
      <w:bookmarkStart w:id="607" w:name="_Toc20962"/>
      <w:bookmarkStart w:id="608" w:name="_Toc1429"/>
      <w:bookmarkStart w:id="609" w:name="_Toc11920"/>
      <w:r>
        <w:rPr>
          <w:rFonts w:hint="default"/>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14:textFill>
            <w14:solidFill>
              <w14:schemeClr w14:val="tx1"/>
            </w14:solidFill>
          </w14:textFill>
        </w:rPr>
        <w:t>原辅材料</w:t>
      </w:r>
      <w:bookmarkEnd w:id="604"/>
      <w:bookmarkEnd w:id="605"/>
      <w:bookmarkEnd w:id="606"/>
      <w:bookmarkEnd w:id="607"/>
      <w:r>
        <w:rPr>
          <w:rFonts w:hint="eastAsia"/>
          <w:color w:val="000000" w:themeColor="text1"/>
          <w:highlight w:val="none"/>
          <w:lang w:val="en-US" w:eastAsia="zh-CN"/>
          <w14:textFill>
            <w14:solidFill>
              <w14:schemeClr w14:val="tx1"/>
            </w14:solidFill>
          </w14:textFill>
        </w:rPr>
        <w:t>消耗及产品方案</w:t>
      </w:r>
      <w:bookmarkEnd w:id="608"/>
      <w:bookmarkEnd w:id="609"/>
    </w:p>
    <w:p w14:paraId="071E52FF">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3.3.1</w:t>
      </w:r>
      <w:r>
        <w:rPr>
          <w:rFonts w:hint="default"/>
          <w:color w:val="000000" w:themeColor="text1"/>
          <w:highlight w:val="none"/>
          <w14:textFill>
            <w14:solidFill>
              <w14:schemeClr w14:val="tx1"/>
            </w14:solidFill>
          </w14:textFill>
        </w:rPr>
        <w:t>原辅材料</w:t>
      </w:r>
      <w:r>
        <w:rPr>
          <w:rFonts w:hint="eastAsia"/>
          <w:color w:val="000000" w:themeColor="text1"/>
          <w:highlight w:val="none"/>
          <w:lang w:val="en-US" w:eastAsia="zh-CN"/>
          <w14:textFill>
            <w14:solidFill>
              <w14:schemeClr w14:val="tx1"/>
            </w14:solidFill>
          </w14:textFill>
        </w:rPr>
        <w:t>消耗</w:t>
      </w:r>
    </w:p>
    <w:p w14:paraId="310B0D27">
      <w:pPr>
        <w:pStyle w:val="5"/>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3.3</w:t>
      </w:r>
      <w:r>
        <w:rPr>
          <w:rFonts w:hint="default"/>
          <w:color w:val="000000" w:themeColor="text1"/>
          <w:highlight w:val="none"/>
          <w:lang w:val="en-US"/>
          <w14:textFill>
            <w14:solidFill>
              <w14:schemeClr w14:val="tx1"/>
            </w14:solidFill>
          </w14:textFill>
        </w:rPr>
        <w:t>.1原辅材料消耗</w:t>
      </w:r>
      <w:r>
        <w:rPr>
          <w:rFonts w:hint="eastAsia"/>
          <w:color w:val="000000" w:themeColor="text1"/>
          <w:highlight w:val="none"/>
          <w:lang w:val="en-US" w:eastAsia="zh-CN"/>
          <w14:textFill>
            <w14:solidFill>
              <w14:schemeClr w14:val="tx1"/>
            </w14:solidFill>
          </w14:textFill>
        </w:rPr>
        <w:t>情况</w:t>
      </w:r>
    </w:p>
    <w:p w14:paraId="6028FCBF">
      <w:pPr>
        <w:ind w:firstLine="48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本项目主要原辅材料消耗见表3</w:t>
      </w:r>
      <w:r>
        <w:rPr>
          <w:rFonts w:hint="default" w:ascii="Times New Roman" w:hAnsi="Times New Roman" w:cs="Times New Roman"/>
          <w:color w:val="000000" w:themeColor="text1"/>
          <w:highlight w:val="none"/>
          <w:lang w:val="en-US"/>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3.3</w:t>
      </w:r>
      <w:r>
        <w:rPr>
          <w:rFonts w:hint="eastAsia"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w:t>
      </w:r>
    </w:p>
    <w:p w14:paraId="72DCCA58">
      <w:pPr>
        <w:pStyle w:val="25"/>
        <w:tabs>
          <w:tab w:val="left" w:pos="2470"/>
          <w:tab w:val="center" w:pos="4214"/>
        </w:tabs>
        <w:jc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表3</w:t>
      </w:r>
      <w:r>
        <w:rPr>
          <w:rFonts w:hint="default" w:ascii="Times New Roman" w:hAnsi="Times New Roman" w:cs="Times New Roman"/>
          <w:color w:val="000000" w:themeColor="text1"/>
          <w:highlight w:val="none"/>
          <w:lang w:val="en-US"/>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3.3-1</w:t>
      </w:r>
      <w:r>
        <w:rPr>
          <w:rFonts w:hint="default" w:ascii="Times New Roman" w:hAnsi="Times New Roman" w:cs="Times New Roman"/>
          <w:color w:val="000000" w:themeColor="text1"/>
          <w:highlight w:val="none"/>
          <w14:textFill>
            <w14:solidFill>
              <w14:schemeClr w14:val="tx1"/>
            </w14:solidFill>
          </w14:textFill>
        </w:rPr>
        <w:t xml:space="preserve">  </w:t>
      </w:r>
      <w:r>
        <w:rPr>
          <w:rFonts w:hint="default" w:ascii="Times New Roman" w:hAnsi="Times New Roman" w:cs="Times New Roman"/>
          <w:color w:val="000000" w:themeColor="text1"/>
          <w:highlight w:val="none"/>
          <w:lang w:val="en-US"/>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主要原辅材料消耗一览表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928"/>
        <w:gridCol w:w="1943"/>
        <w:gridCol w:w="1300"/>
        <w:gridCol w:w="1500"/>
        <w:gridCol w:w="1580"/>
        <w:gridCol w:w="1820"/>
      </w:tblGrid>
      <w:tr w14:paraId="206BAA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bottom w:val="single" w:color="000000" w:sz="12" w:space="0"/>
            </w:tcBorders>
            <w:noWrap w:val="0"/>
            <w:vAlign w:val="center"/>
          </w:tcPr>
          <w:p w14:paraId="7A994A7F">
            <w:pPr>
              <w:pStyle w:val="26"/>
              <w:jc w:val="center"/>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序号</w:t>
            </w:r>
          </w:p>
        </w:tc>
        <w:tc>
          <w:tcPr>
            <w:tcW w:w="1943" w:type="dxa"/>
            <w:tcBorders>
              <w:bottom w:val="single" w:color="000000" w:sz="12" w:space="0"/>
            </w:tcBorders>
            <w:noWrap w:val="0"/>
            <w:vAlign w:val="center"/>
          </w:tcPr>
          <w:p w14:paraId="707585C8">
            <w:pPr>
              <w:pStyle w:val="26"/>
              <w:jc w:val="center"/>
              <w:rPr>
                <w:rFonts w:hint="default" w:ascii="Times New Roman" w:hAnsi="Times New Roman" w:cs="Times New Roman"/>
                <w:b/>
                <w:bCs/>
                <w:color w:val="000000" w:themeColor="text1"/>
                <w:highlight w:val="none"/>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名称</w:t>
            </w:r>
          </w:p>
        </w:tc>
        <w:tc>
          <w:tcPr>
            <w:tcW w:w="1300" w:type="dxa"/>
            <w:tcBorders>
              <w:bottom w:val="single" w:color="000000" w:sz="12" w:space="0"/>
            </w:tcBorders>
            <w:noWrap w:val="0"/>
            <w:vAlign w:val="center"/>
          </w:tcPr>
          <w:p w14:paraId="69266CD0">
            <w:pPr>
              <w:pStyle w:val="26"/>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年耗量</w:t>
            </w:r>
            <w:r>
              <w:rPr>
                <w:rFonts w:hint="eastAsia" w:cs="Times New Roman"/>
                <w:b/>
                <w:bCs/>
                <w:color w:val="000000" w:themeColor="text1"/>
                <w:highlight w:val="none"/>
                <w:lang w:eastAsia="zh-CN"/>
                <w14:textFill>
                  <w14:solidFill>
                    <w14:schemeClr w14:val="tx1"/>
                  </w14:solidFill>
                </w14:textFill>
              </w:rPr>
              <w:t>（</w:t>
            </w:r>
            <w:r>
              <w:rPr>
                <w:rFonts w:hint="eastAsia" w:cs="Times New Roman"/>
                <w:b/>
                <w:bCs/>
                <w:color w:val="000000" w:themeColor="text1"/>
                <w:highlight w:val="none"/>
                <w:lang w:val="en-US" w:eastAsia="zh-CN"/>
                <w14:textFill>
                  <w14:solidFill>
                    <w14:schemeClr w14:val="tx1"/>
                  </w14:solidFill>
                </w14:textFill>
              </w:rPr>
              <w:t>t/a）</w:t>
            </w:r>
          </w:p>
        </w:tc>
        <w:tc>
          <w:tcPr>
            <w:tcW w:w="1500" w:type="dxa"/>
            <w:tcBorders>
              <w:bottom w:val="single" w:color="000000" w:sz="12" w:space="0"/>
            </w:tcBorders>
            <w:noWrap w:val="0"/>
            <w:vAlign w:val="center"/>
          </w:tcPr>
          <w:p w14:paraId="2BA69EA1">
            <w:pPr>
              <w:pStyle w:val="26"/>
              <w:bidi w:val="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en-US" w:eastAsia="zh-CN" w:bidi="zh-CN"/>
                <w14:textFill>
                  <w14:solidFill>
                    <w14:schemeClr w14:val="tx1"/>
                  </w14:solidFill>
                </w14:textFill>
              </w:rPr>
            </w:pPr>
            <w:r>
              <w:rPr>
                <w:rFonts w:hint="eastAsia" w:cs="Times New Roman"/>
                <w:b/>
                <w:bCs/>
                <w:color w:val="000000" w:themeColor="text1"/>
                <w:sz w:val="21"/>
                <w:szCs w:val="21"/>
                <w:highlight w:val="none"/>
                <w:lang w:val="en-US" w:eastAsia="zh-CN" w:bidi="zh-CN"/>
                <w14:textFill>
                  <w14:solidFill>
                    <w14:schemeClr w14:val="tx1"/>
                  </w14:solidFill>
                </w14:textFill>
              </w:rPr>
              <w:t>储存方式</w:t>
            </w:r>
          </w:p>
        </w:tc>
        <w:tc>
          <w:tcPr>
            <w:tcW w:w="1580" w:type="dxa"/>
            <w:tcBorders>
              <w:bottom w:val="single" w:color="000000" w:sz="12" w:space="0"/>
            </w:tcBorders>
            <w:noWrap w:val="0"/>
            <w:vAlign w:val="center"/>
          </w:tcPr>
          <w:p w14:paraId="5EBE45A7">
            <w:pPr>
              <w:pStyle w:val="26"/>
              <w:bidi w:val="0"/>
              <w:ind w:left="0" w:leftChars="0" w:right="0" w:rightChars="0" w:firstLine="0" w:firstLineChars="0"/>
              <w:jc w:val="center"/>
              <w:rPr>
                <w:rFonts w:hint="default" w:cs="Times New Roman"/>
                <w:b/>
                <w:bCs/>
                <w:color w:val="000000" w:themeColor="text1"/>
                <w:sz w:val="21"/>
                <w:szCs w:val="21"/>
                <w:highlight w:val="none"/>
                <w:lang w:val="en-US" w:eastAsia="zh-CN" w:bidi="zh-CN"/>
                <w14:textFill>
                  <w14:solidFill>
                    <w14:schemeClr w14:val="tx1"/>
                  </w14:solidFill>
                </w14:textFill>
              </w:rPr>
            </w:pPr>
            <w:r>
              <w:rPr>
                <w:rFonts w:hint="eastAsia" w:cs="Times New Roman"/>
                <w:b/>
                <w:bCs/>
                <w:color w:val="000000" w:themeColor="text1"/>
                <w:sz w:val="21"/>
                <w:szCs w:val="21"/>
                <w:highlight w:val="none"/>
                <w:lang w:val="en-US" w:eastAsia="zh-CN" w:bidi="zh-CN"/>
                <w14:textFill>
                  <w14:solidFill>
                    <w14:schemeClr w14:val="tx1"/>
                  </w14:solidFill>
                </w14:textFill>
              </w:rPr>
              <w:t>最大贮存量（t）</w:t>
            </w:r>
          </w:p>
        </w:tc>
        <w:tc>
          <w:tcPr>
            <w:tcW w:w="1820" w:type="dxa"/>
            <w:tcBorders>
              <w:bottom w:val="single" w:color="000000" w:sz="12" w:space="0"/>
            </w:tcBorders>
            <w:noWrap w:val="0"/>
            <w:vAlign w:val="center"/>
          </w:tcPr>
          <w:p w14:paraId="3AB1C697">
            <w:pPr>
              <w:pStyle w:val="26"/>
              <w:bidi w:val="0"/>
              <w:ind w:left="0" w:leftChars="0" w:right="0" w:rightChars="0" w:firstLine="0" w:firstLineChars="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备注</w:t>
            </w:r>
          </w:p>
        </w:tc>
      </w:tr>
      <w:tr w14:paraId="3BC178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op w:val="single" w:color="000000" w:sz="12" w:space="0"/>
              <w:tl2br w:val="nil"/>
              <w:tr2bl w:val="nil"/>
            </w:tcBorders>
            <w:noWrap w:val="0"/>
            <w:vAlign w:val="center"/>
          </w:tcPr>
          <w:p w14:paraId="5B3EEF94">
            <w:pPr>
              <w:pStyle w:val="26"/>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一</w:t>
            </w:r>
          </w:p>
        </w:tc>
        <w:tc>
          <w:tcPr>
            <w:tcW w:w="8143" w:type="dxa"/>
            <w:gridSpan w:val="5"/>
            <w:tcBorders>
              <w:top w:val="single" w:color="000000" w:sz="12" w:space="0"/>
              <w:tl2br w:val="nil"/>
              <w:tr2bl w:val="nil"/>
            </w:tcBorders>
            <w:noWrap w:val="0"/>
            <w:vAlign w:val="center"/>
          </w:tcPr>
          <w:p w14:paraId="08BB1A1D">
            <w:pPr>
              <w:pStyle w:val="26"/>
              <w:ind w:left="0" w:leftChars="0" w:right="0" w:rightChars="0"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聚羧酸减水剂生产线</w:t>
            </w:r>
          </w:p>
        </w:tc>
      </w:tr>
      <w:tr w14:paraId="6C07C4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84" w:hRule="atLeast"/>
          <w:jc w:val="center"/>
        </w:trPr>
        <w:tc>
          <w:tcPr>
            <w:tcW w:w="928" w:type="dxa"/>
            <w:tcBorders>
              <w:tl2br w:val="nil"/>
              <w:tr2bl w:val="nil"/>
            </w:tcBorders>
            <w:noWrap w:val="0"/>
            <w:vAlign w:val="center"/>
          </w:tcPr>
          <w:p w14:paraId="2D65A546">
            <w:pPr>
              <w:pStyle w:val="26"/>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w:t>
            </w:r>
          </w:p>
        </w:tc>
        <w:tc>
          <w:tcPr>
            <w:tcW w:w="1943" w:type="dxa"/>
            <w:tcBorders>
              <w:tl2br w:val="nil"/>
              <w:tr2bl w:val="nil"/>
            </w:tcBorders>
            <w:noWrap w:val="0"/>
            <w:vAlign w:val="center"/>
          </w:tcPr>
          <w:p w14:paraId="6D3E1F4D">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东科单体</w:t>
            </w:r>
            <w:r>
              <w:rPr>
                <w:rFonts w:hint="default" w:cs="Times New Roman"/>
                <w:color w:val="000000" w:themeColor="text1"/>
                <w:sz w:val="21"/>
                <w:szCs w:val="21"/>
                <w:highlight w:val="none"/>
                <w:lang w:val="en-US" w:eastAsia="zh-CN" w:bidi="zh-CN"/>
                <w14:textFill>
                  <w14:solidFill>
                    <w14:schemeClr w14:val="tx1"/>
                  </w14:solidFill>
                </w14:textFill>
              </w:rPr>
              <w:t>1088</w:t>
            </w:r>
          </w:p>
        </w:tc>
        <w:tc>
          <w:tcPr>
            <w:tcW w:w="1300" w:type="dxa"/>
            <w:tcBorders>
              <w:tl2br w:val="nil"/>
              <w:tr2bl w:val="nil"/>
            </w:tcBorders>
            <w:noWrap w:val="0"/>
            <w:vAlign w:val="center"/>
          </w:tcPr>
          <w:p w14:paraId="4B6FD9EA">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default" w:cs="Times New Roman"/>
                <w:color w:val="000000" w:themeColor="text1"/>
                <w:sz w:val="21"/>
                <w:szCs w:val="21"/>
                <w:highlight w:val="none"/>
                <w:lang w:val="en-US" w:eastAsia="zh-CN" w:bidi="zh-CN"/>
                <w14:textFill>
                  <w14:solidFill>
                    <w14:schemeClr w14:val="tx1"/>
                  </w14:solidFill>
                </w14:textFill>
              </w:rPr>
              <w:t>7300</w:t>
            </w:r>
          </w:p>
        </w:tc>
        <w:tc>
          <w:tcPr>
            <w:tcW w:w="1500" w:type="dxa"/>
            <w:tcBorders>
              <w:tl2br w:val="nil"/>
              <w:tr2bl w:val="nil"/>
            </w:tcBorders>
            <w:noWrap w:val="0"/>
            <w:vAlign w:val="center"/>
          </w:tcPr>
          <w:p w14:paraId="526D629C">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袋装，固体</w:t>
            </w:r>
          </w:p>
        </w:tc>
        <w:tc>
          <w:tcPr>
            <w:tcW w:w="1580" w:type="dxa"/>
            <w:tcBorders>
              <w:tl2br w:val="nil"/>
              <w:tr2bl w:val="nil"/>
            </w:tcBorders>
            <w:noWrap w:val="0"/>
            <w:vAlign w:val="center"/>
          </w:tcPr>
          <w:p w14:paraId="08CD606B">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400</w:t>
            </w:r>
          </w:p>
        </w:tc>
        <w:tc>
          <w:tcPr>
            <w:tcW w:w="1820" w:type="dxa"/>
            <w:tcBorders>
              <w:tl2br w:val="nil"/>
              <w:tr2bl w:val="nil"/>
            </w:tcBorders>
            <w:shd w:val="clear" w:color="auto" w:fill="auto"/>
            <w:noWrap w:val="0"/>
            <w:vAlign w:val="center"/>
          </w:tcPr>
          <w:p w14:paraId="344DDAF4">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69282D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8" w:hRule="atLeast"/>
          <w:jc w:val="center"/>
        </w:trPr>
        <w:tc>
          <w:tcPr>
            <w:tcW w:w="928" w:type="dxa"/>
            <w:tcBorders>
              <w:tl2br w:val="nil"/>
              <w:tr2bl w:val="nil"/>
            </w:tcBorders>
            <w:shd w:val="clear" w:color="auto" w:fill="auto"/>
            <w:noWrap w:val="0"/>
            <w:vAlign w:val="center"/>
          </w:tcPr>
          <w:p w14:paraId="0474C8E2">
            <w:pPr>
              <w:pStyle w:val="26"/>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w:t>
            </w:r>
          </w:p>
        </w:tc>
        <w:tc>
          <w:tcPr>
            <w:tcW w:w="1943" w:type="dxa"/>
            <w:tcBorders>
              <w:tl2br w:val="nil"/>
              <w:tr2bl w:val="nil"/>
            </w:tcBorders>
            <w:noWrap w:val="0"/>
            <w:vAlign w:val="center"/>
          </w:tcPr>
          <w:p w14:paraId="1883D0F2">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过硫酸铵</w:t>
            </w:r>
          </w:p>
        </w:tc>
        <w:tc>
          <w:tcPr>
            <w:tcW w:w="1300" w:type="dxa"/>
            <w:tcBorders>
              <w:tl2br w:val="nil"/>
              <w:tr2bl w:val="nil"/>
            </w:tcBorders>
            <w:noWrap w:val="0"/>
            <w:vAlign w:val="center"/>
          </w:tcPr>
          <w:p w14:paraId="6C260A33">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default" w:cs="Times New Roman"/>
                <w:color w:val="000000" w:themeColor="text1"/>
                <w:sz w:val="21"/>
                <w:szCs w:val="21"/>
                <w:highlight w:val="none"/>
                <w:lang w:val="en-US" w:eastAsia="zh-CN" w:bidi="zh-CN"/>
                <w14:textFill>
                  <w14:solidFill>
                    <w14:schemeClr w14:val="tx1"/>
                  </w14:solidFill>
                </w14:textFill>
              </w:rPr>
              <w:t>30</w:t>
            </w:r>
          </w:p>
        </w:tc>
        <w:tc>
          <w:tcPr>
            <w:tcW w:w="1500" w:type="dxa"/>
            <w:tcBorders>
              <w:tl2br w:val="nil"/>
              <w:tr2bl w:val="nil"/>
            </w:tcBorders>
            <w:noWrap w:val="0"/>
            <w:vAlign w:val="center"/>
          </w:tcPr>
          <w:p w14:paraId="727D1238">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袋装，固体</w:t>
            </w:r>
          </w:p>
        </w:tc>
        <w:tc>
          <w:tcPr>
            <w:tcW w:w="1580" w:type="dxa"/>
            <w:tcBorders>
              <w:tl2br w:val="nil"/>
              <w:tr2bl w:val="nil"/>
            </w:tcBorders>
            <w:noWrap w:val="0"/>
            <w:vAlign w:val="center"/>
          </w:tcPr>
          <w:p w14:paraId="0B3A45E7">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2</w:t>
            </w:r>
          </w:p>
        </w:tc>
        <w:tc>
          <w:tcPr>
            <w:tcW w:w="1820" w:type="dxa"/>
            <w:tcBorders>
              <w:tl2br w:val="nil"/>
              <w:tr2bl w:val="nil"/>
            </w:tcBorders>
            <w:shd w:val="clear" w:color="auto" w:fill="auto"/>
            <w:noWrap w:val="0"/>
            <w:vAlign w:val="center"/>
          </w:tcPr>
          <w:p w14:paraId="5FA739A7">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5ADD99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2" w:hRule="atLeast"/>
          <w:jc w:val="center"/>
        </w:trPr>
        <w:tc>
          <w:tcPr>
            <w:tcW w:w="928" w:type="dxa"/>
            <w:tcBorders>
              <w:tl2br w:val="nil"/>
              <w:tr2bl w:val="nil"/>
            </w:tcBorders>
            <w:shd w:val="clear" w:color="auto" w:fill="auto"/>
            <w:noWrap w:val="0"/>
            <w:vAlign w:val="center"/>
          </w:tcPr>
          <w:p w14:paraId="08093B71">
            <w:pPr>
              <w:pStyle w:val="26"/>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14:textFill>
                  <w14:solidFill>
                    <w14:schemeClr w14:val="tx1"/>
                  </w14:solidFill>
                </w14:textFill>
              </w:rPr>
              <w:t>3</w:t>
            </w:r>
          </w:p>
        </w:tc>
        <w:tc>
          <w:tcPr>
            <w:tcW w:w="1943" w:type="dxa"/>
            <w:tcBorders>
              <w:tl2br w:val="nil"/>
              <w:tr2bl w:val="nil"/>
            </w:tcBorders>
            <w:noWrap w:val="0"/>
            <w:vAlign w:val="center"/>
          </w:tcPr>
          <w:p w14:paraId="4122BCA5">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丙烯酸</w:t>
            </w:r>
          </w:p>
        </w:tc>
        <w:tc>
          <w:tcPr>
            <w:tcW w:w="1300" w:type="dxa"/>
            <w:tcBorders>
              <w:tl2br w:val="nil"/>
              <w:tr2bl w:val="nil"/>
            </w:tcBorders>
            <w:noWrap w:val="0"/>
            <w:vAlign w:val="center"/>
          </w:tcPr>
          <w:p w14:paraId="25A5747A">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default" w:cs="Times New Roman"/>
                <w:color w:val="000000" w:themeColor="text1"/>
                <w:sz w:val="21"/>
                <w:szCs w:val="21"/>
                <w:highlight w:val="none"/>
                <w:lang w:val="en-US" w:eastAsia="zh-CN" w:bidi="zh-CN"/>
                <w14:textFill>
                  <w14:solidFill>
                    <w14:schemeClr w14:val="tx1"/>
                  </w14:solidFill>
                </w14:textFill>
              </w:rPr>
              <w:t>60</w:t>
            </w:r>
          </w:p>
        </w:tc>
        <w:tc>
          <w:tcPr>
            <w:tcW w:w="1500" w:type="dxa"/>
            <w:tcBorders>
              <w:tl2br w:val="nil"/>
              <w:tr2bl w:val="nil"/>
            </w:tcBorders>
            <w:noWrap w:val="0"/>
            <w:vAlign w:val="center"/>
          </w:tcPr>
          <w:p w14:paraId="6C2A2C85">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桶装，液态</w:t>
            </w:r>
          </w:p>
        </w:tc>
        <w:tc>
          <w:tcPr>
            <w:tcW w:w="1580" w:type="dxa"/>
            <w:tcBorders>
              <w:tl2br w:val="nil"/>
              <w:tr2bl w:val="nil"/>
            </w:tcBorders>
            <w:noWrap w:val="0"/>
            <w:vAlign w:val="center"/>
          </w:tcPr>
          <w:p w14:paraId="38D589C6">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3</w:t>
            </w:r>
          </w:p>
        </w:tc>
        <w:tc>
          <w:tcPr>
            <w:tcW w:w="1820" w:type="dxa"/>
            <w:tcBorders>
              <w:tl2br w:val="nil"/>
              <w:tr2bl w:val="nil"/>
            </w:tcBorders>
            <w:shd w:val="clear" w:color="auto" w:fill="auto"/>
            <w:noWrap w:val="0"/>
            <w:vAlign w:val="center"/>
          </w:tcPr>
          <w:p w14:paraId="450DD186">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63AA81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610DEE03">
            <w:pPr>
              <w:pStyle w:val="26"/>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14:textFill>
                  <w14:solidFill>
                    <w14:schemeClr w14:val="tx1"/>
                  </w14:solidFill>
                </w14:textFill>
              </w:rPr>
              <w:t>4</w:t>
            </w:r>
          </w:p>
        </w:tc>
        <w:tc>
          <w:tcPr>
            <w:tcW w:w="1943" w:type="dxa"/>
            <w:tcBorders>
              <w:tl2br w:val="nil"/>
              <w:tr2bl w:val="nil"/>
            </w:tcBorders>
            <w:noWrap w:val="0"/>
            <w:vAlign w:val="center"/>
          </w:tcPr>
          <w:p w14:paraId="3E2A3080">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片碱</w:t>
            </w:r>
          </w:p>
        </w:tc>
        <w:tc>
          <w:tcPr>
            <w:tcW w:w="1300" w:type="dxa"/>
            <w:tcBorders>
              <w:tl2br w:val="nil"/>
              <w:tr2bl w:val="nil"/>
            </w:tcBorders>
            <w:noWrap w:val="0"/>
            <w:vAlign w:val="center"/>
          </w:tcPr>
          <w:p w14:paraId="196EE1C3">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default" w:cs="Times New Roman"/>
                <w:color w:val="000000" w:themeColor="text1"/>
                <w:sz w:val="21"/>
                <w:szCs w:val="21"/>
                <w:highlight w:val="none"/>
                <w:lang w:val="en-US" w:eastAsia="zh-CN" w:bidi="zh-CN"/>
                <w14:textFill>
                  <w14:solidFill>
                    <w14:schemeClr w14:val="tx1"/>
                  </w14:solidFill>
                </w14:textFill>
              </w:rPr>
              <w:t>90</w:t>
            </w:r>
          </w:p>
        </w:tc>
        <w:tc>
          <w:tcPr>
            <w:tcW w:w="1500" w:type="dxa"/>
            <w:tcBorders>
              <w:tl2br w:val="nil"/>
              <w:tr2bl w:val="nil"/>
            </w:tcBorders>
            <w:noWrap w:val="0"/>
            <w:vAlign w:val="center"/>
          </w:tcPr>
          <w:p w14:paraId="46B75F2A">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袋装，固体</w:t>
            </w:r>
          </w:p>
        </w:tc>
        <w:tc>
          <w:tcPr>
            <w:tcW w:w="1580" w:type="dxa"/>
            <w:tcBorders>
              <w:tl2br w:val="nil"/>
              <w:tr2bl w:val="nil"/>
            </w:tcBorders>
            <w:noWrap w:val="0"/>
            <w:vAlign w:val="center"/>
          </w:tcPr>
          <w:p w14:paraId="5514C1BB">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5</w:t>
            </w:r>
          </w:p>
        </w:tc>
        <w:tc>
          <w:tcPr>
            <w:tcW w:w="1820" w:type="dxa"/>
            <w:tcBorders>
              <w:tl2br w:val="nil"/>
              <w:tr2bl w:val="nil"/>
            </w:tcBorders>
            <w:shd w:val="clear" w:color="auto" w:fill="auto"/>
            <w:noWrap w:val="0"/>
            <w:vAlign w:val="center"/>
          </w:tcPr>
          <w:p w14:paraId="1E4E1CAC">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21BF39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6E713935">
            <w:pPr>
              <w:pStyle w:val="26"/>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14:textFill>
                  <w14:solidFill>
                    <w14:schemeClr w14:val="tx1"/>
                  </w14:solidFill>
                </w14:textFill>
              </w:rPr>
              <w:t>5</w:t>
            </w:r>
          </w:p>
        </w:tc>
        <w:tc>
          <w:tcPr>
            <w:tcW w:w="1943" w:type="dxa"/>
            <w:tcBorders>
              <w:tl2br w:val="nil"/>
              <w:tr2bl w:val="nil"/>
            </w:tcBorders>
            <w:noWrap w:val="0"/>
            <w:vAlign w:val="center"/>
          </w:tcPr>
          <w:p w14:paraId="3C7977CF">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维生素</w:t>
            </w:r>
            <w:r>
              <w:rPr>
                <w:rFonts w:hint="default" w:cs="Times New Roman"/>
                <w:color w:val="000000" w:themeColor="text1"/>
                <w:sz w:val="21"/>
                <w:szCs w:val="21"/>
                <w:highlight w:val="none"/>
                <w:lang w:val="en-US" w:eastAsia="zh-CN" w:bidi="zh-CN"/>
                <w14:textFill>
                  <w14:solidFill>
                    <w14:schemeClr w14:val="tx1"/>
                  </w14:solidFill>
                </w14:textFill>
              </w:rPr>
              <w:t>C</w:t>
            </w:r>
          </w:p>
        </w:tc>
        <w:tc>
          <w:tcPr>
            <w:tcW w:w="1300" w:type="dxa"/>
            <w:tcBorders>
              <w:tl2br w:val="nil"/>
              <w:tr2bl w:val="nil"/>
            </w:tcBorders>
            <w:noWrap w:val="0"/>
            <w:vAlign w:val="center"/>
          </w:tcPr>
          <w:p w14:paraId="767D7806">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default" w:cs="Times New Roman"/>
                <w:color w:val="000000" w:themeColor="text1"/>
                <w:sz w:val="21"/>
                <w:szCs w:val="21"/>
                <w:highlight w:val="none"/>
                <w:lang w:val="en-US" w:eastAsia="zh-CN" w:bidi="zh-CN"/>
                <w14:textFill>
                  <w14:solidFill>
                    <w14:schemeClr w14:val="tx1"/>
                  </w14:solidFill>
                </w14:textFill>
              </w:rPr>
              <w:t>20</w:t>
            </w:r>
          </w:p>
        </w:tc>
        <w:tc>
          <w:tcPr>
            <w:tcW w:w="1500" w:type="dxa"/>
            <w:tcBorders>
              <w:tl2br w:val="nil"/>
              <w:tr2bl w:val="nil"/>
            </w:tcBorders>
            <w:noWrap w:val="0"/>
            <w:vAlign w:val="center"/>
          </w:tcPr>
          <w:p w14:paraId="5EFF7CFB">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袋装，固体</w:t>
            </w:r>
          </w:p>
        </w:tc>
        <w:tc>
          <w:tcPr>
            <w:tcW w:w="1580" w:type="dxa"/>
            <w:tcBorders>
              <w:tl2br w:val="nil"/>
              <w:tr2bl w:val="nil"/>
            </w:tcBorders>
            <w:noWrap w:val="0"/>
            <w:vAlign w:val="center"/>
          </w:tcPr>
          <w:p w14:paraId="72006266">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1</w:t>
            </w:r>
          </w:p>
        </w:tc>
        <w:tc>
          <w:tcPr>
            <w:tcW w:w="1820" w:type="dxa"/>
            <w:tcBorders>
              <w:tl2br w:val="nil"/>
              <w:tr2bl w:val="nil"/>
            </w:tcBorders>
            <w:shd w:val="clear" w:color="auto" w:fill="auto"/>
            <w:noWrap w:val="0"/>
            <w:vAlign w:val="center"/>
          </w:tcPr>
          <w:p w14:paraId="1C0BB210">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183027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5C1A3E56">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14:textFill>
                  <w14:solidFill>
                    <w14:schemeClr w14:val="tx1"/>
                  </w14:solidFill>
                </w14:textFill>
              </w:rPr>
              <w:t>6</w:t>
            </w:r>
          </w:p>
        </w:tc>
        <w:tc>
          <w:tcPr>
            <w:tcW w:w="1943" w:type="dxa"/>
            <w:tcBorders>
              <w:tl2br w:val="nil"/>
              <w:tr2bl w:val="nil"/>
            </w:tcBorders>
            <w:noWrap w:val="0"/>
            <w:vAlign w:val="center"/>
          </w:tcPr>
          <w:p w14:paraId="5139B478">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巯基丙酸</w:t>
            </w:r>
          </w:p>
        </w:tc>
        <w:tc>
          <w:tcPr>
            <w:tcW w:w="1300" w:type="dxa"/>
            <w:tcBorders>
              <w:tl2br w:val="nil"/>
              <w:tr2bl w:val="nil"/>
            </w:tcBorders>
            <w:noWrap w:val="0"/>
            <w:vAlign w:val="center"/>
          </w:tcPr>
          <w:p w14:paraId="4C9F0237">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default" w:cs="Times New Roman"/>
                <w:color w:val="000000" w:themeColor="text1"/>
                <w:sz w:val="21"/>
                <w:szCs w:val="21"/>
                <w:highlight w:val="none"/>
                <w:lang w:val="en-US" w:eastAsia="zh-CN" w:bidi="zh-CN"/>
                <w14:textFill>
                  <w14:solidFill>
                    <w14:schemeClr w14:val="tx1"/>
                  </w14:solidFill>
                </w14:textFill>
              </w:rPr>
              <w:t>24</w:t>
            </w:r>
          </w:p>
        </w:tc>
        <w:tc>
          <w:tcPr>
            <w:tcW w:w="1500" w:type="dxa"/>
            <w:tcBorders>
              <w:tl2br w:val="nil"/>
              <w:tr2bl w:val="nil"/>
            </w:tcBorders>
            <w:noWrap w:val="0"/>
            <w:vAlign w:val="center"/>
          </w:tcPr>
          <w:p w14:paraId="1A34F05A">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桶装，液态</w:t>
            </w:r>
          </w:p>
        </w:tc>
        <w:tc>
          <w:tcPr>
            <w:tcW w:w="1580" w:type="dxa"/>
            <w:tcBorders>
              <w:tl2br w:val="nil"/>
              <w:tr2bl w:val="nil"/>
            </w:tcBorders>
            <w:noWrap w:val="0"/>
            <w:vAlign w:val="center"/>
          </w:tcPr>
          <w:p w14:paraId="1931A2DD">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1</w:t>
            </w:r>
          </w:p>
        </w:tc>
        <w:tc>
          <w:tcPr>
            <w:tcW w:w="1820" w:type="dxa"/>
            <w:tcBorders>
              <w:tl2br w:val="nil"/>
              <w:tr2bl w:val="nil"/>
            </w:tcBorders>
            <w:shd w:val="clear" w:color="auto" w:fill="auto"/>
            <w:noWrap w:val="0"/>
            <w:vAlign w:val="center"/>
          </w:tcPr>
          <w:p w14:paraId="03397BCD">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4ACB66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55225F8B">
            <w:pPr>
              <w:pStyle w:val="26"/>
              <w:ind w:left="0" w:leftChars="0" w:right="0" w:rightChars="0" w:firstLine="0" w:firstLineChars="0"/>
              <w:jc w:val="center"/>
              <w:rPr>
                <w:rFonts w:hint="default" w:ascii="Times New Roman" w:hAnsi="Times New Roman" w:cs="Times New Roman"/>
                <w:color w:val="000000" w:themeColor="text1"/>
                <w:highlight w:val="none"/>
                <w:lang w:val="en-US"/>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7</w:t>
            </w:r>
          </w:p>
        </w:tc>
        <w:tc>
          <w:tcPr>
            <w:tcW w:w="1943" w:type="dxa"/>
            <w:tcBorders>
              <w:tl2br w:val="nil"/>
              <w:tr2bl w:val="nil"/>
            </w:tcBorders>
            <w:noWrap w:val="0"/>
            <w:vAlign w:val="center"/>
          </w:tcPr>
          <w:p w14:paraId="1F52A461">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葡萄糖酸钠</w:t>
            </w:r>
          </w:p>
        </w:tc>
        <w:tc>
          <w:tcPr>
            <w:tcW w:w="1300" w:type="dxa"/>
            <w:tcBorders>
              <w:tl2br w:val="nil"/>
              <w:tr2bl w:val="nil"/>
            </w:tcBorders>
            <w:noWrap w:val="0"/>
            <w:vAlign w:val="center"/>
          </w:tcPr>
          <w:p w14:paraId="5C3B9504">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default" w:cs="Times New Roman"/>
                <w:color w:val="000000" w:themeColor="text1"/>
                <w:sz w:val="21"/>
                <w:szCs w:val="21"/>
                <w:highlight w:val="none"/>
                <w:lang w:val="en-US" w:eastAsia="zh-CN" w:bidi="zh-CN"/>
                <w14:textFill>
                  <w14:solidFill>
                    <w14:schemeClr w14:val="tx1"/>
                  </w14:solidFill>
                </w14:textFill>
              </w:rPr>
              <w:t>76</w:t>
            </w:r>
          </w:p>
        </w:tc>
        <w:tc>
          <w:tcPr>
            <w:tcW w:w="1500" w:type="dxa"/>
            <w:tcBorders>
              <w:tl2br w:val="nil"/>
              <w:tr2bl w:val="nil"/>
            </w:tcBorders>
            <w:shd w:val="clear" w:color="auto" w:fill="auto"/>
            <w:noWrap w:val="0"/>
            <w:vAlign w:val="center"/>
          </w:tcPr>
          <w:p w14:paraId="72C9E70D">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袋装，固体</w:t>
            </w:r>
          </w:p>
        </w:tc>
        <w:tc>
          <w:tcPr>
            <w:tcW w:w="1580" w:type="dxa"/>
            <w:tcBorders>
              <w:tl2br w:val="nil"/>
              <w:tr2bl w:val="nil"/>
            </w:tcBorders>
            <w:shd w:val="clear" w:color="auto" w:fill="auto"/>
            <w:noWrap w:val="0"/>
            <w:vAlign w:val="center"/>
          </w:tcPr>
          <w:p w14:paraId="2D6DAD91">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4</w:t>
            </w:r>
          </w:p>
        </w:tc>
        <w:tc>
          <w:tcPr>
            <w:tcW w:w="1820" w:type="dxa"/>
            <w:tcBorders>
              <w:tl2br w:val="nil"/>
              <w:tr2bl w:val="nil"/>
            </w:tcBorders>
            <w:shd w:val="clear" w:color="auto" w:fill="auto"/>
            <w:noWrap w:val="0"/>
            <w:vAlign w:val="center"/>
          </w:tcPr>
          <w:p w14:paraId="3F665BA3">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2F1227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6CC3E511">
            <w:pPr>
              <w:pStyle w:val="26"/>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w:t>
            </w:r>
          </w:p>
        </w:tc>
        <w:tc>
          <w:tcPr>
            <w:tcW w:w="1943" w:type="dxa"/>
            <w:tcBorders>
              <w:tl2br w:val="nil"/>
              <w:tr2bl w:val="nil"/>
            </w:tcBorders>
            <w:noWrap w:val="0"/>
            <w:vAlign w:val="center"/>
          </w:tcPr>
          <w:p w14:paraId="3C2B4080">
            <w:pPr>
              <w:pStyle w:val="26"/>
              <w:ind w:left="0" w:leftChars="0" w:right="0" w:rightChars="0" w:firstLine="0" w:firstLineChars="0"/>
              <w:jc w:val="center"/>
              <w:rPr>
                <w:rFonts w:hint="eastAsia"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水</w:t>
            </w:r>
          </w:p>
        </w:tc>
        <w:tc>
          <w:tcPr>
            <w:tcW w:w="1300" w:type="dxa"/>
            <w:tcBorders>
              <w:tl2br w:val="nil"/>
              <w:tr2bl w:val="nil"/>
            </w:tcBorders>
            <w:noWrap w:val="0"/>
            <w:vAlign w:val="center"/>
          </w:tcPr>
          <w:p w14:paraId="1BE60F3C">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default" w:cs="Times New Roman"/>
                <w:color w:val="000000" w:themeColor="text1"/>
                <w:sz w:val="21"/>
                <w:szCs w:val="21"/>
                <w:highlight w:val="none"/>
                <w:lang w:val="en-US" w:eastAsia="zh-CN" w:bidi="zh-CN"/>
                <w14:textFill>
                  <w14:solidFill>
                    <w14:schemeClr w14:val="tx1"/>
                  </w14:solidFill>
                </w14:textFill>
              </w:rPr>
              <w:t>12400</w:t>
            </w:r>
          </w:p>
        </w:tc>
        <w:tc>
          <w:tcPr>
            <w:tcW w:w="1500" w:type="dxa"/>
            <w:tcBorders>
              <w:tl2br w:val="nil"/>
              <w:tr2bl w:val="nil"/>
            </w:tcBorders>
            <w:noWrap w:val="0"/>
            <w:vAlign w:val="center"/>
          </w:tcPr>
          <w:p w14:paraId="761DB107">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w:t>
            </w:r>
          </w:p>
        </w:tc>
        <w:tc>
          <w:tcPr>
            <w:tcW w:w="1580" w:type="dxa"/>
            <w:tcBorders>
              <w:tl2br w:val="nil"/>
              <w:tr2bl w:val="nil"/>
            </w:tcBorders>
            <w:noWrap w:val="0"/>
            <w:vAlign w:val="center"/>
          </w:tcPr>
          <w:p w14:paraId="1E12E0DD">
            <w:pPr>
              <w:pStyle w:val="26"/>
              <w:ind w:left="0" w:leftChars="0" w:right="0" w:rightChars="0" w:firstLine="0" w:firstLineChars="0"/>
              <w:jc w:val="center"/>
              <w:rPr>
                <w:rFonts w:hint="default"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w:t>
            </w:r>
          </w:p>
        </w:tc>
        <w:tc>
          <w:tcPr>
            <w:tcW w:w="1820" w:type="dxa"/>
            <w:tcBorders>
              <w:tl2br w:val="nil"/>
              <w:tr2bl w:val="nil"/>
            </w:tcBorders>
            <w:shd w:val="clear" w:color="auto" w:fill="auto"/>
            <w:noWrap w:val="0"/>
            <w:vAlign w:val="center"/>
          </w:tcPr>
          <w:p w14:paraId="49BD52C9">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园区供水管网</w:t>
            </w:r>
          </w:p>
        </w:tc>
      </w:tr>
      <w:tr w14:paraId="0047E0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71FC1C2E">
            <w:pPr>
              <w:pStyle w:val="26"/>
              <w:ind w:left="0" w:leftChars="0" w:right="0" w:rightChars="0" w:firstLine="0" w:firstLine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二</w:t>
            </w:r>
          </w:p>
        </w:tc>
        <w:tc>
          <w:tcPr>
            <w:tcW w:w="8143" w:type="dxa"/>
            <w:gridSpan w:val="5"/>
            <w:tcBorders>
              <w:tl2br w:val="nil"/>
              <w:tr2bl w:val="nil"/>
            </w:tcBorders>
            <w:noWrap w:val="0"/>
            <w:vAlign w:val="center"/>
          </w:tcPr>
          <w:p w14:paraId="49E8D05F">
            <w:pPr>
              <w:pStyle w:val="26"/>
              <w:ind w:left="0" w:leftChars="0" w:right="0" w:rightChars="0" w:firstLine="0" w:firstLineChars="0"/>
              <w:jc w:val="center"/>
              <w:rPr>
                <w:rFonts w:hint="eastAsia"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t>硫酸铝外加剂生产线</w:t>
            </w:r>
          </w:p>
        </w:tc>
      </w:tr>
      <w:tr w14:paraId="47F202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3DB83D07">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w:t>
            </w:r>
          </w:p>
        </w:tc>
        <w:tc>
          <w:tcPr>
            <w:tcW w:w="1943" w:type="dxa"/>
            <w:tcBorders>
              <w:tl2br w:val="nil"/>
              <w:tr2bl w:val="nil"/>
            </w:tcBorders>
            <w:shd w:val="clear" w:color="auto" w:fill="auto"/>
            <w:noWrap w:val="0"/>
            <w:vAlign w:val="center"/>
          </w:tcPr>
          <w:p w14:paraId="4F906E84">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工业浓硫酸（98%）</w:t>
            </w:r>
          </w:p>
        </w:tc>
        <w:tc>
          <w:tcPr>
            <w:tcW w:w="1300" w:type="dxa"/>
            <w:tcBorders>
              <w:tl2br w:val="nil"/>
              <w:tr2bl w:val="nil"/>
            </w:tcBorders>
            <w:shd w:val="clear" w:color="auto" w:fill="auto"/>
            <w:noWrap w:val="0"/>
            <w:vAlign w:val="center"/>
          </w:tcPr>
          <w:p w14:paraId="29A72135">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4000</w:t>
            </w:r>
          </w:p>
        </w:tc>
        <w:tc>
          <w:tcPr>
            <w:tcW w:w="1500" w:type="dxa"/>
            <w:tcBorders>
              <w:tl2br w:val="nil"/>
              <w:tr2bl w:val="nil"/>
            </w:tcBorders>
            <w:shd w:val="clear" w:color="auto" w:fill="auto"/>
            <w:noWrap w:val="0"/>
            <w:vAlign w:val="center"/>
          </w:tcPr>
          <w:p w14:paraId="6BC00844">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罐装，液态</w:t>
            </w:r>
          </w:p>
        </w:tc>
        <w:tc>
          <w:tcPr>
            <w:tcW w:w="1580" w:type="dxa"/>
            <w:tcBorders>
              <w:tl2br w:val="nil"/>
              <w:tr2bl w:val="nil"/>
            </w:tcBorders>
            <w:shd w:val="clear" w:color="auto" w:fill="auto"/>
            <w:noWrap w:val="0"/>
            <w:vAlign w:val="center"/>
          </w:tcPr>
          <w:p w14:paraId="64C34EEF">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32.6</w:t>
            </w:r>
          </w:p>
        </w:tc>
        <w:tc>
          <w:tcPr>
            <w:tcW w:w="1820" w:type="dxa"/>
            <w:tcBorders>
              <w:tl2br w:val="nil"/>
              <w:tr2bl w:val="nil"/>
            </w:tcBorders>
            <w:shd w:val="clear" w:color="auto" w:fill="auto"/>
            <w:noWrap w:val="0"/>
            <w:vAlign w:val="center"/>
          </w:tcPr>
          <w:p w14:paraId="2BFE643C">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0E0B35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3C75AF3E">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2</w:t>
            </w:r>
          </w:p>
        </w:tc>
        <w:tc>
          <w:tcPr>
            <w:tcW w:w="1943" w:type="dxa"/>
            <w:tcBorders>
              <w:tl2br w:val="nil"/>
              <w:tr2bl w:val="nil"/>
            </w:tcBorders>
            <w:shd w:val="clear" w:color="auto" w:fill="auto"/>
            <w:noWrap w:val="0"/>
            <w:vAlign w:val="center"/>
          </w:tcPr>
          <w:p w14:paraId="4452E1B9">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氢氧化铝</w:t>
            </w:r>
          </w:p>
        </w:tc>
        <w:tc>
          <w:tcPr>
            <w:tcW w:w="1300" w:type="dxa"/>
            <w:tcBorders>
              <w:tl2br w:val="nil"/>
              <w:tr2bl w:val="nil"/>
            </w:tcBorders>
            <w:shd w:val="clear" w:color="auto" w:fill="auto"/>
            <w:noWrap w:val="0"/>
            <w:vAlign w:val="center"/>
          </w:tcPr>
          <w:p w14:paraId="2E5E20C1">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3000</w:t>
            </w:r>
          </w:p>
        </w:tc>
        <w:tc>
          <w:tcPr>
            <w:tcW w:w="1500" w:type="dxa"/>
            <w:tcBorders>
              <w:tl2br w:val="nil"/>
              <w:tr2bl w:val="nil"/>
            </w:tcBorders>
            <w:shd w:val="clear" w:color="auto" w:fill="auto"/>
            <w:noWrap w:val="0"/>
            <w:vAlign w:val="center"/>
          </w:tcPr>
          <w:p w14:paraId="1FCA9976">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袋装，固体</w:t>
            </w:r>
          </w:p>
        </w:tc>
        <w:tc>
          <w:tcPr>
            <w:tcW w:w="1580" w:type="dxa"/>
            <w:tcBorders>
              <w:tl2br w:val="nil"/>
              <w:tr2bl w:val="nil"/>
            </w:tcBorders>
            <w:shd w:val="clear" w:color="auto" w:fill="auto"/>
            <w:noWrap w:val="0"/>
            <w:vAlign w:val="center"/>
          </w:tcPr>
          <w:p w14:paraId="03E29FB5">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t>167</w:t>
            </w:r>
          </w:p>
        </w:tc>
        <w:tc>
          <w:tcPr>
            <w:tcW w:w="1820" w:type="dxa"/>
            <w:tcBorders>
              <w:tl2br w:val="nil"/>
              <w:tr2bl w:val="nil"/>
            </w:tcBorders>
            <w:shd w:val="clear" w:color="auto" w:fill="auto"/>
            <w:noWrap w:val="0"/>
            <w:vAlign w:val="center"/>
          </w:tcPr>
          <w:p w14:paraId="3C26C041">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4D0ED0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1A184440">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highlight w:val="none"/>
                <w:lang w:val="en-US"/>
                <w14:textFill>
                  <w14:solidFill>
                    <w14:schemeClr w14:val="tx1"/>
                  </w14:solidFill>
                </w14:textFill>
              </w:rPr>
              <w:t>3</w:t>
            </w:r>
          </w:p>
        </w:tc>
        <w:tc>
          <w:tcPr>
            <w:tcW w:w="1943" w:type="dxa"/>
            <w:tcBorders>
              <w:tl2br w:val="nil"/>
              <w:tr2bl w:val="nil"/>
            </w:tcBorders>
            <w:shd w:val="clear" w:color="auto" w:fill="auto"/>
            <w:noWrap w:val="0"/>
            <w:vAlign w:val="center"/>
          </w:tcPr>
          <w:p w14:paraId="44D79B9C">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水</w:t>
            </w:r>
          </w:p>
        </w:tc>
        <w:tc>
          <w:tcPr>
            <w:tcW w:w="1300" w:type="dxa"/>
            <w:tcBorders>
              <w:tl2br w:val="nil"/>
              <w:tr2bl w:val="nil"/>
            </w:tcBorders>
            <w:shd w:val="clear" w:color="auto" w:fill="auto"/>
            <w:noWrap w:val="0"/>
            <w:vAlign w:val="center"/>
          </w:tcPr>
          <w:p w14:paraId="13344542">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13000</w:t>
            </w:r>
          </w:p>
        </w:tc>
        <w:tc>
          <w:tcPr>
            <w:tcW w:w="1500" w:type="dxa"/>
            <w:tcBorders>
              <w:tl2br w:val="nil"/>
              <w:tr2bl w:val="nil"/>
            </w:tcBorders>
            <w:shd w:val="clear" w:color="auto" w:fill="auto"/>
            <w:noWrap w:val="0"/>
            <w:vAlign w:val="center"/>
          </w:tcPr>
          <w:p w14:paraId="15AEC8B6">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w:t>
            </w:r>
          </w:p>
        </w:tc>
        <w:tc>
          <w:tcPr>
            <w:tcW w:w="1580" w:type="dxa"/>
            <w:tcBorders>
              <w:tl2br w:val="nil"/>
              <w:tr2bl w:val="nil"/>
            </w:tcBorders>
            <w:shd w:val="clear" w:color="auto" w:fill="auto"/>
            <w:noWrap w:val="0"/>
            <w:vAlign w:val="center"/>
          </w:tcPr>
          <w:p w14:paraId="51A8429A">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t>/</w:t>
            </w:r>
          </w:p>
        </w:tc>
        <w:tc>
          <w:tcPr>
            <w:tcW w:w="1820" w:type="dxa"/>
            <w:tcBorders>
              <w:tl2br w:val="nil"/>
              <w:tr2bl w:val="nil"/>
            </w:tcBorders>
            <w:shd w:val="clear" w:color="auto" w:fill="auto"/>
            <w:noWrap w:val="0"/>
            <w:vAlign w:val="center"/>
          </w:tcPr>
          <w:p w14:paraId="17FEE662">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园区供水管网</w:t>
            </w:r>
          </w:p>
        </w:tc>
      </w:tr>
      <w:tr w14:paraId="1A51C6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noWrap w:val="0"/>
            <w:vAlign w:val="center"/>
          </w:tcPr>
          <w:p w14:paraId="0094C2B2">
            <w:pPr>
              <w:pStyle w:val="26"/>
              <w:jc w:val="center"/>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三</w:t>
            </w:r>
          </w:p>
        </w:tc>
        <w:tc>
          <w:tcPr>
            <w:tcW w:w="8143" w:type="dxa"/>
            <w:gridSpan w:val="5"/>
            <w:tcBorders>
              <w:tl2br w:val="nil"/>
              <w:tr2bl w:val="nil"/>
            </w:tcBorders>
            <w:noWrap w:val="0"/>
            <w:vAlign w:val="center"/>
          </w:tcPr>
          <w:p w14:paraId="47D7BEDC">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t>速凝剂生产线</w:t>
            </w:r>
          </w:p>
        </w:tc>
      </w:tr>
      <w:tr w14:paraId="204375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71D5E165">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w:t>
            </w:r>
          </w:p>
        </w:tc>
        <w:tc>
          <w:tcPr>
            <w:tcW w:w="1943" w:type="dxa"/>
            <w:tcBorders>
              <w:tl2br w:val="nil"/>
              <w:tr2bl w:val="nil"/>
            </w:tcBorders>
            <w:noWrap w:val="0"/>
            <w:vAlign w:val="center"/>
          </w:tcPr>
          <w:p w14:paraId="047212C7">
            <w:pPr>
              <w:pStyle w:val="26"/>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硫酸铝</w:t>
            </w:r>
          </w:p>
        </w:tc>
        <w:tc>
          <w:tcPr>
            <w:tcW w:w="1300" w:type="dxa"/>
            <w:tcBorders>
              <w:tl2br w:val="nil"/>
              <w:tr2bl w:val="nil"/>
            </w:tcBorders>
            <w:noWrap w:val="0"/>
            <w:vAlign w:val="center"/>
          </w:tcPr>
          <w:p w14:paraId="3B01E132">
            <w:pPr>
              <w:pStyle w:val="26"/>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7000</w:t>
            </w:r>
          </w:p>
        </w:tc>
        <w:tc>
          <w:tcPr>
            <w:tcW w:w="1500" w:type="dxa"/>
            <w:tcBorders>
              <w:tl2br w:val="nil"/>
              <w:tr2bl w:val="nil"/>
            </w:tcBorders>
            <w:shd w:val="clear" w:color="auto" w:fill="auto"/>
            <w:noWrap w:val="0"/>
            <w:vAlign w:val="center"/>
          </w:tcPr>
          <w:p w14:paraId="53D02900">
            <w:pPr>
              <w:pStyle w:val="26"/>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罐装，液态</w:t>
            </w:r>
          </w:p>
        </w:tc>
        <w:tc>
          <w:tcPr>
            <w:tcW w:w="1580" w:type="dxa"/>
            <w:tcBorders>
              <w:tl2br w:val="nil"/>
              <w:tr2bl w:val="nil"/>
            </w:tcBorders>
            <w:shd w:val="clear" w:color="auto" w:fill="auto"/>
            <w:noWrap w:val="0"/>
            <w:vAlign w:val="center"/>
          </w:tcPr>
          <w:p w14:paraId="616F6E57">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t>389</w:t>
            </w:r>
          </w:p>
        </w:tc>
        <w:tc>
          <w:tcPr>
            <w:tcW w:w="1820" w:type="dxa"/>
            <w:tcBorders>
              <w:tl2br w:val="nil"/>
              <w:tr2bl w:val="nil"/>
            </w:tcBorders>
            <w:shd w:val="clear" w:color="auto" w:fill="auto"/>
            <w:noWrap w:val="0"/>
            <w:vAlign w:val="center"/>
          </w:tcPr>
          <w:p w14:paraId="5703B358">
            <w:pPr>
              <w:pStyle w:val="26"/>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kern w:val="0"/>
                <w:sz w:val="21"/>
                <w:szCs w:val="21"/>
                <w:highlight w:val="none"/>
                <w:lang w:val="en-US" w:eastAsia="zh-CN" w:bidi="zh-CN"/>
                <w14:textFill>
                  <w14:solidFill>
                    <w14:schemeClr w14:val="tx1"/>
                  </w14:solidFill>
                </w14:textFill>
              </w:rPr>
              <w:t>自产</w:t>
            </w:r>
          </w:p>
        </w:tc>
      </w:tr>
      <w:tr w14:paraId="181285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467D3C6C">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w:t>
            </w:r>
          </w:p>
        </w:tc>
        <w:tc>
          <w:tcPr>
            <w:tcW w:w="1943" w:type="dxa"/>
            <w:tcBorders>
              <w:tl2br w:val="nil"/>
              <w:tr2bl w:val="nil"/>
            </w:tcBorders>
            <w:noWrap w:val="0"/>
            <w:vAlign w:val="center"/>
          </w:tcPr>
          <w:p w14:paraId="01323430">
            <w:pPr>
              <w:pStyle w:val="26"/>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氟硅酸溶液</w:t>
            </w:r>
          </w:p>
        </w:tc>
        <w:tc>
          <w:tcPr>
            <w:tcW w:w="1300" w:type="dxa"/>
            <w:tcBorders>
              <w:tl2br w:val="nil"/>
              <w:tr2bl w:val="nil"/>
            </w:tcBorders>
            <w:noWrap w:val="0"/>
            <w:vAlign w:val="center"/>
          </w:tcPr>
          <w:p w14:paraId="47040C89">
            <w:pPr>
              <w:pStyle w:val="26"/>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4700</w:t>
            </w:r>
          </w:p>
        </w:tc>
        <w:tc>
          <w:tcPr>
            <w:tcW w:w="1500" w:type="dxa"/>
            <w:tcBorders>
              <w:tl2br w:val="nil"/>
              <w:tr2bl w:val="nil"/>
            </w:tcBorders>
            <w:shd w:val="clear" w:color="auto" w:fill="auto"/>
            <w:noWrap w:val="0"/>
            <w:vAlign w:val="center"/>
          </w:tcPr>
          <w:p w14:paraId="590133AD">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桶装，液态</w:t>
            </w:r>
          </w:p>
        </w:tc>
        <w:tc>
          <w:tcPr>
            <w:tcW w:w="1580" w:type="dxa"/>
            <w:tcBorders>
              <w:tl2br w:val="nil"/>
              <w:tr2bl w:val="nil"/>
            </w:tcBorders>
            <w:shd w:val="clear" w:color="auto" w:fill="auto"/>
            <w:noWrap w:val="0"/>
            <w:vAlign w:val="center"/>
          </w:tcPr>
          <w:p w14:paraId="29A2763F">
            <w:pPr>
              <w:pStyle w:val="26"/>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130</w:t>
            </w:r>
          </w:p>
        </w:tc>
        <w:tc>
          <w:tcPr>
            <w:tcW w:w="1820" w:type="dxa"/>
            <w:tcBorders>
              <w:tl2br w:val="nil"/>
              <w:tr2bl w:val="nil"/>
            </w:tcBorders>
            <w:shd w:val="clear" w:color="auto" w:fill="auto"/>
            <w:noWrap w:val="0"/>
            <w:vAlign w:val="center"/>
          </w:tcPr>
          <w:p w14:paraId="476CCBD6">
            <w:pPr>
              <w:pStyle w:val="26"/>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外购，20%</w:t>
            </w:r>
          </w:p>
        </w:tc>
      </w:tr>
      <w:tr w14:paraId="371293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1B503E4E">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w:t>
            </w:r>
          </w:p>
        </w:tc>
        <w:tc>
          <w:tcPr>
            <w:tcW w:w="1943" w:type="dxa"/>
            <w:tcBorders>
              <w:tl2br w:val="nil"/>
              <w:tr2bl w:val="nil"/>
            </w:tcBorders>
            <w:noWrap w:val="0"/>
            <w:vAlign w:val="center"/>
          </w:tcPr>
          <w:p w14:paraId="6B57445F">
            <w:pPr>
              <w:pStyle w:val="26"/>
              <w:jc w:val="center"/>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氢氧化钠</w:t>
            </w:r>
          </w:p>
        </w:tc>
        <w:tc>
          <w:tcPr>
            <w:tcW w:w="1300" w:type="dxa"/>
            <w:tcBorders>
              <w:tl2br w:val="nil"/>
              <w:tr2bl w:val="nil"/>
            </w:tcBorders>
            <w:noWrap w:val="0"/>
            <w:vAlign w:val="center"/>
          </w:tcPr>
          <w:p w14:paraId="796E2FFB">
            <w:pPr>
              <w:pStyle w:val="26"/>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500</w:t>
            </w:r>
          </w:p>
        </w:tc>
        <w:tc>
          <w:tcPr>
            <w:tcW w:w="1500" w:type="dxa"/>
            <w:tcBorders>
              <w:tl2br w:val="nil"/>
              <w:tr2bl w:val="nil"/>
            </w:tcBorders>
            <w:shd w:val="clear" w:color="auto" w:fill="auto"/>
            <w:noWrap w:val="0"/>
            <w:vAlign w:val="center"/>
          </w:tcPr>
          <w:p w14:paraId="2CD01780">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袋装，固体</w:t>
            </w:r>
          </w:p>
        </w:tc>
        <w:tc>
          <w:tcPr>
            <w:tcW w:w="1580" w:type="dxa"/>
            <w:tcBorders>
              <w:tl2br w:val="nil"/>
              <w:tr2bl w:val="nil"/>
            </w:tcBorders>
            <w:shd w:val="clear" w:color="auto" w:fill="auto"/>
            <w:noWrap w:val="0"/>
            <w:vAlign w:val="center"/>
          </w:tcPr>
          <w:p w14:paraId="12155560">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t>28</w:t>
            </w:r>
          </w:p>
        </w:tc>
        <w:tc>
          <w:tcPr>
            <w:tcW w:w="1820" w:type="dxa"/>
            <w:tcBorders>
              <w:tl2br w:val="nil"/>
              <w:tr2bl w:val="nil"/>
            </w:tcBorders>
            <w:shd w:val="clear" w:color="auto" w:fill="auto"/>
            <w:noWrap w:val="0"/>
            <w:vAlign w:val="center"/>
          </w:tcPr>
          <w:p w14:paraId="0B0702E4">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zh-CN"/>
                <w14:textFill>
                  <w14:solidFill>
                    <w14:schemeClr w14:val="tx1"/>
                  </w14:solidFill>
                </w14:textFill>
              </w:rPr>
              <w:t>外购</w:t>
            </w:r>
          </w:p>
        </w:tc>
      </w:tr>
      <w:tr w14:paraId="08AB94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928" w:type="dxa"/>
            <w:tcBorders>
              <w:tl2br w:val="nil"/>
              <w:tr2bl w:val="nil"/>
            </w:tcBorders>
            <w:shd w:val="clear" w:color="auto" w:fill="auto"/>
            <w:noWrap w:val="0"/>
            <w:vAlign w:val="center"/>
          </w:tcPr>
          <w:p w14:paraId="04B65C54">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w:t>
            </w:r>
          </w:p>
        </w:tc>
        <w:tc>
          <w:tcPr>
            <w:tcW w:w="1943" w:type="dxa"/>
            <w:tcBorders>
              <w:tl2br w:val="nil"/>
              <w:tr2bl w:val="nil"/>
            </w:tcBorders>
            <w:noWrap w:val="0"/>
            <w:vAlign w:val="center"/>
          </w:tcPr>
          <w:p w14:paraId="5CBAC910">
            <w:pPr>
              <w:pStyle w:val="26"/>
              <w:jc w:val="center"/>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水</w:t>
            </w:r>
          </w:p>
        </w:tc>
        <w:tc>
          <w:tcPr>
            <w:tcW w:w="1300" w:type="dxa"/>
            <w:tcBorders>
              <w:tl2br w:val="nil"/>
              <w:tr2bl w:val="nil"/>
            </w:tcBorders>
            <w:noWrap w:val="0"/>
            <w:vAlign w:val="center"/>
          </w:tcPr>
          <w:p w14:paraId="29D7EA5F">
            <w:pPr>
              <w:pStyle w:val="26"/>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7800</w:t>
            </w:r>
          </w:p>
        </w:tc>
        <w:tc>
          <w:tcPr>
            <w:tcW w:w="1500" w:type="dxa"/>
            <w:tcBorders>
              <w:tl2br w:val="nil"/>
              <w:tr2bl w:val="nil"/>
            </w:tcBorders>
            <w:shd w:val="clear" w:color="auto" w:fill="auto"/>
            <w:noWrap w:val="0"/>
            <w:vAlign w:val="center"/>
          </w:tcPr>
          <w:p w14:paraId="1396BDAE">
            <w:pPr>
              <w:pStyle w:val="26"/>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580" w:type="dxa"/>
            <w:tcBorders>
              <w:tl2br w:val="nil"/>
              <w:tr2bl w:val="nil"/>
            </w:tcBorders>
            <w:shd w:val="clear" w:color="auto" w:fill="auto"/>
            <w:noWrap w:val="0"/>
            <w:vAlign w:val="center"/>
          </w:tcPr>
          <w:p w14:paraId="670E6E1E">
            <w:pPr>
              <w:pStyle w:val="26"/>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zh-CN"/>
                <w14:textFill>
                  <w14:solidFill>
                    <w14:schemeClr w14:val="tx1"/>
                  </w14:solidFill>
                </w14:textFill>
              </w:rPr>
              <w:t>/</w:t>
            </w:r>
          </w:p>
        </w:tc>
        <w:tc>
          <w:tcPr>
            <w:tcW w:w="1820" w:type="dxa"/>
            <w:tcBorders>
              <w:tl2br w:val="nil"/>
              <w:tr2bl w:val="nil"/>
            </w:tcBorders>
            <w:shd w:val="clear" w:color="auto" w:fill="auto"/>
            <w:noWrap w:val="0"/>
            <w:vAlign w:val="center"/>
          </w:tcPr>
          <w:p w14:paraId="6D2D564D">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园区供水管网</w:t>
            </w:r>
          </w:p>
        </w:tc>
      </w:tr>
    </w:tbl>
    <w:p w14:paraId="52987FC2">
      <w:pPr>
        <w:pStyle w:val="5"/>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3.3</w:t>
      </w:r>
      <w:r>
        <w:rPr>
          <w:rFonts w:hint="default"/>
          <w:color w:val="000000" w:themeColor="text1"/>
          <w:highlight w:val="none"/>
          <w:lang w:val="en-US"/>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14:textFill>
            <w14:solidFill>
              <w14:schemeClr w14:val="tx1"/>
            </w14:solidFill>
          </w14:textFill>
        </w:rPr>
        <w:t>原辅材料</w:t>
      </w:r>
      <w:r>
        <w:rPr>
          <w:rFonts w:hint="eastAsia"/>
          <w:color w:val="000000" w:themeColor="text1"/>
          <w:highlight w:val="none"/>
          <w:lang w:val="en-US" w:eastAsia="zh-CN"/>
          <w14:textFill>
            <w14:solidFill>
              <w14:schemeClr w14:val="tx1"/>
            </w14:solidFill>
          </w14:textFill>
        </w:rPr>
        <w:t>理化性质</w:t>
      </w:r>
    </w:p>
    <w:p w14:paraId="27130AD5">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14:textFill>
            <w14:solidFill>
              <w14:schemeClr w14:val="tx1"/>
            </w14:solidFill>
          </w14:textFill>
        </w:rPr>
        <w:t>东科单体1088</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主要成分为</w:t>
      </w:r>
      <w:r>
        <w:rPr>
          <w:rFonts w:hint="default" w:ascii="Times New Roman" w:hAnsi="Times New Roman" w:cs="Times New Roman"/>
          <w:color w:val="000000" w:themeColor="text1"/>
          <w:highlight w:val="none"/>
          <w14:textFill>
            <w14:solidFill>
              <w14:schemeClr w14:val="tx1"/>
            </w14:solidFill>
          </w14:textFill>
        </w:rPr>
        <w:t>甲基烯丙基聚氧乙烯醚</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聚醚单体，白色或浅色固体，分子量平均2000</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常温下化学性质稳定，溶于水，溶于乙醇等有机溶剂，熔点50-53℃。无毒、可按一般化学品运输规定办理，贮存于干燥、通风处，避免阳光照射和雨。能与含有双键的单体发生共聚反应，可作为合成聚羧酸系减水剂的主要原料使用。</w:t>
      </w:r>
    </w:p>
    <w:p w14:paraId="001030CC">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丙烯酸</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分子式C</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H</w:t>
      </w:r>
      <w:r>
        <w:rPr>
          <w:rFonts w:hint="default" w:ascii="Times New Roman" w:hAnsi="Times New Roman" w:cs="Times New Roman"/>
          <w:color w:val="000000" w:themeColor="text1"/>
          <w:highlight w:val="none"/>
          <w:vertAlign w:val="subscript"/>
          <w14:textFill>
            <w14:solidFill>
              <w14:schemeClr w14:val="tx1"/>
            </w14:solidFill>
          </w14:textFill>
        </w:rPr>
        <w:t>4</w:t>
      </w:r>
      <w:r>
        <w:rPr>
          <w:rFonts w:hint="default" w:ascii="Times New Roman" w:hAnsi="Times New Roman" w:cs="Times New Roman"/>
          <w:color w:val="000000" w:themeColor="text1"/>
          <w:highlight w:val="none"/>
          <w:lang w:val="en-US" w:eastAsia="zh-CN"/>
          <w14:textFill>
            <w14:solidFill>
              <w14:schemeClr w14:val="tx1"/>
            </w14:solidFill>
          </w14:textFill>
        </w:rPr>
        <w:t>O</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，无色液体，有刺激性气味，分子量72.06，密度1.049gL，熔点13℃</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沸点141℃</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闪点48.5℃</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饱和蒸气压0.529kPa(25℃</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。与水混溶，可混溶于乙醇、乙醚。易燃，其蒸气与空气可形成爆炸性混合物，遇明火、高热能引起燃烧爆炸。爆炸极限为</w:t>
      </w:r>
      <w:r>
        <w:rPr>
          <w:rFonts w:hint="eastAsia" w:cs="Times New Roman"/>
          <w:color w:val="000000" w:themeColor="text1"/>
          <w:highlight w:val="none"/>
          <w:lang w:eastAsia="zh-CN"/>
          <w14:textFill>
            <w14:solidFill>
              <w14:schemeClr w14:val="tx1"/>
            </w14:solidFill>
          </w14:textFill>
        </w:rPr>
        <w:t>3.9%～19.8%</w:t>
      </w:r>
      <w:r>
        <w:rPr>
          <w:rFonts w:hint="default" w:ascii="Times New Roman" w:hAnsi="Times New Roman" w:cs="Times New Roman"/>
          <w:color w:val="000000" w:themeColor="text1"/>
          <w:highlight w:val="none"/>
          <w14:textFill>
            <w14:solidFill>
              <w14:schemeClr w14:val="tx1"/>
            </w14:solidFill>
          </w14:textFill>
        </w:rPr>
        <w:t>。与氧化剂能发生强烈反应。若遇高热，可发生聚合反应，放出大量热量而引起容器破裂和爆炸事故。遇热、光、水分、过氧化物及铁质易自聚而引起爆炸。用于合成反应的中间体，</w:t>
      </w:r>
      <w:r>
        <w:rPr>
          <w:rFonts w:hint="eastAsia" w:cs="Times New Roman"/>
          <w:color w:val="000000" w:themeColor="text1"/>
          <w:highlight w:val="none"/>
          <w:lang w:eastAsia="zh-CN"/>
          <w14:textFill>
            <w14:solidFill>
              <w14:schemeClr w14:val="tx1"/>
            </w14:solidFill>
          </w14:textFill>
        </w:rPr>
        <w:t>丙烯酸酯</w:t>
      </w:r>
      <w:r>
        <w:rPr>
          <w:rFonts w:hint="default" w:ascii="Times New Roman" w:hAnsi="Times New Roman" w:cs="Times New Roman"/>
          <w:color w:val="000000" w:themeColor="text1"/>
          <w:highlight w:val="none"/>
          <w14:textFill>
            <w14:solidFill>
              <w14:schemeClr w14:val="tx1"/>
            </w14:solidFill>
          </w14:textFill>
        </w:rPr>
        <w:t>，聚合反应。</w:t>
      </w:r>
    </w:p>
    <w:p w14:paraId="0A88340E">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维生素C</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分子式C</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6</w:t>
      </w:r>
      <w:r>
        <w:rPr>
          <w:rFonts w:hint="default" w:ascii="Times New Roman" w:hAnsi="Times New Roman" w:cs="Times New Roman"/>
          <w:color w:val="000000" w:themeColor="text1"/>
          <w:highlight w:val="none"/>
          <w14:textFill>
            <w14:solidFill>
              <w14:schemeClr w14:val="tx1"/>
            </w14:solidFill>
          </w14:textFill>
        </w:rPr>
        <w:t>H</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8</w:t>
      </w:r>
      <w:r>
        <w:rPr>
          <w:rFonts w:hint="default" w:ascii="Times New Roman" w:hAnsi="Times New Roman" w:cs="Times New Roman"/>
          <w:color w:val="000000" w:themeColor="text1"/>
          <w:highlight w:val="none"/>
          <w:lang w:val="en-US" w:eastAsia="zh-CN"/>
          <w14:textFill>
            <w14:solidFill>
              <w14:schemeClr w14:val="tx1"/>
            </w14:solidFill>
          </w14:textFill>
        </w:rPr>
        <w:t>O</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6</w:t>
      </w:r>
      <w:r>
        <w:rPr>
          <w:rFonts w:hint="default" w:ascii="Times New Roman" w:hAnsi="Times New Roman" w:cs="Times New Roman"/>
          <w:color w:val="000000" w:themeColor="text1"/>
          <w:highlight w:val="none"/>
          <w14:textFill>
            <w14:solidFill>
              <w14:schemeClr w14:val="tx1"/>
            </w14:solidFill>
          </w14:textFill>
        </w:rPr>
        <w:t>，无色晶体，无味，分子量176.12</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熔点190-192℃℃，密度1.65g/cm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。溶于水，稍溶于乙醇，不溶于乙醚、氯仿、苯石油醚、油类和脂肪。遇火可产生有害可燃性气体和蒸汽。用于治疗缺乏维生素C引起的病症</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如坏血病</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及过敏性皮肤病、口、感冒等，能促进伤口愈合，增强急慢性传染病人机体抵抗力。也可作食物、药物的抗氧剂。也用作饲料添加剂。</w:t>
      </w:r>
    </w:p>
    <w:p w14:paraId="6F7F4C45">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巯基丙酸</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分子式C</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H</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6</w:t>
      </w:r>
      <w:r>
        <w:rPr>
          <w:rFonts w:hint="default" w:ascii="Times New Roman" w:hAnsi="Times New Roman" w:cs="Times New Roman"/>
          <w:color w:val="000000" w:themeColor="text1"/>
          <w:highlight w:val="none"/>
          <w14:textFill>
            <w14:solidFill>
              <w14:schemeClr w14:val="tx1"/>
            </w14:solidFill>
          </w14:textFill>
        </w:rPr>
        <w:t>O</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S，熔点16.8℃，沸点110~111℃(15mmHg</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闪点93℃，密度为1.218gm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，溶于水，溶于乙醇、苯、乙醚等。在常温常压下稳定。遇高热、明火或与氧化剂接触，有引起燃烧的危险。</w:t>
      </w:r>
    </w:p>
    <w:p w14:paraId="715E5F5D">
      <w:pPr>
        <w:bidi w:val="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14:textFill>
            <w14:solidFill>
              <w14:schemeClr w14:val="tx1"/>
            </w14:solidFill>
          </w14:textFill>
        </w:rPr>
        <w:t>片碱</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分子式NaOH，分子量40.01，白色不透明固体，易潮解，熔点</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318.4℃，沸点</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1390℃，</w:t>
      </w:r>
      <w:r>
        <w:rPr>
          <w:rFonts w:hint="eastAsia" w:cs="Times New Roman"/>
          <w:color w:val="000000" w:themeColor="text1"/>
          <w:highlight w:val="none"/>
          <w:lang w:eastAsia="zh-CN"/>
          <w14:textFill>
            <w14:solidFill>
              <w14:schemeClr w14:val="tx1"/>
            </w14:solidFill>
          </w14:textFill>
        </w:rPr>
        <w:t>蒸气压</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0.13kPa(739℃</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，易溶于水，乙醇，甘油，不溶于丙酮，稳定。遇水和水蒸气大量放热，形成腐蚀性溶液</w:t>
      </w:r>
      <w:r>
        <w:rPr>
          <w:rFonts w:hint="default" w:ascii="Times New Roman" w:hAnsi="Times New Roman" w:cs="Times New Roman"/>
          <w:color w:val="000000" w:themeColor="text1"/>
          <w:highlight w:val="none"/>
          <w:lang w:eastAsia="zh-CN"/>
          <w14:textFill>
            <w14:solidFill>
              <w14:schemeClr w14:val="tx1"/>
            </w14:solidFill>
          </w14:textFill>
        </w:rPr>
        <w:t>。</w:t>
      </w:r>
    </w:p>
    <w:p w14:paraId="6F13FF05">
      <w:pPr>
        <w:bidi w:val="0"/>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氢氧化铝：</w:t>
      </w:r>
      <w:r>
        <w:rPr>
          <w:rFonts w:hint="default" w:ascii="Times New Roman" w:hAnsi="Times New Roman" w:cs="Times New Roman"/>
          <w:color w:val="000000" w:themeColor="text1"/>
          <w:highlight w:val="none"/>
          <w14:textFill>
            <w14:solidFill>
              <w14:schemeClr w14:val="tx1"/>
            </w14:solidFill>
          </w14:textFill>
        </w:rPr>
        <w:t>分子式AI(OH)</w:t>
      </w:r>
      <w:r>
        <w:rPr>
          <w:rFonts w:hint="default" w:ascii="Times New Roman" w:hAnsi="Times New Roman" w:cs="Times New Roman"/>
          <w:color w:val="000000" w:themeColor="text1"/>
          <w:highlight w:val="none"/>
          <w:vertAlign w:val="sub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，分子量78，白色非晶型粉末，密度2.4g/cm</w:t>
      </w:r>
      <w:r>
        <w:rPr>
          <w:rFonts w:hint="default" w:ascii="Times New Roman" w:hAnsi="Times New Roman" w:cs="Times New Roman"/>
          <w:color w:val="000000" w:themeColor="text1"/>
          <w:highlight w:val="none"/>
          <w:vertAlign w:val="superscript"/>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，熔点300℃，难溶于水，氢氧化铝能跟酸或强碱反应生成盐和水，是一种两性</w:t>
      </w:r>
      <w:r>
        <w:rPr>
          <w:rFonts w:hint="default" w:ascii="Times New Roman" w:hAnsi="Times New Roman" w:cs="Times New Roman"/>
          <w:color w:val="000000" w:themeColor="text1"/>
          <w:highlight w:val="none"/>
          <w:lang w:val="en-US" w:eastAsia="zh-CN"/>
          <w14:textFill>
            <w14:solidFill>
              <w14:schemeClr w14:val="tx1"/>
            </w14:solidFill>
          </w14:textFill>
        </w:rPr>
        <w:t>氢氧化物。</w:t>
      </w:r>
    </w:p>
    <w:p w14:paraId="01ACC44C">
      <w:pPr>
        <w:bidi w:val="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氟硅酸：</w:t>
      </w:r>
      <w:r>
        <w:rPr>
          <w:rFonts w:hint="default" w:ascii="Times New Roman" w:hAnsi="Times New Roman" w:cs="Times New Roman"/>
          <w:color w:val="000000" w:themeColor="text1"/>
          <w:highlight w:val="none"/>
          <w14:textFill>
            <w14:solidFill>
              <w14:schemeClr w14:val="tx1"/>
            </w14:solidFill>
          </w14:textFill>
        </w:rPr>
        <w:t>分子式H</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SiF</w:t>
      </w:r>
      <w:r>
        <w:rPr>
          <w:rFonts w:hint="default" w:ascii="Times New Roman" w:hAnsi="Times New Roman" w:cs="Times New Roman"/>
          <w:color w:val="000000" w:themeColor="text1"/>
          <w:highlight w:val="none"/>
          <w:vertAlign w:val="subscript"/>
          <w14:textFill>
            <w14:solidFill>
              <w14:schemeClr w14:val="tx1"/>
            </w14:solidFill>
          </w14:textFill>
        </w:rPr>
        <w:t>6</w:t>
      </w:r>
      <w:r>
        <w:rPr>
          <w:rFonts w:hint="default" w:ascii="Times New Roman" w:hAnsi="Times New Roman" w:cs="Times New Roman"/>
          <w:color w:val="000000" w:themeColor="text1"/>
          <w:highlight w:val="none"/>
          <w14:textFill>
            <w14:solidFill>
              <w14:schemeClr w14:val="tx1"/>
            </w14:solidFill>
          </w14:textFill>
        </w:rPr>
        <w:t>，分子量144，无水物是无色气体。不稳定</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易分解为四氟化硅和氟化氢。水溶液无色，呈强酸性反应。有腐蚀性，能侵蚀玻璃。保存于</w:t>
      </w:r>
      <w:r>
        <w:rPr>
          <w:rFonts w:hint="eastAsia" w:cs="Times New Roman"/>
          <w:color w:val="000000" w:themeColor="text1"/>
          <w:highlight w:val="none"/>
          <w:lang w:eastAsia="zh-CN"/>
          <w14:textFill>
            <w14:solidFill>
              <w14:schemeClr w14:val="tx1"/>
            </w14:solidFill>
          </w14:textFill>
        </w:rPr>
        <w:t>蜡质</w:t>
      </w:r>
      <w:r>
        <w:rPr>
          <w:rFonts w:hint="default" w:ascii="Times New Roman" w:hAnsi="Times New Roman" w:cs="Times New Roman"/>
          <w:color w:val="000000" w:themeColor="text1"/>
          <w:highlight w:val="none"/>
          <w14:textFill>
            <w14:solidFill>
              <w14:schemeClr w14:val="tx1"/>
            </w14:solidFill>
          </w14:textFill>
        </w:rPr>
        <w:t>或塑料制等容器中。浓溶液冷却时析出无色二水物的晶体，熔点19℃</w:t>
      </w:r>
      <w:r>
        <w:rPr>
          <w:rFonts w:hint="default" w:ascii="Times New Roman" w:hAnsi="Times New Roman" w:cs="Times New Roman"/>
          <w:color w:val="000000" w:themeColor="text1"/>
          <w:highlight w:val="none"/>
          <w:lang w:eastAsia="zh-CN"/>
          <w14:textFill>
            <w14:solidFill>
              <w14:schemeClr w14:val="tx1"/>
            </w14:solidFill>
          </w14:textFill>
        </w:rPr>
        <w:t>。</w:t>
      </w:r>
    </w:p>
    <w:p w14:paraId="4C01778E">
      <w:pPr>
        <w:bidi w:val="0"/>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浓</w:t>
      </w:r>
      <w:r>
        <w:rPr>
          <w:rFonts w:hint="default" w:ascii="Times New Roman" w:hAnsi="Times New Roman" w:eastAsia="宋体" w:cs="Times New Roman"/>
          <w:color w:val="000000" w:themeColor="text1"/>
          <w:highlight w:val="none"/>
          <w:lang w:val="en-US" w:eastAsia="zh-CN"/>
          <w14:textFill>
            <w14:solidFill>
              <w14:schemeClr w14:val="tx1"/>
            </w14:solidFill>
          </w14:textFill>
        </w:rPr>
        <w:t>硫酸：无机化合物，化学式是H</w:t>
      </w:r>
      <w:r>
        <w:rPr>
          <w:rFonts w:hint="default" w:ascii="Times New Roman" w:hAnsi="Times New Roman" w:eastAsia="宋体" w:cs="Times New Roman"/>
          <w:color w:val="000000" w:themeColor="text1"/>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lang w:val="en-US" w:eastAsia="zh-CN"/>
          <w14:textFill>
            <w14:solidFill>
              <w14:schemeClr w14:val="tx1"/>
            </w14:solidFill>
          </w14:textFill>
        </w:rPr>
        <w:t>SO</w:t>
      </w:r>
      <w:r>
        <w:rPr>
          <w:rFonts w:hint="default" w:ascii="Times New Roman" w:hAnsi="Times New Roman" w:eastAsia="宋体" w:cs="Times New Roman"/>
          <w:color w:val="000000" w:themeColor="text1"/>
          <w:highlight w:val="none"/>
          <w:vertAlign w:val="subscript"/>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lang w:val="en-US" w:eastAsia="zh-CN"/>
          <w14:textFill>
            <w14:solidFill>
              <w14:schemeClr w14:val="tx1"/>
            </w14:solidFill>
          </w14:textFill>
        </w:rPr>
        <w:t>，是硫的最重要的含氧酸。纯净的硫酸为无色油状液体，10.36℃时结晶，通常使用的是它的各种不同浓度的水溶液，用塔式法和接触法制取。前者所得为粗制稀硫酸，质量分数一般在75%左右；后者可得质量分数98.3%的浓硫酸，沸点338℃，相对密度1.84。</w:t>
      </w:r>
    </w:p>
    <w:p w14:paraId="730738FD">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3.3.2</w:t>
      </w:r>
      <w:r>
        <w:rPr>
          <w:rFonts w:hint="eastAsia"/>
          <w:color w:val="000000" w:themeColor="text1"/>
          <w:highlight w:val="none"/>
          <w14:textFill>
            <w14:solidFill>
              <w14:schemeClr w14:val="tx1"/>
            </w14:solidFill>
          </w14:textFill>
        </w:rPr>
        <w:t>产品方案</w:t>
      </w:r>
      <w:r>
        <w:rPr>
          <w:rFonts w:hint="eastAsia"/>
          <w:color w:val="000000" w:themeColor="text1"/>
          <w:highlight w:val="none"/>
          <w:lang w:val="en-US" w:eastAsia="zh-CN"/>
          <w14:textFill>
            <w14:solidFill>
              <w14:schemeClr w14:val="tx1"/>
            </w14:solidFill>
          </w14:textFill>
        </w:rPr>
        <w:t>及执行标准</w:t>
      </w:r>
    </w:p>
    <w:p w14:paraId="342A7504">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3.3.2.1产品方案</w:t>
      </w:r>
    </w:p>
    <w:p w14:paraId="34770446">
      <w:pPr>
        <w:ind w:firstLine="480"/>
        <w:rPr>
          <w:rFonts w:hint="eastAsia" w:eastAsia="宋体"/>
          <w:color w:val="000000" w:themeColor="text1"/>
          <w:highlight w:val="none"/>
          <w:lang w:eastAsia="zh-CN"/>
          <w14:textFill>
            <w14:solidFill>
              <w14:schemeClr w14:val="tx1"/>
            </w14:solidFill>
          </w14:textFill>
        </w:rPr>
      </w:pPr>
      <w:r>
        <w:rPr>
          <w:rFonts w:ascii="宋体" w:hAnsi="宋体" w:cs="宋体"/>
          <w:color w:val="000000" w:themeColor="text1"/>
          <w:highlight w:val="none"/>
          <w14:textFill>
            <w14:solidFill>
              <w14:schemeClr w14:val="tx1"/>
            </w14:solidFill>
          </w14:textFill>
        </w:rPr>
        <w:t>本项目主要产品为</w:t>
      </w:r>
      <w:r>
        <w:rPr>
          <w:rFonts w:hint="eastAsia"/>
          <w:color w:val="000000" w:themeColor="text1"/>
          <w:highlight w:val="none"/>
          <w14:textFill>
            <w14:solidFill>
              <w14:schemeClr w14:val="tx1"/>
            </w14:solidFill>
          </w14:textFill>
        </w:rPr>
        <w:t>减水剂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硫酸铝</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速凝剂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产品方案及产品执行标准见下表</w:t>
      </w:r>
      <w:r>
        <w:rPr>
          <w:rFonts w:hint="eastAsia"/>
          <w:color w:val="000000" w:themeColor="text1"/>
          <w:highlight w:val="none"/>
          <w:lang w:val="en-US" w:eastAsia="zh-CN"/>
          <w14:textFill>
            <w14:solidFill>
              <w14:schemeClr w14:val="tx1"/>
            </w14:solidFill>
          </w14:textFill>
        </w:rPr>
        <w:t>3.3.2</w:t>
      </w:r>
      <w:r>
        <w:rPr>
          <w:rFonts w:hint="eastAsia"/>
          <w:color w:val="000000" w:themeColor="text1"/>
          <w:highlight w:val="none"/>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p>
    <w:p w14:paraId="1829C49B">
      <w:pPr>
        <w:pStyle w:val="2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3.3.2</w:t>
      </w:r>
      <w:r>
        <w:rPr>
          <w:rFonts w:hint="eastAsia"/>
          <w:color w:val="000000" w:themeColor="text1"/>
          <w:highlight w:val="none"/>
          <w14:textFill>
            <w14:solidFill>
              <w14:schemeClr w14:val="tx1"/>
            </w14:solidFill>
          </w14:textFill>
        </w:rPr>
        <w:t>-1      项目产品方案一览表</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62"/>
        <w:gridCol w:w="2295"/>
        <w:gridCol w:w="4714"/>
      </w:tblGrid>
      <w:tr w14:paraId="21B4E3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62" w:type="dxa"/>
            <w:tcBorders>
              <w:bottom w:val="single" w:color="auto" w:sz="12" w:space="0"/>
            </w:tcBorders>
            <w:noWrap w:val="0"/>
            <w:vAlign w:val="center"/>
          </w:tcPr>
          <w:p w14:paraId="64D2CA91">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产品名称</w:t>
            </w:r>
          </w:p>
        </w:tc>
        <w:tc>
          <w:tcPr>
            <w:tcW w:w="2295" w:type="dxa"/>
            <w:tcBorders>
              <w:bottom w:val="single" w:color="auto" w:sz="12" w:space="0"/>
            </w:tcBorders>
            <w:noWrap w:val="0"/>
            <w:vAlign w:val="center"/>
          </w:tcPr>
          <w:p w14:paraId="18754962">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产量（t/a）</w:t>
            </w:r>
          </w:p>
        </w:tc>
        <w:tc>
          <w:tcPr>
            <w:tcW w:w="4714" w:type="dxa"/>
            <w:tcBorders>
              <w:bottom w:val="single" w:color="auto" w:sz="12" w:space="0"/>
            </w:tcBorders>
            <w:noWrap w:val="0"/>
            <w:vAlign w:val="center"/>
          </w:tcPr>
          <w:p w14:paraId="170BE956">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备注</w:t>
            </w:r>
          </w:p>
        </w:tc>
      </w:tr>
      <w:tr w14:paraId="77A6C2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062" w:type="dxa"/>
            <w:noWrap w:val="0"/>
            <w:vAlign w:val="center"/>
          </w:tcPr>
          <w:p w14:paraId="78C2A3D5">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减水剂</w:t>
            </w:r>
          </w:p>
        </w:tc>
        <w:tc>
          <w:tcPr>
            <w:tcW w:w="2295" w:type="dxa"/>
            <w:noWrap w:val="0"/>
            <w:vAlign w:val="center"/>
          </w:tcPr>
          <w:p w14:paraId="1D869EA0">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000</w:t>
            </w:r>
            <w:r>
              <w:rPr>
                <w:rFonts w:hint="eastAsia"/>
                <w:color w:val="000000" w:themeColor="text1"/>
                <w:highlight w:val="none"/>
                <w:lang w:val="en-US" w:eastAsia="zh-CN"/>
                <w14:textFill>
                  <w14:solidFill>
                    <w14:schemeClr w14:val="tx1"/>
                  </w14:solidFill>
                </w14:textFill>
              </w:rPr>
              <w:t>0</w:t>
            </w:r>
          </w:p>
        </w:tc>
        <w:tc>
          <w:tcPr>
            <w:tcW w:w="4714" w:type="dxa"/>
            <w:noWrap w:val="0"/>
            <w:vAlign w:val="center"/>
          </w:tcPr>
          <w:p w14:paraId="7DF7670B">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高浓度减水剂18000</w:t>
            </w:r>
            <w:r>
              <w:rPr>
                <w:rFonts w:hint="eastAsia"/>
                <w:color w:val="000000" w:themeColor="text1"/>
                <w:highlight w:val="none"/>
                <w:lang w:val="en-US" w:eastAsia="zh-CN"/>
                <w14:textFill>
                  <w14:solidFill>
                    <w14:schemeClr w14:val="tx1"/>
                  </w14:solidFill>
                </w14:textFill>
              </w:rPr>
              <w:t>t/a</w:t>
            </w:r>
            <w:r>
              <w:rPr>
                <w:rFonts w:hint="eastAsia"/>
                <w:color w:val="000000" w:themeColor="text1"/>
                <w:highlight w:val="none"/>
                <w14:textFill>
                  <w14:solidFill>
                    <w14:schemeClr w14:val="tx1"/>
                  </w14:solidFill>
                </w14:textFill>
              </w:rPr>
              <w:t>、低浓度减水剂2000</w:t>
            </w:r>
            <w:r>
              <w:rPr>
                <w:rFonts w:hint="eastAsia"/>
                <w:color w:val="000000" w:themeColor="text1"/>
                <w:highlight w:val="none"/>
                <w:lang w:val="en-US" w:eastAsia="zh-CN"/>
                <w14:textFill>
                  <w14:solidFill>
                    <w14:schemeClr w14:val="tx1"/>
                  </w14:solidFill>
                </w14:textFill>
              </w:rPr>
              <w:t>t/a</w:t>
            </w:r>
          </w:p>
        </w:tc>
      </w:tr>
      <w:tr w14:paraId="2451B3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62" w:type="dxa"/>
            <w:noWrap w:val="0"/>
            <w:vAlign w:val="center"/>
          </w:tcPr>
          <w:p w14:paraId="13DC0EEA">
            <w:pPr>
              <w:pStyle w:val="26"/>
              <w:rPr>
                <w:rFonts w:hint="eastAsia" w:eastAsia="宋体"/>
                <w:color w:val="000000" w:themeColor="text1"/>
                <w:highlight w:val="none"/>
                <w:lang w:val="en-US" w:eastAsia="zh-CN"/>
                <w14:textFill>
                  <w14:solidFill>
                    <w14:schemeClr w14:val="tx1"/>
                  </w14:solidFill>
                </w14:textFill>
              </w:rPr>
            </w:pPr>
            <w:bookmarkStart w:id="610" w:name="_Toc66"/>
            <w:bookmarkStart w:id="611" w:name="_Toc18973"/>
            <w:bookmarkStart w:id="612" w:name="_Toc24614"/>
            <w:bookmarkStart w:id="613" w:name="_Toc14167"/>
            <w:bookmarkStart w:id="614" w:name="_Toc14196"/>
            <w:bookmarkStart w:id="615" w:name="_Toc13671"/>
            <w:r>
              <w:rPr>
                <w:rFonts w:hint="eastAsia"/>
                <w:color w:val="000000" w:themeColor="text1"/>
                <w:highlight w:val="none"/>
                <w:lang w:val="en-US" w:eastAsia="zh-CN"/>
                <w14:textFill>
                  <w14:solidFill>
                    <w14:schemeClr w14:val="tx1"/>
                  </w14:solidFill>
                </w14:textFill>
              </w:rPr>
              <w:t>硫酸铝</w:t>
            </w:r>
          </w:p>
        </w:tc>
        <w:tc>
          <w:tcPr>
            <w:tcW w:w="2295" w:type="dxa"/>
            <w:noWrap w:val="0"/>
            <w:vAlign w:val="center"/>
          </w:tcPr>
          <w:p w14:paraId="219AFFEC">
            <w:pPr>
              <w:pStyle w:val="26"/>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20000</w:t>
            </w:r>
          </w:p>
        </w:tc>
        <w:tc>
          <w:tcPr>
            <w:tcW w:w="4714" w:type="dxa"/>
            <w:noWrap w:val="0"/>
            <w:vAlign w:val="center"/>
          </w:tcPr>
          <w:p w14:paraId="7927DEF1">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自用7000t/a，外售13000t/a</w:t>
            </w:r>
          </w:p>
        </w:tc>
      </w:tr>
      <w:tr w14:paraId="42E62E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62" w:type="dxa"/>
            <w:shd w:val="clear" w:color="auto" w:fill="auto"/>
            <w:noWrap w:val="0"/>
            <w:vAlign w:val="center"/>
          </w:tcPr>
          <w:p w14:paraId="7D72FB50">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bookmarkStart w:id="616" w:name="_Toc9637"/>
            <w:r>
              <w:rPr>
                <w:rFonts w:hint="eastAsia"/>
                <w:color w:val="000000" w:themeColor="text1"/>
                <w:highlight w:val="none"/>
                <w14:textFill>
                  <w14:solidFill>
                    <w14:schemeClr w14:val="tx1"/>
                  </w14:solidFill>
                </w14:textFill>
              </w:rPr>
              <w:t>速凝剂</w:t>
            </w:r>
          </w:p>
        </w:tc>
        <w:tc>
          <w:tcPr>
            <w:tcW w:w="2295" w:type="dxa"/>
            <w:shd w:val="clear" w:color="auto" w:fill="auto"/>
            <w:noWrap w:val="0"/>
            <w:vAlign w:val="center"/>
          </w:tcPr>
          <w:p w14:paraId="6372F1C2">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20000</w:t>
            </w:r>
          </w:p>
        </w:tc>
        <w:tc>
          <w:tcPr>
            <w:tcW w:w="4714" w:type="dxa"/>
            <w:shd w:val="clear" w:color="auto" w:fill="auto"/>
            <w:noWrap w:val="0"/>
            <w:vAlign w:val="center"/>
          </w:tcPr>
          <w:p w14:paraId="22BEB795">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无碱速凝剂16000</w:t>
            </w:r>
            <w:r>
              <w:rPr>
                <w:rFonts w:hint="eastAsia"/>
                <w:color w:val="000000" w:themeColor="text1"/>
                <w:highlight w:val="none"/>
                <w:lang w:val="en-US" w:eastAsia="zh-CN"/>
                <w14:textFill>
                  <w14:solidFill>
                    <w14:schemeClr w14:val="tx1"/>
                  </w14:solidFill>
                </w14:textFill>
              </w:rPr>
              <w:t>t/a</w:t>
            </w:r>
            <w:r>
              <w:rPr>
                <w:rFonts w:hint="eastAsia"/>
                <w:color w:val="000000" w:themeColor="text1"/>
                <w:highlight w:val="none"/>
                <w14:textFill>
                  <w14:solidFill>
                    <w14:schemeClr w14:val="tx1"/>
                  </w14:solidFill>
                </w14:textFill>
              </w:rPr>
              <w:t>、有碱速凝剂4000</w:t>
            </w:r>
            <w:r>
              <w:rPr>
                <w:rFonts w:hint="eastAsia"/>
                <w:color w:val="000000" w:themeColor="text1"/>
                <w:highlight w:val="none"/>
                <w:lang w:val="en-US" w:eastAsia="zh-CN"/>
                <w14:textFill>
                  <w14:solidFill>
                    <w14:schemeClr w14:val="tx1"/>
                  </w14:solidFill>
                </w14:textFill>
              </w:rPr>
              <w:t>t/a</w:t>
            </w:r>
          </w:p>
        </w:tc>
      </w:tr>
    </w:tbl>
    <w:p w14:paraId="0784102F">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3.3.2.2产品执行标准</w:t>
      </w:r>
      <w:bookmarkEnd w:id="616"/>
    </w:p>
    <w:p w14:paraId="26608B13">
      <w:pPr>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w:t>
      </w:r>
      <w:r>
        <w:rPr>
          <w:rFonts w:hint="eastAsia"/>
          <w:color w:val="000000" w:themeColor="text1"/>
          <w:highlight w:val="none"/>
          <w14:textFill>
            <w14:solidFill>
              <w14:schemeClr w14:val="tx1"/>
            </w14:solidFill>
          </w14:textFill>
        </w:rPr>
        <w:t>减水剂满足《混凝土外加剂》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GB8076-2008</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中相关要求，</w:t>
      </w:r>
      <w:r>
        <w:rPr>
          <w:rFonts w:hint="eastAsia"/>
          <w:color w:val="000000" w:themeColor="text1"/>
          <w:highlight w:val="none"/>
          <w:lang w:val="en-US" w:eastAsia="zh-CN"/>
          <w14:textFill>
            <w14:solidFill>
              <w14:schemeClr w14:val="tx1"/>
            </w14:solidFill>
          </w14:textFill>
        </w:rPr>
        <w:t>硫酸铝执行《工业硫酸铝》（HG/T 2225-2018）</w:t>
      </w:r>
      <w:r>
        <w:rPr>
          <w:rFonts w:hint="eastAsia"/>
          <w:color w:val="000000" w:themeColor="text1"/>
          <w:highlight w:val="none"/>
          <w14:textFill>
            <w14:solidFill>
              <w14:schemeClr w14:val="tx1"/>
            </w14:solidFill>
          </w14:textFill>
        </w:rPr>
        <w:t>中</w:t>
      </w:r>
      <w:r>
        <w:rPr>
          <w:rFonts w:hint="eastAsia"/>
          <w:color w:val="000000" w:themeColor="text1"/>
          <w:highlight w:val="none"/>
          <w:lang w:val="en-US" w:eastAsia="zh-CN"/>
          <w14:textFill>
            <w14:solidFill>
              <w14:schemeClr w14:val="tx1"/>
            </w14:solidFill>
          </w14:textFill>
        </w:rPr>
        <w:t>液体硫酸铝产品标准，</w:t>
      </w:r>
      <w:r>
        <w:rPr>
          <w:rFonts w:hint="eastAsia"/>
          <w:color w:val="000000" w:themeColor="text1"/>
          <w:highlight w:val="none"/>
          <w14:textFill>
            <w14:solidFill>
              <w14:schemeClr w14:val="tx1"/>
            </w14:solidFill>
          </w14:textFill>
        </w:rPr>
        <w:t>速凝剂执行《喷射混凝土用速凝剂》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GB/T35159-2017</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中液体速凝剂、无碱速凝剂产品标准。产品指标见表</w:t>
      </w:r>
      <w:r>
        <w:rPr>
          <w:rFonts w:hint="eastAsia"/>
          <w:color w:val="000000" w:themeColor="text1"/>
          <w:highlight w:val="none"/>
          <w:lang w:val="en-US" w:eastAsia="zh-CN"/>
          <w14:textFill>
            <w14:solidFill>
              <w14:schemeClr w14:val="tx1"/>
            </w14:solidFill>
          </w14:textFill>
        </w:rPr>
        <w:t>3.3.2</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3.3.2</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3和</w:t>
      </w: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3.3.2</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w:t>
      </w:r>
    </w:p>
    <w:p w14:paraId="585C0A50">
      <w:pPr>
        <w:pStyle w:val="2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表3.3.2-2     项目减水剂产品质量控制要求</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611"/>
        <w:gridCol w:w="3170"/>
        <w:gridCol w:w="2252"/>
        <w:gridCol w:w="2038"/>
      </w:tblGrid>
      <w:tr w14:paraId="7A96DF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1611" w:type="dxa"/>
            <w:vMerge w:val="restart"/>
            <w:shd w:val="clear" w:color="auto" w:fill="auto"/>
            <w:vAlign w:val="center"/>
          </w:tcPr>
          <w:p w14:paraId="1445F34D">
            <w:pPr>
              <w:pStyle w:val="26"/>
              <w:bidi w:val="0"/>
              <w:jc w:val="center"/>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项 目</w:t>
            </w:r>
          </w:p>
        </w:tc>
        <w:tc>
          <w:tcPr>
            <w:tcW w:w="5422" w:type="dxa"/>
            <w:gridSpan w:val="2"/>
            <w:shd w:val="clear" w:color="auto" w:fill="auto"/>
            <w:vAlign w:val="center"/>
          </w:tcPr>
          <w:p w14:paraId="14274EEA">
            <w:pPr>
              <w:pStyle w:val="26"/>
              <w:bidi w:val="0"/>
              <w:jc w:val="center"/>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指标</w:t>
            </w:r>
          </w:p>
        </w:tc>
        <w:tc>
          <w:tcPr>
            <w:tcW w:w="2038" w:type="dxa"/>
            <w:vMerge w:val="restart"/>
            <w:tcBorders>
              <w:bottom w:val="single" w:color="000000" w:sz="12" w:space="0"/>
            </w:tcBorders>
            <w:shd w:val="clear" w:color="auto" w:fill="auto"/>
            <w:vAlign w:val="center"/>
          </w:tcPr>
          <w:p w14:paraId="4B067A3B">
            <w:pPr>
              <w:pStyle w:val="26"/>
              <w:bidi w:val="0"/>
              <w:jc w:val="center"/>
              <w:rPr>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厂控指标</w:t>
            </w:r>
          </w:p>
        </w:tc>
      </w:tr>
      <w:tr w14:paraId="14BC3B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0" w:hRule="atLeast"/>
          <w:jc w:val="center"/>
        </w:trPr>
        <w:tc>
          <w:tcPr>
            <w:tcW w:w="1611" w:type="dxa"/>
            <w:vMerge w:val="continue"/>
            <w:tcBorders>
              <w:bottom w:val="single" w:color="000000" w:sz="12" w:space="0"/>
            </w:tcBorders>
            <w:shd w:val="clear" w:color="auto" w:fill="auto"/>
            <w:vAlign w:val="center"/>
          </w:tcPr>
          <w:p w14:paraId="03C62D29">
            <w:pPr>
              <w:pStyle w:val="26"/>
              <w:bidi w:val="0"/>
              <w:jc w:val="center"/>
              <w:rPr>
                <w:rFonts w:hint="eastAsia"/>
                <w:b/>
                <w:bCs/>
                <w:color w:val="000000" w:themeColor="text1"/>
                <w:highlight w:val="none"/>
                <w14:textFill>
                  <w14:solidFill>
                    <w14:schemeClr w14:val="tx1"/>
                  </w14:solidFill>
                </w14:textFill>
              </w:rPr>
            </w:pPr>
          </w:p>
        </w:tc>
        <w:tc>
          <w:tcPr>
            <w:tcW w:w="3170" w:type="dxa"/>
            <w:tcBorders>
              <w:bottom w:val="single" w:color="000000" w:sz="12" w:space="0"/>
            </w:tcBorders>
            <w:shd w:val="clear" w:color="auto" w:fill="auto"/>
            <w:vAlign w:val="center"/>
          </w:tcPr>
          <w:p w14:paraId="1BEE9D57">
            <w:pPr>
              <w:pStyle w:val="26"/>
              <w:bidi w:val="0"/>
              <w:jc w:val="center"/>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GB8076-2008</w:t>
            </w:r>
          </w:p>
        </w:tc>
        <w:tc>
          <w:tcPr>
            <w:tcW w:w="2252" w:type="dxa"/>
            <w:tcBorders>
              <w:bottom w:val="single" w:color="000000" w:sz="12" w:space="0"/>
            </w:tcBorders>
            <w:shd w:val="clear" w:color="auto" w:fill="auto"/>
            <w:vAlign w:val="center"/>
          </w:tcPr>
          <w:p w14:paraId="69BE79F0">
            <w:pPr>
              <w:pStyle w:val="26"/>
              <w:bidi w:val="0"/>
              <w:jc w:val="center"/>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JG/T223-2017</w:t>
            </w:r>
          </w:p>
        </w:tc>
        <w:tc>
          <w:tcPr>
            <w:tcW w:w="2038" w:type="dxa"/>
            <w:vMerge w:val="continue"/>
            <w:tcBorders>
              <w:top w:val="single" w:color="000000" w:sz="12" w:space="0"/>
              <w:bottom w:val="single" w:color="000000" w:sz="12" w:space="0"/>
            </w:tcBorders>
            <w:shd w:val="clear" w:color="auto" w:fill="auto"/>
            <w:vAlign w:val="center"/>
          </w:tcPr>
          <w:p w14:paraId="5F04E85F">
            <w:pPr>
              <w:pStyle w:val="26"/>
              <w:bidi w:val="0"/>
              <w:jc w:val="center"/>
              <w:rPr>
                <w:rFonts w:hint="eastAsia"/>
                <w:color w:val="000000" w:themeColor="text1"/>
                <w:highlight w:val="none"/>
                <w14:textFill>
                  <w14:solidFill>
                    <w14:schemeClr w14:val="tx1"/>
                  </w14:solidFill>
                </w14:textFill>
              </w:rPr>
            </w:pPr>
          </w:p>
        </w:tc>
      </w:tr>
      <w:tr w14:paraId="502BD6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40" w:hRule="atLeast"/>
          <w:jc w:val="center"/>
        </w:trPr>
        <w:tc>
          <w:tcPr>
            <w:tcW w:w="1611" w:type="dxa"/>
            <w:tcBorders>
              <w:top w:val="single" w:color="000000" w:sz="12" w:space="0"/>
              <w:tl2br w:val="nil"/>
              <w:tr2bl w:val="nil"/>
            </w:tcBorders>
            <w:shd w:val="clear" w:color="auto" w:fill="auto"/>
            <w:vAlign w:val="center"/>
          </w:tcPr>
          <w:p w14:paraId="4814CF0C">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甲醛含量mg/kg</w:t>
            </w:r>
          </w:p>
        </w:tc>
        <w:tc>
          <w:tcPr>
            <w:tcW w:w="3170" w:type="dxa"/>
            <w:tcBorders>
              <w:top w:val="single" w:color="000000" w:sz="12" w:space="0"/>
              <w:tl2br w:val="nil"/>
              <w:tr2bl w:val="nil"/>
            </w:tcBorders>
            <w:shd w:val="clear" w:color="auto" w:fill="auto"/>
            <w:vAlign w:val="center"/>
          </w:tcPr>
          <w:p w14:paraId="71BD9471">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t>
            </w:r>
          </w:p>
        </w:tc>
        <w:tc>
          <w:tcPr>
            <w:tcW w:w="2252" w:type="dxa"/>
            <w:tcBorders>
              <w:top w:val="single" w:color="000000" w:sz="12" w:space="0"/>
              <w:tl2br w:val="nil"/>
              <w:tr2bl w:val="nil"/>
            </w:tcBorders>
            <w:shd w:val="clear" w:color="auto" w:fill="auto"/>
            <w:vAlign w:val="center"/>
          </w:tcPr>
          <w:p w14:paraId="72D2D3CB">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≤300</w:t>
            </w:r>
          </w:p>
        </w:tc>
        <w:tc>
          <w:tcPr>
            <w:tcW w:w="2038" w:type="dxa"/>
            <w:tcBorders>
              <w:top w:val="single" w:color="000000" w:sz="12" w:space="0"/>
            </w:tcBorders>
            <w:shd w:val="clear" w:color="auto" w:fill="auto"/>
            <w:vAlign w:val="center"/>
          </w:tcPr>
          <w:p w14:paraId="12A53ED1">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≤300</w:t>
            </w:r>
          </w:p>
        </w:tc>
      </w:tr>
      <w:tr w14:paraId="2A9C99B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jc w:val="center"/>
        </w:trPr>
        <w:tc>
          <w:tcPr>
            <w:tcW w:w="1611" w:type="dxa"/>
            <w:tcBorders>
              <w:tl2br w:val="nil"/>
              <w:tr2bl w:val="nil"/>
            </w:tcBorders>
            <w:shd w:val="clear" w:color="auto" w:fill="auto"/>
            <w:vAlign w:val="center"/>
          </w:tcPr>
          <w:p w14:paraId="6F91A0FD">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氯离子含量%</w:t>
            </w:r>
          </w:p>
        </w:tc>
        <w:tc>
          <w:tcPr>
            <w:tcW w:w="3170" w:type="dxa"/>
            <w:tcBorders>
              <w:tl2br w:val="nil"/>
              <w:tr2bl w:val="nil"/>
            </w:tcBorders>
            <w:shd w:val="clear" w:color="auto" w:fill="auto"/>
            <w:vAlign w:val="center"/>
          </w:tcPr>
          <w:p w14:paraId="26079569">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不超过生产厂控制值</w:t>
            </w:r>
          </w:p>
        </w:tc>
        <w:tc>
          <w:tcPr>
            <w:tcW w:w="2252" w:type="dxa"/>
            <w:tcBorders>
              <w:tl2br w:val="nil"/>
              <w:tr2bl w:val="nil"/>
            </w:tcBorders>
            <w:shd w:val="clear" w:color="auto" w:fill="auto"/>
            <w:vAlign w:val="center"/>
          </w:tcPr>
          <w:p w14:paraId="5A30F732">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≤0.1</w:t>
            </w:r>
          </w:p>
        </w:tc>
        <w:tc>
          <w:tcPr>
            <w:tcW w:w="2038" w:type="dxa"/>
            <w:tcBorders>
              <w:tl2br w:val="nil"/>
              <w:tr2bl w:val="nil"/>
            </w:tcBorders>
            <w:shd w:val="clear" w:color="auto" w:fill="auto"/>
            <w:vAlign w:val="center"/>
          </w:tcPr>
          <w:p w14:paraId="61BB92D3">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出厂要求≤0.1</w:t>
            </w:r>
          </w:p>
        </w:tc>
      </w:tr>
      <w:tr w14:paraId="3545D8B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jc w:val="center"/>
        </w:trPr>
        <w:tc>
          <w:tcPr>
            <w:tcW w:w="1611" w:type="dxa"/>
            <w:tcBorders>
              <w:tl2br w:val="nil"/>
              <w:tr2bl w:val="nil"/>
            </w:tcBorders>
            <w:shd w:val="clear" w:color="auto" w:fill="auto"/>
            <w:vAlign w:val="center"/>
          </w:tcPr>
          <w:p w14:paraId="1733723B">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总碱量/%</w:t>
            </w:r>
          </w:p>
        </w:tc>
        <w:tc>
          <w:tcPr>
            <w:tcW w:w="3170" w:type="dxa"/>
            <w:tcBorders>
              <w:tl2br w:val="nil"/>
              <w:tr2bl w:val="nil"/>
            </w:tcBorders>
            <w:shd w:val="clear" w:color="auto" w:fill="auto"/>
            <w:vAlign w:val="center"/>
          </w:tcPr>
          <w:p w14:paraId="146998E5">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不超过生产厂控制值</w:t>
            </w:r>
          </w:p>
        </w:tc>
        <w:tc>
          <w:tcPr>
            <w:tcW w:w="2252" w:type="dxa"/>
            <w:tcBorders>
              <w:tl2br w:val="nil"/>
              <w:tr2bl w:val="nil"/>
            </w:tcBorders>
            <w:shd w:val="clear" w:color="auto" w:fill="auto"/>
            <w:vAlign w:val="center"/>
          </w:tcPr>
          <w:p w14:paraId="71CF0937">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应在生产厂控制范围内</w:t>
            </w:r>
          </w:p>
        </w:tc>
        <w:tc>
          <w:tcPr>
            <w:tcW w:w="2038" w:type="dxa"/>
            <w:tcBorders>
              <w:tl2br w:val="nil"/>
              <w:tr2bl w:val="nil"/>
            </w:tcBorders>
            <w:shd w:val="clear" w:color="auto" w:fill="auto"/>
            <w:vAlign w:val="center"/>
          </w:tcPr>
          <w:p w14:paraId="332A8D0B">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出厂要求≤10.0</w:t>
            </w:r>
          </w:p>
        </w:tc>
      </w:tr>
      <w:tr w14:paraId="71A020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80" w:hRule="atLeast"/>
          <w:jc w:val="center"/>
        </w:trPr>
        <w:tc>
          <w:tcPr>
            <w:tcW w:w="1611" w:type="dxa"/>
            <w:tcBorders>
              <w:tl2br w:val="nil"/>
              <w:tr2bl w:val="nil"/>
            </w:tcBorders>
            <w:shd w:val="clear" w:color="auto" w:fill="auto"/>
            <w:vAlign w:val="center"/>
          </w:tcPr>
          <w:p w14:paraId="2AA07B9E">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含固量/%</w:t>
            </w:r>
          </w:p>
        </w:tc>
        <w:tc>
          <w:tcPr>
            <w:tcW w:w="3170" w:type="dxa"/>
            <w:tcBorders>
              <w:tl2br w:val="nil"/>
              <w:tr2bl w:val="nil"/>
            </w:tcBorders>
            <w:shd w:val="clear" w:color="auto" w:fill="auto"/>
            <w:vAlign w:val="center"/>
          </w:tcPr>
          <w:p w14:paraId="0D3B0B81">
            <w:pPr>
              <w:pStyle w:val="26"/>
              <w:bidi w:val="0"/>
              <w:jc w:val="both"/>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S&gt;25%</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应控制在0.95s</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1.05s;</w:t>
            </w:r>
            <w:r>
              <w:rPr>
                <w:color w:val="000000" w:themeColor="text1"/>
                <w:highlight w:val="none"/>
                <w:lang w:val="en-US" w:eastAsia="zh-CN"/>
                <w14:textFill>
                  <w14:solidFill>
                    <w14:schemeClr w14:val="tx1"/>
                  </w14:solidFill>
                </w14:textFill>
              </w:rPr>
              <w:br w:type="textWrapping"/>
            </w:r>
            <w:r>
              <w:rPr>
                <w:color w:val="000000" w:themeColor="text1"/>
                <w:highlight w:val="none"/>
                <w:lang w:val="en-US" w:eastAsia="zh-CN"/>
                <w14:textFill>
                  <w14:solidFill>
                    <w14:schemeClr w14:val="tx1"/>
                  </w14:solidFill>
                </w14:textFill>
              </w:rPr>
              <w:t>S≤25%</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应控制在0.90s</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1.10s</w:t>
            </w:r>
          </w:p>
        </w:tc>
        <w:tc>
          <w:tcPr>
            <w:tcW w:w="2252" w:type="dxa"/>
            <w:vMerge w:val="restart"/>
            <w:tcBorders>
              <w:tl2br w:val="nil"/>
              <w:tr2bl w:val="nil"/>
            </w:tcBorders>
            <w:shd w:val="clear" w:color="auto" w:fill="auto"/>
            <w:vAlign w:val="center"/>
          </w:tcPr>
          <w:p w14:paraId="1E085083">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应符合</w:t>
            </w:r>
            <w:r>
              <w:rPr>
                <w:rFonts w:hint="eastAsia"/>
                <w:color w:val="000000" w:themeColor="text1"/>
                <w:highlight w:val="none"/>
                <w14:textFill>
                  <w14:solidFill>
                    <w14:schemeClr w14:val="tx1"/>
                  </w14:solidFill>
                </w14:textFill>
              </w:rPr>
              <w:t>《混凝土外加剂》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GB8076-2008</w:t>
            </w:r>
            <w:r>
              <w:rPr>
                <w:rFonts w:hint="eastAsia"/>
                <w:color w:val="000000" w:themeColor="text1"/>
                <w:highlight w:val="none"/>
                <w:lang w:eastAsia="zh-CN"/>
                <w14:textFill>
                  <w14:solidFill>
                    <w14:schemeClr w14:val="tx1"/>
                  </w14:solidFill>
                </w14:textFill>
              </w:rPr>
              <w:t>）</w:t>
            </w:r>
            <w:r>
              <w:rPr>
                <w:color w:val="000000" w:themeColor="text1"/>
                <w:highlight w:val="none"/>
                <w:lang w:val="en-US" w:eastAsia="zh-CN"/>
                <w14:textFill>
                  <w14:solidFill>
                    <w14:schemeClr w14:val="tx1"/>
                  </w14:solidFill>
                </w14:textFill>
              </w:rPr>
              <w:t>的规定</w:t>
            </w:r>
          </w:p>
        </w:tc>
        <w:tc>
          <w:tcPr>
            <w:tcW w:w="2038" w:type="dxa"/>
            <w:tcBorders>
              <w:tl2br w:val="nil"/>
              <w:tr2bl w:val="nil"/>
            </w:tcBorders>
            <w:shd w:val="clear" w:color="auto" w:fill="auto"/>
            <w:vAlign w:val="center"/>
          </w:tcPr>
          <w:p w14:paraId="308724DD">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出厂要求20%±2</w:t>
            </w:r>
          </w:p>
        </w:tc>
      </w:tr>
      <w:tr w14:paraId="30A73A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20" w:hRule="atLeast"/>
          <w:jc w:val="center"/>
        </w:trPr>
        <w:tc>
          <w:tcPr>
            <w:tcW w:w="1611" w:type="dxa"/>
            <w:tcBorders>
              <w:tl2br w:val="nil"/>
              <w:tr2bl w:val="nil"/>
            </w:tcBorders>
            <w:shd w:val="clear" w:color="auto" w:fill="auto"/>
            <w:vAlign w:val="center"/>
          </w:tcPr>
          <w:p w14:paraId="01572447">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含水率1%</w:t>
            </w:r>
          </w:p>
        </w:tc>
        <w:tc>
          <w:tcPr>
            <w:tcW w:w="3170" w:type="dxa"/>
            <w:tcBorders>
              <w:tl2br w:val="nil"/>
              <w:tr2bl w:val="nil"/>
            </w:tcBorders>
            <w:shd w:val="clear" w:color="auto" w:fill="auto"/>
            <w:vAlign w:val="center"/>
          </w:tcPr>
          <w:p w14:paraId="0E2AFD6A">
            <w:pPr>
              <w:pStyle w:val="26"/>
              <w:bidi w:val="0"/>
              <w:jc w:val="both"/>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W&gt;5%</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应控制在0.90W</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1.10W;W≤5%</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应控制在0.8W</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1.20W</w:t>
            </w:r>
          </w:p>
        </w:tc>
        <w:tc>
          <w:tcPr>
            <w:tcW w:w="2252" w:type="dxa"/>
            <w:vMerge w:val="continue"/>
            <w:tcBorders>
              <w:tl2br w:val="nil"/>
              <w:tr2bl w:val="nil"/>
            </w:tcBorders>
            <w:shd w:val="clear" w:color="auto" w:fill="auto"/>
            <w:vAlign w:val="center"/>
          </w:tcPr>
          <w:p w14:paraId="2B9A0BD4">
            <w:pPr>
              <w:pStyle w:val="26"/>
              <w:bidi w:val="0"/>
              <w:jc w:val="center"/>
              <w:rPr>
                <w:rFonts w:hint="eastAsia"/>
                <w:color w:val="000000" w:themeColor="text1"/>
                <w:highlight w:val="none"/>
                <w14:textFill>
                  <w14:solidFill>
                    <w14:schemeClr w14:val="tx1"/>
                  </w14:solidFill>
                </w14:textFill>
              </w:rPr>
            </w:pPr>
          </w:p>
        </w:tc>
        <w:tc>
          <w:tcPr>
            <w:tcW w:w="2038" w:type="dxa"/>
            <w:tcBorders>
              <w:tl2br w:val="nil"/>
              <w:tr2bl w:val="nil"/>
            </w:tcBorders>
            <w:shd w:val="clear" w:color="auto" w:fill="auto"/>
            <w:vAlign w:val="center"/>
          </w:tcPr>
          <w:p w14:paraId="1F35BDD5">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t>
            </w:r>
          </w:p>
        </w:tc>
      </w:tr>
      <w:tr w14:paraId="315668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0" w:hRule="atLeast"/>
          <w:jc w:val="center"/>
        </w:trPr>
        <w:tc>
          <w:tcPr>
            <w:tcW w:w="1611" w:type="dxa"/>
            <w:tcBorders>
              <w:tl2br w:val="nil"/>
              <w:tr2bl w:val="nil"/>
            </w:tcBorders>
            <w:shd w:val="clear" w:color="auto" w:fill="auto"/>
            <w:vAlign w:val="center"/>
          </w:tcPr>
          <w:p w14:paraId="4CF52EA6">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密度/(g/cm³)</w:t>
            </w:r>
          </w:p>
        </w:tc>
        <w:tc>
          <w:tcPr>
            <w:tcW w:w="3170" w:type="dxa"/>
            <w:tcBorders>
              <w:tl2br w:val="nil"/>
              <w:tr2bl w:val="nil"/>
            </w:tcBorders>
            <w:shd w:val="clear" w:color="auto" w:fill="auto"/>
            <w:vAlign w:val="center"/>
          </w:tcPr>
          <w:p w14:paraId="202FC2FE">
            <w:pPr>
              <w:pStyle w:val="26"/>
              <w:bidi w:val="0"/>
              <w:jc w:val="both"/>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D&gt;1.1时，应控制在D±0.03;D≤</w:t>
            </w:r>
            <w:r>
              <w:rPr>
                <w:color w:val="000000" w:themeColor="text1"/>
                <w:highlight w:val="none"/>
                <w:lang w:val="en-US" w:eastAsia="zh-CN"/>
                <w14:textFill>
                  <w14:solidFill>
                    <w14:schemeClr w14:val="tx1"/>
                  </w14:solidFill>
                </w14:textFill>
              </w:rPr>
              <w:br w:type="textWrapping"/>
            </w:r>
            <w:r>
              <w:rPr>
                <w:color w:val="000000" w:themeColor="text1"/>
                <w:highlight w:val="none"/>
                <w:lang w:val="en-US" w:eastAsia="zh-CN"/>
                <w14:textFill>
                  <w14:solidFill>
                    <w14:schemeClr w14:val="tx1"/>
                  </w14:solidFill>
                </w14:textFill>
              </w:rPr>
              <w:t>1.1时，应控制在D±0.02</w:t>
            </w:r>
          </w:p>
        </w:tc>
        <w:tc>
          <w:tcPr>
            <w:tcW w:w="2252" w:type="dxa"/>
            <w:vMerge w:val="continue"/>
            <w:tcBorders>
              <w:tl2br w:val="nil"/>
              <w:tr2bl w:val="nil"/>
            </w:tcBorders>
            <w:shd w:val="clear" w:color="auto" w:fill="auto"/>
            <w:vAlign w:val="center"/>
          </w:tcPr>
          <w:p w14:paraId="78671BE6">
            <w:pPr>
              <w:pStyle w:val="26"/>
              <w:bidi w:val="0"/>
              <w:jc w:val="center"/>
              <w:rPr>
                <w:rFonts w:hint="eastAsia"/>
                <w:color w:val="000000" w:themeColor="text1"/>
                <w:highlight w:val="none"/>
                <w14:textFill>
                  <w14:solidFill>
                    <w14:schemeClr w14:val="tx1"/>
                  </w14:solidFill>
                </w14:textFill>
              </w:rPr>
            </w:pPr>
          </w:p>
        </w:tc>
        <w:tc>
          <w:tcPr>
            <w:tcW w:w="2038" w:type="dxa"/>
            <w:tcBorders>
              <w:tl2br w:val="nil"/>
              <w:tr2bl w:val="nil"/>
            </w:tcBorders>
            <w:shd w:val="clear" w:color="auto" w:fill="auto"/>
            <w:vAlign w:val="center"/>
          </w:tcPr>
          <w:p w14:paraId="283A5A8A">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出厂要求1.05±0.02</w:t>
            </w:r>
          </w:p>
        </w:tc>
      </w:tr>
      <w:tr w14:paraId="51E4BF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jc w:val="center"/>
        </w:trPr>
        <w:tc>
          <w:tcPr>
            <w:tcW w:w="1611" w:type="dxa"/>
            <w:tcBorders>
              <w:tl2br w:val="nil"/>
              <w:tr2bl w:val="nil"/>
            </w:tcBorders>
            <w:shd w:val="clear" w:color="auto" w:fill="auto"/>
            <w:vAlign w:val="center"/>
          </w:tcPr>
          <w:p w14:paraId="5223E8EA">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细度</w:t>
            </w:r>
          </w:p>
        </w:tc>
        <w:tc>
          <w:tcPr>
            <w:tcW w:w="3170" w:type="dxa"/>
            <w:tcBorders>
              <w:tl2br w:val="nil"/>
              <w:tr2bl w:val="nil"/>
            </w:tcBorders>
            <w:shd w:val="clear" w:color="auto" w:fill="auto"/>
            <w:vAlign w:val="center"/>
          </w:tcPr>
          <w:p w14:paraId="508F874B">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应在生产厂控制范围内</w:t>
            </w:r>
          </w:p>
        </w:tc>
        <w:tc>
          <w:tcPr>
            <w:tcW w:w="2252" w:type="dxa"/>
            <w:vMerge w:val="continue"/>
            <w:tcBorders>
              <w:tl2br w:val="nil"/>
              <w:tr2bl w:val="nil"/>
            </w:tcBorders>
            <w:shd w:val="clear" w:color="auto" w:fill="auto"/>
            <w:vAlign w:val="center"/>
          </w:tcPr>
          <w:p w14:paraId="3A6C14B0">
            <w:pPr>
              <w:pStyle w:val="26"/>
              <w:bidi w:val="0"/>
              <w:jc w:val="center"/>
              <w:rPr>
                <w:rFonts w:hint="eastAsia"/>
                <w:color w:val="000000" w:themeColor="text1"/>
                <w:highlight w:val="none"/>
                <w14:textFill>
                  <w14:solidFill>
                    <w14:schemeClr w14:val="tx1"/>
                  </w14:solidFill>
                </w14:textFill>
              </w:rPr>
            </w:pPr>
          </w:p>
        </w:tc>
        <w:tc>
          <w:tcPr>
            <w:tcW w:w="2038" w:type="dxa"/>
            <w:tcBorders>
              <w:tl2br w:val="nil"/>
              <w:tr2bl w:val="nil"/>
            </w:tcBorders>
            <w:shd w:val="clear" w:color="auto" w:fill="auto"/>
            <w:vAlign w:val="center"/>
          </w:tcPr>
          <w:p w14:paraId="01E0D39C">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t>
            </w:r>
          </w:p>
        </w:tc>
      </w:tr>
      <w:tr w14:paraId="19EDD5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jc w:val="center"/>
        </w:trPr>
        <w:tc>
          <w:tcPr>
            <w:tcW w:w="1611" w:type="dxa"/>
            <w:tcBorders>
              <w:tl2br w:val="nil"/>
              <w:tr2bl w:val="nil"/>
            </w:tcBorders>
            <w:shd w:val="clear" w:color="auto" w:fill="auto"/>
            <w:vAlign w:val="center"/>
          </w:tcPr>
          <w:p w14:paraId="41ACF95F">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pH值</w:t>
            </w:r>
          </w:p>
        </w:tc>
        <w:tc>
          <w:tcPr>
            <w:tcW w:w="3170" w:type="dxa"/>
            <w:tcBorders>
              <w:tl2br w:val="nil"/>
              <w:tr2bl w:val="nil"/>
            </w:tcBorders>
            <w:shd w:val="clear" w:color="auto" w:fill="auto"/>
            <w:vAlign w:val="center"/>
          </w:tcPr>
          <w:p w14:paraId="69E7A7F1">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应在生产厂控制范围内</w:t>
            </w:r>
          </w:p>
        </w:tc>
        <w:tc>
          <w:tcPr>
            <w:tcW w:w="2252" w:type="dxa"/>
            <w:vMerge w:val="continue"/>
            <w:tcBorders>
              <w:tl2br w:val="nil"/>
              <w:tr2bl w:val="nil"/>
            </w:tcBorders>
            <w:shd w:val="clear" w:color="auto" w:fill="auto"/>
            <w:vAlign w:val="center"/>
          </w:tcPr>
          <w:p w14:paraId="34511639">
            <w:pPr>
              <w:pStyle w:val="26"/>
              <w:bidi w:val="0"/>
              <w:jc w:val="center"/>
              <w:rPr>
                <w:rFonts w:hint="eastAsia"/>
                <w:color w:val="000000" w:themeColor="text1"/>
                <w:highlight w:val="none"/>
                <w14:textFill>
                  <w14:solidFill>
                    <w14:schemeClr w14:val="tx1"/>
                  </w14:solidFill>
                </w14:textFill>
              </w:rPr>
            </w:pPr>
          </w:p>
        </w:tc>
        <w:tc>
          <w:tcPr>
            <w:tcW w:w="2038" w:type="dxa"/>
            <w:tcBorders>
              <w:tl2br w:val="nil"/>
              <w:tr2bl w:val="nil"/>
            </w:tcBorders>
            <w:shd w:val="clear" w:color="auto" w:fill="auto"/>
            <w:vAlign w:val="center"/>
          </w:tcPr>
          <w:p w14:paraId="1944FEB7">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出厂要求5.0±1.0</w:t>
            </w:r>
          </w:p>
        </w:tc>
      </w:tr>
      <w:tr w14:paraId="754433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5" w:hRule="atLeast"/>
          <w:jc w:val="center"/>
        </w:trPr>
        <w:tc>
          <w:tcPr>
            <w:tcW w:w="9071" w:type="dxa"/>
            <w:gridSpan w:val="4"/>
            <w:tcBorders>
              <w:tl2br w:val="nil"/>
              <w:tr2bl w:val="nil"/>
            </w:tcBorders>
            <w:shd w:val="clear" w:color="auto" w:fill="auto"/>
            <w:vAlign w:val="center"/>
          </w:tcPr>
          <w:p w14:paraId="43F7CCAE">
            <w:pPr>
              <w:pStyle w:val="26"/>
              <w:bidi w:val="0"/>
              <w:jc w:val="center"/>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注：拟建项目生产原辅材料及反应生成物均不涉及甲醛、氯离子。</w:t>
            </w:r>
          </w:p>
        </w:tc>
      </w:tr>
    </w:tbl>
    <w:p w14:paraId="11CC2747">
      <w:pPr>
        <w:pStyle w:val="25"/>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表3.3.2-3     项目速凝剂产品质量控制要求</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052"/>
        <w:gridCol w:w="4537"/>
        <w:gridCol w:w="1482"/>
      </w:tblGrid>
      <w:tr w14:paraId="6F9011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5" w:hRule="atLeast"/>
          <w:jc w:val="center"/>
        </w:trPr>
        <w:tc>
          <w:tcPr>
            <w:tcW w:w="3052" w:type="dxa"/>
            <w:tcBorders>
              <w:bottom w:val="single" w:color="000000" w:sz="12" w:space="0"/>
            </w:tcBorders>
            <w:shd w:val="clear" w:color="auto" w:fill="auto"/>
            <w:vAlign w:val="center"/>
          </w:tcPr>
          <w:p w14:paraId="2EBD056B">
            <w:pPr>
              <w:pStyle w:val="26"/>
              <w:bidi w:val="0"/>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项 目</w:t>
            </w:r>
          </w:p>
        </w:tc>
        <w:tc>
          <w:tcPr>
            <w:tcW w:w="4537" w:type="dxa"/>
            <w:tcBorders>
              <w:bottom w:val="single" w:color="000000" w:sz="12" w:space="0"/>
            </w:tcBorders>
            <w:shd w:val="clear" w:color="auto" w:fill="auto"/>
            <w:vAlign w:val="center"/>
          </w:tcPr>
          <w:p w14:paraId="2BEE5498">
            <w:pPr>
              <w:pStyle w:val="26"/>
              <w:bidi w:val="0"/>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指标</w:t>
            </w:r>
          </w:p>
        </w:tc>
        <w:tc>
          <w:tcPr>
            <w:tcW w:w="1482" w:type="dxa"/>
            <w:tcBorders>
              <w:bottom w:val="single" w:color="000000" w:sz="12" w:space="0"/>
            </w:tcBorders>
            <w:shd w:val="clear" w:color="auto" w:fill="auto"/>
            <w:vAlign w:val="center"/>
          </w:tcPr>
          <w:p w14:paraId="54B36CE1">
            <w:pPr>
              <w:pStyle w:val="26"/>
              <w:bidi w:val="0"/>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厂控指标</w:t>
            </w:r>
          </w:p>
        </w:tc>
      </w:tr>
      <w:tr w14:paraId="568F30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0" w:hRule="atLeast"/>
          <w:jc w:val="center"/>
        </w:trPr>
        <w:tc>
          <w:tcPr>
            <w:tcW w:w="3052" w:type="dxa"/>
            <w:tcBorders>
              <w:top w:val="single" w:color="000000" w:sz="12" w:space="0"/>
              <w:tl2br w:val="nil"/>
              <w:tr2bl w:val="nil"/>
            </w:tcBorders>
            <w:shd w:val="clear" w:color="auto" w:fill="auto"/>
            <w:vAlign w:val="center"/>
          </w:tcPr>
          <w:p w14:paraId="5D61CFDD">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密度/(g/cm³)</w:t>
            </w:r>
          </w:p>
        </w:tc>
        <w:tc>
          <w:tcPr>
            <w:tcW w:w="4537" w:type="dxa"/>
            <w:tcBorders>
              <w:top w:val="single" w:color="000000" w:sz="12" w:space="0"/>
              <w:tl2br w:val="nil"/>
              <w:tr2bl w:val="nil"/>
            </w:tcBorders>
            <w:shd w:val="clear" w:color="auto" w:fill="auto"/>
            <w:vAlign w:val="center"/>
          </w:tcPr>
          <w:p w14:paraId="251DF9BD">
            <w:pPr>
              <w:pStyle w:val="26"/>
              <w:bidi w:val="0"/>
              <w:rPr>
                <w:color w:val="000000" w:themeColor="text1"/>
                <w:highlight w:val="none"/>
                <w:lang w:val="en-US" w:eastAsia="zh-CN"/>
                <w14:textFill>
                  <w14:solidFill>
                    <w14:schemeClr w14:val="tx1"/>
                  </w14:solidFill>
                </w14:textFill>
              </w:rPr>
            </w:pPr>
            <w:r>
              <w:rPr>
                <w:color w:val="000000" w:themeColor="text1"/>
                <w:highlight w:val="none"/>
                <w:lang w:val="en-US" w:eastAsia="zh-CN"/>
                <w14:textFill>
                  <w14:solidFill>
                    <w14:schemeClr w14:val="tx1"/>
                  </w14:solidFill>
                </w14:textFill>
              </w:rPr>
              <w:t>D&gt;1.1时，应控制在D±0.03</w:t>
            </w:r>
          </w:p>
          <w:p w14:paraId="3C8ADC4E">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D≤1.1时，应控制在D±0.02</w:t>
            </w:r>
          </w:p>
        </w:tc>
        <w:tc>
          <w:tcPr>
            <w:tcW w:w="1482" w:type="dxa"/>
            <w:tcBorders>
              <w:top w:val="single" w:color="000000" w:sz="12" w:space="0"/>
              <w:tl2br w:val="nil"/>
              <w:tr2bl w:val="nil"/>
            </w:tcBorders>
            <w:shd w:val="clear" w:color="auto" w:fill="auto"/>
            <w:vAlign w:val="center"/>
          </w:tcPr>
          <w:p w14:paraId="65F2D7C7">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1.05~1.09</w:t>
            </w:r>
          </w:p>
        </w:tc>
      </w:tr>
      <w:tr w14:paraId="0A15A8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jc w:val="center"/>
        </w:trPr>
        <w:tc>
          <w:tcPr>
            <w:tcW w:w="3052" w:type="dxa"/>
            <w:tcBorders>
              <w:tl2br w:val="nil"/>
              <w:tr2bl w:val="nil"/>
            </w:tcBorders>
            <w:shd w:val="clear" w:color="auto" w:fill="auto"/>
            <w:vAlign w:val="center"/>
          </w:tcPr>
          <w:p w14:paraId="54758D07">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pH值</w:t>
            </w:r>
          </w:p>
        </w:tc>
        <w:tc>
          <w:tcPr>
            <w:tcW w:w="4537" w:type="dxa"/>
            <w:tcBorders>
              <w:tl2br w:val="nil"/>
              <w:tr2bl w:val="nil"/>
            </w:tcBorders>
            <w:shd w:val="clear" w:color="auto" w:fill="auto"/>
            <w:vAlign w:val="center"/>
          </w:tcPr>
          <w:p w14:paraId="0E029DF1">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≥2.0</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且应在生产厂控制值的±1之内</w:t>
            </w:r>
          </w:p>
        </w:tc>
        <w:tc>
          <w:tcPr>
            <w:tcW w:w="1482" w:type="dxa"/>
            <w:tcBorders>
              <w:tl2br w:val="nil"/>
              <w:tr2bl w:val="nil"/>
            </w:tcBorders>
            <w:shd w:val="clear" w:color="auto" w:fill="auto"/>
            <w:vAlign w:val="top"/>
          </w:tcPr>
          <w:p w14:paraId="5BEF5056">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5±1</w:t>
            </w:r>
          </w:p>
        </w:tc>
      </w:tr>
      <w:tr w14:paraId="0DBB94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jc w:val="center"/>
        </w:trPr>
        <w:tc>
          <w:tcPr>
            <w:tcW w:w="3052" w:type="dxa"/>
            <w:tcBorders>
              <w:tl2br w:val="nil"/>
              <w:tr2bl w:val="nil"/>
            </w:tcBorders>
            <w:shd w:val="clear" w:color="auto" w:fill="auto"/>
            <w:vAlign w:val="center"/>
          </w:tcPr>
          <w:p w14:paraId="09063C1D">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含水率1%</w:t>
            </w:r>
          </w:p>
        </w:tc>
        <w:tc>
          <w:tcPr>
            <w:tcW w:w="4537" w:type="dxa"/>
            <w:tcBorders>
              <w:tl2br w:val="nil"/>
              <w:tr2bl w:val="nil"/>
            </w:tcBorders>
            <w:shd w:val="clear" w:color="auto" w:fill="auto"/>
            <w:vAlign w:val="center"/>
          </w:tcPr>
          <w:p w14:paraId="76CDCE3C">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t>
            </w:r>
          </w:p>
        </w:tc>
        <w:tc>
          <w:tcPr>
            <w:tcW w:w="1482" w:type="dxa"/>
            <w:tcBorders>
              <w:tl2br w:val="nil"/>
              <w:tr2bl w:val="nil"/>
            </w:tcBorders>
            <w:shd w:val="clear" w:color="auto" w:fill="auto"/>
            <w:vAlign w:val="center"/>
          </w:tcPr>
          <w:p w14:paraId="03A7BDB9">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t>
            </w:r>
          </w:p>
        </w:tc>
      </w:tr>
      <w:tr w14:paraId="0A6B1A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0" w:hRule="atLeast"/>
          <w:jc w:val="center"/>
        </w:trPr>
        <w:tc>
          <w:tcPr>
            <w:tcW w:w="3052" w:type="dxa"/>
            <w:tcBorders>
              <w:tl2br w:val="nil"/>
              <w:tr2bl w:val="nil"/>
            </w:tcBorders>
            <w:shd w:val="clear" w:color="auto" w:fill="auto"/>
            <w:vAlign w:val="center"/>
          </w:tcPr>
          <w:p w14:paraId="7E7EE778">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细度</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80μm方孔筛筛余</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1%</w:t>
            </w:r>
          </w:p>
        </w:tc>
        <w:tc>
          <w:tcPr>
            <w:tcW w:w="4537" w:type="dxa"/>
            <w:tcBorders>
              <w:tl2br w:val="nil"/>
              <w:tr2bl w:val="nil"/>
            </w:tcBorders>
            <w:shd w:val="clear" w:color="auto" w:fill="auto"/>
            <w:vAlign w:val="center"/>
          </w:tcPr>
          <w:p w14:paraId="110EAF1C">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t>
            </w:r>
          </w:p>
        </w:tc>
        <w:tc>
          <w:tcPr>
            <w:tcW w:w="1482" w:type="dxa"/>
            <w:tcBorders>
              <w:tl2br w:val="nil"/>
              <w:tr2bl w:val="nil"/>
            </w:tcBorders>
            <w:shd w:val="clear" w:color="auto" w:fill="auto"/>
            <w:vAlign w:val="center"/>
          </w:tcPr>
          <w:p w14:paraId="1DB6305C">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t>
            </w:r>
          </w:p>
        </w:tc>
      </w:tr>
      <w:tr w14:paraId="07E9C8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80" w:hRule="atLeast"/>
          <w:jc w:val="center"/>
        </w:trPr>
        <w:tc>
          <w:tcPr>
            <w:tcW w:w="3052" w:type="dxa"/>
            <w:tcBorders>
              <w:tl2br w:val="nil"/>
              <w:tr2bl w:val="nil"/>
            </w:tcBorders>
            <w:shd w:val="clear" w:color="auto" w:fill="auto"/>
            <w:vAlign w:val="center"/>
          </w:tcPr>
          <w:p w14:paraId="06F36175">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含固量/%</w:t>
            </w:r>
          </w:p>
        </w:tc>
        <w:tc>
          <w:tcPr>
            <w:tcW w:w="4537" w:type="dxa"/>
            <w:tcBorders>
              <w:tl2br w:val="nil"/>
              <w:tr2bl w:val="nil"/>
            </w:tcBorders>
            <w:shd w:val="clear" w:color="auto" w:fill="auto"/>
            <w:vAlign w:val="center"/>
          </w:tcPr>
          <w:p w14:paraId="757F1F33">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S&gt;25时，应控制在0.95 S~1.05 S</w:t>
            </w:r>
            <w:r>
              <w:rPr>
                <w:color w:val="000000" w:themeColor="text1"/>
                <w:highlight w:val="none"/>
                <w:lang w:val="en-US" w:eastAsia="zh-CN"/>
                <w14:textFill>
                  <w14:solidFill>
                    <w14:schemeClr w14:val="tx1"/>
                  </w14:solidFill>
                </w14:textFill>
              </w:rPr>
              <w:br w:type="textWrapping"/>
            </w:r>
            <w:r>
              <w:rPr>
                <w:color w:val="000000" w:themeColor="text1"/>
                <w:highlight w:val="none"/>
                <w:lang w:val="en-US" w:eastAsia="zh-CN"/>
                <w14:textFill>
                  <w14:solidFill>
                    <w14:schemeClr w14:val="tx1"/>
                  </w14:solidFill>
                </w14:textFill>
              </w:rPr>
              <w:t>S≤25时，应控制在0.90 S~1.10 S</w:t>
            </w:r>
          </w:p>
        </w:tc>
        <w:tc>
          <w:tcPr>
            <w:tcW w:w="1482" w:type="dxa"/>
            <w:tcBorders>
              <w:tl2br w:val="nil"/>
              <w:tr2bl w:val="nil"/>
            </w:tcBorders>
            <w:shd w:val="clear" w:color="auto" w:fill="auto"/>
            <w:vAlign w:val="center"/>
          </w:tcPr>
          <w:p w14:paraId="71E3C70A">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20%±2</w:t>
            </w:r>
          </w:p>
        </w:tc>
      </w:tr>
      <w:tr w14:paraId="5C6C8E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0" w:hRule="atLeast"/>
          <w:jc w:val="center"/>
        </w:trPr>
        <w:tc>
          <w:tcPr>
            <w:tcW w:w="3052" w:type="dxa"/>
            <w:tcBorders>
              <w:tl2br w:val="nil"/>
              <w:tr2bl w:val="nil"/>
            </w:tcBorders>
            <w:shd w:val="clear" w:color="auto" w:fill="auto"/>
            <w:vAlign w:val="center"/>
          </w:tcPr>
          <w:p w14:paraId="2E969B45">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稳定性</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上清液或底部沉淀物体积</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/mL</w:t>
            </w:r>
          </w:p>
        </w:tc>
        <w:tc>
          <w:tcPr>
            <w:tcW w:w="4537" w:type="dxa"/>
            <w:tcBorders>
              <w:tl2br w:val="nil"/>
              <w:tr2bl w:val="nil"/>
            </w:tcBorders>
            <w:shd w:val="clear" w:color="auto" w:fill="auto"/>
            <w:vAlign w:val="center"/>
          </w:tcPr>
          <w:p w14:paraId="5899ABF3">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≤5</w:t>
            </w:r>
          </w:p>
        </w:tc>
        <w:tc>
          <w:tcPr>
            <w:tcW w:w="1482" w:type="dxa"/>
            <w:tcBorders>
              <w:tl2br w:val="nil"/>
              <w:tr2bl w:val="nil"/>
            </w:tcBorders>
            <w:shd w:val="clear" w:color="auto" w:fill="auto"/>
            <w:vAlign w:val="center"/>
          </w:tcPr>
          <w:p w14:paraId="32D48B4B">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≤1</w:t>
            </w:r>
          </w:p>
        </w:tc>
      </w:tr>
      <w:tr w14:paraId="0A7674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0" w:hRule="atLeast"/>
          <w:jc w:val="center"/>
        </w:trPr>
        <w:tc>
          <w:tcPr>
            <w:tcW w:w="3052" w:type="dxa"/>
            <w:tcBorders>
              <w:tl2br w:val="nil"/>
              <w:tr2bl w:val="nil"/>
            </w:tcBorders>
            <w:shd w:val="clear" w:color="auto" w:fill="auto"/>
            <w:vAlign w:val="center"/>
          </w:tcPr>
          <w:p w14:paraId="7844FBB2">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氯离子含量/%</w:t>
            </w:r>
          </w:p>
        </w:tc>
        <w:tc>
          <w:tcPr>
            <w:tcW w:w="4537" w:type="dxa"/>
            <w:tcBorders>
              <w:tl2br w:val="nil"/>
              <w:tr2bl w:val="nil"/>
            </w:tcBorders>
            <w:shd w:val="clear" w:color="auto" w:fill="auto"/>
            <w:vAlign w:val="top"/>
          </w:tcPr>
          <w:p w14:paraId="3F7A3D5B">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≤0.1</w:t>
            </w:r>
          </w:p>
        </w:tc>
        <w:tc>
          <w:tcPr>
            <w:tcW w:w="1482" w:type="dxa"/>
            <w:tcBorders>
              <w:tl2br w:val="nil"/>
              <w:tr2bl w:val="nil"/>
            </w:tcBorders>
            <w:shd w:val="clear" w:color="auto" w:fill="auto"/>
            <w:vAlign w:val="top"/>
          </w:tcPr>
          <w:p w14:paraId="7390CC58">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≤0.1</w:t>
            </w:r>
          </w:p>
        </w:tc>
      </w:tr>
      <w:tr w14:paraId="421205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50" w:hRule="atLeast"/>
          <w:jc w:val="center"/>
        </w:trPr>
        <w:tc>
          <w:tcPr>
            <w:tcW w:w="3052" w:type="dxa"/>
            <w:tcBorders>
              <w:tl2br w:val="nil"/>
              <w:tr2bl w:val="nil"/>
            </w:tcBorders>
            <w:shd w:val="clear" w:color="auto" w:fill="auto"/>
            <w:vAlign w:val="center"/>
          </w:tcPr>
          <w:p w14:paraId="54C29555">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碱含量</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按当量Na₂O含量计</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1%</w:t>
            </w:r>
          </w:p>
        </w:tc>
        <w:tc>
          <w:tcPr>
            <w:tcW w:w="4537" w:type="dxa"/>
            <w:tcBorders>
              <w:tl2br w:val="nil"/>
              <w:tr2bl w:val="nil"/>
            </w:tcBorders>
            <w:shd w:val="clear" w:color="auto" w:fill="auto"/>
            <w:vAlign w:val="center"/>
          </w:tcPr>
          <w:p w14:paraId="0BFA3504">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应小于生产厂控制值，其中无碱速凝剂≤1.0</w:t>
            </w:r>
          </w:p>
        </w:tc>
        <w:tc>
          <w:tcPr>
            <w:tcW w:w="1482" w:type="dxa"/>
            <w:tcBorders>
              <w:tl2br w:val="nil"/>
              <w:tr2bl w:val="nil"/>
            </w:tcBorders>
            <w:shd w:val="clear" w:color="auto" w:fill="auto"/>
            <w:vAlign w:val="center"/>
          </w:tcPr>
          <w:p w14:paraId="0E13BCA5">
            <w:pPr>
              <w:pStyle w:val="26"/>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≤1.0</w:t>
            </w:r>
          </w:p>
        </w:tc>
      </w:tr>
      <w:tr w14:paraId="0FFA96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jc w:val="center"/>
        </w:trPr>
        <w:tc>
          <w:tcPr>
            <w:tcW w:w="9071" w:type="dxa"/>
            <w:gridSpan w:val="3"/>
            <w:tcBorders>
              <w:tl2br w:val="nil"/>
              <w:tr2bl w:val="nil"/>
            </w:tcBorders>
            <w:shd w:val="clear" w:color="auto" w:fill="auto"/>
            <w:vAlign w:val="center"/>
          </w:tcPr>
          <w:p w14:paraId="5608C2C1">
            <w:pPr>
              <w:pStyle w:val="26"/>
              <w:bidi w:val="0"/>
              <w:jc w:val="both"/>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注：表中D和S分别为密度和含固量的生产厂控制值。</w:t>
            </w:r>
          </w:p>
        </w:tc>
      </w:tr>
    </w:tbl>
    <w:p w14:paraId="169A9B3A">
      <w:pPr>
        <w:pStyle w:val="25"/>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表3.3.2-4     项目硫酸铝产品质量控制要求</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052"/>
        <w:gridCol w:w="2268"/>
        <w:gridCol w:w="2071"/>
        <w:gridCol w:w="1680"/>
      </w:tblGrid>
      <w:tr w14:paraId="711612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3052" w:type="dxa"/>
            <w:vMerge w:val="restart"/>
            <w:shd w:val="clear" w:color="auto" w:fill="auto"/>
            <w:vAlign w:val="center"/>
          </w:tcPr>
          <w:p w14:paraId="055A053A">
            <w:pPr>
              <w:pStyle w:val="26"/>
              <w:bidi w:val="0"/>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项 目</w:t>
            </w:r>
          </w:p>
        </w:tc>
        <w:tc>
          <w:tcPr>
            <w:tcW w:w="4339" w:type="dxa"/>
            <w:gridSpan w:val="2"/>
            <w:tcBorders>
              <w:bottom w:val="single" w:color="000000" w:sz="4" w:space="0"/>
            </w:tcBorders>
            <w:shd w:val="clear" w:color="auto" w:fill="auto"/>
            <w:vAlign w:val="center"/>
          </w:tcPr>
          <w:p w14:paraId="18A16DE4">
            <w:pPr>
              <w:pStyle w:val="26"/>
              <w:bidi w:val="0"/>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指标</w:t>
            </w:r>
          </w:p>
        </w:tc>
        <w:tc>
          <w:tcPr>
            <w:tcW w:w="1680" w:type="dxa"/>
            <w:vMerge w:val="restart"/>
            <w:shd w:val="clear" w:color="auto" w:fill="auto"/>
            <w:vAlign w:val="center"/>
          </w:tcPr>
          <w:p w14:paraId="3617D797">
            <w:pPr>
              <w:pStyle w:val="26"/>
              <w:bidi w:val="0"/>
              <w:rPr>
                <w:b/>
                <w:bCs/>
                <w:color w:val="000000" w:themeColor="text1"/>
                <w:highlight w:val="none"/>
                <w14:textFill>
                  <w14:solidFill>
                    <w14:schemeClr w14:val="tx1"/>
                  </w14:solidFill>
                </w14:textFill>
              </w:rPr>
            </w:pPr>
            <w:r>
              <w:rPr>
                <w:b/>
                <w:bCs/>
                <w:color w:val="000000" w:themeColor="text1"/>
                <w:highlight w:val="none"/>
                <w:lang w:val="en-US" w:eastAsia="zh-CN"/>
                <w14:textFill>
                  <w14:solidFill>
                    <w14:schemeClr w14:val="tx1"/>
                  </w14:solidFill>
                </w14:textFill>
              </w:rPr>
              <w:t>厂控指标</w:t>
            </w:r>
          </w:p>
        </w:tc>
      </w:tr>
      <w:tr w14:paraId="44156D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3052" w:type="dxa"/>
            <w:vMerge w:val="continue"/>
            <w:tcBorders>
              <w:bottom w:val="single" w:color="000000" w:sz="12" w:space="0"/>
            </w:tcBorders>
            <w:shd w:val="clear" w:color="auto" w:fill="auto"/>
            <w:vAlign w:val="center"/>
          </w:tcPr>
          <w:p w14:paraId="4D3B4FBB">
            <w:pPr>
              <w:pStyle w:val="26"/>
              <w:bidi w:val="0"/>
              <w:rPr>
                <w:b/>
                <w:bCs/>
                <w:color w:val="000000" w:themeColor="text1"/>
                <w:highlight w:val="none"/>
                <w14:textFill>
                  <w14:solidFill>
                    <w14:schemeClr w14:val="tx1"/>
                  </w14:solidFill>
                </w14:textFill>
              </w:rPr>
            </w:pPr>
          </w:p>
        </w:tc>
        <w:tc>
          <w:tcPr>
            <w:tcW w:w="2268" w:type="dxa"/>
            <w:tcBorders>
              <w:top w:val="single" w:color="000000" w:sz="4" w:space="0"/>
              <w:bottom w:val="single" w:color="000000" w:sz="12" w:space="0"/>
            </w:tcBorders>
            <w:shd w:val="clear" w:color="auto" w:fill="auto"/>
            <w:vAlign w:val="center"/>
          </w:tcPr>
          <w:p w14:paraId="0326AC38">
            <w:pPr>
              <w:pStyle w:val="26"/>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Ⅰ类</w:t>
            </w:r>
          </w:p>
        </w:tc>
        <w:tc>
          <w:tcPr>
            <w:tcW w:w="2071" w:type="dxa"/>
            <w:tcBorders>
              <w:top w:val="single" w:color="000000" w:sz="4" w:space="0"/>
              <w:bottom w:val="single" w:color="000000" w:sz="12" w:space="0"/>
            </w:tcBorders>
            <w:shd w:val="clear" w:color="auto" w:fill="auto"/>
            <w:vAlign w:val="center"/>
          </w:tcPr>
          <w:p w14:paraId="195C6814">
            <w:pPr>
              <w:pStyle w:val="26"/>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Ⅱ类</w:t>
            </w:r>
          </w:p>
        </w:tc>
        <w:tc>
          <w:tcPr>
            <w:tcW w:w="1680" w:type="dxa"/>
            <w:vMerge w:val="continue"/>
            <w:tcBorders>
              <w:bottom w:val="single" w:color="000000" w:sz="12" w:space="0"/>
            </w:tcBorders>
            <w:shd w:val="clear" w:color="auto" w:fill="auto"/>
            <w:vAlign w:val="center"/>
          </w:tcPr>
          <w:p w14:paraId="1A40C827">
            <w:pPr>
              <w:pStyle w:val="26"/>
              <w:bidi w:val="0"/>
              <w:rPr>
                <w:rFonts w:hint="default"/>
                <w:color w:val="000000" w:themeColor="text1"/>
                <w:highlight w:val="none"/>
                <w:lang w:val="en-US"/>
                <w14:textFill>
                  <w14:solidFill>
                    <w14:schemeClr w14:val="tx1"/>
                  </w14:solidFill>
                </w14:textFill>
              </w:rPr>
            </w:pPr>
          </w:p>
        </w:tc>
      </w:tr>
      <w:tr w14:paraId="3CAC48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3052" w:type="dxa"/>
            <w:tcBorders>
              <w:top w:val="single" w:color="000000" w:sz="12" w:space="0"/>
              <w:bottom w:val="single" w:color="000000" w:sz="4" w:space="0"/>
            </w:tcBorders>
            <w:shd w:val="clear" w:color="auto" w:fill="auto"/>
            <w:vAlign w:val="center"/>
          </w:tcPr>
          <w:p w14:paraId="375BBE8B">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氧化铝（Al</w:t>
            </w:r>
            <w:r>
              <w:rPr>
                <w:rFonts w:hint="eastAsia"/>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O</w:t>
            </w:r>
            <w:r>
              <w:rPr>
                <w:rFonts w:hint="eastAsia"/>
                <w:color w:val="000000" w:themeColor="text1"/>
                <w:highlight w:val="none"/>
                <w:vertAlign w:val="sub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   ≥</w:t>
            </w:r>
          </w:p>
        </w:tc>
        <w:tc>
          <w:tcPr>
            <w:tcW w:w="2268" w:type="dxa"/>
            <w:tcBorders>
              <w:top w:val="single" w:color="000000" w:sz="12" w:space="0"/>
              <w:bottom w:val="single" w:color="000000" w:sz="4" w:space="0"/>
            </w:tcBorders>
            <w:shd w:val="clear" w:color="auto" w:fill="auto"/>
            <w:vAlign w:val="center"/>
          </w:tcPr>
          <w:p w14:paraId="0EF75304">
            <w:pPr>
              <w:pStyle w:val="26"/>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w:t>
            </w:r>
          </w:p>
        </w:tc>
        <w:tc>
          <w:tcPr>
            <w:tcW w:w="2071" w:type="dxa"/>
            <w:tcBorders>
              <w:top w:val="single" w:color="000000" w:sz="12" w:space="0"/>
              <w:bottom w:val="single" w:color="000000" w:sz="4" w:space="0"/>
            </w:tcBorders>
            <w:shd w:val="clear" w:color="auto" w:fill="auto"/>
            <w:vAlign w:val="center"/>
          </w:tcPr>
          <w:p w14:paraId="3ED19866">
            <w:pPr>
              <w:pStyle w:val="26"/>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w:t>
            </w:r>
          </w:p>
        </w:tc>
        <w:tc>
          <w:tcPr>
            <w:tcW w:w="1680" w:type="dxa"/>
            <w:tcBorders>
              <w:top w:val="single" w:color="000000" w:sz="12" w:space="0"/>
              <w:bottom w:val="single" w:color="000000" w:sz="4" w:space="0"/>
            </w:tcBorders>
            <w:shd w:val="clear" w:color="auto" w:fill="auto"/>
            <w:vAlign w:val="center"/>
          </w:tcPr>
          <w:p w14:paraId="3AB63BF4">
            <w:pPr>
              <w:pStyle w:val="26"/>
              <w:bidi w:val="0"/>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p>
        </w:tc>
      </w:tr>
      <w:tr w14:paraId="5991C7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3052" w:type="dxa"/>
            <w:tcBorders>
              <w:top w:val="single" w:color="000000" w:sz="4" w:space="0"/>
              <w:bottom w:val="single" w:color="000000" w:sz="4" w:space="0"/>
            </w:tcBorders>
            <w:shd w:val="clear" w:color="auto" w:fill="auto"/>
            <w:vAlign w:val="center"/>
          </w:tcPr>
          <w:p w14:paraId="171497C6">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铁（Fe）w%     ≤</w:t>
            </w:r>
          </w:p>
        </w:tc>
        <w:tc>
          <w:tcPr>
            <w:tcW w:w="2268" w:type="dxa"/>
            <w:tcBorders>
              <w:top w:val="single" w:color="000000" w:sz="4" w:space="0"/>
              <w:bottom w:val="single" w:color="000000" w:sz="4" w:space="0"/>
            </w:tcBorders>
            <w:shd w:val="clear" w:color="auto" w:fill="auto"/>
            <w:vAlign w:val="center"/>
          </w:tcPr>
          <w:p w14:paraId="6DF9FA08">
            <w:pPr>
              <w:pStyle w:val="26"/>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0.0025</w:t>
            </w:r>
          </w:p>
        </w:tc>
        <w:tc>
          <w:tcPr>
            <w:tcW w:w="2071" w:type="dxa"/>
            <w:tcBorders>
              <w:top w:val="single" w:color="000000" w:sz="4" w:space="0"/>
              <w:bottom w:val="single" w:color="000000" w:sz="4" w:space="0"/>
            </w:tcBorders>
            <w:shd w:val="clear" w:color="auto" w:fill="auto"/>
            <w:vAlign w:val="center"/>
          </w:tcPr>
          <w:p w14:paraId="244EF97E">
            <w:pPr>
              <w:pStyle w:val="26"/>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0.25</w:t>
            </w:r>
          </w:p>
        </w:tc>
        <w:tc>
          <w:tcPr>
            <w:tcW w:w="1680" w:type="dxa"/>
            <w:tcBorders>
              <w:top w:val="single" w:color="000000" w:sz="4" w:space="0"/>
              <w:bottom w:val="single" w:color="000000" w:sz="4" w:space="0"/>
            </w:tcBorders>
            <w:shd w:val="clear" w:color="auto" w:fill="auto"/>
            <w:vAlign w:val="center"/>
          </w:tcPr>
          <w:p w14:paraId="4AE60F45">
            <w:pPr>
              <w:pStyle w:val="26"/>
              <w:bidi w:val="0"/>
              <w:rPr>
                <w:rFonts w:hint="default"/>
                <w:color w:val="000000" w:themeColor="text1"/>
                <w:highlight w:val="none"/>
                <w:lang w:val="en-US" w:eastAsia="zh-CN"/>
                <w14:textFill>
                  <w14:solidFill>
                    <w14:schemeClr w14:val="tx1"/>
                  </w14:solidFill>
                </w14:textFill>
              </w:rPr>
            </w:pPr>
            <w:r>
              <w:rPr>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25</w:t>
            </w:r>
          </w:p>
        </w:tc>
      </w:tr>
      <w:tr w14:paraId="1692C9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3052" w:type="dxa"/>
            <w:tcBorders>
              <w:top w:val="single" w:color="000000" w:sz="4" w:space="0"/>
            </w:tcBorders>
            <w:shd w:val="clear" w:color="auto" w:fill="auto"/>
            <w:vAlign w:val="center"/>
          </w:tcPr>
          <w:p w14:paraId="65EA806F">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水不溶物w%   ≤</w:t>
            </w:r>
          </w:p>
        </w:tc>
        <w:tc>
          <w:tcPr>
            <w:tcW w:w="2268" w:type="dxa"/>
            <w:tcBorders>
              <w:top w:val="single" w:color="000000" w:sz="4" w:space="0"/>
            </w:tcBorders>
            <w:shd w:val="clear" w:color="auto" w:fill="auto"/>
            <w:vAlign w:val="center"/>
          </w:tcPr>
          <w:p w14:paraId="087FE63C">
            <w:pPr>
              <w:pStyle w:val="26"/>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0.05</w:t>
            </w:r>
          </w:p>
        </w:tc>
        <w:tc>
          <w:tcPr>
            <w:tcW w:w="2071" w:type="dxa"/>
            <w:tcBorders>
              <w:top w:val="single" w:color="000000" w:sz="4" w:space="0"/>
            </w:tcBorders>
            <w:shd w:val="clear" w:color="auto" w:fill="auto"/>
            <w:vAlign w:val="center"/>
          </w:tcPr>
          <w:p w14:paraId="7B721221">
            <w:pPr>
              <w:pStyle w:val="26"/>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w:t>
            </w:r>
          </w:p>
        </w:tc>
        <w:tc>
          <w:tcPr>
            <w:tcW w:w="1680" w:type="dxa"/>
            <w:tcBorders>
              <w:top w:val="single" w:color="000000" w:sz="4" w:space="0"/>
            </w:tcBorders>
            <w:shd w:val="clear" w:color="auto" w:fill="auto"/>
            <w:vAlign w:val="center"/>
          </w:tcPr>
          <w:p w14:paraId="3A58A3D9">
            <w:pPr>
              <w:pStyle w:val="26"/>
              <w:bidi w:val="0"/>
              <w:rPr>
                <w:color w:val="000000" w:themeColor="text1"/>
                <w:highlight w:val="none"/>
                <w:lang w:val="en-US" w:eastAsia="zh-CN"/>
                <w14:textFill>
                  <w14:solidFill>
                    <w14:schemeClr w14:val="tx1"/>
                  </w14:solidFill>
                </w14:textFill>
              </w:rPr>
            </w:pPr>
            <w:r>
              <w:rPr>
                <w:color w:val="000000" w:themeColor="text1"/>
                <w:highlight w:val="none"/>
                <w:lang w:val="en-US" w:eastAsia="zh-CN"/>
                <w14:textFill>
                  <w14:solidFill>
                    <w14:schemeClr w14:val="tx1"/>
                  </w14:solidFill>
                </w14:textFill>
              </w:rPr>
              <w:t>≤0.1</w:t>
            </w:r>
          </w:p>
        </w:tc>
      </w:tr>
    </w:tbl>
    <w:p w14:paraId="3CD885E3">
      <w:pPr>
        <w:pStyle w:val="3"/>
        <w:bidi w:val="0"/>
        <w:rPr>
          <w:rFonts w:hint="default"/>
          <w:color w:val="000000" w:themeColor="text1"/>
          <w:highlight w:val="none"/>
          <w:lang w:val="en-US" w:eastAsia="zh-CN"/>
          <w14:textFill>
            <w14:solidFill>
              <w14:schemeClr w14:val="tx1"/>
            </w14:solidFill>
          </w14:textFill>
        </w:rPr>
      </w:pPr>
      <w:bookmarkStart w:id="617" w:name="_Toc1233"/>
      <w:bookmarkStart w:id="618" w:name="_Toc21715"/>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公用工程</w:t>
      </w:r>
      <w:bookmarkEnd w:id="610"/>
      <w:bookmarkEnd w:id="611"/>
      <w:bookmarkEnd w:id="612"/>
      <w:bookmarkEnd w:id="613"/>
      <w:bookmarkEnd w:id="614"/>
      <w:bookmarkEnd w:id="615"/>
      <w:bookmarkEnd w:id="617"/>
      <w:bookmarkEnd w:id="618"/>
    </w:p>
    <w:p w14:paraId="2D7A5D73">
      <w:pPr>
        <w:pStyle w:val="4"/>
        <w:rPr>
          <w:color w:val="000000" w:themeColor="text1"/>
          <w:highlight w:val="none"/>
          <w14:textFill>
            <w14:solidFill>
              <w14:schemeClr w14:val="tx1"/>
            </w14:solidFill>
          </w14:textFill>
        </w:rPr>
      </w:pPr>
      <w:bookmarkStart w:id="619" w:name="_Toc3423"/>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给水</w:t>
      </w:r>
      <w:bookmarkEnd w:id="619"/>
    </w:p>
    <w:p w14:paraId="1B6C289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本项目生产、生活用水</w:t>
      </w:r>
      <w:r>
        <w:rPr>
          <w:rFonts w:hint="eastAsia"/>
          <w:color w:val="000000" w:themeColor="text1"/>
          <w:highlight w:val="none"/>
          <w14:textFill>
            <w14:solidFill>
              <w14:schemeClr w14:val="tx1"/>
            </w14:solidFill>
          </w14:textFill>
        </w:rPr>
        <w:t>依托园区</w:t>
      </w:r>
      <w:r>
        <w:rPr>
          <w:color w:val="000000" w:themeColor="text1"/>
          <w:highlight w:val="none"/>
          <w14:textFill>
            <w14:solidFill>
              <w14:schemeClr w14:val="tx1"/>
            </w14:solidFill>
          </w14:textFill>
        </w:rPr>
        <w:t>管道输送至厂区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从厂区西南侧园区预留接口接入</w:t>
      </w:r>
      <w:r>
        <w:rPr>
          <w:rFonts w:hint="default"/>
          <w:color w:val="000000" w:themeColor="text1"/>
          <w:highlight w:val="none"/>
          <w:lang w:val="en-US"/>
          <w14:textFill>
            <w14:solidFill>
              <w14:schemeClr w14:val="tx1"/>
            </w14:solidFill>
          </w14:textFill>
        </w:rPr>
        <w:t>由园区供水管网供给</w:t>
      </w:r>
      <w:r>
        <w:rPr>
          <w:rFonts w:hint="eastAsia"/>
          <w:color w:val="000000" w:themeColor="text1"/>
          <w:highlight w:val="none"/>
          <w:lang w:val="en-US" w:eastAsia="zh-CN"/>
          <w14:textFill>
            <w14:solidFill>
              <w14:schemeClr w14:val="tx1"/>
            </w14:solidFill>
          </w14:textFill>
        </w:rPr>
        <w:t>，能够满足项目生产生活需要</w:t>
      </w:r>
      <w:r>
        <w:rPr>
          <w:color w:val="000000" w:themeColor="text1"/>
          <w:highlight w:val="none"/>
          <w14:textFill>
            <w14:solidFill>
              <w14:schemeClr w14:val="tx1"/>
            </w14:solidFill>
          </w14:textFill>
        </w:rPr>
        <w:t>。</w:t>
      </w:r>
    </w:p>
    <w:p w14:paraId="47860618">
      <w:pPr>
        <w:pStyle w:val="4"/>
        <w:rPr>
          <w:color w:val="000000" w:themeColor="text1"/>
          <w:highlight w:val="none"/>
          <w14:textFill>
            <w14:solidFill>
              <w14:schemeClr w14:val="tx1"/>
            </w14:solidFill>
          </w14:textFill>
        </w:rPr>
      </w:pPr>
      <w:bookmarkStart w:id="620" w:name="_Toc12674"/>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排水</w:t>
      </w:r>
      <w:bookmarkEnd w:id="620"/>
    </w:p>
    <w:p w14:paraId="2241E28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w:t>
      </w:r>
      <w:r>
        <w:rPr>
          <w:rFonts w:hint="eastAsia"/>
          <w:color w:val="000000" w:themeColor="text1"/>
          <w:highlight w:val="none"/>
          <w:lang w:val="en-US" w:eastAsia="zh-CN"/>
          <w14:textFill>
            <w14:solidFill>
              <w14:schemeClr w14:val="tx1"/>
            </w14:solidFill>
          </w14:textFill>
        </w:rPr>
        <w:t>运营期产生的生产废水主要为碱喷淋废水、纯水制备废水，碱喷淋废水回用于项目硫酸铝生产线；纯水制备废水回用于速凝剂生产线；</w:t>
      </w:r>
      <w:r>
        <w:rPr>
          <w:color w:val="000000" w:themeColor="text1"/>
          <w:highlight w:val="none"/>
          <w14:textFill>
            <w14:solidFill>
              <w14:schemeClr w14:val="tx1"/>
            </w14:solidFill>
          </w14:textFill>
        </w:rPr>
        <w:t>排水主要为生活人员生活污水</w:t>
      </w:r>
      <w:r>
        <w:rPr>
          <w:rFonts w:hint="eastAsia"/>
          <w:color w:val="000000" w:themeColor="text1"/>
          <w:highlight w:val="none"/>
          <w:lang w:eastAsia="zh-CN"/>
          <w14:textFill>
            <w14:solidFill>
              <w14:schemeClr w14:val="tx1"/>
            </w14:solidFill>
          </w14:textFill>
        </w:rPr>
        <w:t>，</w:t>
      </w:r>
      <w:r>
        <w:rPr>
          <w:rFonts w:hint="eastAsia"/>
          <w:color w:val="000000" w:themeColor="text1"/>
          <w:szCs w:val="32"/>
          <w:highlight w:val="none"/>
          <w14:textFill>
            <w14:solidFill>
              <w14:schemeClr w14:val="tx1"/>
            </w14:solidFill>
          </w14:textFill>
        </w:rPr>
        <w:t>生活污水排入</w:t>
      </w:r>
      <w:r>
        <w:rPr>
          <w:rFonts w:hint="eastAsia"/>
          <w:color w:val="000000" w:themeColor="text1"/>
          <w:highlight w:val="none"/>
          <w14:textFill>
            <w14:solidFill>
              <w14:schemeClr w14:val="tx1"/>
            </w14:solidFill>
          </w14:textFill>
        </w:rPr>
        <w:t>园区污水管网，最终进入</w:t>
      </w:r>
      <w:r>
        <w:rPr>
          <w:rFonts w:hint="eastAsia"/>
          <w:color w:val="000000" w:themeColor="text1"/>
          <w:highlight w:val="none"/>
          <w:lang w:val="en-US" w:eastAsia="zh-CN"/>
          <w14:textFill>
            <w14:solidFill>
              <w14:schemeClr w14:val="tx1"/>
            </w14:solidFill>
          </w14:textFill>
        </w:rPr>
        <w:t>园区污水</w:t>
      </w:r>
      <w:r>
        <w:rPr>
          <w:rFonts w:hint="eastAsia"/>
          <w:color w:val="000000" w:themeColor="text1"/>
          <w:highlight w:val="none"/>
          <w14:textFill>
            <w14:solidFill>
              <w14:schemeClr w14:val="tx1"/>
            </w14:solidFill>
          </w14:textFill>
        </w:rPr>
        <w:t>处理厂处理。</w:t>
      </w:r>
    </w:p>
    <w:p w14:paraId="0A60EFB2">
      <w:pPr>
        <w:pStyle w:val="4"/>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供电</w:t>
      </w:r>
    </w:p>
    <w:p w14:paraId="14043492">
      <w:pPr>
        <w:ind w:firstLine="48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园区供电为</w:t>
      </w:r>
      <w:r>
        <w:rPr>
          <w:rFonts w:hint="eastAsia"/>
          <w:color w:val="000000" w:themeColor="text1"/>
          <w:highlight w:val="none"/>
          <w:lang w:val="en-US" w:eastAsia="zh-CN"/>
          <w14:textFill>
            <w14:solidFill>
              <w14:schemeClr w14:val="tx1"/>
            </w14:solidFill>
          </w14:textFill>
        </w:rPr>
        <w:t>园区电网</w:t>
      </w:r>
      <w:r>
        <w:rPr>
          <w:rFonts w:hint="default"/>
          <w:color w:val="000000" w:themeColor="text1"/>
          <w:highlight w:val="none"/>
          <w:lang w:val="en-US" w:eastAsia="zh-CN"/>
          <w14:textFill>
            <w14:solidFill>
              <w14:schemeClr w14:val="tx1"/>
            </w14:solidFill>
          </w14:textFill>
        </w:rPr>
        <w:t>供应，</w:t>
      </w:r>
      <w:r>
        <w:rPr>
          <w:rFonts w:hint="eastAsia"/>
          <w:color w:val="000000" w:themeColor="text1"/>
          <w:highlight w:val="none"/>
          <w:lang w:val="en-US" w:eastAsia="zh-CN"/>
          <w14:textFill>
            <w14:solidFill>
              <w14:schemeClr w14:val="tx1"/>
            </w14:solidFill>
          </w14:textFill>
        </w:rPr>
        <w:t>本项目用电从厂区南侧现有380KV变压器接入，</w:t>
      </w:r>
      <w:r>
        <w:rPr>
          <w:rFonts w:hint="default"/>
          <w:color w:val="000000" w:themeColor="text1"/>
          <w:highlight w:val="none"/>
          <w:lang w:val="en-US" w:eastAsia="zh-CN"/>
          <w14:textFill>
            <w14:solidFill>
              <w14:schemeClr w14:val="tx1"/>
            </w14:solidFill>
          </w14:textFill>
        </w:rPr>
        <w:t>能满足本项目的用电需要</w:t>
      </w:r>
      <w:r>
        <w:rPr>
          <w:rFonts w:hint="eastAsia"/>
          <w:color w:val="000000" w:themeColor="text1"/>
          <w:highlight w:val="none"/>
          <w:lang w:val="en-US" w:eastAsia="zh-CN"/>
          <w14:textFill>
            <w14:solidFill>
              <w14:schemeClr w14:val="tx1"/>
            </w14:solidFill>
          </w14:textFill>
        </w:rPr>
        <w:t>。</w:t>
      </w:r>
    </w:p>
    <w:p w14:paraId="707F445A">
      <w:pPr>
        <w:pStyle w:val="4"/>
        <w:rPr>
          <w:color w:val="000000" w:themeColor="text1"/>
          <w:highlight w:val="none"/>
          <w14:textFill>
            <w14:solidFill>
              <w14:schemeClr w14:val="tx1"/>
            </w14:solidFill>
          </w14:textFill>
        </w:rPr>
      </w:pPr>
      <w:bookmarkStart w:id="621" w:name="_Toc28550"/>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.4供热</w:t>
      </w:r>
      <w:bookmarkEnd w:id="621"/>
    </w:p>
    <w:p w14:paraId="02173EE5">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本项目生产过程</w:t>
      </w:r>
      <w:r>
        <w:rPr>
          <w:rFonts w:hint="eastAsia"/>
          <w:color w:val="000000" w:themeColor="text1"/>
          <w:highlight w:val="none"/>
          <w14:textFill>
            <w14:solidFill>
              <w14:schemeClr w14:val="tx1"/>
            </w14:solidFill>
          </w14:textFill>
        </w:rPr>
        <w:t>用热采用</w:t>
      </w:r>
      <w:r>
        <w:rPr>
          <w:rFonts w:hint="eastAsia"/>
          <w:color w:val="000000" w:themeColor="text1"/>
          <w:highlight w:val="none"/>
          <w:lang w:val="en-US" w:eastAsia="zh-CN"/>
          <w14:textFill>
            <w14:solidFill>
              <w14:schemeClr w14:val="tx1"/>
            </w14:solidFill>
          </w14:textFill>
        </w:rPr>
        <w:t>电加热，冬季不生产，值班人员采用电采暖</w:t>
      </w:r>
      <w:r>
        <w:rPr>
          <w:rFonts w:hint="eastAsia"/>
          <w:color w:val="000000" w:themeColor="text1"/>
          <w:highlight w:val="none"/>
          <w14:textFill>
            <w14:solidFill>
              <w14:schemeClr w14:val="tx1"/>
            </w14:solidFill>
          </w14:textFill>
        </w:rPr>
        <w:t>。</w:t>
      </w:r>
    </w:p>
    <w:p w14:paraId="61390503">
      <w:pPr>
        <w:pStyle w:val="3"/>
        <w:bidi w:val="0"/>
        <w:rPr>
          <w:color w:val="000000" w:themeColor="text1"/>
          <w:highlight w:val="none"/>
          <w14:textFill>
            <w14:solidFill>
              <w14:schemeClr w14:val="tx1"/>
            </w14:solidFill>
          </w14:textFill>
        </w:rPr>
      </w:pPr>
      <w:bookmarkStart w:id="622" w:name="_Toc9552"/>
      <w:bookmarkStart w:id="623" w:name="_Toc3591"/>
      <w:bookmarkStart w:id="624" w:name="_Toc11616"/>
      <w:bookmarkStart w:id="625" w:name="_Toc11109"/>
      <w:bookmarkStart w:id="626" w:name="_Toc25398"/>
      <w:bookmarkStart w:id="627" w:name="_Toc9211"/>
      <w:bookmarkStart w:id="628" w:name="_Toc30472"/>
      <w:bookmarkStart w:id="629" w:name="_Toc4908"/>
      <w:bookmarkStart w:id="630" w:name="_Toc662"/>
      <w:bookmarkStart w:id="631" w:name="_Toc32056"/>
      <w:bookmarkStart w:id="632" w:name="_Toc19376"/>
      <w:bookmarkStart w:id="633" w:name="_Toc31801"/>
      <w:bookmarkStart w:id="634" w:name="_Toc26358"/>
      <w:bookmarkStart w:id="635" w:name="_Toc26168"/>
      <w:bookmarkStart w:id="636" w:name="_Toc14576"/>
      <w:bookmarkStart w:id="637" w:name="_Toc30700"/>
      <w:bookmarkStart w:id="638" w:name="_Toc14706"/>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平面布置</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54446276">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本项目在已有厂区内建设，项目具体布局按生产工艺及当地的气候条件进行合理布平面布置</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厂区内道路根据工艺要求和具体实际需要而建设。能够满足生产工艺的要求，保证生产作业线连续、线路短捷、运输顺畅、行人方便。建筑物的总平面布置按照节能设计规范要求进行。竖向布置</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结合地形，合理确定标高，满足生产和运输要求。根据工艺流程和厂区地形，合理确定厂区排水系统及排水方式，充分考虑利用地形，合理确定道路的坡度和标高，使厂内外道路衔接。</w:t>
      </w:r>
    </w:p>
    <w:p w14:paraId="5A995F0C">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区生产线布置于生产车间北侧，项目生产线采取人、物分流措施，物料出入口位于车间北侧，人流出入口位于车间北侧西面，方便物料输送。东面为减水剂生产线，西面为硫酸铝、速凝剂生产线，库房布置于车间南侧，东面为原料库房，西面为产品库房，废气处理设施位于车间西侧，硫酸储罐位于车间西侧单独的硫酸罐区，危废贮存库位于硫酸罐区南侧，</w:t>
      </w:r>
      <w:r>
        <w:rPr>
          <w:rFonts w:hint="default"/>
          <w:color w:val="000000" w:themeColor="text1"/>
          <w:highlight w:val="none"/>
          <w:lang w:val="en-US" w:eastAsia="zh-CN"/>
          <w14:textFill>
            <w14:solidFill>
              <w14:schemeClr w14:val="tx1"/>
            </w14:solidFill>
          </w14:textFill>
        </w:rPr>
        <w:t>各生产环节连接紧凑，物料运输距离短，便于节能降耗，减少物料损失，提高生产效率。</w:t>
      </w:r>
      <w:r>
        <w:rPr>
          <w:rFonts w:hint="eastAsia"/>
          <w:color w:val="000000" w:themeColor="text1"/>
          <w:highlight w:val="none"/>
          <w:lang w:val="en-US" w:eastAsia="zh-CN"/>
          <w14:textFill>
            <w14:solidFill>
              <w14:schemeClr w14:val="tx1"/>
            </w14:solidFill>
          </w14:textFill>
        </w:rPr>
        <w:t>项目厂房为租赁，不在新增绿化区域，项目平面布置图见图3.5-1。</w:t>
      </w:r>
    </w:p>
    <w:p w14:paraId="2BEF3FDB">
      <w:pPr>
        <w:pStyle w:val="3"/>
        <w:bidi w:val="0"/>
        <w:rPr>
          <w:rFonts w:hint="default"/>
          <w:color w:val="000000" w:themeColor="text1"/>
          <w:highlight w:val="none"/>
          <w:lang w:val="en-US" w:eastAsia="zh-CN"/>
          <w14:textFill>
            <w14:solidFill>
              <w14:schemeClr w14:val="tx1"/>
            </w14:solidFill>
          </w14:textFill>
        </w:rPr>
      </w:pPr>
      <w:bookmarkStart w:id="639" w:name="_Toc16353"/>
      <w:bookmarkStart w:id="640" w:name="_Toc23458"/>
      <w:bookmarkStart w:id="641" w:name="_Toc25677"/>
      <w:r>
        <w:rPr>
          <w:rFonts w:hint="eastAsia"/>
          <w:color w:val="000000" w:themeColor="text1"/>
          <w:highlight w:val="none"/>
          <w:lang w:val="en-US" w:eastAsia="zh-CN"/>
          <w14:textFill>
            <w14:solidFill>
              <w14:schemeClr w14:val="tx1"/>
            </w14:solidFill>
          </w14:textFill>
        </w:rPr>
        <w:t>3.6</w:t>
      </w:r>
      <w:r>
        <w:rPr>
          <w:color w:val="000000" w:themeColor="text1"/>
          <w:highlight w:val="none"/>
          <w14:textFill>
            <w14:solidFill>
              <w14:schemeClr w14:val="tx1"/>
            </w14:solidFill>
          </w14:textFill>
        </w:rPr>
        <w:t>工艺流程及产污环节</w:t>
      </w:r>
      <w:bookmarkEnd w:id="639"/>
      <w:bookmarkEnd w:id="640"/>
      <w:bookmarkEnd w:id="641"/>
    </w:p>
    <w:p w14:paraId="6D43C39F">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3.6.1</w:t>
      </w:r>
      <w:r>
        <w:rPr>
          <w:rFonts w:hint="eastAsia"/>
          <w:color w:val="000000" w:themeColor="text1"/>
          <w:highlight w:val="none"/>
          <w14:textFill>
            <w14:solidFill>
              <w14:schemeClr w14:val="tx1"/>
            </w14:solidFill>
          </w14:textFill>
        </w:rPr>
        <w:t>施工期</w:t>
      </w:r>
      <w:r>
        <w:rPr>
          <w:color w:val="000000" w:themeColor="text1"/>
          <w:highlight w:val="none"/>
          <w14:textFill>
            <w14:solidFill>
              <w14:schemeClr w14:val="tx1"/>
            </w14:solidFill>
          </w14:textFill>
        </w:rPr>
        <w:t>工艺流程及产污环节</w:t>
      </w:r>
    </w:p>
    <w:p w14:paraId="41FA877E">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3.6.1施工期主要内容</w:t>
      </w:r>
    </w:p>
    <w:p w14:paraId="3986D525">
      <w:pPr>
        <w:wordWrap w:val="0"/>
        <w:overflowPunct w:val="0"/>
        <w:bidi w:val="0"/>
        <w:spacing w:line="360" w:lineRule="auto"/>
        <w:ind w:firstLine="480" w:firstLineChars="200"/>
        <w:rPr>
          <w:color w:val="000000" w:themeColor="text1"/>
          <w:highlight w:val="none"/>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本项目不新增土建工程，施工内容主要为原有生产线拆除、设备清运及新设备安装调试</w:t>
      </w:r>
      <w:r>
        <w:rPr>
          <w:rFonts w:hint="eastAsia"/>
          <w:color w:val="000000" w:themeColor="text1"/>
          <w:highlight w:val="none"/>
          <w:lang w:eastAsia="zh-CN"/>
          <w14:textFill>
            <w14:solidFill>
              <w14:schemeClr w14:val="tx1"/>
            </w14:solidFill>
          </w14:textFill>
        </w:rPr>
        <w:t>。</w:t>
      </w:r>
    </w:p>
    <w:p w14:paraId="09EBD6D2">
      <w:pPr>
        <w:pStyle w:val="5"/>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3.6.1.2施工期产排污环节</w:t>
      </w:r>
    </w:p>
    <w:p w14:paraId="6A1AAF3D">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项目在施工期间</w:t>
      </w:r>
      <w:r>
        <w:rPr>
          <w:color w:val="000000" w:themeColor="text1"/>
          <w:highlight w:val="none"/>
          <w14:textFill>
            <w14:solidFill>
              <w14:schemeClr w14:val="tx1"/>
            </w14:solidFill>
          </w14:textFill>
        </w:rPr>
        <w:t>不可避免的产生废气、废水、噪声、固废等。</w:t>
      </w:r>
    </w:p>
    <w:p w14:paraId="79AA8D87">
      <w:pPr>
        <w:ind w:firstLine="480"/>
        <w:outlineLvl w:val="2"/>
        <w:rPr>
          <w:color w:val="000000" w:themeColor="text1"/>
          <w:highlight w:val="none"/>
          <w14:textFill>
            <w14:solidFill>
              <w14:schemeClr w14:val="tx1"/>
            </w14:solidFill>
          </w14:textFill>
        </w:rPr>
      </w:pPr>
      <w:bookmarkStart w:id="642" w:name="_Toc26675"/>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水环境的影响</w:t>
      </w:r>
      <w:bookmarkEnd w:id="642"/>
    </w:p>
    <w:p w14:paraId="06BBBFA2">
      <w:pPr>
        <w:ind w:firstLine="480"/>
        <w:outlineLvl w:val="2"/>
        <w:rPr>
          <w:color w:val="000000" w:themeColor="text1"/>
          <w:highlight w:val="none"/>
          <w14:textFill>
            <w14:solidFill>
              <w14:schemeClr w14:val="tx1"/>
            </w14:solidFill>
          </w14:textFill>
        </w:rPr>
      </w:pPr>
      <w:bookmarkStart w:id="643" w:name="_Toc24585"/>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租赁厂房，</w:t>
      </w:r>
      <w:r>
        <w:rPr>
          <w:color w:val="000000" w:themeColor="text1"/>
          <w:highlight w:val="none"/>
          <w14:textFill>
            <w14:solidFill>
              <w14:schemeClr w14:val="tx1"/>
            </w14:solidFill>
          </w14:textFill>
        </w:rPr>
        <w:t>施工内容主要为</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设备清运及新设备安装调试</w:t>
      </w: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原有生产线拆除。施工期废水主要为施工人员生活污水，拆除作业基本不产生施工生产废水。施工人员生活污水依托厂区现有污水管网收集处置；</w:t>
      </w:r>
      <w:r>
        <w:rPr>
          <w:rFonts w:hint="eastAsia"/>
          <w:color w:val="000000" w:themeColor="text1"/>
          <w:highlight w:val="none"/>
          <w:lang w:val="en-US" w:eastAsia="zh-CN"/>
          <w14:textFill>
            <w14:solidFill>
              <w14:schemeClr w14:val="tx1"/>
            </w14:solidFill>
          </w14:textFill>
        </w:rPr>
        <w:t>施工</w:t>
      </w:r>
      <w:r>
        <w:rPr>
          <w:color w:val="000000" w:themeColor="text1"/>
          <w:highlight w:val="none"/>
          <w14:textFill>
            <w14:solidFill>
              <w14:schemeClr w14:val="tx1"/>
            </w14:solidFill>
          </w14:textFill>
        </w:rPr>
        <w:t>作业场地产生少量</w:t>
      </w:r>
      <w:r>
        <w:rPr>
          <w:rFonts w:hint="eastAsia"/>
          <w:color w:val="000000" w:themeColor="text1"/>
          <w:highlight w:val="none"/>
          <w:lang w:val="en-US" w:eastAsia="zh-CN"/>
          <w14:textFill>
            <w14:solidFill>
              <w14:schemeClr w14:val="tx1"/>
            </w14:solidFill>
          </w14:textFill>
        </w:rPr>
        <w:t>设备、车辆</w:t>
      </w:r>
      <w:r>
        <w:rPr>
          <w:color w:val="000000" w:themeColor="text1"/>
          <w:highlight w:val="none"/>
          <w14:textFill>
            <w14:solidFill>
              <w14:schemeClr w14:val="tx1"/>
            </w14:solidFill>
          </w14:textFill>
        </w:rPr>
        <w:t>冲洗废水，在厂区设置临时沉淀池，经沉淀处理后全部回用至场地洒水抑尘，不外排。</w:t>
      </w:r>
    </w:p>
    <w:p w14:paraId="25387DDB">
      <w:pPr>
        <w:ind w:firstLine="480"/>
        <w:outlineLvl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对环境空气的影响</w:t>
      </w:r>
      <w:bookmarkEnd w:id="643"/>
    </w:p>
    <w:p w14:paraId="2F9548C1">
      <w:pPr>
        <w:ind w:firstLine="480"/>
        <w:outlineLvl w:val="2"/>
        <w:rPr>
          <w:rFonts w:ascii="Times New Roman" w:hAnsi="Times New Roman" w:eastAsia="宋体" w:cs="Times New Roman"/>
          <w:color w:val="000000" w:themeColor="text1"/>
          <w:sz w:val="24"/>
          <w:szCs w:val="24"/>
          <w:highlight w:val="none"/>
          <w14:textFill>
            <w14:solidFill>
              <w14:schemeClr w14:val="tx1"/>
            </w14:solidFill>
          </w14:textFill>
        </w:rPr>
      </w:pPr>
      <w:bookmarkStart w:id="644" w:name="_Toc15103"/>
      <w:r>
        <w:rPr>
          <w:color w:val="000000" w:themeColor="text1"/>
          <w:highlight w:val="none"/>
          <w14:textFill>
            <w14:solidFill>
              <w14:schemeClr w14:val="tx1"/>
            </w14:solidFill>
          </w14:textFill>
        </w:rPr>
        <w:t>施工期废气主要来源为</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产生的少量粉尘、物料运输车辆扬尘及机动车尾气。</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拆除作业过程中会产生短时粉尘；</w:t>
      </w:r>
      <w:r>
        <w:rPr>
          <w:rFonts w:hint="eastAsia"/>
          <w:color w:val="000000" w:themeColor="text1"/>
          <w:highlight w:val="none"/>
          <w:lang w:val="en-US" w:eastAsia="zh-CN"/>
          <w14:textFill>
            <w14:solidFill>
              <w14:schemeClr w14:val="tx1"/>
            </w14:solidFill>
          </w14:textFill>
        </w:rPr>
        <w:t>基础施工材料、新增设备</w:t>
      </w:r>
      <w:r>
        <w:rPr>
          <w:color w:val="000000" w:themeColor="text1"/>
          <w:highlight w:val="none"/>
          <w14:textFill>
            <w14:solidFill>
              <w14:schemeClr w14:val="tx1"/>
            </w14:solidFill>
          </w14:textFill>
        </w:rPr>
        <w:t>、拆除构件运输车辆行驶易引发道路二次扬尘，扬尘影响程度与车辆行驶速度、风速、路面积尘量、路面湿度相关，风速直接影响扬尘扩散距离。</w:t>
      </w:r>
    </w:p>
    <w:p w14:paraId="68C8DA97">
      <w:pPr>
        <w:ind w:firstLine="480"/>
        <w:outlineLvl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对声环境的影响</w:t>
      </w:r>
      <w:bookmarkEnd w:id="644"/>
    </w:p>
    <w:p w14:paraId="366558D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施工期施工机械噪声及建筑材料运输车辆产生的交通噪声将对施工场地周围地区的声环境质量产生不利影响。</w:t>
      </w:r>
    </w:p>
    <w:p w14:paraId="077A9BC6">
      <w:pPr>
        <w:ind w:firstLine="480"/>
        <w:outlineLvl w:val="2"/>
        <w:rPr>
          <w:color w:val="000000" w:themeColor="text1"/>
          <w:highlight w:val="none"/>
          <w14:textFill>
            <w14:solidFill>
              <w14:schemeClr w14:val="tx1"/>
            </w14:solidFill>
          </w14:textFill>
        </w:rPr>
      </w:pPr>
      <w:bookmarkStart w:id="645" w:name="_Toc19311"/>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固体废物对环境的影响</w:t>
      </w:r>
      <w:bookmarkEnd w:id="645"/>
    </w:p>
    <w:p w14:paraId="5D92CBD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施工期产生的固体废物主要为建筑垃圾、生活垃圾，若处理不当，将对周围环境产生不利影响。</w:t>
      </w:r>
    </w:p>
    <w:p w14:paraId="5039D5FF">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3.6.2运营期</w:t>
      </w:r>
      <w:r>
        <w:rPr>
          <w:color w:val="000000" w:themeColor="text1"/>
          <w:highlight w:val="none"/>
          <w14:textFill>
            <w14:solidFill>
              <w14:schemeClr w14:val="tx1"/>
            </w14:solidFill>
          </w14:textFill>
        </w:rPr>
        <w:t>工艺流程及</w:t>
      </w:r>
      <w:r>
        <w:rPr>
          <w:rFonts w:hint="eastAsia"/>
          <w:color w:val="000000" w:themeColor="text1"/>
          <w:highlight w:val="none"/>
          <w:lang w:val="en-US" w:eastAsia="zh-CN"/>
          <w14:textFill>
            <w14:solidFill>
              <w14:schemeClr w14:val="tx1"/>
            </w14:solidFill>
          </w14:textFill>
        </w:rPr>
        <w:t>产排污环节</w:t>
      </w:r>
    </w:p>
    <w:p w14:paraId="64851C02">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3.6.2.1工艺流程</w:t>
      </w:r>
    </w:p>
    <w:p w14:paraId="7F06C2C2">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（1）减水剂工艺流程 </w:t>
      </w:r>
    </w:p>
    <w:p w14:paraId="25233A9D">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本项目直接利用聚醚单体（烯丙基聚氧乙烯醚溶液等）、丙烯酸等不饱和酸及其衍生物，发生自由基聚合生成的高分子有机聚合物，通过片碱中和形成的一种聚羧酸盐表面活性剂。 </w:t>
      </w:r>
    </w:p>
    <w:p w14:paraId="68D01576">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生产流程主要包括主料配置、辅料配制、聚合、中和、成品复配5个步骤。</w:t>
      </w:r>
    </w:p>
    <w:p w14:paraId="238871BC">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1）主料配制</w:t>
      </w:r>
    </w:p>
    <w:p w14:paraId="40889F1B">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按照配方将纯水、聚醚大单体(片状固态聚醚大单体原料直接人工投加进反应釜内，配制成浓度约60%的水溶液)计量加入反应釜，计量完成后开启混合搅拌。</w:t>
      </w:r>
    </w:p>
    <w:p w14:paraId="4018CA2A">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产污分析：该过程会产生固体粉料投料粉尘G1-1、原料的废包装S1-1和噪声N。</w:t>
      </w:r>
    </w:p>
    <w:p w14:paraId="7D408518">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2）辅料配制(A/B料)</w:t>
      </w:r>
    </w:p>
    <w:p w14:paraId="5E90CE7F">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配制A料(过硫酸铵（固态）、</w:t>
      </w:r>
      <w:r>
        <w:rPr>
          <w:rFonts w:hint="default" w:cs="Times New Roman"/>
          <w:color w:val="000000" w:themeColor="text1"/>
          <w:highlight w:val="none"/>
          <w:lang w:val="en-US" w:eastAsia="zh-CN"/>
          <w14:textFill>
            <w14:solidFill>
              <w14:schemeClr w14:val="tx1"/>
            </w14:solidFill>
          </w14:textFill>
        </w:rPr>
        <w:t>巯基丙酸</w:t>
      </w:r>
      <w:r>
        <w:rPr>
          <w:rFonts w:hint="eastAsia" w:cs="Times New Roman"/>
          <w:color w:val="000000" w:themeColor="text1"/>
          <w:highlight w:val="none"/>
          <w:lang w:val="en-US" w:eastAsia="zh-CN"/>
          <w14:textFill>
            <w14:solidFill>
              <w14:schemeClr w14:val="tx1"/>
            </w14:solidFill>
          </w14:textFill>
        </w:rPr>
        <w:t>（液态）</w:t>
      </w:r>
      <w:r>
        <w:rPr>
          <w:rFonts w:hint="eastAsia"/>
          <w:color w:val="000000" w:themeColor="text1"/>
          <w:highlight w:val="none"/>
          <w:lang w:val="en-US" w:eastAsia="zh-CN"/>
          <w14:textFill>
            <w14:solidFill>
              <w14:schemeClr w14:val="tx1"/>
            </w14:solidFill>
          </w14:textFill>
        </w:rPr>
        <w:t>)，按照配方将纯水计量加入A料配料釜，过硫酸铵和</w:t>
      </w:r>
      <w:r>
        <w:rPr>
          <w:rFonts w:hint="default" w:cs="Times New Roman"/>
          <w:color w:val="000000" w:themeColor="text1"/>
          <w:highlight w:val="none"/>
          <w:lang w:val="en-US" w:eastAsia="zh-CN"/>
          <w14:textFill>
            <w14:solidFill>
              <w14:schemeClr w14:val="tx1"/>
            </w14:solidFill>
          </w14:textFill>
        </w:rPr>
        <w:t>巯基丙酸</w:t>
      </w:r>
      <w:r>
        <w:rPr>
          <w:rFonts w:hint="eastAsia"/>
          <w:color w:val="000000" w:themeColor="text1"/>
          <w:highlight w:val="none"/>
          <w:lang w:val="en-US" w:eastAsia="zh-CN"/>
          <w14:textFill>
            <w14:solidFill>
              <w14:schemeClr w14:val="tx1"/>
            </w14:solidFill>
          </w14:textFill>
        </w:rPr>
        <w:t>按比例计量后叉车转移至钢结构操作台开盖加料(加料完成后加料口关闭)，开启搅拌器搅拌15min至均化后停止搅拌得到5%左右的A溶液。然后将A液经输送泵输送至A液高位滴加罐待用，等待时间严格控制在2h以内。</w:t>
      </w:r>
    </w:p>
    <w:p w14:paraId="22F044FA">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配制B料(丙烯酸（液态），维C（固态）)，按照配方将纯水计量加入B料配料釜，维C(还原剂)按比例计量后叉车转移至钢结构操作台开盖加料(加料完成后加料口关闭)，加料完成后继续搅拌15min至均化后停止搅拌得到5%左右的B料。然后将B料经输送泵输送至B料高位滴加罐待用，等待时间严格控制在2h以内。</w:t>
      </w:r>
    </w:p>
    <w:p w14:paraId="57D7612A">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备注:配制A料、配制B料可同步进行，配制时间约0.5h，配制完成后2h内进行滴加。</w:t>
      </w:r>
    </w:p>
    <w:p w14:paraId="21D8EFFB">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产污分析：</w:t>
      </w:r>
      <w:r>
        <w:rPr>
          <w:rFonts w:hint="default"/>
          <w:color w:val="000000" w:themeColor="text1"/>
          <w:highlight w:val="none"/>
          <w:lang w:val="en-US" w:eastAsia="zh-CN"/>
          <w14:textFill>
            <w14:solidFill>
              <w14:schemeClr w14:val="tx1"/>
            </w14:solidFill>
          </w14:textFill>
        </w:rPr>
        <w:t>该过程会产生固体粉料投料粉尘</w:t>
      </w:r>
      <w:r>
        <w:rPr>
          <w:rFonts w:hint="eastAsia"/>
          <w:color w:val="000000" w:themeColor="text1"/>
          <w:highlight w:val="none"/>
          <w:lang w:val="en-US" w:eastAsia="zh-CN"/>
          <w14:textFill>
            <w14:solidFill>
              <w14:schemeClr w14:val="tx1"/>
            </w14:solidFill>
          </w14:textFill>
        </w:rPr>
        <w:t>G1-1</w:t>
      </w:r>
      <w:r>
        <w:rPr>
          <w:rFonts w:hint="default"/>
          <w:color w:val="000000" w:themeColor="text1"/>
          <w:highlight w:val="none"/>
          <w:lang w:val="en-US" w:eastAsia="zh-CN"/>
          <w14:textFill>
            <w14:solidFill>
              <w14:schemeClr w14:val="tx1"/>
            </w14:solidFill>
          </w14:textFill>
        </w:rPr>
        <w:t>、原料废包装</w:t>
      </w:r>
      <w:r>
        <w:rPr>
          <w:rFonts w:hint="eastAsia"/>
          <w:color w:val="000000" w:themeColor="text1"/>
          <w:highlight w:val="none"/>
          <w:lang w:val="en-US" w:eastAsia="zh-CN"/>
          <w14:textFill>
            <w14:solidFill>
              <w14:schemeClr w14:val="tx1"/>
            </w14:solidFill>
          </w14:textFill>
        </w:rPr>
        <w:t>S1-1</w:t>
      </w:r>
      <w:r>
        <w:rPr>
          <w:rFonts w:hint="default"/>
          <w:color w:val="000000" w:themeColor="text1"/>
          <w:highlight w:val="none"/>
          <w:lang w:val="en-US" w:eastAsia="zh-CN"/>
          <w14:textFill>
            <w14:solidFill>
              <w14:schemeClr w14:val="tx1"/>
            </w14:solidFill>
          </w14:textFill>
        </w:rPr>
        <w:t>和噪声N</w:t>
      </w:r>
      <w:r>
        <w:rPr>
          <w:rFonts w:hint="eastAsia"/>
          <w:color w:val="000000" w:themeColor="text1"/>
          <w:highlight w:val="none"/>
          <w:lang w:val="en-US" w:eastAsia="zh-CN"/>
          <w14:textFill>
            <w14:solidFill>
              <w14:schemeClr w14:val="tx1"/>
            </w14:solidFill>
          </w14:textFill>
        </w:rPr>
        <w:t>。</w:t>
      </w:r>
    </w:p>
    <w:p w14:paraId="372BB296">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3）聚合反应</w:t>
      </w:r>
    </w:p>
    <w:p w14:paraId="61A830DA">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主料准备完成后，A、B料经计量泵和反应釜进料管滴加。滴加过程中需设定A、B料滴加时间，通过调节阀调节滴加流速进行准确滴加，滴加过程中通过设定的滴加时间与A、B料高位料槽中物料的量，持续计算调节控制调节阀的开度，使物料的滴加过程保持均匀稳定。</w:t>
      </w:r>
    </w:p>
    <w:p w14:paraId="53454DE3">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聚合反应在常压下进行，反应过程为放热反应，自然维持温度40℃，完成一个釜次的A料和B料滴加约需1.5h。A、B料滴加完成后保温继续搅拌反应1h至系统残留的物料完全反应。</w:t>
      </w:r>
    </w:p>
    <w:p w14:paraId="659314CC">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共聚合是指两种或两种以上单体经相互反应而连接成高聚物大分子共聚产物的聚合反应，共聚物结构中含有两种或两种以上单体单元。通过共聚不仅可以综合参与共聚反应各单体的性能特点，有目的地合成出有特定性能的共聚物，增加聚合物的品种，使聚合物的机械强度、弹性、塑性、柔性、玻璃化温度、塑化温度、熔点、溶解性能、染色性能、表面性能、抗老化性能等发生改变。聚合反应包括:链引发、链增长、链终止和链转移四个基元反应。反应式如下：</w:t>
      </w:r>
    </w:p>
    <w:p w14:paraId="13217689">
      <w:pPr>
        <w:bidi w:val="0"/>
        <w:ind w:left="0" w:leftChars="0"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drawing>
          <wp:inline distT="0" distB="0" distL="114300" distR="114300">
            <wp:extent cx="1991360" cy="312420"/>
            <wp:effectExtent l="0" t="0" r="2540" b="5080"/>
            <wp:docPr id="14" name="图片 14" descr="ScreenShot_2026-09-12_192541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ScreenShot_2026-09-12_192541_043"/>
                    <pic:cNvPicPr>
                      <a:picLocks noChangeAspect="1"/>
                    </pic:cNvPicPr>
                  </pic:nvPicPr>
                  <pic:blipFill>
                    <a:blip r:embed="rId9"/>
                    <a:stretch>
                      <a:fillRect/>
                    </a:stretch>
                  </pic:blipFill>
                  <pic:spPr>
                    <a:xfrm>
                      <a:off x="0" y="0"/>
                      <a:ext cx="1991360" cy="312420"/>
                    </a:xfrm>
                    <a:prstGeom prst="rect">
                      <a:avLst/>
                    </a:prstGeom>
                  </pic:spPr>
                </pic:pic>
              </a:graphicData>
            </a:graphic>
          </wp:inline>
        </w:drawing>
      </w:r>
    </w:p>
    <w:p w14:paraId="5E770C3F">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I：表示引发剂分析，首先分解为初级自由基R*，初级自由基R*进攻单体分子M，生产单体自由基MR*，引发剂的初级自由基R*和单体自由基结合后最终存在于聚合物分子的末端。</w:t>
      </w:r>
    </w:p>
    <w:p w14:paraId="7366F082">
      <w:pPr>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drawing>
          <wp:inline distT="0" distB="0" distL="114300" distR="114300">
            <wp:extent cx="3081655" cy="842010"/>
            <wp:effectExtent l="0" t="0" r="4445" b="8890"/>
            <wp:docPr id="26" name="图片 26" descr="ScreenShot_2026-09-12_192549_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ScreenShot_2026-09-12_192549_946"/>
                    <pic:cNvPicPr>
                      <a:picLocks noChangeAspect="1"/>
                    </pic:cNvPicPr>
                  </pic:nvPicPr>
                  <pic:blipFill>
                    <a:blip r:embed="rId10"/>
                    <a:stretch>
                      <a:fillRect/>
                    </a:stretch>
                  </pic:blipFill>
                  <pic:spPr>
                    <a:xfrm>
                      <a:off x="0" y="0"/>
                      <a:ext cx="3081655" cy="842010"/>
                    </a:xfrm>
                    <a:prstGeom prst="rect">
                      <a:avLst/>
                    </a:prstGeom>
                  </pic:spPr>
                </pic:pic>
              </a:graphicData>
            </a:graphic>
          </wp:inline>
        </w:drawing>
      </w:r>
    </w:p>
    <w:p w14:paraId="267A61E5">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单体分子经引发成单体自由基后，立即与其他分子聚合，连锁反应形成长链自由基。</w:t>
      </w:r>
    </w:p>
    <w:p w14:paraId="0623BC71">
      <w:pPr>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drawing>
          <wp:inline distT="0" distB="0" distL="114300" distR="114300">
            <wp:extent cx="2127250" cy="294005"/>
            <wp:effectExtent l="0" t="0" r="6350" b="10795"/>
            <wp:docPr id="27" name="图片 27" descr="ScreenShot_2026-09-12_192557_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ScreenShot_2026-09-12_192557_319"/>
                    <pic:cNvPicPr>
                      <a:picLocks noChangeAspect="1"/>
                    </pic:cNvPicPr>
                  </pic:nvPicPr>
                  <pic:blipFill>
                    <a:blip r:embed="rId11"/>
                    <a:stretch>
                      <a:fillRect/>
                    </a:stretch>
                  </pic:blipFill>
                  <pic:spPr>
                    <a:xfrm>
                      <a:off x="0" y="0"/>
                      <a:ext cx="2127250" cy="294005"/>
                    </a:xfrm>
                    <a:prstGeom prst="rect">
                      <a:avLst/>
                    </a:prstGeom>
                  </pic:spPr>
                </pic:pic>
              </a:graphicData>
            </a:graphic>
          </wp:inline>
        </w:drawing>
      </w:r>
    </w:p>
    <w:p w14:paraId="19C16766">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聚合活性链增长到一定程度失去活性，停止增长。偶合终止的两个自由基相互结合，生成聚合物。</w:t>
      </w:r>
    </w:p>
    <w:p w14:paraId="752E9400">
      <w:pPr>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drawing>
          <wp:inline distT="0" distB="0" distL="114300" distR="114300">
            <wp:extent cx="1788160" cy="295910"/>
            <wp:effectExtent l="0" t="0" r="2540" b="8890"/>
            <wp:docPr id="30" name="图片 30" descr="ScreenShot_2026-09-12_192608_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ScreenShot_2026-09-12_192608_118"/>
                    <pic:cNvPicPr>
                      <a:picLocks noChangeAspect="1"/>
                    </pic:cNvPicPr>
                  </pic:nvPicPr>
                  <pic:blipFill>
                    <a:blip r:embed="rId12"/>
                    <a:stretch>
                      <a:fillRect/>
                    </a:stretch>
                  </pic:blipFill>
                  <pic:spPr>
                    <a:xfrm>
                      <a:off x="0" y="0"/>
                      <a:ext cx="1788160" cy="295910"/>
                    </a:xfrm>
                    <a:prstGeom prst="rect">
                      <a:avLst/>
                    </a:prstGeom>
                  </pic:spPr>
                </pic:pic>
              </a:graphicData>
            </a:graphic>
          </wp:inline>
        </w:drawing>
      </w:r>
    </w:p>
    <w:p w14:paraId="02C400D7">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聚合物项目聚合反应化学方程式如下:</w:t>
      </w:r>
    </w:p>
    <w:p w14:paraId="647B0640">
      <w:pPr>
        <w:bidi w:val="0"/>
        <w:ind w:left="0" w:lef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drawing>
          <wp:inline distT="0" distB="0" distL="114300" distR="114300">
            <wp:extent cx="5270500" cy="1983740"/>
            <wp:effectExtent l="0" t="0" r="0" b="10160"/>
            <wp:docPr id="31" name="图片 31" descr="ScreenShot_2026-09-12_192616_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ScreenShot_2026-09-12_192616_942"/>
                    <pic:cNvPicPr>
                      <a:picLocks noChangeAspect="1"/>
                    </pic:cNvPicPr>
                  </pic:nvPicPr>
                  <pic:blipFill>
                    <a:blip r:embed="rId13"/>
                    <a:stretch>
                      <a:fillRect/>
                    </a:stretch>
                  </pic:blipFill>
                  <pic:spPr>
                    <a:xfrm>
                      <a:off x="0" y="0"/>
                      <a:ext cx="5270500" cy="1983740"/>
                    </a:xfrm>
                    <a:prstGeom prst="rect">
                      <a:avLst/>
                    </a:prstGeom>
                  </pic:spPr>
                </pic:pic>
              </a:graphicData>
            </a:graphic>
          </wp:inline>
        </w:drawing>
      </w:r>
    </w:p>
    <w:p w14:paraId="511BE4B8">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产污分析：聚合过程产生反应釜废气G1-2、原料废包装S1-1和噪声N。</w:t>
      </w:r>
    </w:p>
    <w:p w14:paraId="271E9815">
      <w:pPr>
        <w:numPr>
          <w:ilvl w:val="0"/>
          <w:numId w:val="2"/>
        </w:num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中和</w:t>
      </w:r>
    </w:p>
    <w:p w14:paraId="0B556340">
      <w:pPr>
        <w:numPr>
          <w:ilvl w:val="0"/>
          <w:numId w:val="0"/>
        </w:numPr>
        <w:bidi w:val="0"/>
        <w:ind w:firstLine="480" w:firstLineChars="20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向聚合反应得到的反应液中加入氢氧化钠，一方面为了调节pH值(pH6.5~7)，一方面终止反应，得到减水型母液(分子量15000~25000)。</w:t>
      </w:r>
    </w:p>
    <w:p w14:paraId="66C9966D">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5）成品复配</w:t>
      </w:r>
    </w:p>
    <w:p w14:paraId="70A8EE8A">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将葡萄糖酸钠和纯水预先混合溶解，获得水溶液。葡萄糖酸钠为袋装进厂，暂存于原料仓。使用时通过人工投料的方式，通过复配预混釜上方的投料口投入。母液暂存于母液储罐中，计量好的母液由管道输送至复配釜。将复配预混得到的葡萄糖酸钠溶液和水等倒入复配釜，混合搅拌均匀后</w:t>
      </w:r>
      <w:r>
        <w:rPr>
          <w:rFonts w:hint="default"/>
          <w:color w:val="000000" w:themeColor="text1"/>
          <w:highlight w:val="none"/>
          <w:lang w:val="en-US" w:eastAsia="zh-CN"/>
          <w14:textFill>
            <w14:solidFill>
              <w14:schemeClr w14:val="tx1"/>
            </w14:solidFill>
          </w14:textFill>
        </w:rPr>
        <w:t>常温常压下搅拌30min，物料混合均匀即得到产品-聚羧酸减水剂</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复配生产过程均在常温常压条件下进行。复配结束后取每批生产的成品小样进行检测，需要检测pH、含固量、胶砂减水率和密度等匀质性指标，该四项指标合格即为合格。合格产品待售，不合格产品返回复配阶段调整辅料添加量重新进行复配生产，即根据检验结果重新投加水或其他原料进行混合。</w:t>
      </w:r>
      <w:r>
        <w:rPr>
          <w:rFonts w:hint="eastAsia"/>
          <w:color w:val="000000" w:themeColor="text1"/>
          <w:highlight w:val="none"/>
          <w:lang w:val="en-US" w:eastAsia="zh-CN"/>
          <w14:textFill>
            <w14:solidFill>
              <w14:schemeClr w14:val="tx1"/>
            </w14:solidFill>
          </w14:textFill>
        </w:rPr>
        <w:t>根据客户要求通过加水调整浓度，形成高浓度减水剂（40%）和低浓度减水剂（20%），由罐车运输外售</w:t>
      </w:r>
      <w:r>
        <w:rPr>
          <w:rFonts w:hint="default"/>
          <w:color w:val="000000" w:themeColor="text1"/>
          <w:highlight w:val="none"/>
          <w:lang w:val="en-US" w:eastAsia="zh-CN"/>
          <w14:textFill>
            <w14:solidFill>
              <w14:schemeClr w14:val="tx1"/>
            </w14:solidFill>
          </w14:textFill>
        </w:rPr>
        <w:t>。</w:t>
      </w:r>
    </w:p>
    <w:p w14:paraId="22E58D4F">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该过程会产生固体粉料投料粉尘</w:t>
      </w:r>
      <w:r>
        <w:rPr>
          <w:rFonts w:hint="eastAsia"/>
          <w:color w:val="000000" w:themeColor="text1"/>
          <w:highlight w:val="none"/>
          <w:lang w:val="en-US" w:eastAsia="zh-CN"/>
          <w14:textFill>
            <w14:solidFill>
              <w14:schemeClr w14:val="tx1"/>
            </w14:solidFill>
          </w14:textFill>
        </w:rPr>
        <w:t>G1-3</w:t>
      </w:r>
      <w:r>
        <w:rPr>
          <w:rFonts w:hint="default"/>
          <w:color w:val="000000" w:themeColor="text1"/>
          <w:highlight w:val="none"/>
          <w:lang w:val="en-US" w:eastAsia="zh-CN"/>
          <w14:textFill>
            <w14:solidFill>
              <w14:schemeClr w14:val="tx1"/>
            </w14:solidFill>
          </w14:textFill>
        </w:rPr>
        <w:t>、原料废包装</w:t>
      </w:r>
      <w:r>
        <w:rPr>
          <w:rFonts w:hint="eastAsia"/>
          <w:color w:val="000000" w:themeColor="text1"/>
          <w:highlight w:val="none"/>
          <w:lang w:val="en-US" w:eastAsia="zh-CN"/>
          <w14:textFill>
            <w14:solidFill>
              <w14:schemeClr w14:val="tx1"/>
            </w14:solidFill>
          </w14:textFill>
        </w:rPr>
        <w:t>S1-1</w:t>
      </w:r>
      <w:r>
        <w:rPr>
          <w:rFonts w:hint="default"/>
          <w:color w:val="000000" w:themeColor="text1"/>
          <w:highlight w:val="none"/>
          <w:lang w:val="en-US" w:eastAsia="zh-CN"/>
          <w14:textFill>
            <w14:solidFill>
              <w14:schemeClr w14:val="tx1"/>
            </w14:solidFill>
          </w14:textFill>
        </w:rPr>
        <w:t>和噪声N</w:t>
      </w:r>
      <w:r>
        <w:rPr>
          <w:rFonts w:hint="eastAsia"/>
          <w:color w:val="000000" w:themeColor="text1"/>
          <w:highlight w:val="none"/>
          <w:lang w:val="en-US" w:eastAsia="zh-CN"/>
          <w14:textFill>
            <w14:solidFill>
              <w14:schemeClr w14:val="tx1"/>
            </w14:solidFill>
          </w14:textFill>
        </w:rPr>
        <w:t>。</w:t>
      </w:r>
    </w:p>
    <w:p w14:paraId="0C519DE9">
      <w:pPr>
        <w:bidi w:val="0"/>
        <w:ind w:left="0" w:leftChars="0" w:firstLine="0" w:firstLineChars="0"/>
        <w:jc w:val="center"/>
        <w:rPr>
          <w:rFonts w:hint="eastAsia"/>
          <w:color w:val="000000" w:themeColor="text1"/>
          <w:highlight w:val="none"/>
          <w:lang w:val="en-US" w:eastAsia="zh-CN"/>
          <w14:textFill>
            <w14:solidFill>
              <w14:schemeClr w14:val="tx1"/>
            </w14:solidFill>
          </w14:textFill>
        </w:rPr>
      </w:pPr>
      <w:r>
        <w:rPr>
          <w:rFonts w:hint="eastAsia" w:eastAsia="仿宋"/>
          <w:color w:val="000000" w:themeColor="text1"/>
          <w:highlight w:val="none"/>
          <w:lang w:eastAsia="zh-CN"/>
          <w14:textFill>
            <w14:solidFill>
              <w14:schemeClr w14:val="tx1"/>
            </w14:solidFill>
          </w14:textFill>
        </w:rPr>
        <w:drawing>
          <wp:inline distT="0" distB="0" distL="114300" distR="114300">
            <wp:extent cx="3883025" cy="3633470"/>
            <wp:effectExtent l="0" t="0" r="0" b="0"/>
            <wp:docPr id="32" name="ECB019B1-382A-4266-B25C-5B523AA43C14-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ECB019B1-382A-4266-B25C-5B523AA43C14-1" descr="wps"/>
                    <pic:cNvPicPr>
                      <a:picLocks noChangeAspect="1"/>
                    </pic:cNvPicPr>
                  </pic:nvPicPr>
                  <pic:blipFill>
                    <a:blip r:embed="rId14"/>
                    <a:stretch>
                      <a:fillRect/>
                    </a:stretch>
                  </pic:blipFill>
                  <pic:spPr>
                    <a:xfrm>
                      <a:off x="0" y="0"/>
                      <a:ext cx="3883025" cy="3633470"/>
                    </a:xfrm>
                    <a:prstGeom prst="rect">
                      <a:avLst/>
                    </a:prstGeom>
                  </pic:spPr>
                </pic:pic>
              </a:graphicData>
            </a:graphic>
          </wp:inline>
        </w:drawing>
      </w:r>
    </w:p>
    <w:p w14:paraId="6029FF73">
      <w:pPr>
        <w:pStyle w:val="30"/>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图3.6-1     减水剂生产线工艺流程及产排污环节图</w:t>
      </w:r>
    </w:p>
    <w:p w14:paraId="1A9BF9DA">
      <w:pPr>
        <w:numPr>
          <w:ilvl w:val="0"/>
          <w:numId w:val="3"/>
        </w:num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硫酸铝工艺流程</w:t>
      </w:r>
    </w:p>
    <w:p w14:paraId="7ECE0FB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本项目生产液态硫酸铝，工艺流程主要包括投料拌和、反应控温、冷却出料。</w:t>
      </w:r>
    </w:p>
    <w:p w14:paraId="081C096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1）投料拌合</w:t>
      </w:r>
    </w:p>
    <w:p w14:paraId="0390D5BD">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在反应釜中用计量泵加入新鲜水，启动反应釜搅拌装置，在搅拌过程中，将氢氧化铝加入反应釜，搅拌使得氢氧化铝在水中较为均匀后，用小型计量泵自硫酸储罐抽取后，缓慢加入浓硫酸。</w:t>
      </w:r>
    </w:p>
    <w:p w14:paraId="5EA718B8">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该过程会产生</w:t>
      </w:r>
      <w:r>
        <w:rPr>
          <w:rFonts w:hint="eastAsia"/>
          <w:color w:val="000000" w:themeColor="text1"/>
          <w:highlight w:val="none"/>
          <w:lang w:val="en-US" w:eastAsia="zh-CN"/>
          <w14:textFill>
            <w14:solidFill>
              <w14:schemeClr w14:val="tx1"/>
            </w14:solidFill>
          </w14:textFill>
        </w:rPr>
        <w:t>氢氧化铝添加过程中逸散的少量粉尘G2-1</w:t>
      </w:r>
      <w:r>
        <w:rPr>
          <w:rFonts w:hint="default"/>
          <w:color w:val="000000" w:themeColor="text1"/>
          <w:highlight w:val="none"/>
          <w:lang w:val="en-US" w:eastAsia="zh-CN"/>
          <w14:textFill>
            <w14:solidFill>
              <w14:schemeClr w14:val="tx1"/>
            </w14:solidFill>
          </w14:textFill>
        </w:rPr>
        <w:t>、原料废包装</w:t>
      </w:r>
      <w:r>
        <w:rPr>
          <w:rFonts w:hint="eastAsia"/>
          <w:color w:val="000000" w:themeColor="text1"/>
          <w:highlight w:val="none"/>
          <w:lang w:val="en-US" w:eastAsia="zh-CN"/>
          <w14:textFill>
            <w14:solidFill>
              <w14:schemeClr w14:val="tx1"/>
            </w14:solidFill>
          </w14:textFill>
        </w:rPr>
        <w:t>S2-1</w:t>
      </w:r>
      <w:r>
        <w:rPr>
          <w:rFonts w:hint="default"/>
          <w:color w:val="000000" w:themeColor="text1"/>
          <w:highlight w:val="none"/>
          <w:lang w:val="en-US" w:eastAsia="zh-CN"/>
          <w14:textFill>
            <w14:solidFill>
              <w14:schemeClr w14:val="tx1"/>
            </w14:solidFill>
          </w14:textFill>
        </w:rPr>
        <w:t>和噪声N</w:t>
      </w:r>
      <w:r>
        <w:rPr>
          <w:rFonts w:hint="eastAsia"/>
          <w:color w:val="000000" w:themeColor="text1"/>
          <w:highlight w:val="none"/>
          <w:lang w:val="en-US" w:eastAsia="zh-CN"/>
          <w14:textFill>
            <w14:solidFill>
              <w14:schemeClr w14:val="tx1"/>
            </w14:solidFill>
          </w14:textFill>
        </w:rPr>
        <w:t>。</w:t>
      </w:r>
    </w:p>
    <w:p w14:paraId="3244C873">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2）反应控温</w:t>
      </w:r>
    </w:p>
    <w:p w14:paraId="3FA1FB3D">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采用电加热，控制反应温度在115~120℃在浓硫酸添加完毕后，氢氧化铝和硫酸发生中和反应：</w:t>
      </w:r>
    </w:p>
    <w:p w14:paraId="78A44E24">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2AI(OH)</w:t>
      </w:r>
      <w:r>
        <w:rPr>
          <w:rFonts w:hint="eastAsia"/>
          <w:color w:val="000000" w:themeColor="text1"/>
          <w:highlight w:val="none"/>
          <w:vertAlign w:val="sub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+3H</w:t>
      </w:r>
      <w:r>
        <w:rPr>
          <w:rFonts w:hint="eastAsia"/>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SO</w:t>
      </w:r>
      <w:r>
        <w:rPr>
          <w:rFonts w:hint="eastAsia"/>
          <w:color w:val="000000" w:themeColor="text1"/>
          <w:highlight w:val="none"/>
          <w:vertAlign w:val="subscript"/>
          <w:lang w:val="en-US" w:eastAsia="zh-CN"/>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=Al</w:t>
      </w:r>
      <w:r>
        <w:rPr>
          <w:rFonts w:hint="eastAsia"/>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(SO</w:t>
      </w:r>
      <w:r>
        <w:rPr>
          <w:rFonts w:hint="eastAsia"/>
          <w:color w:val="000000" w:themeColor="text1"/>
          <w:highlight w:val="none"/>
          <w:vertAlign w:val="subscript"/>
          <w:lang w:val="en-US" w:eastAsia="zh-CN"/>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vertAlign w:val="sub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+6H</w:t>
      </w:r>
      <w:r>
        <w:rPr>
          <w:rFonts w:hint="eastAsia"/>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O</w:t>
      </w:r>
    </w:p>
    <w:p w14:paraId="1CF24E8D">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保温2h后，进行检测，经检测反应溶液中无残留、pH值在3，其余各项均符合《工业硫酸铝》（HG/T2225-2018）品质要求。</w:t>
      </w:r>
    </w:p>
    <w:p w14:paraId="3B6F0DD7">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该过程会产生</w:t>
      </w:r>
      <w:r>
        <w:rPr>
          <w:rFonts w:hint="eastAsia"/>
          <w:color w:val="000000" w:themeColor="text1"/>
          <w:highlight w:val="none"/>
          <w:lang w:val="en-US" w:eastAsia="zh-CN"/>
          <w14:textFill>
            <w14:solidFill>
              <w14:schemeClr w14:val="tx1"/>
            </w14:solidFill>
          </w14:textFill>
        </w:rPr>
        <w:t>反应过程逸散的少量硫酸雾G2-2。</w:t>
      </w:r>
    </w:p>
    <w:p w14:paraId="1651C2A2">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3）冷却出料</w:t>
      </w:r>
    </w:p>
    <w:p w14:paraId="30B2277F">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采用冷冻循环冷却水系统（反应釜内设盘管进行间接冷却）对反应釜进行降温至常温后出料。</w:t>
      </w:r>
    </w:p>
    <w:p w14:paraId="1F4EBBA4">
      <w:pPr>
        <w:bidi w:val="0"/>
        <w:ind w:left="0" w:leftChars="0"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drawing>
          <wp:inline distT="0" distB="0" distL="114300" distR="114300">
            <wp:extent cx="3556635" cy="3145790"/>
            <wp:effectExtent l="0" t="0" r="0" b="0"/>
            <wp:docPr id="6" name="图片 6" descr="未命名文件(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未命名文件(6)"/>
                    <pic:cNvPicPr>
                      <a:picLocks noChangeAspect="1"/>
                    </pic:cNvPicPr>
                  </pic:nvPicPr>
                  <pic:blipFill>
                    <a:blip r:embed="rId15"/>
                    <a:srcRect t="4355" b="4226"/>
                    <a:stretch>
                      <a:fillRect/>
                    </a:stretch>
                  </pic:blipFill>
                  <pic:spPr>
                    <a:xfrm>
                      <a:off x="0" y="0"/>
                      <a:ext cx="3556635" cy="3145790"/>
                    </a:xfrm>
                    <a:prstGeom prst="rect">
                      <a:avLst/>
                    </a:prstGeom>
                  </pic:spPr>
                </pic:pic>
              </a:graphicData>
            </a:graphic>
          </wp:inline>
        </w:drawing>
      </w:r>
    </w:p>
    <w:p w14:paraId="13A69B85">
      <w:pPr>
        <w:pStyle w:val="30"/>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图3.6-2    硫酸铝生产线工艺流程及产排污环节图</w:t>
      </w:r>
    </w:p>
    <w:p w14:paraId="025B806D">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（3）速凝剂（有碱/无碱）工艺流程</w:t>
      </w:r>
    </w:p>
    <w:p w14:paraId="73C79F7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速凝剂（有碱/无碱）</w:t>
      </w:r>
      <w:r>
        <w:rPr>
          <w:color w:val="000000" w:themeColor="text1"/>
          <w:highlight w:val="none"/>
          <w:lang w:val="en-US" w:eastAsia="zh-CN"/>
          <w14:textFill>
            <w14:solidFill>
              <w14:schemeClr w14:val="tx1"/>
            </w14:solidFill>
          </w14:textFill>
        </w:rPr>
        <w:t>两类产品均为常温常压湿法复配工艺，生产设备共用、分</w:t>
      </w:r>
      <w:r>
        <w:rPr>
          <w:rFonts w:hint="eastAsia"/>
          <w:color w:val="000000" w:themeColor="text1"/>
          <w:highlight w:val="none"/>
          <w:lang w:val="en-US" w:eastAsia="zh-CN"/>
          <w14:textFill>
            <w14:solidFill>
              <w14:schemeClr w14:val="tx1"/>
            </w14:solidFill>
          </w14:textFill>
        </w:rPr>
        <w:t>时段</w:t>
      </w:r>
      <w:r>
        <w:rPr>
          <w:color w:val="000000" w:themeColor="text1"/>
          <w:highlight w:val="none"/>
          <w:lang w:val="en-US" w:eastAsia="zh-CN"/>
          <w14:textFill>
            <w14:solidFill>
              <w14:schemeClr w14:val="tx1"/>
            </w14:solidFill>
          </w14:textFill>
        </w:rPr>
        <w:t>生产，通过切换原料实现有碱、无碱速凝剂切换生产。</w:t>
      </w:r>
      <w:r>
        <w:rPr>
          <w:rFonts w:hint="default"/>
          <w:color w:val="000000" w:themeColor="text1"/>
          <w:highlight w:val="none"/>
          <w:lang w:val="en-US" w:eastAsia="zh-CN"/>
          <w14:textFill>
            <w14:solidFill>
              <w14:schemeClr w14:val="tx1"/>
            </w14:solidFill>
          </w14:textFill>
        </w:rPr>
        <w:t>生产流程主要包括</w:t>
      </w:r>
      <w:r>
        <w:rPr>
          <w:rFonts w:hint="eastAsia"/>
          <w:color w:val="000000" w:themeColor="text1"/>
          <w:highlight w:val="none"/>
          <w:lang w:val="en-US" w:eastAsia="zh-CN"/>
          <w14:textFill>
            <w14:solidFill>
              <w14:schemeClr w14:val="tx1"/>
            </w14:solidFill>
          </w14:textFill>
        </w:rPr>
        <w:t>调制、混合、检验入库3道主要工序</w:t>
      </w:r>
      <w:r>
        <w:rPr>
          <w:rFonts w:hint="default"/>
          <w:color w:val="000000" w:themeColor="text1"/>
          <w:highlight w:val="none"/>
          <w:lang w:val="en-US" w:eastAsia="zh-CN"/>
          <w14:textFill>
            <w14:solidFill>
              <w14:schemeClr w14:val="tx1"/>
            </w14:solidFill>
          </w14:textFill>
        </w:rPr>
        <w:t>。</w:t>
      </w:r>
    </w:p>
    <w:p w14:paraId="4AADAD0E">
      <w:pPr>
        <w:bidi w:val="0"/>
        <w:ind w:left="0" w:leftChars="0" w:firstLine="0" w:firstLineChars="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有碱速凝剂</w:t>
      </w:r>
    </w:p>
    <w:p w14:paraId="7B84A3F9">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1）调制</w:t>
      </w:r>
      <w:r>
        <w:rPr>
          <w:color w:val="000000" w:themeColor="text1"/>
          <w:highlight w:val="none"/>
          <w14:textFill>
            <w14:solidFill>
              <w14:schemeClr w14:val="tx1"/>
            </w14:solidFill>
          </w14:textFill>
        </w:rPr>
        <w:t>工序</w:t>
      </w:r>
    </w:p>
    <w:p w14:paraId="5FB3FCB1">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首先将自来水经计量后通过自来水泵输送至反应釜内，开启搅拌设备，设定搅拌速率为60r/min。将固体氢氧化钠精准计量后，由叉车转运至钢结构操作台，人工缓慢投入反应釜水中，在常温常压条件下持续搅拌混合2.0h，充分溶解混匀后，配制得到质量分数12.6%的氢氧化钠碱性溶液，作为有碱速凝剂基础中和液。</w:t>
      </w:r>
    </w:p>
    <w:p w14:paraId="5110FA0A">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混合工序</w:t>
      </w:r>
    </w:p>
    <w:p w14:paraId="21EFC11E">
      <w:pPr>
        <w:bidi w:val="0"/>
        <w:rPr>
          <w:color w:val="000000" w:themeColor="text1"/>
          <w:highlight w:val="none"/>
          <w:lang w:val="en-US" w:eastAsia="zh-CN"/>
          <w14:textFill>
            <w14:solidFill>
              <w14:schemeClr w14:val="tx1"/>
            </w14:solidFill>
          </w14:textFill>
        </w:rPr>
      </w:pPr>
      <w:r>
        <w:rPr>
          <w:color w:val="000000" w:themeColor="text1"/>
          <w:highlight w:val="none"/>
          <w:lang w:val="en-US" w:eastAsia="zh-CN"/>
          <w14:textFill>
            <w14:solidFill>
              <w14:schemeClr w14:val="tx1"/>
            </w14:solidFill>
          </w14:textFill>
        </w:rPr>
        <w:t>将储存于高位槽内的</w:t>
      </w:r>
      <w:r>
        <w:rPr>
          <w:rFonts w:hint="eastAsia"/>
          <w:color w:val="000000" w:themeColor="text1"/>
          <w:highlight w:val="none"/>
          <w:lang w:val="en-US" w:eastAsia="zh-CN"/>
          <w14:textFill>
            <w14:solidFill>
              <w14:schemeClr w14:val="tx1"/>
            </w14:solidFill>
          </w14:textFill>
        </w:rPr>
        <w:t>20</w:t>
      </w:r>
      <w:r>
        <w:rPr>
          <w:color w:val="000000" w:themeColor="text1"/>
          <w:highlight w:val="none"/>
          <w:lang w:val="en-US" w:eastAsia="zh-CN"/>
          <w14:textFill>
            <w14:solidFill>
              <w14:schemeClr w14:val="tx1"/>
            </w14:solidFill>
          </w14:textFill>
        </w:rPr>
        <w:t>%氟硅酸溶液精准计量，利用位差自流进入盛有氢氧化钠溶液的反应釜内，常压状态下搅拌中和反应1.0h。该中和反应为放热反应，生产过程中自然控温，体系温度维持在20~50℃，待釜内混合液完全澄清透明，视为酸碱中和反应完成。随后启动输送泵，将外购成品硫酸铝溶液经进料管道泵入反应釜，持续搅拌1.0h，使各组分充分复配融合，形成有碱速凝剂原液。</w:t>
      </w:r>
    </w:p>
    <w:p w14:paraId="5C04A2AF">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该过程会产生氢氧化</w:t>
      </w:r>
      <w:r>
        <w:rPr>
          <w:rFonts w:hint="eastAsia"/>
          <w:color w:val="000000" w:themeColor="text1"/>
          <w:highlight w:val="none"/>
          <w:lang w:val="en-US" w:eastAsia="zh-CN"/>
          <w14:textFill>
            <w14:solidFill>
              <w14:schemeClr w14:val="tx1"/>
            </w14:solidFill>
          </w14:textFill>
        </w:rPr>
        <w:t>钠</w:t>
      </w:r>
      <w:r>
        <w:rPr>
          <w:rFonts w:hint="default"/>
          <w:color w:val="000000" w:themeColor="text1"/>
          <w:highlight w:val="none"/>
          <w:lang w:val="en-US" w:eastAsia="zh-CN"/>
          <w14:textFill>
            <w14:solidFill>
              <w14:schemeClr w14:val="tx1"/>
            </w14:solidFill>
          </w14:textFill>
        </w:rPr>
        <w:t>投料</w:t>
      </w:r>
      <w:r>
        <w:rPr>
          <w:rFonts w:hint="eastAsia"/>
          <w:color w:val="000000" w:themeColor="text1"/>
          <w:highlight w:val="none"/>
          <w:lang w:val="en-US" w:eastAsia="zh-CN"/>
          <w14:textFill>
            <w14:solidFill>
              <w14:schemeClr w14:val="tx1"/>
            </w14:solidFill>
          </w14:textFill>
        </w:rPr>
        <w:t>废气G3-1</w:t>
      </w:r>
      <w:r>
        <w:rPr>
          <w:rFonts w:hint="default"/>
          <w:color w:val="000000" w:themeColor="text1"/>
          <w:highlight w:val="none"/>
          <w:lang w:val="en-US" w:eastAsia="zh-CN"/>
          <w14:textFill>
            <w14:solidFill>
              <w14:schemeClr w14:val="tx1"/>
            </w14:solidFill>
          </w14:textFill>
        </w:rPr>
        <w:t>、少量</w:t>
      </w:r>
      <w:r>
        <w:rPr>
          <w:rFonts w:hint="eastAsia"/>
          <w:color w:val="000000" w:themeColor="text1"/>
          <w:highlight w:val="none"/>
          <w:lang w:val="en-US" w:eastAsia="zh-CN"/>
          <w14:textFill>
            <w14:solidFill>
              <w14:schemeClr w14:val="tx1"/>
            </w14:solidFill>
          </w14:textFill>
        </w:rPr>
        <w:t>反应废气</w:t>
      </w:r>
      <w:r>
        <w:rPr>
          <w:rFonts w:hint="default"/>
          <w:color w:val="000000" w:themeColor="text1"/>
          <w:highlight w:val="none"/>
          <w:lang w:val="en-US" w:eastAsia="zh-CN"/>
          <w14:textFill>
            <w14:solidFill>
              <w14:schemeClr w14:val="tx1"/>
            </w14:solidFill>
          </w14:textFill>
        </w:rPr>
        <w:t>G</w:t>
      </w:r>
      <w:r>
        <w:rPr>
          <w:rFonts w:hint="eastAsia"/>
          <w:color w:val="000000" w:themeColor="text1"/>
          <w:highlight w:val="none"/>
          <w:lang w:val="en-US" w:eastAsia="zh-CN"/>
          <w14:textFill>
            <w14:solidFill>
              <w14:schemeClr w14:val="tx1"/>
            </w14:solidFill>
          </w14:textFill>
        </w:rPr>
        <w:t>3-2（</w:t>
      </w:r>
      <w:r>
        <w:rPr>
          <w:rFonts w:hint="default"/>
          <w:color w:val="000000" w:themeColor="text1"/>
          <w:highlight w:val="none"/>
          <w:lang w:val="en-US" w:eastAsia="zh-CN"/>
          <w14:textFill>
            <w14:solidFill>
              <w14:schemeClr w14:val="tx1"/>
            </w14:solidFill>
          </w14:textFill>
        </w:rPr>
        <w:t>以氟化物表征</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产生</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设备噪声</w:t>
      </w:r>
      <w:r>
        <w:rPr>
          <w:rFonts w:hint="eastAsia"/>
          <w:color w:val="000000" w:themeColor="text1"/>
          <w:highlight w:val="none"/>
          <w:lang w:val="en-US" w:eastAsia="zh-CN"/>
          <w14:textFill>
            <w14:solidFill>
              <w14:schemeClr w14:val="tx1"/>
            </w14:solidFill>
          </w14:textFill>
        </w:rPr>
        <w:t>N</w:t>
      </w:r>
      <w:r>
        <w:rPr>
          <w:rFonts w:hint="default"/>
          <w:color w:val="000000" w:themeColor="text1"/>
          <w:highlight w:val="none"/>
          <w:lang w:val="en-US" w:eastAsia="zh-CN"/>
          <w14:textFill>
            <w14:solidFill>
              <w14:schemeClr w14:val="tx1"/>
            </w14:solidFill>
          </w14:textFill>
        </w:rPr>
        <w:t>。</w:t>
      </w:r>
    </w:p>
    <w:p w14:paraId="10C6144E">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检验入库工序</w:t>
      </w:r>
    </w:p>
    <w:p w14:paraId="449340CF">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混合搅拌完成后，对釜内成品液取样送检，检测产品密度、凝结时间、碱含量等关键指标，各项指标达标后，将成品液泵入有碱速凝剂成品储罐暂存，根据生产需求灌装、打包后入库储存。</w:t>
      </w:r>
    </w:p>
    <w:p w14:paraId="55341FA7">
      <w:pPr>
        <w:bidi w:val="0"/>
        <w:ind w:left="0" w:leftChars="0" w:firstLine="0" w:firstLineChars="0"/>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无碱速凝剂</w:t>
      </w:r>
    </w:p>
    <w:p w14:paraId="06451809">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无碱速凝剂生产无需氢氧化钠碱性原料，取消碱液配制中和环节，以清水、氟硅酸、硫酸铝及无碱助剂为核心原料，通过低温复配混合制备，全程无碱性物质投加，产品碱含量极低。</w:t>
      </w:r>
    </w:p>
    <w:p w14:paraId="16A4C320">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调质工序</w:t>
      </w:r>
    </w:p>
    <w:p w14:paraId="6F730161">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将自来水计量后泵入专用反应釜，开启搅拌器，搅拌速率控制为60r/min。本工序不投加固体氢氧化钠，仅以清水为基底，通过水体调质稳压，常温常压搅拌0.5h，保证水质洁净、体系均匀，为后续无碱复配反应提供稳定基底环境。</w:t>
      </w:r>
    </w:p>
    <w:p w14:paraId="1D670EBC">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混合工序</w:t>
      </w:r>
    </w:p>
    <w:p w14:paraId="065B3013">
      <w:pPr>
        <w:bidi w:val="0"/>
        <w:rPr>
          <w:rFonts w:hint="eastAsia"/>
          <w:color w:val="000000" w:themeColor="text1"/>
          <w:highlight w:val="none"/>
          <w:lang w:val="en-US" w:eastAsia="zh-CN"/>
          <w14:textFill>
            <w14:solidFill>
              <w14:schemeClr w14:val="tx1"/>
            </w14:solidFill>
          </w14:textFill>
        </w:rPr>
      </w:pPr>
      <w:r>
        <w:rPr>
          <w:color w:val="000000" w:themeColor="text1"/>
          <w:highlight w:val="none"/>
          <w:lang w:val="en-US" w:eastAsia="zh-CN"/>
          <w14:textFill>
            <w14:solidFill>
              <w14:schemeClr w14:val="tx1"/>
            </w14:solidFill>
          </w14:textFill>
        </w:rPr>
        <w:t>高位槽内储存的</w:t>
      </w:r>
      <w:r>
        <w:rPr>
          <w:rFonts w:hint="eastAsia"/>
          <w:color w:val="000000" w:themeColor="text1"/>
          <w:highlight w:val="none"/>
          <w:lang w:val="en-US" w:eastAsia="zh-CN"/>
          <w14:textFill>
            <w14:solidFill>
              <w14:schemeClr w14:val="tx1"/>
            </w14:solidFill>
          </w14:textFill>
        </w:rPr>
        <w:t>20</w:t>
      </w:r>
      <w:r>
        <w:rPr>
          <w:color w:val="000000" w:themeColor="text1"/>
          <w:highlight w:val="none"/>
          <w:lang w:val="en-US" w:eastAsia="zh-CN"/>
          <w14:textFill>
            <w14:solidFill>
              <w14:schemeClr w14:val="tx1"/>
            </w14:solidFill>
          </w14:textFill>
        </w:rPr>
        <w:t>%氟硅酸溶液经计量后自流进入反应釜，常压条件下搅拌混合1.0h，体系自然维持20~50℃恒温状态。待釜内液体澄清透明后，通过输送泵向釜内投加硫酸铝溶液及配套无碱功能性助剂，持续搅拌1.0h，使各原料充分分散、复配相容，完成无碱速凝剂成品制备，全程无酸碱中和放热剧烈反应、无碱性组分引入。</w:t>
      </w:r>
    </w:p>
    <w:p w14:paraId="5ECE3E35">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该过程会产生少量</w:t>
      </w:r>
      <w:r>
        <w:rPr>
          <w:rFonts w:hint="eastAsia"/>
          <w:color w:val="000000" w:themeColor="text1"/>
          <w:highlight w:val="none"/>
          <w:lang w:val="en-US" w:eastAsia="zh-CN"/>
          <w14:textFill>
            <w14:solidFill>
              <w14:schemeClr w14:val="tx1"/>
            </w14:solidFill>
          </w14:textFill>
        </w:rPr>
        <w:t>反应废气</w:t>
      </w:r>
      <w:r>
        <w:rPr>
          <w:rFonts w:hint="default"/>
          <w:color w:val="000000" w:themeColor="text1"/>
          <w:highlight w:val="none"/>
          <w:lang w:val="en-US" w:eastAsia="zh-CN"/>
          <w14:textFill>
            <w14:solidFill>
              <w14:schemeClr w14:val="tx1"/>
            </w14:solidFill>
          </w14:textFill>
        </w:rPr>
        <w:t>G</w:t>
      </w:r>
      <w:r>
        <w:rPr>
          <w:rFonts w:hint="eastAsia"/>
          <w:color w:val="000000" w:themeColor="text1"/>
          <w:highlight w:val="none"/>
          <w:lang w:val="en-US" w:eastAsia="zh-CN"/>
          <w14:textFill>
            <w14:solidFill>
              <w14:schemeClr w14:val="tx1"/>
            </w14:solidFill>
          </w14:textFill>
        </w:rPr>
        <w:t>3-2（</w:t>
      </w:r>
      <w:r>
        <w:rPr>
          <w:rFonts w:hint="default"/>
          <w:color w:val="000000" w:themeColor="text1"/>
          <w:highlight w:val="none"/>
          <w:lang w:val="en-US" w:eastAsia="zh-CN"/>
          <w14:textFill>
            <w14:solidFill>
              <w14:schemeClr w14:val="tx1"/>
            </w14:solidFill>
          </w14:textFill>
        </w:rPr>
        <w:t>以氟化物表征</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产生</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设备噪声</w:t>
      </w:r>
      <w:r>
        <w:rPr>
          <w:rFonts w:hint="eastAsia"/>
          <w:color w:val="000000" w:themeColor="text1"/>
          <w:highlight w:val="none"/>
          <w:lang w:val="en-US" w:eastAsia="zh-CN"/>
          <w14:textFill>
            <w14:solidFill>
              <w14:schemeClr w14:val="tx1"/>
            </w14:solidFill>
          </w14:textFill>
        </w:rPr>
        <w:t>N</w:t>
      </w:r>
      <w:r>
        <w:rPr>
          <w:rFonts w:hint="default"/>
          <w:color w:val="000000" w:themeColor="text1"/>
          <w:highlight w:val="none"/>
          <w:lang w:val="en-US" w:eastAsia="zh-CN"/>
          <w14:textFill>
            <w14:solidFill>
              <w14:schemeClr w14:val="tx1"/>
            </w14:solidFill>
          </w14:textFill>
        </w:rPr>
        <w:t>。</w:t>
      </w:r>
    </w:p>
    <w:p w14:paraId="6F61C7D9">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检验入库工序</w:t>
      </w:r>
    </w:p>
    <w:p w14:paraId="0AA1726A">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反应混合完成后取样检测无碱速凝剂各项性能指标，重点核查碱含量、凝结强度、稳定性等参数，检验合格后泵入无碱速凝剂专用成品储罐，经灌装分装后入库储存，与有碱速凝剂分区存放、分类管理。</w:t>
      </w:r>
    </w:p>
    <w:p w14:paraId="7E0FD23B">
      <w:pPr>
        <w:pStyle w:val="2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drawing>
          <wp:inline distT="0" distB="0" distL="114300" distR="114300">
            <wp:extent cx="4433570" cy="3781425"/>
            <wp:effectExtent l="0" t="0" r="0" b="0"/>
            <wp:docPr id="33" name="ECB019B1-382A-4266-B25C-5B523AA43C14-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ECB019B1-382A-4266-B25C-5B523AA43C14-2" descr="wps"/>
                    <pic:cNvPicPr>
                      <a:picLocks noChangeAspect="1"/>
                    </pic:cNvPicPr>
                  </pic:nvPicPr>
                  <pic:blipFill>
                    <a:blip r:embed="rId16"/>
                    <a:srcRect b="4000"/>
                    <a:stretch>
                      <a:fillRect/>
                    </a:stretch>
                  </pic:blipFill>
                  <pic:spPr>
                    <a:xfrm>
                      <a:off x="0" y="0"/>
                      <a:ext cx="4433570" cy="3781425"/>
                    </a:xfrm>
                    <a:prstGeom prst="rect">
                      <a:avLst/>
                    </a:prstGeom>
                  </pic:spPr>
                </pic:pic>
              </a:graphicData>
            </a:graphic>
          </wp:inline>
        </w:drawing>
      </w:r>
    </w:p>
    <w:p w14:paraId="0996B507">
      <w:pPr>
        <w:pStyle w:val="30"/>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图3.6-3    速凝剂生产线工艺流程及产排污环节图</w:t>
      </w:r>
    </w:p>
    <w:p w14:paraId="168E4E2A">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3.6.2.2产排污环节</w:t>
      </w:r>
    </w:p>
    <w:p w14:paraId="0ABCCC9E">
      <w:pPr>
        <w:keepNext w:val="0"/>
        <w:keepLines w:val="0"/>
        <w:widowControl/>
        <w:suppressLineNumbers w:val="0"/>
        <w:jc w:val="left"/>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本项目产污节点及污染因子见表3.6.2-1</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 xml:space="preserve">。 </w:t>
      </w:r>
    </w:p>
    <w:p w14:paraId="49895E26">
      <w:pPr>
        <w:pStyle w:val="25"/>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3.6.2</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本项目污染物产污节点及污染因子</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336"/>
        <w:gridCol w:w="1533"/>
        <w:gridCol w:w="1622"/>
        <w:gridCol w:w="1523"/>
        <w:gridCol w:w="2352"/>
      </w:tblGrid>
      <w:tr w14:paraId="0F2848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gridSpan w:val="2"/>
            <w:tcBorders>
              <w:bottom w:val="single" w:color="auto" w:sz="12" w:space="0"/>
            </w:tcBorders>
            <w:noWrap w:val="0"/>
            <w:vAlign w:val="top"/>
          </w:tcPr>
          <w:p w14:paraId="147417F3">
            <w:pPr>
              <w:pStyle w:val="26"/>
              <w:bidi w:val="0"/>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类别</w:t>
            </w:r>
          </w:p>
        </w:tc>
        <w:tc>
          <w:tcPr>
            <w:tcW w:w="1533" w:type="dxa"/>
            <w:tcBorders>
              <w:bottom w:val="single" w:color="auto" w:sz="12" w:space="0"/>
            </w:tcBorders>
            <w:noWrap w:val="0"/>
            <w:vAlign w:val="top"/>
          </w:tcPr>
          <w:p w14:paraId="29EBF3D5">
            <w:pPr>
              <w:pStyle w:val="26"/>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产污环节</w:t>
            </w:r>
          </w:p>
        </w:tc>
        <w:tc>
          <w:tcPr>
            <w:tcW w:w="1622" w:type="dxa"/>
            <w:tcBorders>
              <w:bottom w:val="single" w:color="auto" w:sz="12" w:space="0"/>
            </w:tcBorders>
            <w:noWrap w:val="0"/>
            <w:vAlign w:val="top"/>
          </w:tcPr>
          <w:p w14:paraId="6873F17F">
            <w:pPr>
              <w:pStyle w:val="26"/>
              <w:bidi w:val="0"/>
              <w:rPr>
                <w:rFonts w:hint="eastAsia"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编号</w:t>
            </w:r>
          </w:p>
        </w:tc>
        <w:tc>
          <w:tcPr>
            <w:tcW w:w="1523" w:type="dxa"/>
            <w:tcBorders>
              <w:bottom w:val="single" w:color="auto" w:sz="12" w:space="0"/>
            </w:tcBorders>
            <w:noWrap w:val="0"/>
            <w:vAlign w:val="top"/>
          </w:tcPr>
          <w:p w14:paraId="43C0BF5A">
            <w:pPr>
              <w:pStyle w:val="26"/>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污染因子</w:t>
            </w:r>
          </w:p>
        </w:tc>
        <w:tc>
          <w:tcPr>
            <w:tcW w:w="2352" w:type="dxa"/>
            <w:tcBorders>
              <w:bottom w:val="single" w:color="auto" w:sz="12" w:space="0"/>
            </w:tcBorders>
            <w:noWrap w:val="0"/>
            <w:vAlign w:val="top"/>
          </w:tcPr>
          <w:p w14:paraId="389BED97">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处置措施</w:t>
            </w:r>
          </w:p>
        </w:tc>
      </w:tr>
      <w:tr w14:paraId="218459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Merge w:val="restart"/>
            <w:tcBorders>
              <w:top w:val="single" w:color="auto" w:sz="12" w:space="0"/>
              <w:tl2br w:val="nil"/>
              <w:tr2bl w:val="nil"/>
            </w:tcBorders>
            <w:noWrap w:val="0"/>
            <w:vAlign w:val="center"/>
          </w:tcPr>
          <w:p w14:paraId="0343F691">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废气</w:t>
            </w:r>
          </w:p>
        </w:tc>
        <w:tc>
          <w:tcPr>
            <w:tcW w:w="1336" w:type="dxa"/>
            <w:tcBorders>
              <w:top w:val="single" w:color="auto" w:sz="12" w:space="0"/>
              <w:tl2br w:val="nil"/>
              <w:tr2bl w:val="nil"/>
            </w:tcBorders>
            <w:noWrap w:val="0"/>
            <w:vAlign w:val="center"/>
          </w:tcPr>
          <w:p w14:paraId="6BCFCA6F">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投料废气</w:t>
            </w:r>
          </w:p>
        </w:tc>
        <w:tc>
          <w:tcPr>
            <w:tcW w:w="1533" w:type="dxa"/>
            <w:tcBorders>
              <w:top w:val="single" w:color="auto" w:sz="12" w:space="0"/>
              <w:tl2br w:val="nil"/>
              <w:tr2bl w:val="nil"/>
            </w:tcBorders>
            <w:noWrap w:val="0"/>
            <w:vAlign w:val="center"/>
          </w:tcPr>
          <w:p w14:paraId="1F6C7DFB">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固体物料投料</w:t>
            </w:r>
          </w:p>
        </w:tc>
        <w:tc>
          <w:tcPr>
            <w:tcW w:w="1622" w:type="dxa"/>
            <w:tcBorders>
              <w:top w:val="single" w:color="auto" w:sz="12" w:space="0"/>
              <w:tl2br w:val="nil"/>
              <w:tr2bl w:val="nil"/>
            </w:tcBorders>
            <w:noWrap w:val="0"/>
            <w:vAlign w:val="center"/>
          </w:tcPr>
          <w:p w14:paraId="15626988">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G1-1、G1-3、G2-1、G3-1</w:t>
            </w:r>
          </w:p>
        </w:tc>
        <w:tc>
          <w:tcPr>
            <w:tcW w:w="1523" w:type="dxa"/>
            <w:tcBorders>
              <w:top w:val="single" w:color="auto" w:sz="12" w:space="0"/>
              <w:tl2br w:val="nil"/>
              <w:tr2bl w:val="nil"/>
            </w:tcBorders>
            <w:noWrap w:val="0"/>
            <w:vAlign w:val="center"/>
          </w:tcPr>
          <w:p w14:paraId="1D42F5A6">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2352" w:type="dxa"/>
            <w:vMerge w:val="restart"/>
            <w:tcBorders>
              <w:top w:val="single" w:color="auto" w:sz="12" w:space="0"/>
              <w:tl2br w:val="nil"/>
              <w:tr2bl w:val="nil"/>
            </w:tcBorders>
            <w:noWrap w:val="0"/>
            <w:vAlign w:val="center"/>
          </w:tcPr>
          <w:p w14:paraId="24D37E87">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经水喷淋+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r>
              <w:rPr>
                <w:rFonts w:hint="default"/>
                <w:color w:val="000000" w:themeColor="text1"/>
                <w:highlight w:val="none"/>
                <w:lang w:val="en-US" w:eastAsia="zh-CN"/>
                <w14:textFill>
                  <w14:solidFill>
                    <w14:schemeClr w14:val="tx1"/>
                  </w14:solidFill>
                </w14:textFill>
              </w:rPr>
              <w:t>处理</w:t>
            </w:r>
            <w:r>
              <w:rPr>
                <w:rFonts w:hint="eastAsia"/>
                <w:color w:val="000000" w:themeColor="text1"/>
                <w:highlight w:val="none"/>
                <w:lang w:val="en-US" w:eastAsia="zh-CN"/>
                <w14:textFill>
                  <w14:solidFill>
                    <w14:schemeClr w14:val="tx1"/>
                  </w14:solidFill>
                </w14:textFill>
              </w:rPr>
              <w:t>后通过1根内径为0.4m高度为15m的</w:t>
            </w:r>
            <w:r>
              <w:rPr>
                <w:rFonts w:hint="default"/>
                <w:color w:val="000000" w:themeColor="text1"/>
                <w:highlight w:val="none"/>
                <w:lang w:val="en-US" w:eastAsia="zh-CN"/>
                <w14:textFill>
                  <w14:solidFill>
                    <w14:schemeClr w14:val="tx1"/>
                  </w14:solidFill>
                </w14:textFill>
              </w:rPr>
              <w:t>排气</w:t>
            </w:r>
            <w:r>
              <w:rPr>
                <w:rFonts w:hint="eastAsia"/>
                <w:color w:val="000000" w:themeColor="text1"/>
                <w:highlight w:val="none"/>
                <w:lang w:val="en-US" w:eastAsia="zh-CN"/>
                <w14:textFill>
                  <w14:solidFill>
                    <w14:schemeClr w14:val="tx1"/>
                  </w14:solidFill>
                </w14:textFill>
              </w:rPr>
              <w:t>筒</w:t>
            </w:r>
            <w:r>
              <w:rPr>
                <w:rFonts w:hint="default"/>
                <w:color w:val="000000" w:themeColor="text1"/>
                <w:highlight w:val="none"/>
                <w:lang w:val="en-US" w:eastAsia="zh-CN"/>
                <w14:textFill>
                  <w14:solidFill>
                    <w14:schemeClr w14:val="tx1"/>
                  </w14:solidFill>
                </w14:textFill>
              </w:rPr>
              <w:t>排放</w:t>
            </w:r>
          </w:p>
        </w:tc>
      </w:tr>
      <w:tr w14:paraId="03E2D6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Merge w:val="continue"/>
            <w:tcBorders>
              <w:tl2br w:val="nil"/>
              <w:tr2bl w:val="nil"/>
            </w:tcBorders>
            <w:noWrap w:val="0"/>
            <w:vAlign w:val="center"/>
          </w:tcPr>
          <w:p w14:paraId="32FC3792">
            <w:pPr>
              <w:pStyle w:val="26"/>
              <w:bidi w:val="0"/>
              <w:jc w:val="center"/>
              <w:rPr>
                <w:color w:val="000000" w:themeColor="text1"/>
                <w:highlight w:val="none"/>
                <w14:textFill>
                  <w14:solidFill>
                    <w14:schemeClr w14:val="tx1"/>
                  </w14:solidFill>
                </w14:textFill>
              </w:rPr>
            </w:pPr>
          </w:p>
        </w:tc>
        <w:tc>
          <w:tcPr>
            <w:tcW w:w="1336" w:type="dxa"/>
            <w:vMerge w:val="restart"/>
            <w:tcBorders>
              <w:tl2br w:val="nil"/>
              <w:tr2bl w:val="nil"/>
            </w:tcBorders>
            <w:noWrap w:val="0"/>
            <w:vAlign w:val="center"/>
          </w:tcPr>
          <w:p w14:paraId="218A03DF">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反应</w:t>
            </w:r>
            <w:r>
              <w:rPr>
                <w:rFonts w:hint="eastAsia" w:ascii="Times New Roman" w:eastAsia="宋体"/>
                <w:color w:val="000000" w:themeColor="text1"/>
                <w:highlight w:val="none"/>
                <w:lang w:val="en-US" w:eastAsia="zh-CN"/>
                <w14:textFill>
                  <w14:solidFill>
                    <w14:schemeClr w14:val="tx1"/>
                  </w14:solidFill>
                </w14:textFill>
              </w:rPr>
              <w:t>废气</w:t>
            </w:r>
          </w:p>
        </w:tc>
        <w:tc>
          <w:tcPr>
            <w:tcW w:w="1533" w:type="dxa"/>
            <w:tcBorders>
              <w:tl2br w:val="nil"/>
              <w:tr2bl w:val="nil"/>
            </w:tcBorders>
            <w:noWrap w:val="0"/>
            <w:vAlign w:val="center"/>
          </w:tcPr>
          <w:p w14:paraId="014484B3">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母料配备</w:t>
            </w:r>
          </w:p>
        </w:tc>
        <w:tc>
          <w:tcPr>
            <w:tcW w:w="1622" w:type="dxa"/>
            <w:tcBorders>
              <w:tl2br w:val="nil"/>
              <w:tr2bl w:val="nil"/>
            </w:tcBorders>
            <w:noWrap w:val="0"/>
            <w:vAlign w:val="center"/>
          </w:tcPr>
          <w:p w14:paraId="503E1B74">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ascii="Times New Roman" w:eastAsia="宋体"/>
                <w:color w:val="000000" w:themeColor="text1"/>
                <w:highlight w:val="none"/>
                <w:lang w:val="en-US" w:eastAsia="zh-CN"/>
                <w14:textFill>
                  <w14:solidFill>
                    <w14:schemeClr w14:val="tx1"/>
                  </w14:solidFill>
                </w14:textFill>
              </w:rPr>
              <w:t>G</w:t>
            </w:r>
            <w:r>
              <w:rPr>
                <w:rFonts w:hint="eastAsia"/>
                <w:color w:val="000000" w:themeColor="text1"/>
                <w:highlight w:val="none"/>
                <w:lang w:val="en-US" w:eastAsia="zh-CN"/>
                <w14:textFill>
                  <w14:solidFill>
                    <w14:schemeClr w14:val="tx1"/>
                  </w14:solidFill>
                </w14:textFill>
              </w:rPr>
              <w:t>1-2</w:t>
            </w:r>
          </w:p>
        </w:tc>
        <w:tc>
          <w:tcPr>
            <w:tcW w:w="1523" w:type="dxa"/>
            <w:tcBorders>
              <w:tl2br w:val="nil"/>
              <w:tr2bl w:val="nil"/>
            </w:tcBorders>
            <w:noWrap w:val="0"/>
            <w:vAlign w:val="center"/>
          </w:tcPr>
          <w:p w14:paraId="79FE85F5">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非甲烷总烃</w:t>
            </w:r>
          </w:p>
        </w:tc>
        <w:tc>
          <w:tcPr>
            <w:tcW w:w="2352" w:type="dxa"/>
            <w:vMerge w:val="continue"/>
            <w:tcBorders>
              <w:tl2br w:val="nil"/>
              <w:tr2bl w:val="nil"/>
            </w:tcBorders>
            <w:noWrap w:val="0"/>
            <w:vAlign w:val="center"/>
          </w:tcPr>
          <w:p w14:paraId="504B52E5">
            <w:pPr>
              <w:pStyle w:val="26"/>
              <w:bidi w:val="0"/>
              <w:jc w:val="both"/>
              <w:rPr>
                <w:rFonts w:hint="eastAsia"/>
                <w:color w:val="000000" w:themeColor="text1"/>
                <w:highlight w:val="none"/>
                <w:lang w:val="en-US" w:eastAsia="zh-CN"/>
                <w14:textFill>
                  <w14:solidFill>
                    <w14:schemeClr w14:val="tx1"/>
                  </w14:solidFill>
                </w14:textFill>
              </w:rPr>
            </w:pPr>
          </w:p>
        </w:tc>
      </w:tr>
      <w:tr w14:paraId="7D08D0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Merge w:val="continue"/>
            <w:tcBorders>
              <w:tl2br w:val="nil"/>
              <w:tr2bl w:val="nil"/>
            </w:tcBorders>
            <w:noWrap w:val="0"/>
            <w:vAlign w:val="center"/>
          </w:tcPr>
          <w:p w14:paraId="59F676F6">
            <w:pPr>
              <w:pStyle w:val="26"/>
              <w:bidi w:val="0"/>
              <w:jc w:val="center"/>
              <w:rPr>
                <w:color w:val="000000" w:themeColor="text1"/>
                <w:highlight w:val="none"/>
                <w14:textFill>
                  <w14:solidFill>
                    <w14:schemeClr w14:val="tx1"/>
                  </w14:solidFill>
                </w14:textFill>
              </w:rPr>
            </w:pPr>
          </w:p>
        </w:tc>
        <w:tc>
          <w:tcPr>
            <w:tcW w:w="1336" w:type="dxa"/>
            <w:vMerge w:val="continue"/>
            <w:tcBorders>
              <w:tl2br w:val="nil"/>
              <w:tr2bl w:val="nil"/>
            </w:tcBorders>
            <w:noWrap w:val="0"/>
            <w:vAlign w:val="center"/>
          </w:tcPr>
          <w:p w14:paraId="49A5249B">
            <w:pPr>
              <w:pStyle w:val="26"/>
              <w:bidi w:val="0"/>
              <w:jc w:val="center"/>
              <w:rPr>
                <w:rFonts w:hint="eastAsia"/>
                <w:color w:val="000000" w:themeColor="text1"/>
                <w:highlight w:val="none"/>
                <w:lang w:val="en-US" w:eastAsia="zh-CN"/>
                <w14:textFill>
                  <w14:solidFill>
                    <w14:schemeClr w14:val="tx1"/>
                  </w14:solidFill>
                </w14:textFill>
              </w:rPr>
            </w:pPr>
          </w:p>
        </w:tc>
        <w:tc>
          <w:tcPr>
            <w:tcW w:w="1533" w:type="dxa"/>
            <w:tcBorders>
              <w:tl2br w:val="nil"/>
              <w:tr2bl w:val="nil"/>
            </w:tcBorders>
            <w:noWrap w:val="0"/>
            <w:vAlign w:val="center"/>
          </w:tcPr>
          <w:p w14:paraId="42FE3B3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硫酸铝反应</w:t>
            </w:r>
          </w:p>
        </w:tc>
        <w:tc>
          <w:tcPr>
            <w:tcW w:w="1622" w:type="dxa"/>
            <w:tcBorders>
              <w:tl2br w:val="nil"/>
              <w:tr2bl w:val="nil"/>
            </w:tcBorders>
            <w:noWrap w:val="0"/>
            <w:vAlign w:val="center"/>
          </w:tcPr>
          <w:p w14:paraId="005C8F47">
            <w:pPr>
              <w:pStyle w:val="26"/>
              <w:bidi w:val="0"/>
              <w:jc w:val="center"/>
              <w:rPr>
                <w:rFonts w:hint="eastAsia" w:ascii="Times New Roman" w:eastAsia="宋体"/>
                <w:color w:val="000000" w:themeColor="text1"/>
                <w:highlight w:val="none"/>
                <w:lang w:val="en-US" w:eastAsia="zh-CN"/>
                <w14:textFill>
                  <w14:solidFill>
                    <w14:schemeClr w14:val="tx1"/>
                  </w14:solidFill>
                </w14:textFill>
              </w:rPr>
            </w:pPr>
            <w:r>
              <w:rPr>
                <w:rFonts w:hint="eastAsia" w:ascii="Times New Roman" w:eastAsia="宋体"/>
                <w:color w:val="000000" w:themeColor="text1"/>
                <w:highlight w:val="none"/>
                <w:lang w:val="en-US" w:eastAsia="zh-CN"/>
                <w14:textFill>
                  <w14:solidFill>
                    <w14:schemeClr w14:val="tx1"/>
                  </w14:solidFill>
                </w14:textFill>
              </w:rPr>
              <w:t>G</w:t>
            </w:r>
            <w:r>
              <w:rPr>
                <w:rFonts w:hint="eastAsia"/>
                <w:color w:val="000000" w:themeColor="text1"/>
                <w:highlight w:val="none"/>
                <w:lang w:val="en-US" w:eastAsia="zh-CN"/>
                <w14:textFill>
                  <w14:solidFill>
                    <w14:schemeClr w14:val="tx1"/>
                  </w14:solidFill>
                </w14:textFill>
              </w:rPr>
              <w:t>2-2</w:t>
            </w:r>
          </w:p>
        </w:tc>
        <w:tc>
          <w:tcPr>
            <w:tcW w:w="1523" w:type="dxa"/>
            <w:tcBorders>
              <w:tl2br w:val="nil"/>
              <w:tr2bl w:val="nil"/>
            </w:tcBorders>
            <w:noWrap w:val="0"/>
            <w:vAlign w:val="center"/>
          </w:tcPr>
          <w:p w14:paraId="396EAC7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2352" w:type="dxa"/>
            <w:vMerge w:val="continue"/>
            <w:tcBorders>
              <w:tl2br w:val="nil"/>
              <w:tr2bl w:val="nil"/>
            </w:tcBorders>
            <w:noWrap w:val="0"/>
            <w:vAlign w:val="center"/>
          </w:tcPr>
          <w:p w14:paraId="52DB03A7">
            <w:pPr>
              <w:pStyle w:val="26"/>
              <w:bidi w:val="0"/>
              <w:jc w:val="both"/>
              <w:rPr>
                <w:rFonts w:hint="eastAsia"/>
                <w:color w:val="000000" w:themeColor="text1"/>
                <w:highlight w:val="none"/>
                <w:lang w:val="en-US" w:eastAsia="zh-CN"/>
                <w14:textFill>
                  <w14:solidFill>
                    <w14:schemeClr w14:val="tx1"/>
                  </w14:solidFill>
                </w14:textFill>
              </w:rPr>
            </w:pPr>
          </w:p>
        </w:tc>
      </w:tr>
      <w:tr w14:paraId="4BFD75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Merge w:val="continue"/>
            <w:tcBorders>
              <w:tl2br w:val="nil"/>
              <w:tr2bl w:val="nil"/>
            </w:tcBorders>
            <w:noWrap w:val="0"/>
            <w:vAlign w:val="center"/>
          </w:tcPr>
          <w:p w14:paraId="3D0CC76B">
            <w:pPr>
              <w:pStyle w:val="26"/>
              <w:bidi w:val="0"/>
              <w:jc w:val="center"/>
              <w:rPr>
                <w:color w:val="000000" w:themeColor="text1"/>
                <w:highlight w:val="none"/>
                <w14:textFill>
                  <w14:solidFill>
                    <w14:schemeClr w14:val="tx1"/>
                  </w14:solidFill>
                </w14:textFill>
              </w:rPr>
            </w:pPr>
          </w:p>
        </w:tc>
        <w:tc>
          <w:tcPr>
            <w:tcW w:w="1336" w:type="dxa"/>
            <w:vMerge w:val="continue"/>
            <w:tcBorders>
              <w:tl2br w:val="nil"/>
              <w:tr2bl w:val="nil"/>
            </w:tcBorders>
            <w:noWrap w:val="0"/>
            <w:vAlign w:val="center"/>
          </w:tcPr>
          <w:p w14:paraId="3FE3C581">
            <w:pPr>
              <w:pStyle w:val="26"/>
              <w:bidi w:val="0"/>
              <w:jc w:val="center"/>
              <w:rPr>
                <w:rFonts w:hint="eastAsia"/>
                <w:color w:val="000000" w:themeColor="text1"/>
                <w:highlight w:val="none"/>
                <w:lang w:val="en-US" w:eastAsia="zh-CN"/>
                <w14:textFill>
                  <w14:solidFill>
                    <w14:schemeClr w14:val="tx1"/>
                  </w14:solidFill>
                </w14:textFill>
              </w:rPr>
            </w:pPr>
          </w:p>
        </w:tc>
        <w:tc>
          <w:tcPr>
            <w:tcW w:w="1533" w:type="dxa"/>
            <w:tcBorders>
              <w:tl2br w:val="nil"/>
              <w:tr2bl w:val="nil"/>
            </w:tcBorders>
            <w:noWrap w:val="0"/>
            <w:vAlign w:val="center"/>
          </w:tcPr>
          <w:p w14:paraId="71FE8FF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速凝剂反应</w:t>
            </w:r>
          </w:p>
        </w:tc>
        <w:tc>
          <w:tcPr>
            <w:tcW w:w="1622" w:type="dxa"/>
            <w:tcBorders>
              <w:tl2br w:val="nil"/>
              <w:tr2bl w:val="nil"/>
            </w:tcBorders>
            <w:noWrap w:val="0"/>
            <w:vAlign w:val="center"/>
          </w:tcPr>
          <w:p w14:paraId="0D67A9FF">
            <w:pPr>
              <w:pStyle w:val="26"/>
              <w:bidi w:val="0"/>
              <w:jc w:val="center"/>
              <w:rPr>
                <w:rFonts w:hint="eastAsia" w:ascii="Times New Roman" w:eastAsia="宋体"/>
                <w:color w:val="000000" w:themeColor="text1"/>
                <w:highlight w:val="none"/>
                <w:lang w:val="en-US" w:eastAsia="zh-CN"/>
                <w14:textFill>
                  <w14:solidFill>
                    <w14:schemeClr w14:val="tx1"/>
                  </w14:solidFill>
                </w14:textFill>
              </w:rPr>
            </w:pPr>
            <w:r>
              <w:rPr>
                <w:rFonts w:hint="eastAsia" w:ascii="Times New Roman" w:eastAsia="宋体"/>
                <w:color w:val="000000" w:themeColor="text1"/>
                <w:highlight w:val="none"/>
                <w:lang w:val="en-US" w:eastAsia="zh-CN"/>
                <w14:textFill>
                  <w14:solidFill>
                    <w14:schemeClr w14:val="tx1"/>
                  </w14:solidFill>
                </w14:textFill>
              </w:rPr>
              <w:t>G</w:t>
            </w:r>
            <w:r>
              <w:rPr>
                <w:rFonts w:hint="eastAsia"/>
                <w:color w:val="000000" w:themeColor="text1"/>
                <w:highlight w:val="none"/>
                <w:lang w:val="en-US" w:eastAsia="zh-CN"/>
                <w14:textFill>
                  <w14:solidFill>
                    <w14:schemeClr w14:val="tx1"/>
                  </w14:solidFill>
                </w14:textFill>
              </w:rPr>
              <w:t>3-2</w:t>
            </w:r>
          </w:p>
        </w:tc>
        <w:tc>
          <w:tcPr>
            <w:tcW w:w="1523" w:type="dxa"/>
            <w:tcBorders>
              <w:tl2br w:val="nil"/>
              <w:tr2bl w:val="nil"/>
            </w:tcBorders>
            <w:noWrap w:val="0"/>
            <w:vAlign w:val="center"/>
          </w:tcPr>
          <w:p w14:paraId="7274CB0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氟化物</w:t>
            </w:r>
          </w:p>
        </w:tc>
        <w:tc>
          <w:tcPr>
            <w:tcW w:w="2352" w:type="dxa"/>
            <w:vMerge w:val="continue"/>
            <w:tcBorders>
              <w:tl2br w:val="nil"/>
              <w:tr2bl w:val="nil"/>
            </w:tcBorders>
            <w:noWrap w:val="0"/>
            <w:vAlign w:val="center"/>
          </w:tcPr>
          <w:p w14:paraId="40934E8E">
            <w:pPr>
              <w:pStyle w:val="26"/>
              <w:bidi w:val="0"/>
              <w:jc w:val="both"/>
              <w:rPr>
                <w:rFonts w:hint="eastAsia"/>
                <w:color w:val="000000" w:themeColor="text1"/>
                <w:highlight w:val="none"/>
                <w:lang w:val="en-US" w:eastAsia="zh-CN"/>
                <w14:textFill>
                  <w14:solidFill>
                    <w14:schemeClr w14:val="tx1"/>
                  </w14:solidFill>
                </w14:textFill>
              </w:rPr>
            </w:pPr>
          </w:p>
        </w:tc>
      </w:tr>
      <w:tr w14:paraId="3E5B19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Merge w:val="restart"/>
            <w:tcBorders>
              <w:tl2br w:val="nil"/>
              <w:tr2bl w:val="nil"/>
            </w:tcBorders>
            <w:noWrap w:val="0"/>
            <w:vAlign w:val="center"/>
          </w:tcPr>
          <w:p w14:paraId="574457F2">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废水</w:t>
            </w:r>
          </w:p>
        </w:tc>
        <w:tc>
          <w:tcPr>
            <w:tcW w:w="1336" w:type="dxa"/>
            <w:tcBorders>
              <w:tl2br w:val="nil"/>
              <w:tr2bl w:val="nil"/>
            </w:tcBorders>
            <w:noWrap w:val="0"/>
            <w:vAlign w:val="center"/>
          </w:tcPr>
          <w:p w14:paraId="6E6D30AB">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喷淋塔废水</w:t>
            </w:r>
          </w:p>
        </w:tc>
        <w:tc>
          <w:tcPr>
            <w:tcW w:w="1533" w:type="dxa"/>
            <w:tcBorders>
              <w:tl2br w:val="nil"/>
              <w:tr2bl w:val="nil"/>
            </w:tcBorders>
            <w:noWrap w:val="0"/>
            <w:vAlign w:val="center"/>
          </w:tcPr>
          <w:p w14:paraId="7ADA121F">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废气处理</w:t>
            </w:r>
          </w:p>
        </w:tc>
        <w:tc>
          <w:tcPr>
            <w:tcW w:w="1622" w:type="dxa"/>
            <w:tcBorders>
              <w:tl2br w:val="nil"/>
              <w:tr2bl w:val="nil"/>
            </w:tcBorders>
            <w:noWrap w:val="0"/>
            <w:vAlign w:val="center"/>
          </w:tcPr>
          <w:p w14:paraId="5B68C8F3">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W1</w:t>
            </w:r>
          </w:p>
        </w:tc>
        <w:tc>
          <w:tcPr>
            <w:tcW w:w="1523" w:type="dxa"/>
            <w:tcBorders>
              <w:tl2br w:val="nil"/>
              <w:tr2bl w:val="nil"/>
            </w:tcBorders>
            <w:noWrap w:val="0"/>
            <w:vAlign w:val="center"/>
          </w:tcPr>
          <w:p w14:paraId="013F9233">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SS</w:t>
            </w:r>
          </w:p>
        </w:tc>
        <w:tc>
          <w:tcPr>
            <w:tcW w:w="2352" w:type="dxa"/>
            <w:tcBorders>
              <w:tl2br w:val="nil"/>
              <w:tr2bl w:val="nil"/>
            </w:tcBorders>
            <w:noWrap w:val="0"/>
            <w:vAlign w:val="center"/>
          </w:tcPr>
          <w:p w14:paraId="51C6E2F5">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回用于生产</w:t>
            </w:r>
          </w:p>
        </w:tc>
      </w:tr>
      <w:tr w14:paraId="5102AF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Merge w:val="continue"/>
            <w:tcBorders>
              <w:tl2br w:val="nil"/>
              <w:tr2bl w:val="nil"/>
            </w:tcBorders>
            <w:noWrap w:val="0"/>
            <w:vAlign w:val="center"/>
          </w:tcPr>
          <w:p w14:paraId="2007659E">
            <w:pPr>
              <w:pStyle w:val="26"/>
              <w:bidi w:val="0"/>
              <w:jc w:val="center"/>
              <w:rPr>
                <w:rFonts w:hint="eastAsia"/>
                <w:color w:val="000000" w:themeColor="text1"/>
                <w:highlight w:val="none"/>
                <w:lang w:val="en-US" w:eastAsia="zh-CN"/>
                <w14:textFill>
                  <w14:solidFill>
                    <w14:schemeClr w14:val="tx1"/>
                  </w14:solidFill>
                </w14:textFill>
              </w:rPr>
            </w:pPr>
          </w:p>
        </w:tc>
        <w:tc>
          <w:tcPr>
            <w:tcW w:w="1336" w:type="dxa"/>
            <w:tcBorders>
              <w:tl2br w:val="nil"/>
              <w:tr2bl w:val="nil"/>
            </w:tcBorders>
            <w:noWrap w:val="0"/>
            <w:vAlign w:val="center"/>
          </w:tcPr>
          <w:p w14:paraId="0DF2B05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生活污水</w:t>
            </w:r>
          </w:p>
        </w:tc>
        <w:tc>
          <w:tcPr>
            <w:tcW w:w="1533" w:type="dxa"/>
            <w:tcBorders>
              <w:tl2br w:val="nil"/>
              <w:tr2bl w:val="nil"/>
            </w:tcBorders>
            <w:noWrap w:val="0"/>
            <w:vAlign w:val="center"/>
          </w:tcPr>
          <w:p w14:paraId="772F8E7F">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员工生活</w:t>
            </w:r>
          </w:p>
        </w:tc>
        <w:tc>
          <w:tcPr>
            <w:tcW w:w="1622" w:type="dxa"/>
            <w:tcBorders>
              <w:tl2br w:val="nil"/>
              <w:tr2bl w:val="nil"/>
            </w:tcBorders>
            <w:noWrap w:val="0"/>
            <w:vAlign w:val="center"/>
          </w:tcPr>
          <w:p w14:paraId="5BB38CA2">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W3</w:t>
            </w:r>
          </w:p>
        </w:tc>
        <w:tc>
          <w:tcPr>
            <w:tcW w:w="1523" w:type="dxa"/>
            <w:tcBorders>
              <w:tl2br w:val="nil"/>
              <w:tr2bl w:val="nil"/>
            </w:tcBorders>
            <w:noWrap w:val="0"/>
            <w:vAlign w:val="center"/>
          </w:tcPr>
          <w:p w14:paraId="4A89AF51">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COD</w:t>
            </w:r>
            <w:r>
              <w:rPr>
                <w:rFonts w:hint="default" w:ascii="Times New Roman" w:hAnsi="Times New Roman" w:eastAsia="宋体" w:cs="Times New Roman"/>
                <w:color w:val="000000" w:themeColor="text1"/>
                <w:highlight w:val="none"/>
                <w:vertAlign w:val="subscript"/>
                <w:lang w:val="en-US" w:eastAsia="zh-CN"/>
                <w14:textFill>
                  <w14:solidFill>
                    <w14:schemeClr w14:val="tx1"/>
                  </w14:solidFill>
                </w14:textFill>
              </w:rPr>
              <w:t>Cr</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BOD</w:t>
            </w:r>
            <w:r>
              <w:rPr>
                <w:rFonts w:hint="default" w:ascii="Times New Roman" w:hAnsi="Times New Roman" w:eastAsia="宋体" w:cs="Times New Roman"/>
                <w:color w:val="000000" w:themeColor="text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SS</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NH</w:t>
            </w:r>
            <w:r>
              <w:rPr>
                <w:rFonts w:hint="default" w:ascii="Times New Roman" w:hAnsi="Times New Roman" w:eastAsia="宋体" w:cs="Times New Roman"/>
                <w:color w:val="000000" w:themeColor="text1"/>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lang w:val="en-US" w:eastAsia="zh-CN"/>
                <w14:textFill>
                  <w14:solidFill>
                    <w14:schemeClr w14:val="tx1"/>
                  </w14:solidFill>
                </w14:textFill>
              </w:rPr>
              <w:t>-N</w:t>
            </w:r>
          </w:p>
        </w:tc>
        <w:tc>
          <w:tcPr>
            <w:tcW w:w="2352" w:type="dxa"/>
            <w:tcBorders>
              <w:tl2br w:val="nil"/>
              <w:tr2bl w:val="nil"/>
            </w:tcBorders>
            <w:noWrap w:val="0"/>
            <w:vAlign w:val="center"/>
          </w:tcPr>
          <w:p w14:paraId="33EEA28A">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进入园区污水管网，最终园区污水处理厂处理</w:t>
            </w:r>
          </w:p>
        </w:tc>
      </w:tr>
      <w:tr w14:paraId="477C1C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tcBorders>
              <w:tl2br w:val="nil"/>
              <w:tr2bl w:val="nil"/>
            </w:tcBorders>
            <w:noWrap w:val="0"/>
            <w:vAlign w:val="center"/>
          </w:tcPr>
          <w:p w14:paraId="5442CE9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固废</w:t>
            </w:r>
          </w:p>
        </w:tc>
        <w:tc>
          <w:tcPr>
            <w:tcW w:w="1336" w:type="dxa"/>
            <w:tcBorders>
              <w:tl2br w:val="nil"/>
              <w:tr2bl w:val="nil"/>
            </w:tcBorders>
            <w:noWrap w:val="0"/>
            <w:vAlign w:val="center"/>
          </w:tcPr>
          <w:p w14:paraId="3B13E3E9">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废包装</w:t>
            </w:r>
          </w:p>
        </w:tc>
        <w:tc>
          <w:tcPr>
            <w:tcW w:w="1533" w:type="dxa"/>
            <w:tcBorders>
              <w:tl2br w:val="nil"/>
              <w:tr2bl w:val="nil"/>
            </w:tcBorders>
            <w:noWrap w:val="0"/>
            <w:vAlign w:val="center"/>
          </w:tcPr>
          <w:p w14:paraId="179FA356">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拆包</w:t>
            </w:r>
          </w:p>
        </w:tc>
        <w:tc>
          <w:tcPr>
            <w:tcW w:w="1622" w:type="dxa"/>
            <w:tcBorders>
              <w:tl2br w:val="nil"/>
              <w:tr2bl w:val="nil"/>
            </w:tcBorders>
            <w:noWrap w:val="0"/>
            <w:vAlign w:val="center"/>
          </w:tcPr>
          <w:p w14:paraId="3099509B">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S1-1、S2-1、S3-1</w:t>
            </w:r>
          </w:p>
        </w:tc>
        <w:tc>
          <w:tcPr>
            <w:tcW w:w="1523" w:type="dxa"/>
            <w:tcBorders>
              <w:tl2br w:val="nil"/>
              <w:tr2bl w:val="nil"/>
            </w:tcBorders>
            <w:noWrap w:val="0"/>
            <w:vAlign w:val="center"/>
          </w:tcPr>
          <w:p w14:paraId="491CAE2F">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废包装物</w:t>
            </w:r>
          </w:p>
        </w:tc>
        <w:tc>
          <w:tcPr>
            <w:tcW w:w="2352" w:type="dxa"/>
            <w:tcBorders>
              <w:tl2br w:val="nil"/>
              <w:tr2bl w:val="nil"/>
            </w:tcBorders>
            <w:noWrap w:val="0"/>
            <w:vAlign w:val="center"/>
          </w:tcPr>
          <w:p w14:paraId="7C7A8079">
            <w:pPr>
              <w:pStyle w:val="26"/>
              <w:bidi w:val="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集中收集外售综合利用</w:t>
            </w:r>
          </w:p>
        </w:tc>
      </w:tr>
      <w:tr w14:paraId="24E2B5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gridSpan w:val="2"/>
            <w:tcBorders>
              <w:tl2br w:val="nil"/>
              <w:tr2bl w:val="nil"/>
            </w:tcBorders>
            <w:noWrap w:val="0"/>
            <w:vAlign w:val="center"/>
          </w:tcPr>
          <w:p w14:paraId="088863F8">
            <w:pPr>
              <w:pStyle w:val="26"/>
              <w:bidi w:val="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噪声</w:t>
            </w:r>
          </w:p>
        </w:tc>
        <w:tc>
          <w:tcPr>
            <w:tcW w:w="1533" w:type="dxa"/>
            <w:tcBorders>
              <w:tl2br w:val="nil"/>
              <w:tr2bl w:val="nil"/>
            </w:tcBorders>
            <w:noWrap w:val="0"/>
            <w:vAlign w:val="center"/>
          </w:tcPr>
          <w:p w14:paraId="1D8E9BE0">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机械设备</w:t>
            </w:r>
          </w:p>
        </w:tc>
        <w:tc>
          <w:tcPr>
            <w:tcW w:w="1622" w:type="dxa"/>
            <w:tcBorders>
              <w:tl2br w:val="nil"/>
              <w:tr2bl w:val="nil"/>
            </w:tcBorders>
            <w:noWrap w:val="0"/>
            <w:vAlign w:val="center"/>
          </w:tcPr>
          <w:p w14:paraId="4259C3C6">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w:t>
            </w:r>
          </w:p>
        </w:tc>
        <w:tc>
          <w:tcPr>
            <w:tcW w:w="1523" w:type="dxa"/>
            <w:tcBorders>
              <w:tl2br w:val="nil"/>
              <w:tr2bl w:val="nil"/>
            </w:tcBorders>
            <w:noWrap w:val="0"/>
            <w:vAlign w:val="center"/>
          </w:tcPr>
          <w:p w14:paraId="30D8A27A">
            <w:pPr>
              <w:pStyle w:val="26"/>
              <w:bidi w:val="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Leq</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A</w:t>
            </w:r>
            <w:r>
              <w:rPr>
                <w:rFonts w:hint="eastAsia" w:cs="Times New Roman"/>
                <w:color w:val="000000" w:themeColor="text1"/>
                <w:highlight w:val="none"/>
                <w:lang w:val="en-US" w:eastAsia="zh-CN"/>
                <w14:textFill>
                  <w14:solidFill>
                    <w14:schemeClr w14:val="tx1"/>
                  </w14:solidFill>
                </w14:textFill>
              </w:rPr>
              <w:t>)</w:t>
            </w:r>
          </w:p>
        </w:tc>
        <w:tc>
          <w:tcPr>
            <w:tcW w:w="2352" w:type="dxa"/>
            <w:tcBorders>
              <w:tl2br w:val="nil"/>
              <w:tr2bl w:val="nil"/>
            </w:tcBorders>
            <w:noWrap w:val="0"/>
            <w:vAlign w:val="center"/>
          </w:tcPr>
          <w:p w14:paraId="4C5AE7B4">
            <w:pPr>
              <w:pStyle w:val="26"/>
              <w:bidi w:val="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基础减震，厂房隔声</w:t>
            </w:r>
          </w:p>
        </w:tc>
      </w:tr>
    </w:tbl>
    <w:p w14:paraId="5BBE1D2C">
      <w:pPr>
        <w:pStyle w:val="4"/>
        <w:bidi w:val="0"/>
        <w:rPr>
          <w:rFonts w:hint="eastAsia"/>
          <w:color w:val="000000" w:themeColor="text1"/>
          <w:highlight w:val="none"/>
          <w:lang w:val="en-US" w:eastAsia="zh-CN"/>
          <w14:textFill>
            <w14:solidFill>
              <w14:schemeClr w14:val="tx1"/>
            </w14:solidFill>
          </w14:textFill>
        </w:rPr>
      </w:pPr>
      <w:bookmarkStart w:id="646" w:name="_Toc28053"/>
      <w:bookmarkStart w:id="647" w:name="_Toc18712"/>
      <w:r>
        <w:rPr>
          <w:rFonts w:hint="eastAsia"/>
          <w:color w:val="000000" w:themeColor="text1"/>
          <w:highlight w:val="none"/>
          <w:lang w:val="en-US" w:eastAsia="zh-CN"/>
          <w14:textFill>
            <w14:solidFill>
              <w14:schemeClr w14:val="tx1"/>
            </w14:solidFill>
          </w14:textFill>
        </w:rPr>
        <w:t>3.6.3相关平衡分析</w:t>
      </w:r>
    </w:p>
    <w:p w14:paraId="54F39DD7">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3.6.3.1水平衡</w:t>
      </w:r>
    </w:p>
    <w:p w14:paraId="0121286B">
      <w:pP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本项目水平衡见表3.6.3-1。</w:t>
      </w:r>
    </w:p>
    <w:p w14:paraId="63DE4AE3">
      <w:pPr>
        <w:pStyle w:val="25"/>
        <w:bidi w:val="0"/>
        <w:rPr>
          <w:rFonts w:hint="eastAsia"/>
          <w:color w:val="000000" w:themeColor="text1"/>
          <w:highlight w:val="none"/>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7A2707C">
      <w:pPr>
        <w:pStyle w:val="25"/>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3.6.3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本项目水平衡</w:t>
      </w: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 xml:space="preserve">       单位m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/a</w:t>
      </w:r>
    </w:p>
    <w:tbl>
      <w:tblPr>
        <w:tblStyle w:val="20"/>
        <w:tblW w:w="4996"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660"/>
        <w:gridCol w:w="1142"/>
        <w:gridCol w:w="1329"/>
        <w:gridCol w:w="1213"/>
        <w:gridCol w:w="1136"/>
        <w:gridCol w:w="1292"/>
        <w:gridCol w:w="1247"/>
        <w:gridCol w:w="1391"/>
        <w:gridCol w:w="1131"/>
        <w:gridCol w:w="1369"/>
        <w:gridCol w:w="1094"/>
        <w:gridCol w:w="1159"/>
      </w:tblGrid>
      <w:tr w14:paraId="04E2B6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233" w:type="pct"/>
            <w:vMerge w:val="restart"/>
            <w:shd w:val="clear" w:color="auto" w:fill="auto"/>
            <w:vAlign w:val="center"/>
          </w:tcPr>
          <w:p w14:paraId="328DA9E6">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序号</w:t>
            </w:r>
          </w:p>
        </w:tc>
        <w:tc>
          <w:tcPr>
            <w:tcW w:w="403" w:type="pct"/>
            <w:vMerge w:val="restart"/>
            <w:shd w:val="clear" w:color="auto" w:fill="auto"/>
            <w:vAlign w:val="center"/>
          </w:tcPr>
          <w:p w14:paraId="20A862E2">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项目</w:t>
            </w:r>
          </w:p>
        </w:tc>
        <w:tc>
          <w:tcPr>
            <w:tcW w:w="1754" w:type="pct"/>
            <w:gridSpan w:val="4"/>
            <w:shd w:val="clear" w:color="auto" w:fill="auto"/>
            <w:vAlign w:val="center"/>
          </w:tcPr>
          <w:p w14:paraId="4C71C81F">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给水</w:t>
            </w:r>
          </w:p>
        </w:tc>
        <w:tc>
          <w:tcPr>
            <w:tcW w:w="1813" w:type="pct"/>
            <w:gridSpan w:val="4"/>
            <w:shd w:val="clear" w:color="auto" w:fill="auto"/>
            <w:vAlign w:val="center"/>
          </w:tcPr>
          <w:p w14:paraId="1FAB1922">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排水</w:t>
            </w:r>
          </w:p>
        </w:tc>
        <w:tc>
          <w:tcPr>
            <w:tcW w:w="386" w:type="pct"/>
            <w:vMerge w:val="restart"/>
            <w:tcBorders>
              <w:bottom w:val="single" w:color="000000" w:sz="12" w:space="0"/>
            </w:tcBorders>
            <w:shd w:val="clear" w:color="auto" w:fill="auto"/>
            <w:vAlign w:val="center"/>
          </w:tcPr>
          <w:p w14:paraId="4496EFE9">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损耗</w:t>
            </w:r>
          </w:p>
        </w:tc>
        <w:tc>
          <w:tcPr>
            <w:tcW w:w="409" w:type="pct"/>
            <w:vMerge w:val="restart"/>
            <w:tcBorders>
              <w:bottom w:val="single" w:color="000000" w:sz="12" w:space="0"/>
            </w:tcBorders>
            <w:shd w:val="clear" w:color="auto" w:fill="auto"/>
            <w:noWrap/>
            <w:vAlign w:val="center"/>
          </w:tcPr>
          <w:p w14:paraId="1468432A">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备注</w:t>
            </w:r>
          </w:p>
        </w:tc>
      </w:tr>
      <w:tr w14:paraId="630718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233" w:type="pct"/>
            <w:vMerge w:val="continue"/>
            <w:tcBorders>
              <w:bottom w:val="single" w:color="000000" w:sz="12" w:space="0"/>
            </w:tcBorders>
            <w:shd w:val="clear" w:color="auto" w:fill="auto"/>
            <w:vAlign w:val="center"/>
          </w:tcPr>
          <w:p w14:paraId="5AEF9A25">
            <w:pPr>
              <w:pStyle w:val="26"/>
              <w:bidi w:val="0"/>
              <w:jc w:val="center"/>
              <w:rPr>
                <w:rFonts w:hint="default" w:eastAsia="宋体"/>
                <w:b/>
                <w:bCs/>
                <w:color w:val="000000" w:themeColor="text1"/>
                <w:highlight w:val="none"/>
                <w:lang w:val="en-US" w:eastAsia="zh-CN"/>
                <w14:textFill>
                  <w14:solidFill>
                    <w14:schemeClr w14:val="tx1"/>
                  </w14:solidFill>
                </w14:textFill>
              </w:rPr>
            </w:pPr>
          </w:p>
        </w:tc>
        <w:tc>
          <w:tcPr>
            <w:tcW w:w="403" w:type="pct"/>
            <w:vMerge w:val="continue"/>
            <w:tcBorders>
              <w:bottom w:val="single" w:color="000000" w:sz="12" w:space="0"/>
            </w:tcBorders>
            <w:shd w:val="clear" w:color="auto" w:fill="auto"/>
            <w:vAlign w:val="center"/>
          </w:tcPr>
          <w:p w14:paraId="7294FEE6">
            <w:pPr>
              <w:pStyle w:val="26"/>
              <w:bidi w:val="0"/>
              <w:jc w:val="center"/>
              <w:rPr>
                <w:rFonts w:hint="default" w:eastAsia="宋体"/>
                <w:b/>
                <w:bCs/>
                <w:color w:val="000000" w:themeColor="text1"/>
                <w:highlight w:val="none"/>
                <w:lang w:val="en-US" w:eastAsia="zh-CN"/>
                <w14:textFill>
                  <w14:solidFill>
                    <w14:schemeClr w14:val="tx1"/>
                  </w14:solidFill>
                </w14:textFill>
              </w:rPr>
            </w:pPr>
          </w:p>
        </w:tc>
        <w:tc>
          <w:tcPr>
            <w:tcW w:w="469" w:type="pct"/>
            <w:tcBorders>
              <w:bottom w:val="single" w:color="000000" w:sz="12" w:space="0"/>
            </w:tcBorders>
            <w:shd w:val="clear" w:color="auto" w:fill="auto"/>
            <w:vAlign w:val="center"/>
          </w:tcPr>
          <w:p w14:paraId="3A8802EC">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新鲜水</w:t>
            </w:r>
          </w:p>
        </w:tc>
        <w:tc>
          <w:tcPr>
            <w:tcW w:w="428" w:type="pct"/>
            <w:tcBorders>
              <w:bottom w:val="single" w:color="000000" w:sz="12" w:space="0"/>
            </w:tcBorders>
            <w:shd w:val="clear" w:color="auto" w:fill="auto"/>
            <w:vAlign w:val="center"/>
          </w:tcPr>
          <w:p w14:paraId="16A33C27">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循环及回用水</w:t>
            </w:r>
          </w:p>
        </w:tc>
        <w:tc>
          <w:tcPr>
            <w:tcW w:w="401" w:type="pct"/>
            <w:tcBorders>
              <w:bottom w:val="single" w:color="000000" w:sz="12" w:space="0"/>
            </w:tcBorders>
            <w:shd w:val="clear" w:color="auto" w:fill="auto"/>
            <w:vAlign w:val="center"/>
          </w:tcPr>
          <w:p w14:paraId="57D7F7A4">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纯水</w:t>
            </w:r>
          </w:p>
        </w:tc>
        <w:tc>
          <w:tcPr>
            <w:tcW w:w="456" w:type="pct"/>
            <w:tcBorders>
              <w:bottom w:val="single" w:color="000000" w:sz="12" w:space="0"/>
            </w:tcBorders>
            <w:shd w:val="clear" w:color="auto" w:fill="auto"/>
            <w:noWrap/>
            <w:vAlign w:val="center"/>
          </w:tcPr>
          <w:p w14:paraId="3F872DD9">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其他水</w:t>
            </w:r>
          </w:p>
        </w:tc>
        <w:tc>
          <w:tcPr>
            <w:tcW w:w="440" w:type="pct"/>
            <w:tcBorders>
              <w:bottom w:val="single" w:color="000000" w:sz="12" w:space="0"/>
            </w:tcBorders>
            <w:shd w:val="clear" w:color="auto" w:fill="auto"/>
            <w:vAlign w:val="center"/>
          </w:tcPr>
          <w:p w14:paraId="70FB2C6A">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进入产品</w:t>
            </w:r>
          </w:p>
        </w:tc>
        <w:tc>
          <w:tcPr>
            <w:tcW w:w="491" w:type="pct"/>
            <w:tcBorders>
              <w:bottom w:val="single" w:color="000000" w:sz="12" w:space="0"/>
            </w:tcBorders>
            <w:shd w:val="clear" w:color="auto" w:fill="auto"/>
            <w:vAlign w:val="center"/>
          </w:tcPr>
          <w:p w14:paraId="7D37F4AE">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污水管网</w:t>
            </w:r>
          </w:p>
        </w:tc>
        <w:tc>
          <w:tcPr>
            <w:tcW w:w="399" w:type="pct"/>
            <w:tcBorders>
              <w:bottom w:val="single" w:color="000000" w:sz="12" w:space="0"/>
            </w:tcBorders>
            <w:shd w:val="clear" w:color="auto" w:fill="auto"/>
            <w:vAlign w:val="center"/>
          </w:tcPr>
          <w:p w14:paraId="04C54379">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回用</w:t>
            </w:r>
          </w:p>
        </w:tc>
        <w:tc>
          <w:tcPr>
            <w:tcW w:w="482" w:type="pct"/>
            <w:tcBorders>
              <w:bottom w:val="single" w:color="000000" w:sz="12" w:space="0"/>
            </w:tcBorders>
            <w:shd w:val="clear" w:color="auto" w:fill="auto"/>
            <w:vAlign w:val="center"/>
          </w:tcPr>
          <w:p w14:paraId="19ECDDF2">
            <w:pPr>
              <w:pStyle w:val="26"/>
              <w:bidi w:val="0"/>
              <w:jc w:val="center"/>
              <w:rPr>
                <w:rFonts w:hint="eastAsia" w:eastAsia="宋体"/>
                <w:b/>
                <w:bCs/>
                <w:color w:val="000000" w:themeColor="text1"/>
                <w:highlight w:val="none"/>
                <w:lang w:val="en-US" w:eastAsia="zh-CN"/>
                <w14:textFill>
                  <w14:solidFill>
                    <w14:schemeClr w14:val="tx1"/>
                  </w14:solidFill>
                </w14:textFill>
              </w:rPr>
            </w:pPr>
            <w:r>
              <w:rPr>
                <w:rFonts w:hint="eastAsia" w:eastAsia="宋体"/>
                <w:b/>
                <w:bCs/>
                <w:color w:val="000000" w:themeColor="text1"/>
                <w:highlight w:val="none"/>
                <w:lang w:val="en-US" w:eastAsia="zh-CN"/>
                <w14:textFill>
                  <w14:solidFill>
                    <w14:schemeClr w14:val="tx1"/>
                  </w14:solidFill>
                </w14:textFill>
              </w:rPr>
              <w:t>纯水</w:t>
            </w:r>
          </w:p>
        </w:tc>
        <w:tc>
          <w:tcPr>
            <w:tcW w:w="386" w:type="pct"/>
            <w:vMerge w:val="continue"/>
            <w:tcBorders>
              <w:top w:val="single" w:color="000000" w:sz="12" w:space="0"/>
              <w:bottom w:val="single" w:color="000000" w:sz="12" w:space="0"/>
            </w:tcBorders>
            <w:shd w:val="clear" w:color="auto" w:fill="auto"/>
            <w:vAlign w:val="center"/>
          </w:tcPr>
          <w:p w14:paraId="4632A240">
            <w:pPr>
              <w:pStyle w:val="26"/>
              <w:bidi w:val="0"/>
              <w:jc w:val="center"/>
              <w:rPr>
                <w:rFonts w:hint="default" w:eastAsia="宋体"/>
                <w:color w:val="000000" w:themeColor="text1"/>
                <w:highlight w:val="none"/>
                <w:lang w:val="en-US" w:eastAsia="zh-CN"/>
                <w14:textFill>
                  <w14:solidFill>
                    <w14:schemeClr w14:val="tx1"/>
                  </w14:solidFill>
                </w14:textFill>
              </w:rPr>
            </w:pPr>
          </w:p>
        </w:tc>
        <w:tc>
          <w:tcPr>
            <w:tcW w:w="409" w:type="pct"/>
            <w:vMerge w:val="continue"/>
            <w:tcBorders>
              <w:top w:val="single" w:color="000000" w:sz="12" w:space="0"/>
              <w:bottom w:val="single" w:color="000000" w:sz="12" w:space="0"/>
            </w:tcBorders>
            <w:shd w:val="clear" w:color="auto" w:fill="auto"/>
            <w:noWrap/>
            <w:vAlign w:val="center"/>
          </w:tcPr>
          <w:p w14:paraId="707D41D7">
            <w:pPr>
              <w:pStyle w:val="26"/>
              <w:bidi w:val="0"/>
              <w:jc w:val="center"/>
              <w:rPr>
                <w:rFonts w:hint="eastAsia" w:eastAsia="宋体"/>
                <w:color w:val="000000" w:themeColor="text1"/>
                <w:highlight w:val="none"/>
                <w:lang w:val="en-US" w:eastAsia="zh-CN"/>
                <w14:textFill>
                  <w14:solidFill>
                    <w14:schemeClr w14:val="tx1"/>
                  </w14:solidFill>
                </w14:textFill>
              </w:rPr>
            </w:pPr>
          </w:p>
        </w:tc>
      </w:tr>
      <w:tr w14:paraId="17DB420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233" w:type="pct"/>
            <w:tcBorders>
              <w:top w:val="single" w:color="000000" w:sz="12" w:space="0"/>
              <w:tl2br w:val="nil"/>
              <w:tr2bl w:val="nil"/>
            </w:tcBorders>
            <w:shd w:val="clear" w:color="auto" w:fill="auto"/>
            <w:vAlign w:val="center"/>
          </w:tcPr>
          <w:p w14:paraId="1621F083">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1</w:t>
            </w:r>
          </w:p>
        </w:tc>
        <w:tc>
          <w:tcPr>
            <w:tcW w:w="403" w:type="pct"/>
            <w:tcBorders>
              <w:top w:val="single" w:color="000000" w:sz="12" w:space="0"/>
              <w:tl2br w:val="nil"/>
              <w:tr2bl w:val="nil"/>
            </w:tcBorders>
            <w:shd w:val="clear" w:color="auto" w:fill="auto"/>
            <w:vAlign w:val="center"/>
          </w:tcPr>
          <w:p w14:paraId="1D7E6A3B">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纯水制备</w:t>
            </w:r>
            <w:r>
              <w:rPr>
                <w:rFonts w:hint="eastAsia"/>
                <w:color w:val="000000" w:themeColor="text1"/>
                <w:highlight w:val="none"/>
                <w:lang w:val="en-US" w:eastAsia="zh-CN"/>
                <w14:textFill>
                  <w14:solidFill>
                    <w14:schemeClr w14:val="tx1"/>
                  </w14:solidFill>
                </w14:textFill>
              </w:rPr>
              <w:t>用水</w:t>
            </w:r>
          </w:p>
        </w:tc>
        <w:tc>
          <w:tcPr>
            <w:tcW w:w="469" w:type="pct"/>
            <w:tcBorders>
              <w:top w:val="single" w:color="000000" w:sz="12" w:space="0"/>
              <w:tl2br w:val="nil"/>
              <w:tr2bl w:val="nil"/>
            </w:tcBorders>
            <w:shd w:val="clear" w:color="auto" w:fill="auto"/>
            <w:vAlign w:val="center"/>
          </w:tcPr>
          <w:p w14:paraId="50620855">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15562.5</w:t>
            </w:r>
          </w:p>
        </w:tc>
        <w:tc>
          <w:tcPr>
            <w:tcW w:w="428" w:type="pct"/>
            <w:tcBorders>
              <w:top w:val="single" w:color="000000" w:sz="12" w:space="0"/>
              <w:tl2br w:val="nil"/>
              <w:tr2bl w:val="nil"/>
            </w:tcBorders>
            <w:shd w:val="clear" w:color="auto" w:fill="auto"/>
            <w:vAlign w:val="center"/>
          </w:tcPr>
          <w:p w14:paraId="2E17F873">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0</w:t>
            </w:r>
          </w:p>
        </w:tc>
        <w:tc>
          <w:tcPr>
            <w:tcW w:w="401" w:type="pct"/>
            <w:tcBorders>
              <w:top w:val="single" w:color="000000" w:sz="12" w:space="0"/>
              <w:tl2br w:val="nil"/>
              <w:tr2bl w:val="nil"/>
            </w:tcBorders>
            <w:shd w:val="clear" w:color="auto" w:fill="auto"/>
            <w:vAlign w:val="center"/>
          </w:tcPr>
          <w:p w14:paraId="62092326">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0</w:t>
            </w:r>
          </w:p>
        </w:tc>
        <w:tc>
          <w:tcPr>
            <w:tcW w:w="456" w:type="pct"/>
            <w:tcBorders>
              <w:top w:val="single" w:color="000000" w:sz="12" w:space="0"/>
              <w:tl2br w:val="nil"/>
              <w:tr2bl w:val="nil"/>
            </w:tcBorders>
            <w:shd w:val="clear" w:color="auto" w:fill="auto"/>
            <w:noWrap/>
            <w:vAlign w:val="center"/>
          </w:tcPr>
          <w:p w14:paraId="3F627A27">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0</w:t>
            </w:r>
          </w:p>
        </w:tc>
        <w:tc>
          <w:tcPr>
            <w:tcW w:w="440" w:type="pct"/>
            <w:tcBorders>
              <w:top w:val="single" w:color="000000" w:sz="12" w:space="0"/>
              <w:tl2br w:val="nil"/>
              <w:tr2bl w:val="nil"/>
            </w:tcBorders>
            <w:shd w:val="clear" w:color="auto" w:fill="auto"/>
            <w:vAlign w:val="center"/>
          </w:tcPr>
          <w:p w14:paraId="7203856A">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0</w:t>
            </w:r>
          </w:p>
        </w:tc>
        <w:tc>
          <w:tcPr>
            <w:tcW w:w="491" w:type="pct"/>
            <w:tcBorders>
              <w:top w:val="single" w:color="000000" w:sz="12" w:space="0"/>
              <w:tl2br w:val="nil"/>
              <w:tr2bl w:val="nil"/>
            </w:tcBorders>
            <w:shd w:val="clear" w:color="auto" w:fill="auto"/>
            <w:vAlign w:val="center"/>
          </w:tcPr>
          <w:p w14:paraId="64A620CF">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0</w:t>
            </w:r>
          </w:p>
        </w:tc>
        <w:tc>
          <w:tcPr>
            <w:tcW w:w="399" w:type="pct"/>
            <w:tcBorders>
              <w:top w:val="single" w:color="000000" w:sz="12" w:space="0"/>
              <w:tl2br w:val="nil"/>
              <w:tr2bl w:val="nil"/>
            </w:tcBorders>
            <w:shd w:val="clear" w:color="auto" w:fill="auto"/>
            <w:vAlign w:val="center"/>
          </w:tcPr>
          <w:p w14:paraId="7E977FE0">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3112.5</w:t>
            </w:r>
          </w:p>
        </w:tc>
        <w:tc>
          <w:tcPr>
            <w:tcW w:w="482" w:type="pct"/>
            <w:tcBorders>
              <w:top w:val="single" w:color="000000" w:sz="12" w:space="0"/>
              <w:tl2br w:val="nil"/>
              <w:tr2bl w:val="nil"/>
            </w:tcBorders>
            <w:shd w:val="clear" w:color="auto" w:fill="auto"/>
            <w:vAlign w:val="center"/>
          </w:tcPr>
          <w:p w14:paraId="3707B9FF">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12450</w:t>
            </w:r>
          </w:p>
        </w:tc>
        <w:tc>
          <w:tcPr>
            <w:tcW w:w="386" w:type="pct"/>
            <w:tcBorders>
              <w:top w:val="single" w:color="000000" w:sz="12" w:space="0"/>
            </w:tcBorders>
            <w:shd w:val="clear" w:color="auto" w:fill="auto"/>
            <w:vAlign w:val="center"/>
          </w:tcPr>
          <w:p w14:paraId="62BA04D4">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09" w:type="pct"/>
            <w:tcBorders>
              <w:top w:val="single" w:color="000000" w:sz="12" w:space="0"/>
            </w:tcBorders>
            <w:shd w:val="clear" w:color="auto" w:fill="auto"/>
            <w:vAlign w:val="center"/>
          </w:tcPr>
          <w:p w14:paraId="7A74D578">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回用于速凝剂生产</w:t>
            </w:r>
          </w:p>
        </w:tc>
      </w:tr>
      <w:tr w14:paraId="4B72F7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233" w:type="pct"/>
            <w:tcBorders>
              <w:tl2br w:val="nil"/>
              <w:tr2bl w:val="nil"/>
            </w:tcBorders>
            <w:shd w:val="clear" w:color="auto" w:fill="auto"/>
            <w:vAlign w:val="center"/>
          </w:tcPr>
          <w:p w14:paraId="6D8287D2">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2</w:t>
            </w:r>
          </w:p>
        </w:tc>
        <w:tc>
          <w:tcPr>
            <w:tcW w:w="403" w:type="pct"/>
            <w:tcBorders>
              <w:tl2br w:val="nil"/>
              <w:tr2bl w:val="nil"/>
            </w:tcBorders>
            <w:shd w:val="clear" w:color="auto" w:fill="auto"/>
            <w:vAlign w:val="center"/>
          </w:tcPr>
          <w:p w14:paraId="64851A49">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减水剂生产用水</w:t>
            </w:r>
          </w:p>
        </w:tc>
        <w:tc>
          <w:tcPr>
            <w:tcW w:w="469" w:type="pct"/>
            <w:tcBorders>
              <w:tl2br w:val="nil"/>
              <w:tr2bl w:val="nil"/>
            </w:tcBorders>
            <w:shd w:val="clear" w:color="auto" w:fill="auto"/>
            <w:vAlign w:val="center"/>
          </w:tcPr>
          <w:p w14:paraId="50850232">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28" w:type="pct"/>
            <w:tcBorders>
              <w:tl2br w:val="nil"/>
              <w:tr2bl w:val="nil"/>
            </w:tcBorders>
            <w:shd w:val="clear" w:color="auto" w:fill="auto"/>
            <w:vAlign w:val="center"/>
          </w:tcPr>
          <w:p w14:paraId="2A67C310">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01" w:type="pct"/>
            <w:tcBorders>
              <w:tl2br w:val="nil"/>
              <w:tr2bl w:val="nil"/>
            </w:tcBorders>
            <w:shd w:val="clear" w:color="auto" w:fill="auto"/>
            <w:vAlign w:val="center"/>
          </w:tcPr>
          <w:p w14:paraId="53914A06">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12400</w:t>
            </w:r>
          </w:p>
        </w:tc>
        <w:tc>
          <w:tcPr>
            <w:tcW w:w="456" w:type="pct"/>
            <w:tcBorders>
              <w:tl2br w:val="nil"/>
              <w:tr2bl w:val="nil"/>
            </w:tcBorders>
            <w:shd w:val="clear" w:color="auto" w:fill="auto"/>
            <w:vAlign w:val="center"/>
          </w:tcPr>
          <w:p w14:paraId="1548AD02">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40" w:type="pct"/>
            <w:tcBorders>
              <w:tl2br w:val="nil"/>
              <w:tr2bl w:val="nil"/>
            </w:tcBorders>
            <w:shd w:val="clear" w:color="auto" w:fill="auto"/>
            <w:vAlign w:val="center"/>
          </w:tcPr>
          <w:p w14:paraId="64AE6605">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12400</w:t>
            </w:r>
          </w:p>
        </w:tc>
        <w:tc>
          <w:tcPr>
            <w:tcW w:w="491" w:type="pct"/>
            <w:tcBorders>
              <w:tl2br w:val="nil"/>
              <w:tr2bl w:val="nil"/>
            </w:tcBorders>
            <w:shd w:val="clear" w:color="auto" w:fill="auto"/>
            <w:vAlign w:val="center"/>
          </w:tcPr>
          <w:p w14:paraId="791E5754">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99" w:type="pct"/>
            <w:tcBorders>
              <w:tl2br w:val="nil"/>
              <w:tr2bl w:val="nil"/>
            </w:tcBorders>
            <w:shd w:val="clear" w:color="auto" w:fill="auto"/>
            <w:vAlign w:val="center"/>
          </w:tcPr>
          <w:p w14:paraId="423AECB2">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82" w:type="pct"/>
            <w:tcBorders>
              <w:tl2br w:val="nil"/>
              <w:tr2bl w:val="nil"/>
            </w:tcBorders>
            <w:shd w:val="clear" w:color="auto" w:fill="auto"/>
            <w:vAlign w:val="center"/>
          </w:tcPr>
          <w:p w14:paraId="52783B7D">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86" w:type="pct"/>
            <w:tcBorders>
              <w:tl2br w:val="nil"/>
              <w:tr2bl w:val="nil"/>
            </w:tcBorders>
            <w:shd w:val="clear" w:color="auto" w:fill="auto"/>
            <w:vAlign w:val="center"/>
          </w:tcPr>
          <w:p w14:paraId="181DD721">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09" w:type="pct"/>
            <w:tcBorders>
              <w:tl2br w:val="nil"/>
              <w:tr2bl w:val="nil"/>
            </w:tcBorders>
            <w:shd w:val="clear" w:color="auto" w:fill="auto"/>
            <w:vAlign w:val="center"/>
          </w:tcPr>
          <w:p w14:paraId="1F69B207">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r>
      <w:tr w14:paraId="70DE2A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233" w:type="pct"/>
            <w:tcBorders>
              <w:tl2br w:val="nil"/>
              <w:tr2bl w:val="nil"/>
            </w:tcBorders>
            <w:shd w:val="clear" w:color="auto" w:fill="auto"/>
            <w:vAlign w:val="center"/>
          </w:tcPr>
          <w:p w14:paraId="58AC5E67">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3</w:t>
            </w:r>
          </w:p>
        </w:tc>
        <w:tc>
          <w:tcPr>
            <w:tcW w:w="403" w:type="pct"/>
            <w:tcBorders>
              <w:tl2br w:val="nil"/>
              <w:tr2bl w:val="nil"/>
            </w:tcBorders>
            <w:shd w:val="clear" w:color="auto" w:fill="auto"/>
            <w:vAlign w:val="center"/>
          </w:tcPr>
          <w:p w14:paraId="2DFBB5A0">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速凝剂生产用水</w:t>
            </w:r>
          </w:p>
        </w:tc>
        <w:tc>
          <w:tcPr>
            <w:tcW w:w="469" w:type="pct"/>
            <w:tcBorders>
              <w:tl2br w:val="nil"/>
              <w:tr2bl w:val="nil"/>
            </w:tcBorders>
            <w:shd w:val="clear" w:color="auto" w:fill="auto"/>
            <w:noWrap/>
            <w:vAlign w:val="center"/>
          </w:tcPr>
          <w:p w14:paraId="6AA580F8">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4700</w:t>
            </w:r>
          </w:p>
        </w:tc>
        <w:tc>
          <w:tcPr>
            <w:tcW w:w="428" w:type="pct"/>
            <w:tcBorders>
              <w:tl2br w:val="nil"/>
              <w:tr2bl w:val="nil"/>
            </w:tcBorders>
            <w:shd w:val="clear" w:color="auto" w:fill="auto"/>
            <w:vAlign w:val="center"/>
          </w:tcPr>
          <w:p w14:paraId="73F1A7F0">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3100</w:t>
            </w:r>
          </w:p>
        </w:tc>
        <w:tc>
          <w:tcPr>
            <w:tcW w:w="401" w:type="pct"/>
            <w:tcBorders>
              <w:tl2br w:val="nil"/>
              <w:tr2bl w:val="nil"/>
            </w:tcBorders>
            <w:shd w:val="clear" w:color="auto" w:fill="auto"/>
            <w:vAlign w:val="center"/>
          </w:tcPr>
          <w:p w14:paraId="0F9A7B9B">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56" w:type="pct"/>
            <w:tcBorders>
              <w:tl2br w:val="nil"/>
              <w:tr2bl w:val="nil"/>
            </w:tcBorders>
            <w:shd w:val="clear" w:color="auto" w:fill="auto"/>
            <w:vAlign w:val="center"/>
          </w:tcPr>
          <w:p w14:paraId="484CCBA8">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40" w:type="pct"/>
            <w:tcBorders>
              <w:tl2br w:val="nil"/>
              <w:tr2bl w:val="nil"/>
            </w:tcBorders>
            <w:shd w:val="clear" w:color="auto" w:fill="auto"/>
            <w:vAlign w:val="center"/>
          </w:tcPr>
          <w:p w14:paraId="27013573">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7800</w:t>
            </w:r>
          </w:p>
        </w:tc>
        <w:tc>
          <w:tcPr>
            <w:tcW w:w="491" w:type="pct"/>
            <w:tcBorders>
              <w:tl2br w:val="nil"/>
              <w:tr2bl w:val="nil"/>
            </w:tcBorders>
            <w:shd w:val="clear" w:color="auto" w:fill="auto"/>
            <w:vAlign w:val="center"/>
          </w:tcPr>
          <w:p w14:paraId="5EA4FDB3">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99" w:type="pct"/>
            <w:tcBorders>
              <w:tl2br w:val="nil"/>
              <w:tr2bl w:val="nil"/>
            </w:tcBorders>
            <w:shd w:val="clear" w:color="auto" w:fill="auto"/>
            <w:vAlign w:val="center"/>
          </w:tcPr>
          <w:p w14:paraId="7E47BFCD">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82" w:type="pct"/>
            <w:tcBorders>
              <w:tl2br w:val="nil"/>
              <w:tr2bl w:val="nil"/>
            </w:tcBorders>
            <w:shd w:val="clear" w:color="auto" w:fill="auto"/>
            <w:vAlign w:val="center"/>
          </w:tcPr>
          <w:p w14:paraId="711FAE25">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86" w:type="pct"/>
            <w:tcBorders>
              <w:tl2br w:val="nil"/>
              <w:tr2bl w:val="nil"/>
            </w:tcBorders>
            <w:shd w:val="clear" w:color="auto" w:fill="auto"/>
            <w:vAlign w:val="center"/>
          </w:tcPr>
          <w:p w14:paraId="3D64789F">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09" w:type="pct"/>
            <w:tcBorders>
              <w:tl2br w:val="nil"/>
              <w:tr2bl w:val="nil"/>
            </w:tcBorders>
            <w:shd w:val="clear" w:color="auto" w:fill="auto"/>
            <w:vAlign w:val="center"/>
          </w:tcPr>
          <w:p w14:paraId="4A2F587F">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r>
      <w:tr w14:paraId="20DC8AB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233" w:type="pct"/>
            <w:tcBorders>
              <w:tl2br w:val="nil"/>
              <w:tr2bl w:val="nil"/>
            </w:tcBorders>
            <w:shd w:val="clear" w:color="auto" w:fill="auto"/>
            <w:vAlign w:val="center"/>
          </w:tcPr>
          <w:p w14:paraId="4B0FC56D">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w:t>
            </w:r>
          </w:p>
        </w:tc>
        <w:tc>
          <w:tcPr>
            <w:tcW w:w="403" w:type="pct"/>
            <w:tcBorders>
              <w:tl2br w:val="nil"/>
              <w:tr2bl w:val="nil"/>
            </w:tcBorders>
            <w:shd w:val="clear" w:color="auto" w:fill="auto"/>
            <w:vAlign w:val="center"/>
          </w:tcPr>
          <w:p w14:paraId="796A821D">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硫酸铝生产用水</w:t>
            </w:r>
          </w:p>
        </w:tc>
        <w:tc>
          <w:tcPr>
            <w:tcW w:w="469" w:type="pct"/>
            <w:tcBorders>
              <w:tl2br w:val="nil"/>
              <w:tr2bl w:val="nil"/>
            </w:tcBorders>
            <w:shd w:val="clear" w:color="auto" w:fill="auto"/>
            <w:noWrap/>
            <w:vAlign w:val="center"/>
          </w:tcPr>
          <w:p w14:paraId="14BE6DCD">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12784</w:t>
            </w:r>
          </w:p>
        </w:tc>
        <w:tc>
          <w:tcPr>
            <w:tcW w:w="428" w:type="pct"/>
            <w:tcBorders>
              <w:tl2br w:val="nil"/>
              <w:tr2bl w:val="nil"/>
            </w:tcBorders>
            <w:shd w:val="clear" w:color="auto" w:fill="auto"/>
            <w:vAlign w:val="center"/>
          </w:tcPr>
          <w:p w14:paraId="4EF53AF4">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216</w:t>
            </w:r>
          </w:p>
        </w:tc>
        <w:tc>
          <w:tcPr>
            <w:tcW w:w="401" w:type="pct"/>
            <w:tcBorders>
              <w:tl2br w:val="nil"/>
              <w:tr2bl w:val="nil"/>
            </w:tcBorders>
            <w:shd w:val="clear" w:color="auto" w:fill="auto"/>
            <w:vAlign w:val="center"/>
          </w:tcPr>
          <w:p w14:paraId="11339FE0">
            <w:pPr>
              <w:pStyle w:val="26"/>
              <w:bidi w:val="0"/>
              <w:jc w:val="center"/>
              <w:rPr>
                <w:rFonts w:hint="default" w:eastAsia="宋体"/>
                <w:color w:val="000000" w:themeColor="text1"/>
                <w:highlight w:val="none"/>
                <w:lang w:val="en-US" w:eastAsia="zh-CN"/>
                <w14:textFill>
                  <w14:solidFill>
                    <w14:schemeClr w14:val="tx1"/>
                  </w14:solidFill>
                </w14:textFill>
              </w:rPr>
            </w:pPr>
          </w:p>
        </w:tc>
        <w:tc>
          <w:tcPr>
            <w:tcW w:w="456" w:type="pct"/>
            <w:tcBorders>
              <w:tl2br w:val="nil"/>
              <w:tr2bl w:val="nil"/>
            </w:tcBorders>
            <w:shd w:val="clear" w:color="auto" w:fill="auto"/>
            <w:vAlign w:val="center"/>
          </w:tcPr>
          <w:p w14:paraId="1500F122">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40" w:type="pct"/>
            <w:tcBorders>
              <w:tl2br w:val="nil"/>
              <w:tr2bl w:val="nil"/>
            </w:tcBorders>
            <w:shd w:val="clear" w:color="auto" w:fill="auto"/>
            <w:vAlign w:val="center"/>
          </w:tcPr>
          <w:p w14:paraId="68794430">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13000</w:t>
            </w:r>
          </w:p>
        </w:tc>
        <w:tc>
          <w:tcPr>
            <w:tcW w:w="491" w:type="pct"/>
            <w:tcBorders>
              <w:tl2br w:val="nil"/>
              <w:tr2bl w:val="nil"/>
            </w:tcBorders>
            <w:shd w:val="clear" w:color="auto" w:fill="auto"/>
            <w:vAlign w:val="center"/>
          </w:tcPr>
          <w:p w14:paraId="706FA34B">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99" w:type="pct"/>
            <w:tcBorders>
              <w:tl2br w:val="nil"/>
              <w:tr2bl w:val="nil"/>
            </w:tcBorders>
            <w:shd w:val="clear" w:color="auto" w:fill="auto"/>
            <w:vAlign w:val="center"/>
          </w:tcPr>
          <w:p w14:paraId="2B634B16">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82" w:type="pct"/>
            <w:tcBorders>
              <w:tl2br w:val="nil"/>
              <w:tr2bl w:val="nil"/>
            </w:tcBorders>
            <w:shd w:val="clear" w:color="auto" w:fill="auto"/>
            <w:vAlign w:val="center"/>
          </w:tcPr>
          <w:p w14:paraId="3583CAA2">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86" w:type="pct"/>
            <w:tcBorders>
              <w:tl2br w:val="nil"/>
              <w:tr2bl w:val="nil"/>
            </w:tcBorders>
            <w:shd w:val="clear" w:color="auto" w:fill="auto"/>
            <w:vAlign w:val="center"/>
          </w:tcPr>
          <w:p w14:paraId="0A4DC519">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09" w:type="pct"/>
            <w:tcBorders>
              <w:tl2br w:val="nil"/>
              <w:tr2bl w:val="nil"/>
            </w:tcBorders>
            <w:shd w:val="clear" w:color="auto" w:fill="auto"/>
            <w:vAlign w:val="center"/>
          </w:tcPr>
          <w:p w14:paraId="7A5CAC42">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r>
      <w:tr w14:paraId="0FC7F2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233" w:type="pct"/>
            <w:tcBorders>
              <w:tl2br w:val="nil"/>
              <w:tr2bl w:val="nil"/>
            </w:tcBorders>
            <w:shd w:val="clear" w:color="auto" w:fill="auto"/>
            <w:vAlign w:val="center"/>
          </w:tcPr>
          <w:p w14:paraId="728EF75B">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5</w:t>
            </w:r>
          </w:p>
        </w:tc>
        <w:tc>
          <w:tcPr>
            <w:tcW w:w="403" w:type="pct"/>
            <w:tcBorders>
              <w:tl2br w:val="nil"/>
              <w:tr2bl w:val="nil"/>
            </w:tcBorders>
            <w:shd w:val="clear" w:color="auto" w:fill="auto"/>
            <w:vAlign w:val="center"/>
          </w:tcPr>
          <w:p w14:paraId="6D2BB25B">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硫酸铝冷却用水</w:t>
            </w:r>
          </w:p>
        </w:tc>
        <w:tc>
          <w:tcPr>
            <w:tcW w:w="469" w:type="pct"/>
            <w:tcBorders>
              <w:tl2br w:val="nil"/>
              <w:tr2bl w:val="nil"/>
            </w:tcBorders>
            <w:shd w:val="clear" w:color="auto" w:fill="auto"/>
            <w:vAlign w:val="center"/>
          </w:tcPr>
          <w:p w14:paraId="46E5E4FD">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4320</w:t>
            </w:r>
          </w:p>
        </w:tc>
        <w:tc>
          <w:tcPr>
            <w:tcW w:w="428" w:type="pct"/>
            <w:tcBorders>
              <w:tl2br w:val="nil"/>
              <w:tr2bl w:val="nil"/>
            </w:tcBorders>
            <w:shd w:val="clear" w:color="auto" w:fill="auto"/>
            <w:vAlign w:val="center"/>
          </w:tcPr>
          <w:p w14:paraId="7380F870">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38880</w:t>
            </w:r>
          </w:p>
        </w:tc>
        <w:tc>
          <w:tcPr>
            <w:tcW w:w="401" w:type="pct"/>
            <w:tcBorders>
              <w:tl2br w:val="nil"/>
              <w:tr2bl w:val="nil"/>
            </w:tcBorders>
            <w:shd w:val="clear" w:color="auto" w:fill="auto"/>
            <w:vAlign w:val="center"/>
          </w:tcPr>
          <w:p w14:paraId="6B20D914">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56" w:type="pct"/>
            <w:tcBorders>
              <w:tl2br w:val="nil"/>
              <w:tr2bl w:val="nil"/>
            </w:tcBorders>
            <w:shd w:val="clear" w:color="auto" w:fill="auto"/>
            <w:vAlign w:val="center"/>
          </w:tcPr>
          <w:p w14:paraId="328D2647">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40" w:type="pct"/>
            <w:tcBorders>
              <w:tl2br w:val="nil"/>
              <w:tr2bl w:val="nil"/>
            </w:tcBorders>
            <w:shd w:val="clear" w:color="auto" w:fill="auto"/>
            <w:vAlign w:val="center"/>
          </w:tcPr>
          <w:p w14:paraId="54107095">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91" w:type="pct"/>
            <w:tcBorders>
              <w:tl2br w:val="nil"/>
              <w:tr2bl w:val="nil"/>
            </w:tcBorders>
            <w:shd w:val="clear" w:color="auto" w:fill="auto"/>
            <w:vAlign w:val="center"/>
          </w:tcPr>
          <w:p w14:paraId="01842C69">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99" w:type="pct"/>
            <w:tcBorders>
              <w:tl2br w:val="nil"/>
              <w:tr2bl w:val="nil"/>
            </w:tcBorders>
            <w:shd w:val="clear" w:color="auto" w:fill="auto"/>
            <w:vAlign w:val="center"/>
          </w:tcPr>
          <w:p w14:paraId="0F176F36">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38880</w:t>
            </w:r>
          </w:p>
        </w:tc>
        <w:tc>
          <w:tcPr>
            <w:tcW w:w="482" w:type="pct"/>
            <w:tcBorders>
              <w:tl2br w:val="nil"/>
              <w:tr2bl w:val="nil"/>
            </w:tcBorders>
            <w:shd w:val="clear" w:color="auto" w:fill="auto"/>
            <w:vAlign w:val="center"/>
          </w:tcPr>
          <w:p w14:paraId="70F775E0">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86" w:type="pct"/>
            <w:tcBorders>
              <w:tl2br w:val="nil"/>
              <w:tr2bl w:val="nil"/>
            </w:tcBorders>
            <w:shd w:val="clear" w:color="auto" w:fill="auto"/>
            <w:vAlign w:val="center"/>
          </w:tcPr>
          <w:p w14:paraId="13ECBD1B">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4320</w:t>
            </w:r>
          </w:p>
        </w:tc>
        <w:tc>
          <w:tcPr>
            <w:tcW w:w="409" w:type="pct"/>
            <w:tcBorders>
              <w:tl2br w:val="nil"/>
              <w:tr2bl w:val="nil"/>
            </w:tcBorders>
            <w:shd w:val="clear" w:color="auto" w:fill="auto"/>
            <w:noWrap/>
            <w:vAlign w:val="center"/>
          </w:tcPr>
          <w:p w14:paraId="38036F0F">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r w14:paraId="1BBF08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233" w:type="pct"/>
            <w:tcBorders>
              <w:tl2br w:val="nil"/>
              <w:tr2bl w:val="nil"/>
            </w:tcBorders>
            <w:shd w:val="clear" w:color="auto" w:fill="auto"/>
            <w:vAlign w:val="center"/>
          </w:tcPr>
          <w:p w14:paraId="26AE6F6F">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6</w:t>
            </w:r>
          </w:p>
        </w:tc>
        <w:tc>
          <w:tcPr>
            <w:tcW w:w="403" w:type="pct"/>
            <w:tcBorders>
              <w:tl2br w:val="nil"/>
              <w:tr2bl w:val="nil"/>
            </w:tcBorders>
            <w:shd w:val="clear" w:color="auto" w:fill="auto"/>
            <w:vAlign w:val="center"/>
          </w:tcPr>
          <w:p w14:paraId="52CBA7AF">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喷淋塔</w:t>
            </w:r>
            <w:r>
              <w:rPr>
                <w:rFonts w:hint="eastAsia"/>
                <w:color w:val="000000" w:themeColor="text1"/>
                <w:highlight w:val="none"/>
                <w:lang w:val="en-US" w:eastAsia="zh-CN"/>
                <w14:textFill>
                  <w14:solidFill>
                    <w14:schemeClr w14:val="tx1"/>
                  </w14:solidFill>
                </w14:textFill>
              </w:rPr>
              <w:t>用水</w:t>
            </w:r>
          </w:p>
        </w:tc>
        <w:tc>
          <w:tcPr>
            <w:tcW w:w="469" w:type="pct"/>
            <w:tcBorders>
              <w:tl2br w:val="nil"/>
              <w:tr2bl w:val="nil"/>
            </w:tcBorders>
            <w:shd w:val="clear" w:color="auto" w:fill="auto"/>
            <w:vAlign w:val="center"/>
          </w:tcPr>
          <w:p w14:paraId="20010E2F">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240</w:t>
            </w:r>
          </w:p>
        </w:tc>
        <w:tc>
          <w:tcPr>
            <w:tcW w:w="428" w:type="pct"/>
            <w:tcBorders>
              <w:tl2br w:val="nil"/>
              <w:tr2bl w:val="nil"/>
            </w:tcBorders>
            <w:shd w:val="clear" w:color="auto" w:fill="auto"/>
            <w:vAlign w:val="center"/>
          </w:tcPr>
          <w:p w14:paraId="377A71C4">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01" w:type="pct"/>
            <w:tcBorders>
              <w:tl2br w:val="nil"/>
              <w:tr2bl w:val="nil"/>
            </w:tcBorders>
            <w:shd w:val="clear" w:color="auto" w:fill="auto"/>
            <w:vAlign w:val="center"/>
          </w:tcPr>
          <w:p w14:paraId="3A0549F7">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56" w:type="pct"/>
            <w:tcBorders>
              <w:tl2br w:val="nil"/>
              <w:tr2bl w:val="nil"/>
            </w:tcBorders>
            <w:shd w:val="clear" w:color="auto" w:fill="auto"/>
            <w:vAlign w:val="center"/>
          </w:tcPr>
          <w:p w14:paraId="348E2ED4">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40" w:type="pct"/>
            <w:tcBorders>
              <w:tl2br w:val="nil"/>
              <w:tr2bl w:val="nil"/>
            </w:tcBorders>
            <w:shd w:val="clear" w:color="auto" w:fill="auto"/>
            <w:vAlign w:val="center"/>
          </w:tcPr>
          <w:p w14:paraId="6BDB6D49">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91" w:type="pct"/>
            <w:tcBorders>
              <w:tl2br w:val="nil"/>
              <w:tr2bl w:val="nil"/>
            </w:tcBorders>
            <w:shd w:val="clear" w:color="auto" w:fill="auto"/>
            <w:vAlign w:val="center"/>
          </w:tcPr>
          <w:p w14:paraId="29F2F5C2">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99" w:type="pct"/>
            <w:tcBorders>
              <w:tl2br w:val="nil"/>
              <w:tr2bl w:val="nil"/>
            </w:tcBorders>
            <w:shd w:val="clear" w:color="auto" w:fill="auto"/>
            <w:vAlign w:val="center"/>
          </w:tcPr>
          <w:p w14:paraId="6FFA2C87">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216</w:t>
            </w:r>
          </w:p>
        </w:tc>
        <w:tc>
          <w:tcPr>
            <w:tcW w:w="482" w:type="pct"/>
            <w:tcBorders>
              <w:tl2br w:val="nil"/>
              <w:tr2bl w:val="nil"/>
            </w:tcBorders>
            <w:shd w:val="clear" w:color="auto" w:fill="auto"/>
            <w:vAlign w:val="center"/>
          </w:tcPr>
          <w:p w14:paraId="13E77373">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86" w:type="pct"/>
            <w:tcBorders>
              <w:tl2br w:val="nil"/>
              <w:tr2bl w:val="nil"/>
            </w:tcBorders>
            <w:shd w:val="clear" w:color="auto" w:fill="auto"/>
            <w:vAlign w:val="center"/>
          </w:tcPr>
          <w:p w14:paraId="37899A05">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24</w:t>
            </w:r>
          </w:p>
        </w:tc>
        <w:tc>
          <w:tcPr>
            <w:tcW w:w="409" w:type="pct"/>
            <w:tcBorders>
              <w:tl2br w:val="nil"/>
              <w:tr2bl w:val="nil"/>
            </w:tcBorders>
            <w:shd w:val="clear" w:color="auto" w:fill="auto"/>
            <w:vAlign w:val="center"/>
          </w:tcPr>
          <w:p w14:paraId="69F46A1A">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回用于硫酸铝生产</w:t>
            </w:r>
          </w:p>
        </w:tc>
      </w:tr>
      <w:tr w14:paraId="41E8C5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233" w:type="pct"/>
            <w:tcBorders>
              <w:tl2br w:val="nil"/>
              <w:tr2bl w:val="nil"/>
            </w:tcBorders>
            <w:shd w:val="clear" w:color="auto" w:fill="auto"/>
            <w:vAlign w:val="center"/>
          </w:tcPr>
          <w:p w14:paraId="303E2F2B">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7</w:t>
            </w:r>
          </w:p>
        </w:tc>
        <w:tc>
          <w:tcPr>
            <w:tcW w:w="403" w:type="pct"/>
            <w:tcBorders>
              <w:tl2br w:val="nil"/>
              <w:tr2bl w:val="nil"/>
            </w:tcBorders>
            <w:shd w:val="clear" w:color="auto" w:fill="auto"/>
            <w:vAlign w:val="center"/>
          </w:tcPr>
          <w:p w14:paraId="757F84F0">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实验室</w:t>
            </w:r>
            <w:r>
              <w:rPr>
                <w:rFonts w:hint="eastAsia"/>
                <w:color w:val="000000" w:themeColor="text1"/>
                <w:highlight w:val="none"/>
                <w:lang w:val="en-US" w:eastAsia="zh-CN"/>
                <w14:textFill>
                  <w14:solidFill>
                    <w14:schemeClr w14:val="tx1"/>
                  </w14:solidFill>
                </w14:textFill>
              </w:rPr>
              <w:t>用水</w:t>
            </w:r>
          </w:p>
        </w:tc>
        <w:tc>
          <w:tcPr>
            <w:tcW w:w="469" w:type="pct"/>
            <w:tcBorders>
              <w:tl2br w:val="nil"/>
              <w:tr2bl w:val="nil"/>
            </w:tcBorders>
            <w:shd w:val="clear" w:color="auto" w:fill="auto"/>
            <w:noWrap/>
            <w:vAlign w:val="center"/>
          </w:tcPr>
          <w:p w14:paraId="62DC4C70">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0</w:t>
            </w:r>
          </w:p>
        </w:tc>
        <w:tc>
          <w:tcPr>
            <w:tcW w:w="428" w:type="pct"/>
            <w:tcBorders>
              <w:tl2br w:val="nil"/>
              <w:tr2bl w:val="nil"/>
            </w:tcBorders>
            <w:shd w:val="clear" w:color="auto" w:fill="auto"/>
            <w:vAlign w:val="center"/>
          </w:tcPr>
          <w:p w14:paraId="098F8509">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01" w:type="pct"/>
            <w:tcBorders>
              <w:tl2br w:val="nil"/>
              <w:tr2bl w:val="nil"/>
            </w:tcBorders>
            <w:shd w:val="clear" w:color="auto" w:fill="auto"/>
            <w:vAlign w:val="center"/>
          </w:tcPr>
          <w:p w14:paraId="7FD20AD8">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50</w:t>
            </w:r>
          </w:p>
        </w:tc>
        <w:tc>
          <w:tcPr>
            <w:tcW w:w="456" w:type="pct"/>
            <w:tcBorders>
              <w:tl2br w:val="nil"/>
              <w:tr2bl w:val="nil"/>
            </w:tcBorders>
            <w:shd w:val="clear" w:color="auto" w:fill="auto"/>
            <w:vAlign w:val="center"/>
          </w:tcPr>
          <w:p w14:paraId="34417C8F">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40" w:type="pct"/>
            <w:tcBorders>
              <w:tl2br w:val="nil"/>
              <w:tr2bl w:val="nil"/>
            </w:tcBorders>
            <w:shd w:val="clear" w:color="auto" w:fill="auto"/>
            <w:vAlign w:val="center"/>
          </w:tcPr>
          <w:p w14:paraId="6203C771">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91" w:type="pct"/>
            <w:tcBorders>
              <w:tl2br w:val="nil"/>
              <w:tr2bl w:val="nil"/>
            </w:tcBorders>
            <w:shd w:val="clear" w:color="auto" w:fill="auto"/>
            <w:vAlign w:val="center"/>
          </w:tcPr>
          <w:p w14:paraId="7F350B2E">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99" w:type="pct"/>
            <w:tcBorders>
              <w:tl2br w:val="nil"/>
              <w:tr2bl w:val="nil"/>
            </w:tcBorders>
            <w:shd w:val="clear" w:color="auto" w:fill="auto"/>
            <w:noWrap/>
            <w:vAlign w:val="center"/>
          </w:tcPr>
          <w:p w14:paraId="147EFC07">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0</w:t>
            </w:r>
          </w:p>
        </w:tc>
        <w:tc>
          <w:tcPr>
            <w:tcW w:w="482" w:type="pct"/>
            <w:tcBorders>
              <w:tl2br w:val="nil"/>
              <w:tr2bl w:val="nil"/>
            </w:tcBorders>
            <w:shd w:val="clear" w:color="auto" w:fill="auto"/>
            <w:noWrap/>
            <w:vAlign w:val="center"/>
          </w:tcPr>
          <w:p w14:paraId="72CBE3D1">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45</w:t>
            </w:r>
          </w:p>
        </w:tc>
        <w:tc>
          <w:tcPr>
            <w:tcW w:w="386" w:type="pct"/>
            <w:tcBorders>
              <w:tl2br w:val="nil"/>
              <w:tr2bl w:val="nil"/>
            </w:tcBorders>
            <w:shd w:val="clear" w:color="auto" w:fill="auto"/>
            <w:vAlign w:val="center"/>
          </w:tcPr>
          <w:p w14:paraId="5E3B9F7F">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5</w:t>
            </w:r>
          </w:p>
        </w:tc>
        <w:tc>
          <w:tcPr>
            <w:tcW w:w="409" w:type="pct"/>
            <w:tcBorders>
              <w:tl2br w:val="nil"/>
              <w:tr2bl w:val="nil"/>
            </w:tcBorders>
            <w:shd w:val="clear" w:color="auto" w:fill="auto"/>
            <w:vAlign w:val="center"/>
          </w:tcPr>
          <w:p w14:paraId="4B9CD259">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45</w:t>
            </w:r>
            <w:r>
              <w:rPr>
                <w:rFonts w:hint="eastAsia" w:eastAsia="宋体"/>
                <w:color w:val="000000" w:themeColor="text1"/>
                <w:highlight w:val="none"/>
                <w:lang w:val="en-US" w:eastAsia="zh-CN"/>
                <w14:textFill>
                  <w14:solidFill>
                    <w14:schemeClr w14:val="tx1"/>
                  </w14:solidFill>
                </w14:textFill>
              </w:rPr>
              <w:t>按危废处置</w:t>
            </w:r>
          </w:p>
        </w:tc>
      </w:tr>
      <w:tr w14:paraId="340263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12" w:hRule="atLeast"/>
        </w:trPr>
        <w:tc>
          <w:tcPr>
            <w:tcW w:w="233" w:type="pct"/>
            <w:tcBorders>
              <w:tl2br w:val="nil"/>
              <w:tr2bl w:val="nil"/>
            </w:tcBorders>
            <w:shd w:val="clear" w:color="auto" w:fill="auto"/>
            <w:vAlign w:val="center"/>
          </w:tcPr>
          <w:p w14:paraId="7B1D480F">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p>
        </w:tc>
        <w:tc>
          <w:tcPr>
            <w:tcW w:w="403" w:type="pct"/>
            <w:tcBorders>
              <w:tl2br w:val="nil"/>
              <w:tr2bl w:val="nil"/>
            </w:tcBorders>
            <w:shd w:val="clear" w:color="auto" w:fill="auto"/>
            <w:vAlign w:val="center"/>
          </w:tcPr>
          <w:p w14:paraId="03DB3E9A">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生活用水</w:t>
            </w:r>
          </w:p>
        </w:tc>
        <w:tc>
          <w:tcPr>
            <w:tcW w:w="469" w:type="pct"/>
            <w:tcBorders>
              <w:tl2br w:val="nil"/>
              <w:tr2bl w:val="nil"/>
            </w:tcBorders>
            <w:shd w:val="clear" w:color="auto" w:fill="auto"/>
            <w:vAlign w:val="center"/>
          </w:tcPr>
          <w:p w14:paraId="0BA2C1EE">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540</w:t>
            </w:r>
          </w:p>
        </w:tc>
        <w:tc>
          <w:tcPr>
            <w:tcW w:w="428" w:type="pct"/>
            <w:tcBorders>
              <w:tl2br w:val="nil"/>
              <w:tr2bl w:val="nil"/>
            </w:tcBorders>
            <w:shd w:val="clear" w:color="auto" w:fill="auto"/>
            <w:vAlign w:val="center"/>
          </w:tcPr>
          <w:p w14:paraId="66F04543">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01" w:type="pct"/>
            <w:tcBorders>
              <w:tl2br w:val="nil"/>
              <w:tr2bl w:val="nil"/>
            </w:tcBorders>
            <w:shd w:val="clear" w:color="auto" w:fill="auto"/>
            <w:vAlign w:val="center"/>
          </w:tcPr>
          <w:p w14:paraId="76E9F438">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56" w:type="pct"/>
            <w:tcBorders>
              <w:tl2br w:val="nil"/>
              <w:tr2bl w:val="nil"/>
            </w:tcBorders>
            <w:shd w:val="clear" w:color="auto" w:fill="auto"/>
            <w:vAlign w:val="center"/>
          </w:tcPr>
          <w:p w14:paraId="474086A3">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40" w:type="pct"/>
            <w:tcBorders>
              <w:tl2br w:val="nil"/>
              <w:tr2bl w:val="nil"/>
            </w:tcBorders>
            <w:shd w:val="clear" w:color="auto" w:fill="auto"/>
            <w:vAlign w:val="center"/>
          </w:tcPr>
          <w:p w14:paraId="24F71877">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91" w:type="pct"/>
            <w:tcBorders>
              <w:tl2br w:val="nil"/>
              <w:tr2bl w:val="nil"/>
            </w:tcBorders>
            <w:shd w:val="clear" w:color="auto" w:fill="auto"/>
            <w:vAlign w:val="center"/>
          </w:tcPr>
          <w:p w14:paraId="22A28539">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432</w:t>
            </w:r>
          </w:p>
        </w:tc>
        <w:tc>
          <w:tcPr>
            <w:tcW w:w="399" w:type="pct"/>
            <w:tcBorders>
              <w:tl2br w:val="nil"/>
              <w:tr2bl w:val="nil"/>
            </w:tcBorders>
            <w:shd w:val="clear" w:color="auto" w:fill="auto"/>
            <w:vAlign w:val="center"/>
          </w:tcPr>
          <w:p w14:paraId="3C9208CC">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82" w:type="pct"/>
            <w:tcBorders>
              <w:tl2br w:val="nil"/>
              <w:tr2bl w:val="nil"/>
            </w:tcBorders>
            <w:shd w:val="clear" w:color="auto" w:fill="auto"/>
            <w:vAlign w:val="center"/>
          </w:tcPr>
          <w:p w14:paraId="3A423C26">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386" w:type="pct"/>
            <w:tcBorders>
              <w:tl2br w:val="nil"/>
              <w:tr2bl w:val="nil"/>
            </w:tcBorders>
            <w:shd w:val="clear" w:color="auto" w:fill="auto"/>
            <w:vAlign w:val="center"/>
          </w:tcPr>
          <w:p w14:paraId="6FFDF31E">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108</w:t>
            </w:r>
          </w:p>
        </w:tc>
        <w:tc>
          <w:tcPr>
            <w:tcW w:w="409" w:type="pct"/>
            <w:tcBorders>
              <w:tl2br w:val="nil"/>
              <w:tr2bl w:val="nil"/>
            </w:tcBorders>
            <w:shd w:val="clear" w:color="auto" w:fill="auto"/>
            <w:vAlign w:val="center"/>
          </w:tcPr>
          <w:p w14:paraId="115EC991">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r w14:paraId="40844D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92" w:hRule="atLeast"/>
        </w:trPr>
        <w:tc>
          <w:tcPr>
            <w:tcW w:w="636" w:type="pct"/>
            <w:gridSpan w:val="2"/>
            <w:tcBorders>
              <w:tl2br w:val="nil"/>
              <w:tr2bl w:val="nil"/>
            </w:tcBorders>
            <w:shd w:val="clear" w:color="auto" w:fill="auto"/>
            <w:vAlign w:val="center"/>
          </w:tcPr>
          <w:p w14:paraId="772A28D4">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合计</w:t>
            </w:r>
          </w:p>
        </w:tc>
        <w:tc>
          <w:tcPr>
            <w:tcW w:w="469" w:type="pct"/>
            <w:tcBorders>
              <w:tl2br w:val="nil"/>
              <w:tr2bl w:val="nil"/>
            </w:tcBorders>
            <w:shd w:val="clear" w:color="auto" w:fill="auto"/>
            <w:vAlign w:val="center"/>
          </w:tcPr>
          <w:p w14:paraId="24469F09">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38146.5</w:t>
            </w:r>
          </w:p>
        </w:tc>
        <w:tc>
          <w:tcPr>
            <w:tcW w:w="428" w:type="pct"/>
            <w:tcBorders>
              <w:tl2br w:val="nil"/>
              <w:tr2bl w:val="nil"/>
            </w:tcBorders>
            <w:shd w:val="clear" w:color="auto" w:fill="auto"/>
            <w:vAlign w:val="center"/>
          </w:tcPr>
          <w:p w14:paraId="03CD3E84">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42196</w:t>
            </w:r>
          </w:p>
        </w:tc>
        <w:tc>
          <w:tcPr>
            <w:tcW w:w="401" w:type="pct"/>
            <w:tcBorders>
              <w:tl2br w:val="nil"/>
              <w:tr2bl w:val="nil"/>
            </w:tcBorders>
            <w:shd w:val="clear" w:color="auto" w:fill="auto"/>
            <w:vAlign w:val="center"/>
          </w:tcPr>
          <w:p w14:paraId="4275639C">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12450</w:t>
            </w:r>
          </w:p>
        </w:tc>
        <w:tc>
          <w:tcPr>
            <w:tcW w:w="456" w:type="pct"/>
            <w:tcBorders>
              <w:tl2br w:val="nil"/>
              <w:tr2bl w:val="nil"/>
            </w:tcBorders>
            <w:shd w:val="clear" w:color="auto" w:fill="auto"/>
            <w:vAlign w:val="center"/>
          </w:tcPr>
          <w:p w14:paraId="59EF1E60">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0</w:t>
            </w:r>
          </w:p>
        </w:tc>
        <w:tc>
          <w:tcPr>
            <w:tcW w:w="440" w:type="pct"/>
            <w:tcBorders>
              <w:tl2br w:val="nil"/>
              <w:tr2bl w:val="nil"/>
            </w:tcBorders>
            <w:shd w:val="clear" w:color="auto" w:fill="auto"/>
            <w:vAlign w:val="center"/>
          </w:tcPr>
          <w:p w14:paraId="61D558B1">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33200</w:t>
            </w:r>
          </w:p>
        </w:tc>
        <w:tc>
          <w:tcPr>
            <w:tcW w:w="491" w:type="pct"/>
            <w:tcBorders>
              <w:tl2br w:val="nil"/>
              <w:tr2bl w:val="nil"/>
            </w:tcBorders>
            <w:shd w:val="clear" w:color="auto" w:fill="auto"/>
            <w:vAlign w:val="center"/>
          </w:tcPr>
          <w:p w14:paraId="1A668BCE">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432</w:t>
            </w:r>
          </w:p>
        </w:tc>
        <w:tc>
          <w:tcPr>
            <w:tcW w:w="399" w:type="pct"/>
            <w:tcBorders>
              <w:tl2br w:val="nil"/>
              <w:tr2bl w:val="nil"/>
            </w:tcBorders>
            <w:shd w:val="clear" w:color="auto" w:fill="auto"/>
            <w:vAlign w:val="center"/>
          </w:tcPr>
          <w:p w14:paraId="31781F0E">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42208.5</w:t>
            </w:r>
          </w:p>
        </w:tc>
        <w:tc>
          <w:tcPr>
            <w:tcW w:w="482" w:type="pct"/>
            <w:tcBorders>
              <w:tl2br w:val="nil"/>
              <w:tr2bl w:val="nil"/>
            </w:tcBorders>
            <w:shd w:val="clear" w:color="auto" w:fill="auto"/>
            <w:vAlign w:val="center"/>
          </w:tcPr>
          <w:p w14:paraId="30D24CDF">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12495</w:t>
            </w:r>
          </w:p>
        </w:tc>
        <w:tc>
          <w:tcPr>
            <w:tcW w:w="386" w:type="pct"/>
            <w:tcBorders>
              <w:tl2br w:val="nil"/>
              <w:tr2bl w:val="nil"/>
            </w:tcBorders>
            <w:shd w:val="clear" w:color="auto" w:fill="auto"/>
            <w:vAlign w:val="center"/>
          </w:tcPr>
          <w:p w14:paraId="208B372F">
            <w:pPr>
              <w:pStyle w:val="26"/>
              <w:bidi w:val="0"/>
              <w:jc w:val="center"/>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4457</w:t>
            </w:r>
          </w:p>
        </w:tc>
        <w:tc>
          <w:tcPr>
            <w:tcW w:w="409" w:type="pct"/>
            <w:tcBorders>
              <w:tl2br w:val="nil"/>
              <w:tr2bl w:val="nil"/>
            </w:tcBorders>
            <w:shd w:val="clear" w:color="auto" w:fill="auto"/>
            <w:vAlign w:val="center"/>
          </w:tcPr>
          <w:p w14:paraId="0255241F">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bl>
    <w:p w14:paraId="167F6D24">
      <w:pPr>
        <w:pStyle w:val="27"/>
        <w:ind w:left="0" w:leftChars="0" w:firstLine="0" w:firstLineChars="0"/>
        <w:rPr>
          <w:rFonts w:hint="eastAsia"/>
          <w:color w:val="000000" w:themeColor="text1"/>
          <w:highlight w:val="none"/>
          <w:lang w:val="en-US" w:eastAsia="zh-CN"/>
          <w14:textFill>
            <w14:solidFill>
              <w14:schemeClr w14:val="tx1"/>
            </w14:solidFill>
          </w14:textFill>
        </w:rPr>
      </w:pPr>
    </w:p>
    <w:p w14:paraId="3D75A943">
      <w:pPr>
        <w:pStyle w:val="27"/>
        <w:ind w:left="0" w:leftChars="0" w:firstLine="0" w:firstLineChars="0"/>
        <w:rPr>
          <w:rFonts w:hint="eastAsia"/>
          <w:color w:val="000000" w:themeColor="text1"/>
          <w:highlight w:val="none"/>
          <w:lang w:val="en-US" w:eastAsia="zh-CN"/>
          <w14:textFill>
            <w14:solidFill>
              <w14:schemeClr w14:val="tx1"/>
            </w14:solidFill>
          </w14:textFill>
        </w:rPr>
      </w:pPr>
    </w:p>
    <w:p w14:paraId="000DD685">
      <w:pPr>
        <w:pStyle w:val="27"/>
        <w:ind w:left="0" w:leftChars="0" w:firstLine="0" w:firstLineChars="0"/>
        <w:rPr>
          <w:rFonts w:hint="eastAsia"/>
          <w:color w:val="000000" w:themeColor="text1"/>
          <w:highlight w:val="none"/>
          <w:lang w:val="en-US" w:eastAsia="zh-CN"/>
          <w14:textFill>
            <w14:solidFill>
              <w14:schemeClr w14:val="tx1"/>
            </w14:solidFill>
          </w14:textFill>
        </w:rPr>
      </w:pPr>
    </w:p>
    <w:p w14:paraId="472EF666">
      <w:pPr>
        <w:pStyle w:val="27"/>
        <w:ind w:left="0" w:leftChars="0" w:firstLine="0" w:firstLineChars="0"/>
        <w:rPr>
          <w:rFonts w:hint="eastAsia"/>
          <w:color w:val="000000" w:themeColor="text1"/>
          <w:highlight w:val="none"/>
          <w:lang w:val="en-US" w:eastAsia="zh-CN"/>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145DD9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水平衡图见图3.6-1。</w:t>
      </w:r>
    </w:p>
    <w:p w14:paraId="77C38A47">
      <w:pPr>
        <w:bidi w:val="0"/>
        <w:ind w:left="0" w:leftChars="0" w:firstLine="0" w:firstLineChars="0"/>
        <w:rPr>
          <w:rFonts w:hint="eastAsia"/>
          <w:color w:val="000000" w:themeColor="text1"/>
          <w:highlight w:val="none"/>
          <w:lang w:val="en-US" w:eastAsia="zh-CN"/>
          <w14:textFill>
            <w14:solidFill>
              <w14:schemeClr w14:val="tx1"/>
            </w14:solidFill>
          </w14:textFill>
        </w:rPr>
      </w:pPr>
      <w:r>
        <w:rPr>
          <w:rFonts w:hint="eastAsia" w:eastAsia="仿宋"/>
          <w:color w:val="000000" w:themeColor="text1"/>
          <w:highlight w:val="none"/>
          <w:lang w:eastAsia="zh-CN"/>
          <w14:textFill>
            <w14:solidFill>
              <w14:schemeClr w14:val="tx1"/>
            </w14:solidFill>
          </w14:textFill>
        </w:rPr>
        <w:drawing>
          <wp:inline distT="0" distB="0" distL="114300" distR="114300">
            <wp:extent cx="5250180" cy="4695190"/>
            <wp:effectExtent l="0" t="0" r="0" b="0"/>
            <wp:docPr id="34" name="E657119C-6982-421D-8BA7-E74DEB70A7D9-3"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E657119C-6982-421D-8BA7-E74DEB70A7D9-3" descr="wps"/>
                    <pic:cNvPicPr>
                      <a:picLocks noChangeAspect="1"/>
                    </pic:cNvPicPr>
                  </pic:nvPicPr>
                  <pic:blipFill>
                    <a:blip r:embed="rId17"/>
                    <a:stretch>
                      <a:fillRect/>
                    </a:stretch>
                  </pic:blipFill>
                  <pic:spPr>
                    <a:xfrm>
                      <a:off x="0" y="0"/>
                      <a:ext cx="5250180" cy="4695190"/>
                    </a:xfrm>
                    <a:prstGeom prst="rect">
                      <a:avLst/>
                    </a:prstGeom>
                  </pic:spPr>
                </pic:pic>
              </a:graphicData>
            </a:graphic>
          </wp:inline>
        </w:drawing>
      </w:r>
    </w:p>
    <w:p w14:paraId="1C3BA1EE">
      <w:pPr>
        <w:pStyle w:val="30"/>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图3.6-1      项目水平衡图      单位：t/a</w:t>
      </w:r>
    </w:p>
    <w:p w14:paraId="63C28C2C">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3.6.3.2物料平衡</w:t>
      </w:r>
    </w:p>
    <w:p w14:paraId="0DF7D0B1">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（1）减水剂生产线</w:t>
      </w:r>
    </w:p>
    <w:p w14:paraId="375E2B56">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减水剂生产线物料平衡见表3.6.3-2。</w:t>
      </w:r>
    </w:p>
    <w:p w14:paraId="4FBBB668">
      <w:pPr>
        <w:pStyle w:val="2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表3.6.3-2    减水剂生产线物料平衡表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960"/>
        <w:gridCol w:w="2042"/>
        <w:gridCol w:w="1910"/>
        <w:gridCol w:w="1940"/>
        <w:gridCol w:w="2219"/>
      </w:tblGrid>
      <w:tr w14:paraId="6FB360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vMerge w:val="restart"/>
            <w:shd w:val="clear" w:color="auto" w:fill="auto"/>
            <w:noWrap/>
            <w:vAlign w:val="center"/>
          </w:tcPr>
          <w:p w14:paraId="5CF09F6A">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序号</w:t>
            </w:r>
          </w:p>
        </w:tc>
        <w:tc>
          <w:tcPr>
            <w:tcW w:w="3952" w:type="dxa"/>
            <w:gridSpan w:val="2"/>
            <w:shd w:val="clear" w:color="auto" w:fill="auto"/>
            <w:noWrap/>
            <w:vAlign w:val="center"/>
          </w:tcPr>
          <w:p w14:paraId="649A9ECC">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投入</w:t>
            </w:r>
          </w:p>
        </w:tc>
        <w:tc>
          <w:tcPr>
            <w:tcW w:w="4159" w:type="dxa"/>
            <w:gridSpan w:val="2"/>
            <w:shd w:val="clear" w:color="auto" w:fill="auto"/>
            <w:noWrap/>
            <w:vAlign w:val="center"/>
          </w:tcPr>
          <w:p w14:paraId="2BC0B781">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产出</w:t>
            </w:r>
          </w:p>
        </w:tc>
      </w:tr>
      <w:tr w14:paraId="6E3659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vMerge w:val="continue"/>
            <w:tcBorders>
              <w:bottom w:val="single" w:color="000000" w:sz="12" w:space="0"/>
            </w:tcBorders>
            <w:shd w:val="clear" w:color="auto" w:fill="auto"/>
            <w:noWrap/>
            <w:vAlign w:val="center"/>
          </w:tcPr>
          <w:p w14:paraId="243F6C11">
            <w:pPr>
              <w:pStyle w:val="26"/>
              <w:bidi w:val="0"/>
              <w:rPr>
                <w:rFonts w:hint="eastAsia"/>
                <w:b/>
                <w:bCs/>
                <w:color w:val="000000" w:themeColor="text1"/>
                <w:highlight w:val="none"/>
                <w14:textFill>
                  <w14:solidFill>
                    <w14:schemeClr w14:val="tx1"/>
                  </w14:solidFill>
                </w14:textFill>
              </w:rPr>
            </w:pPr>
          </w:p>
        </w:tc>
        <w:tc>
          <w:tcPr>
            <w:tcW w:w="2042" w:type="dxa"/>
            <w:tcBorders>
              <w:bottom w:val="single" w:color="000000" w:sz="12" w:space="0"/>
            </w:tcBorders>
            <w:shd w:val="clear" w:color="auto" w:fill="auto"/>
            <w:noWrap/>
            <w:vAlign w:val="center"/>
          </w:tcPr>
          <w:p w14:paraId="08C9B0C6">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物料名称</w:t>
            </w:r>
          </w:p>
        </w:tc>
        <w:tc>
          <w:tcPr>
            <w:tcW w:w="1910" w:type="dxa"/>
            <w:tcBorders>
              <w:bottom w:val="single" w:color="000000" w:sz="12" w:space="0"/>
            </w:tcBorders>
            <w:shd w:val="clear" w:color="auto" w:fill="auto"/>
            <w:noWrap/>
            <w:vAlign w:val="center"/>
          </w:tcPr>
          <w:p w14:paraId="0DCA4CDE">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质量（</w:t>
            </w:r>
            <w:r>
              <w:rPr>
                <w:rFonts w:hint="default"/>
                <w:b/>
                <w:bCs/>
                <w:color w:val="000000" w:themeColor="text1"/>
                <w:highlight w:val="none"/>
                <w:lang w:val="en-US" w:eastAsia="zh-CN"/>
                <w14:textFill>
                  <w14:solidFill>
                    <w14:schemeClr w14:val="tx1"/>
                  </w14:solidFill>
                </w14:textFill>
              </w:rPr>
              <w:t>t/a</w:t>
            </w:r>
            <w:r>
              <w:rPr>
                <w:rFonts w:hint="eastAsia"/>
                <w:b/>
                <w:bCs/>
                <w:color w:val="000000" w:themeColor="text1"/>
                <w:highlight w:val="none"/>
                <w:lang w:val="en-US" w:eastAsia="zh-CN"/>
                <w14:textFill>
                  <w14:solidFill>
                    <w14:schemeClr w14:val="tx1"/>
                  </w14:solidFill>
                </w14:textFill>
              </w:rPr>
              <w:t>）</w:t>
            </w:r>
          </w:p>
        </w:tc>
        <w:tc>
          <w:tcPr>
            <w:tcW w:w="1940" w:type="dxa"/>
            <w:tcBorders>
              <w:bottom w:val="single" w:color="000000" w:sz="12" w:space="0"/>
            </w:tcBorders>
            <w:shd w:val="clear" w:color="auto" w:fill="auto"/>
            <w:noWrap/>
            <w:vAlign w:val="center"/>
          </w:tcPr>
          <w:p w14:paraId="00E1A32E">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物料名称</w:t>
            </w:r>
          </w:p>
        </w:tc>
        <w:tc>
          <w:tcPr>
            <w:tcW w:w="2219" w:type="dxa"/>
            <w:tcBorders>
              <w:bottom w:val="single" w:color="000000" w:sz="12" w:space="0"/>
            </w:tcBorders>
            <w:shd w:val="clear" w:color="auto" w:fill="auto"/>
            <w:noWrap/>
            <w:vAlign w:val="center"/>
          </w:tcPr>
          <w:p w14:paraId="755769C3">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质量（</w:t>
            </w:r>
            <w:r>
              <w:rPr>
                <w:rFonts w:hint="default"/>
                <w:b/>
                <w:bCs/>
                <w:color w:val="000000" w:themeColor="text1"/>
                <w:highlight w:val="none"/>
                <w:lang w:val="en-US" w:eastAsia="zh-CN"/>
                <w14:textFill>
                  <w14:solidFill>
                    <w14:schemeClr w14:val="tx1"/>
                  </w14:solidFill>
                </w14:textFill>
              </w:rPr>
              <w:t>t/a</w:t>
            </w:r>
            <w:r>
              <w:rPr>
                <w:rFonts w:hint="eastAsia"/>
                <w:b/>
                <w:bCs/>
                <w:color w:val="000000" w:themeColor="text1"/>
                <w:highlight w:val="none"/>
                <w:lang w:val="en-US" w:eastAsia="zh-CN"/>
                <w14:textFill>
                  <w14:solidFill>
                    <w14:schemeClr w14:val="tx1"/>
                  </w14:solidFill>
                </w14:textFill>
              </w:rPr>
              <w:t>）</w:t>
            </w:r>
          </w:p>
        </w:tc>
      </w:tr>
      <w:tr w14:paraId="3CE318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op w:val="single" w:color="000000" w:sz="12" w:space="0"/>
              <w:tl2br w:val="nil"/>
              <w:tr2bl w:val="nil"/>
            </w:tcBorders>
            <w:shd w:val="clear" w:color="auto" w:fill="auto"/>
            <w:noWrap/>
            <w:vAlign w:val="center"/>
          </w:tcPr>
          <w:p w14:paraId="1EE65F2A">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w:t>
            </w:r>
          </w:p>
        </w:tc>
        <w:tc>
          <w:tcPr>
            <w:tcW w:w="2042" w:type="dxa"/>
            <w:tcBorders>
              <w:top w:val="single" w:color="000000" w:sz="12" w:space="0"/>
              <w:tl2br w:val="nil"/>
              <w:tr2bl w:val="nil"/>
            </w:tcBorders>
            <w:shd w:val="clear" w:color="auto" w:fill="auto"/>
            <w:vAlign w:val="center"/>
          </w:tcPr>
          <w:p w14:paraId="6F65BB87">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东科单体</w:t>
            </w:r>
            <w:r>
              <w:rPr>
                <w:rFonts w:hint="default"/>
                <w:color w:val="000000" w:themeColor="text1"/>
                <w:highlight w:val="none"/>
                <w:lang w:val="en-US" w:eastAsia="zh-CN"/>
                <w14:textFill>
                  <w14:solidFill>
                    <w14:schemeClr w14:val="tx1"/>
                  </w14:solidFill>
                </w14:textFill>
              </w:rPr>
              <w:t>1088</w:t>
            </w:r>
          </w:p>
        </w:tc>
        <w:tc>
          <w:tcPr>
            <w:tcW w:w="1910" w:type="dxa"/>
            <w:tcBorders>
              <w:top w:val="single" w:color="000000" w:sz="12" w:space="0"/>
              <w:tl2br w:val="nil"/>
              <w:tr2bl w:val="nil"/>
            </w:tcBorders>
            <w:shd w:val="clear" w:color="auto" w:fill="auto"/>
            <w:vAlign w:val="center"/>
          </w:tcPr>
          <w:p w14:paraId="0E24DA8C">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7300</w:t>
            </w:r>
          </w:p>
        </w:tc>
        <w:tc>
          <w:tcPr>
            <w:tcW w:w="1940" w:type="dxa"/>
            <w:tcBorders>
              <w:top w:val="single" w:color="000000" w:sz="12" w:space="0"/>
              <w:tl2br w:val="nil"/>
              <w:tr2bl w:val="nil"/>
            </w:tcBorders>
            <w:shd w:val="clear" w:color="auto" w:fill="auto"/>
            <w:noWrap/>
            <w:vAlign w:val="center"/>
          </w:tcPr>
          <w:p w14:paraId="5BA31F4E">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高浓度减水剂</w:t>
            </w:r>
          </w:p>
        </w:tc>
        <w:tc>
          <w:tcPr>
            <w:tcW w:w="2219" w:type="dxa"/>
            <w:tcBorders>
              <w:top w:val="single" w:color="000000" w:sz="12" w:space="0"/>
              <w:tl2br w:val="nil"/>
              <w:tr2bl w:val="nil"/>
            </w:tcBorders>
            <w:shd w:val="clear" w:color="auto" w:fill="auto"/>
            <w:noWrap/>
            <w:vAlign w:val="center"/>
          </w:tcPr>
          <w:p w14:paraId="46DAC24C">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18000</w:t>
            </w:r>
          </w:p>
        </w:tc>
      </w:tr>
      <w:tr w14:paraId="78B0D4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22254D63">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w:t>
            </w:r>
          </w:p>
        </w:tc>
        <w:tc>
          <w:tcPr>
            <w:tcW w:w="2042" w:type="dxa"/>
            <w:tcBorders>
              <w:tl2br w:val="nil"/>
              <w:tr2bl w:val="nil"/>
            </w:tcBorders>
            <w:shd w:val="clear" w:color="auto" w:fill="auto"/>
            <w:vAlign w:val="center"/>
          </w:tcPr>
          <w:p w14:paraId="5865C0E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过硫酸铵</w:t>
            </w:r>
          </w:p>
        </w:tc>
        <w:tc>
          <w:tcPr>
            <w:tcW w:w="1910" w:type="dxa"/>
            <w:tcBorders>
              <w:tl2br w:val="nil"/>
              <w:tr2bl w:val="nil"/>
            </w:tcBorders>
            <w:shd w:val="clear" w:color="auto" w:fill="auto"/>
            <w:vAlign w:val="center"/>
          </w:tcPr>
          <w:p w14:paraId="0F605A42">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30</w:t>
            </w:r>
          </w:p>
        </w:tc>
        <w:tc>
          <w:tcPr>
            <w:tcW w:w="1940" w:type="dxa"/>
            <w:tcBorders>
              <w:tl2br w:val="nil"/>
              <w:tr2bl w:val="nil"/>
            </w:tcBorders>
            <w:shd w:val="clear" w:color="auto" w:fill="auto"/>
            <w:noWrap/>
            <w:vAlign w:val="center"/>
          </w:tcPr>
          <w:p w14:paraId="3890A67E">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低浓度减水剂</w:t>
            </w:r>
          </w:p>
        </w:tc>
        <w:tc>
          <w:tcPr>
            <w:tcW w:w="2219" w:type="dxa"/>
            <w:tcBorders>
              <w:tl2br w:val="nil"/>
              <w:tr2bl w:val="nil"/>
            </w:tcBorders>
            <w:shd w:val="clear" w:color="auto" w:fill="auto"/>
            <w:noWrap/>
            <w:vAlign w:val="center"/>
          </w:tcPr>
          <w:p w14:paraId="4F5DF47D">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2000</w:t>
            </w:r>
          </w:p>
        </w:tc>
      </w:tr>
      <w:tr w14:paraId="763542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028F7D0F">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w:t>
            </w:r>
          </w:p>
        </w:tc>
        <w:tc>
          <w:tcPr>
            <w:tcW w:w="2042" w:type="dxa"/>
            <w:tcBorders>
              <w:tl2br w:val="nil"/>
              <w:tr2bl w:val="nil"/>
            </w:tcBorders>
            <w:shd w:val="clear" w:color="auto" w:fill="auto"/>
            <w:vAlign w:val="center"/>
          </w:tcPr>
          <w:p w14:paraId="043AC60B">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丙烯酸</w:t>
            </w:r>
          </w:p>
        </w:tc>
        <w:tc>
          <w:tcPr>
            <w:tcW w:w="1910" w:type="dxa"/>
            <w:tcBorders>
              <w:tl2br w:val="nil"/>
              <w:tr2bl w:val="nil"/>
            </w:tcBorders>
            <w:shd w:val="clear" w:color="auto" w:fill="auto"/>
            <w:vAlign w:val="center"/>
          </w:tcPr>
          <w:p w14:paraId="1BCD8755">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60</w:t>
            </w:r>
          </w:p>
        </w:tc>
        <w:tc>
          <w:tcPr>
            <w:tcW w:w="1940" w:type="dxa"/>
            <w:tcBorders>
              <w:tl2br w:val="nil"/>
              <w:tr2bl w:val="nil"/>
            </w:tcBorders>
            <w:shd w:val="clear" w:color="auto" w:fill="auto"/>
            <w:noWrap/>
            <w:vAlign w:val="center"/>
          </w:tcPr>
          <w:p w14:paraId="6DA05BBD">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外排</w:t>
            </w:r>
            <w:r>
              <w:rPr>
                <w:rFonts w:hint="default"/>
                <w:color w:val="000000" w:themeColor="text1"/>
                <w:highlight w:val="none"/>
                <w:lang w:val="en-US" w:eastAsia="zh-CN"/>
                <w14:textFill>
                  <w14:solidFill>
                    <w14:schemeClr w14:val="tx1"/>
                  </w14:solidFill>
                </w14:textFill>
              </w:rPr>
              <w:t>颗粒物</w:t>
            </w:r>
          </w:p>
        </w:tc>
        <w:tc>
          <w:tcPr>
            <w:tcW w:w="2219" w:type="dxa"/>
            <w:tcBorders>
              <w:tl2br w:val="nil"/>
              <w:tr2bl w:val="nil"/>
            </w:tcBorders>
            <w:shd w:val="clear" w:color="auto" w:fill="auto"/>
            <w:noWrap/>
            <w:vAlign w:val="center"/>
          </w:tcPr>
          <w:p w14:paraId="29796D7A">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0.001</w:t>
            </w:r>
          </w:p>
        </w:tc>
      </w:tr>
      <w:tr w14:paraId="35FDD6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14DAE899">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w:t>
            </w:r>
          </w:p>
        </w:tc>
        <w:tc>
          <w:tcPr>
            <w:tcW w:w="2042" w:type="dxa"/>
            <w:tcBorders>
              <w:tl2br w:val="nil"/>
              <w:tr2bl w:val="nil"/>
            </w:tcBorders>
            <w:shd w:val="clear" w:color="auto" w:fill="auto"/>
            <w:vAlign w:val="center"/>
          </w:tcPr>
          <w:p w14:paraId="5E68929C">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片碱</w:t>
            </w:r>
          </w:p>
        </w:tc>
        <w:tc>
          <w:tcPr>
            <w:tcW w:w="1910" w:type="dxa"/>
            <w:tcBorders>
              <w:tl2br w:val="nil"/>
              <w:tr2bl w:val="nil"/>
            </w:tcBorders>
            <w:shd w:val="clear" w:color="auto" w:fill="auto"/>
            <w:vAlign w:val="center"/>
          </w:tcPr>
          <w:p w14:paraId="298E4B06">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90</w:t>
            </w:r>
          </w:p>
        </w:tc>
        <w:tc>
          <w:tcPr>
            <w:tcW w:w="1940" w:type="dxa"/>
            <w:tcBorders>
              <w:tl2br w:val="nil"/>
              <w:tr2bl w:val="nil"/>
            </w:tcBorders>
            <w:shd w:val="clear" w:color="auto" w:fill="auto"/>
            <w:noWrap/>
            <w:vAlign w:val="center"/>
          </w:tcPr>
          <w:p w14:paraId="05F1DEED">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外排</w:t>
            </w:r>
            <w:r>
              <w:rPr>
                <w:rFonts w:hint="default"/>
                <w:color w:val="000000" w:themeColor="text1"/>
                <w:highlight w:val="none"/>
                <w:lang w:val="en-US" w:eastAsia="zh-CN"/>
                <w14:textFill>
                  <w14:solidFill>
                    <w14:schemeClr w14:val="tx1"/>
                  </w14:solidFill>
                </w14:textFill>
              </w:rPr>
              <w:t>挥发性有机物</w:t>
            </w:r>
          </w:p>
        </w:tc>
        <w:tc>
          <w:tcPr>
            <w:tcW w:w="2219" w:type="dxa"/>
            <w:tcBorders>
              <w:tl2br w:val="nil"/>
              <w:tr2bl w:val="nil"/>
            </w:tcBorders>
            <w:shd w:val="clear" w:color="auto" w:fill="auto"/>
            <w:noWrap/>
            <w:vAlign w:val="center"/>
          </w:tcPr>
          <w:p w14:paraId="1E39D623">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0.001</w:t>
            </w:r>
          </w:p>
        </w:tc>
      </w:tr>
      <w:tr w14:paraId="0E0523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4286413B">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5</w:t>
            </w:r>
          </w:p>
        </w:tc>
        <w:tc>
          <w:tcPr>
            <w:tcW w:w="2042" w:type="dxa"/>
            <w:tcBorders>
              <w:tl2br w:val="nil"/>
              <w:tr2bl w:val="nil"/>
            </w:tcBorders>
            <w:shd w:val="clear" w:color="auto" w:fill="auto"/>
            <w:vAlign w:val="center"/>
          </w:tcPr>
          <w:p w14:paraId="741B3F13">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维生素</w:t>
            </w:r>
            <w:r>
              <w:rPr>
                <w:rFonts w:hint="default"/>
                <w:color w:val="000000" w:themeColor="text1"/>
                <w:highlight w:val="none"/>
                <w:lang w:val="en-US" w:eastAsia="zh-CN"/>
                <w14:textFill>
                  <w14:solidFill>
                    <w14:schemeClr w14:val="tx1"/>
                  </w14:solidFill>
                </w14:textFill>
              </w:rPr>
              <w:t>C</w:t>
            </w:r>
          </w:p>
        </w:tc>
        <w:tc>
          <w:tcPr>
            <w:tcW w:w="1910" w:type="dxa"/>
            <w:tcBorders>
              <w:tl2br w:val="nil"/>
              <w:tr2bl w:val="nil"/>
            </w:tcBorders>
            <w:shd w:val="clear" w:color="auto" w:fill="auto"/>
            <w:vAlign w:val="center"/>
          </w:tcPr>
          <w:p w14:paraId="33B16896">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20</w:t>
            </w:r>
          </w:p>
        </w:tc>
        <w:tc>
          <w:tcPr>
            <w:tcW w:w="1940" w:type="dxa"/>
            <w:tcBorders>
              <w:tl2br w:val="nil"/>
              <w:tr2bl w:val="nil"/>
            </w:tcBorders>
            <w:shd w:val="clear" w:color="auto" w:fill="auto"/>
            <w:noWrap/>
            <w:vAlign w:val="center"/>
          </w:tcPr>
          <w:p w14:paraId="17183B70">
            <w:pPr>
              <w:pStyle w:val="26"/>
              <w:bidi w:val="0"/>
              <w:rPr>
                <w:rFonts w:hint="eastAsia"/>
                <w:color w:val="000000" w:themeColor="text1"/>
                <w:highlight w:val="none"/>
                <w14:textFill>
                  <w14:solidFill>
                    <w14:schemeClr w14:val="tx1"/>
                  </w14:solidFill>
                </w14:textFill>
              </w:rPr>
            </w:pPr>
          </w:p>
        </w:tc>
        <w:tc>
          <w:tcPr>
            <w:tcW w:w="2219" w:type="dxa"/>
            <w:tcBorders>
              <w:tl2br w:val="nil"/>
              <w:tr2bl w:val="nil"/>
            </w:tcBorders>
            <w:shd w:val="clear" w:color="auto" w:fill="auto"/>
            <w:noWrap/>
            <w:vAlign w:val="center"/>
          </w:tcPr>
          <w:p w14:paraId="3A1ED689">
            <w:pPr>
              <w:pStyle w:val="26"/>
              <w:bidi w:val="0"/>
              <w:rPr>
                <w:rFonts w:hint="eastAsia"/>
                <w:color w:val="000000" w:themeColor="text1"/>
                <w:highlight w:val="none"/>
                <w14:textFill>
                  <w14:solidFill>
                    <w14:schemeClr w14:val="tx1"/>
                  </w14:solidFill>
                </w14:textFill>
              </w:rPr>
            </w:pPr>
          </w:p>
        </w:tc>
      </w:tr>
      <w:tr w14:paraId="65BA6B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69E23DAE">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6</w:t>
            </w:r>
          </w:p>
        </w:tc>
        <w:tc>
          <w:tcPr>
            <w:tcW w:w="2042" w:type="dxa"/>
            <w:tcBorders>
              <w:tl2br w:val="nil"/>
              <w:tr2bl w:val="nil"/>
            </w:tcBorders>
            <w:shd w:val="clear" w:color="auto" w:fill="auto"/>
            <w:vAlign w:val="center"/>
          </w:tcPr>
          <w:p w14:paraId="54F9FAC2">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巯基丙酸</w:t>
            </w:r>
          </w:p>
        </w:tc>
        <w:tc>
          <w:tcPr>
            <w:tcW w:w="1910" w:type="dxa"/>
            <w:tcBorders>
              <w:tl2br w:val="nil"/>
              <w:tr2bl w:val="nil"/>
            </w:tcBorders>
            <w:shd w:val="clear" w:color="auto" w:fill="auto"/>
            <w:vAlign w:val="center"/>
          </w:tcPr>
          <w:p w14:paraId="255AC1E8">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24</w:t>
            </w:r>
          </w:p>
        </w:tc>
        <w:tc>
          <w:tcPr>
            <w:tcW w:w="1940" w:type="dxa"/>
            <w:tcBorders>
              <w:tl2br w:val="nil"/>
              <w:tr2bl w:val="nil"/>
            </w:tcBorders>
            <w:shd w:val="clear" w:color="auto" w:fill="auto"/>
            <w:noWrap/>
            <w:vAlign w:val="center"/>
          </w:tcPr>
          <w:p w14:paraId="14022BDB">
            <w:pPr>
              <w:pStyle w:val="26"/>
              <w:bidi w:val="0"/>
              <w:rPr>
                <w:rFonts w:hint="eastAsia"/>
                <w:color w:val="000000" w:themeColor="text1"/>
                <w:highlight w:val="none"/>
                <w14:textFill>
                  <w14:solidFill>
                    <w14:schemeClr w14:val="tx1"/>
                  </w14:solidFill>
                </w14:textFill>
              </w:rPr>
            </w:pPr>
          </w:p>
        </w:tc>
        <w:tc>
          <w:tcPr>
            <w:tcW w:w="2219" w:type="dxa"/>
            <w:tcBorders>
              <w:tl2br w:val="nil"/>
              <w:tr2bl w:val="nil"/>
            </w:tcBorders>
            <w:shd w:val="clear" w:color="auto" w:fill="auto"/>
            <w:noWrap/>
            <w:vAlign w:val="center"/>
          </w:tcPr>
          <w:p w14:paraId="26F99EC3">
            <w:pPr>
              <w:pStyle w:val="26"/>
              <w:bidi w:val="0"/>
              <w:rPr>
                <w:rFonts w:hint="eastAsia"/>
                <w:color w:val="000000" w:themeColor="text1"/>
                <w:highlight w:val="none"/>
                <w14:textFill>
                  <w14:solidFill>
                    <w14:schemeClr w14:val="tx1"/>
                  </w14:solidFill>
                </w14:textFill>
              </w:rPr>
            </w:pPr>
          </w:p>
        </w:tc>
      </w:tr>
      <w:tr w14:paraId="21A234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5B5CE2D7">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7</w:t>
            </w:r>
          </w:p>
        </w:tc>
        <w:tc>
          <w:tcPr>
            <w:tcW w:w="2042" w:type="dxa"/>
            <w:tcBorders>
              <w:tl2br w:val="nil"/>
              <w:tr2bl w:val="nil"/>
            </w:tcBorders>
            <w:shd w:val="clear" w:color="auto" w:fill="auto"/>
            <w:vAlign w:val="center"/>
          </w:tcPr>
          <w:p w14:paraId="394859B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葡萄糖酸钠</w:t>
            </w:r>
          </w:p>
        </w:tc>
        <w:tc>
          <w:tcPr>
            <w:tcW w:w="1910" w:type="dxa"/>
            <w:tcBorders>
              <w:tl2br w:val="nil"/>
              <w:tr2bl w:val="nil"/>
            </w:tcBorders>
            <w:shd w:val="clear" w:color="auto" w:fill="auto"/>
            <w:vAlign w:val="center"/>
          </w:tcPr>
          <w:p w14:paraId="0C24E47F">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76</w:t>
            </w:r>
          </w:p>
        </w:tc>
        <w:tc>
          <w:tcPr>
            <w:tcW w:w="1940" w:type="dxa"/>
            <w:tcBorders>
              <w:tl2br w:val="nil"/>
              <w:tr2bl w:val="nil"/>
            </w:tcBorders>
            <w:shd w:val="clear" w:color="auto" w:fill="auto"/>
            <w:noWrap/>
            <w:vAlign w:val="center"/>
          </w:tcPr>
          <w:p w14:paraId="7D6EDDAD">
            <w:pPr>
              <w:pStyle w:val="26"/>
              <w:bidi w:val="0"/>
              <w:rPr>
                <w:rFonts w:hint="eastAsia"/>
                <w:color w:val="000000" w:themeColor="text1"/>
                <w:highlight w:val="none"/>
                <w14:textFill>
                  <w14:solidFill>
                    <w14:schemeClr w14:val="tx1"/>
                  </w14:solidFill>
                </w14:textFill>
              </w:rPr>
            </w:pPr>
          </w:p>
        </w:tc>
        <w:tc>
          <w:tcPr>
            <w:tcW w:w="2219" w:type="dxa"/>
            <w:tcBorders>
              <w:tl2br w:val="nil"/>
              <w:tr2bl w:val="nil"/>
            </w:tcBorders>
            <w:shd w:val="clear" w:color="auto" w:fill="auto"/>
            <w:noWrap/>
            <w:vAlign w:val="center"/>
          </w:tcPr>
          <w:p w14:paraId="0A65D555">
            <w:pPr>
              <w:pStyle w:val="26"/>
              <w:bidi w:val="0"/>
              <w:rPr>
                <w:rFonts w:hint="eastAsia"/>
                <w:color w:val="000000" w:themeColor="text1"/>
                <w:highlight w:val="none"/>
                <w14:textFill>
                  <w14:solidFill>
                    <w14:schemeClr w14:val="tx1"/>
                  </w14:solidFill>
                </w14:textFill>
              </w:rPr>
            </w:pPr>
          </w:p>
        </w:tc>
      </w:tr>
      <w:tr w14:paraId="3CFD4D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1C5B4FDE">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8</w:t>
            </w:r>
          </w:p>
        </w:tc>
        <w:tc>
          <w:tcPr>
            <w:tcW w:w="2042" w:type="dxa"/>
            <w:tcBorders>
              <w:tl2br w:val="nil"/>
              <w:tr2bl w:val="nil"/>
            </w:tcBorders>
            <w:shd w:val="clear" w:color="auto" w:fill="auto"/>
            <w:vAlign w:val="center"/>
          </w:tcPr>
          <w:p w14:paraId="33A54DC3">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w:t>
            </w:r>
          </w:p>
        </w:tc>
        <w:tc>
          <w:tcPr>
            <w:tcW w:w="1910" w:type="dxa"/>
            <w:tcBorders>
              <w:tl2br w:val="nil"/>
              <w:tr2bl w:val="nil"/>
            </w:tcBorders>
            <w:shd w:val="clear" w:color="auto" w:fill="auto"/>
            <w:vAlign w:val="center"/>
          </w:tcPr>
          <w:p w14:paraId="0DE6288C">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12400</w:t>
            </w:r>
          </w:p>
        </w:tc>
        <w:tc>
          <w:tcPr>
            <w:tcW w:w="1940" w:type="dxa"/>
            <w:tcBorders>
              <w:tl2br w:val="nil"/>
              <w:tr2bl w:val="nil"/>
            </w:tcBorders>
            <w:shd w:val="clear" w:color="auto" w:fill="auto"/>
            <w:noWrap/>
            <w:vAlign w:val="center"/>
          </w:tcPr>
          <w:p w14:paraId="121A96DD">
            <w:pPr>
              <w:pStyle w:val="26"/>
              <w:bidi w:val="0"/>
              <w:rPr>
                <w:rFonts w:hint="eastAsia"/>
                <w:color w:val="000000" w:themeColor="text1"/>
                <w:highlight w:val="none"/>
                <w14:textFill>
                  <w14:solidFill>
                    <w14:schemeClr w14:val="tx1"/>
                  </w14:solidFill>
                </w14:textFill>
              </w:rPr>
            </w:pPr>
          </w:p>
        </w:tc>
        <w:tc>
          <w:tcPr>
            <w:tcW w:w="2219" w:type="dxa"/>
            <w:tcBorders>
              <w:tl2br w:val="nil"/>
              <w:tr2bl w:val="nil"/>
            </w:tcBorders>
            <w:shd w:val="clear" w:color="auto" w:fill="auto"/>
            <w:noWrap/>
            <w:vAlign w:val="center"/>
          </w:tcPr>
          <w:p w14:paraId="245B85F5">
            <w:pPr>
              <w:pStyle w:val="26"/>
              <w:bidi w:val="0"/>
              <w:rPr>
                <w:rFonts w:hint="eastAsia"/>
                <w:color w:val="000000" w:themeColor="text1"/>
                <w:highlight w:val="none"/>
                <w14:textFill>
                  <w14:solidFill>
                    <w14:schemeClr w14:val="tx1"/>
                  </w14:solidFill>
                </w14:textFill>
              </w:rPr>
            </w:pPr>
          </w:p>
        </w:tc>
      </w:tr>
      <w:tr w14:paraId="62761B4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3002" w:type="dxa"/>
            <w:gridSpan w:val="2"/>
            <w:tcBorders>
              <w:tl2br w:val="nil"/>
              <w:tr2bl w:val="nil"/>
            </w:tcBorders>
            <w:shd w:val="clear" w:color="auto" w:fill="auto"/>
            <w:noWrap/>
            <w:vAlign w:val="center"/>
          </w:tcPr>
          <w:p w14:paraId="7D872C27">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合计</w:t>
            </w:r>
          </w:p>
        </w:tc>
        <w:tc>
          <w:tcPr>
            <w:tcW w:w="1910" w:type="dxa"/>
            <w:tcBorders>
              <w:tl2br w:val="nil"/>
              <w:tr2bl w:val="nil"/>
            </w:tcBorders>
            <w:shd w:val="clear" w:color="auto" w:fill="auto"/>
            <w:noWrap/>
            <w:vAlign w:val="center"/>
          </w:tcPr>
          <w:p w14:paraId="502EC770">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20000</w:t>
            </w:r>
          </w:p>
        </w:tc>
        <w:tc>
          <w:tcPr>
            <w:tcW w:w="1940" w:type="dxa"/>
            <w:tcBorders>
              <w:tl2br w:val="nil"/>
              <w:tr2bl w:val="nil"/>
            </w:tcBorders>
            <w:shd w:val="clear" w:color="auto" w:fill="auto"/>
            <w:noWrap/>
            <w:vAlign w:val="center"/>
          </w:tcPr>
          <w:p w14:paraId="0FA33EB9">
            <w:pPr>
              <w:pStyle w:val="26"/>
              <w:bidi w:val="0"/>
              <w:rPr>
                <w:rFonts w:hint="eastAsia"/>
                <w:color w:val="000000" w:themeColor="text1"/>
                <w:highlight w:val="none"/>
                <w14:textFill>
                  <w14:solidFill>
                    <w14:schemeClr w14:val="tx1"/>
                  </w14:solidFill>
                </w14:textFill>
              </w:rPr>
            </w:pPr>
          </w:p>
        </w:tc>
        <w:tc>
          <w:tcPr>
            <w:tcW w:w="2219" w:type="dxa"/>
            <w:tcBorders>
              <w:tl2br w:val="nil"/>
              <w:tr2bl w:val="nil"/>
            </w:tcBorders>
            <w:shd w:val="clear" w:color="auto" w:fill="auto"/>
            <w:noWrap/>
            <w:vAlign w:val="center"/>
          </w:tcPr>
          <w:p w14:paraId="359ACAEF">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20000</w:t>
            </w:r>
          </w:p>
        </w:tc>
      </w:tr>
    </w:tbl>
    <w:p w14:paraId="66F847E1">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（2）硫酸铝生产线</w:t>
      </w:r>
    </w:p>
    <w:p w14:paraId="10EDDAC2">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硫酸剂生产线物料平衡见表3.6.3-3。</w:t>
      </w:r>
    </w:p>
    <w:p w14:paraId="2BC02097">
      <w:pPr>
        <w:pStyle w:val="2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表3.6.3-3    硫酸铝生产线物料平衡表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960"/>
        <w:gridCol w:w="2042"/>
        <w:gridCol w:w="1910"/>
        <w:gridCol w:w="1800"/>
        <w:gridCol w:w="2359"/>
      </w:tblGrid>
      <w:tr w14:paraId="42AE22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vMerge w:val="restart"/>
            <w:shd w:val="clear" w:color="auto" w:fill="auto"/>
            <w:noWrap/>
            <w:vAlign w:val="center"/>
          </w:tcPr>
          <w:p w14:paraId="6DDD304A">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序号</w:t>
            </w:r>
          </w:p>
        </w:tc>
        <w:tc>
          <w:tcPr>
            <w:tcW w:w="3952" w:type="dxa"/>
            <w:gridSpan w:val="2"/>
            <w:shd w:val="clear" w:color="auto" w:fill="auto"/>
            <w:noWrap/>
            <w:vAlign w:val="center"/>
          </w:tcPr>
          <w:p w14:paraId="554C4025">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投入</w:t>
            </w:r>
          </w:p>
        </w:tc>
        <w:tc>
          <w:tcPr>
            <w:tcW w:w="4159" w:type="dxa"/>
            <w:gridSpan w:val="2"/>
            <w:shd w:val="clear" w:color="auto" w:fill="auto"/>
            <w:noWrap/>
            <w:vAlign w:val="center"/>
          </w:tcPr>
          <w:p w14:paraId="7584F4AE">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产出</w:t>
            </w:r>
          </w:p>
        </w:tc>
      </w:tr>
      <w:tr w14:paraId="3E2CD4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vMerge w:val="continue"/>
            <w:tcBorders>
              <w:bottom w:val="single" w:color="000000" w:sz="12" w:space="0"/>
            </w:tcBorders>
            <w:shd w:val="clear" w:color="auto" w:fill="auto"/>
            <w:noWrap/>
            <w:vAlign w:val="center"/>
          </w:tcPr>
          <w:p w14:paraId="0A4E6080">
            <w:pPr>
              <w:pStyle w:val="26"/>
              <w:bidi w:val="0"/>
              <w:rPr>
                <w:rFonts w:hint="eastAsia"/>
                <w:b/>
                <w:bCs/>
                <w:color w:val="000000" w:themeColor="text1"/>
                <w:highlight w:val="none"/>
                <w14:textFill>
                  <w14:solidFill>
                    <w14:schemeClr w14:val="tx1"/>
                  </w14:solidFill>
                </w14:textFill>
              </w:rPr>
            </w:pPr>
          </w:p>
        </w:tc>
        <w:tc>
          <w:tcPr>
            <w:tcW w:w="2042" w:type="dxa"/>
            <w:tcBorders>
              <w:bottom w:val="single" w:color="000000" w:sz="12" w:space="0"/>
            </w:tcBorders>
            <w:shd w:val="clear" w:color="auto" w:fill="auto"/>
            <w:noWrap/>
            <w:vAlign w:val="center"/>
          </w:tcPr>
          <w:p w14:paraId="191668F4">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物料名称</w:t>
            </w:r>
          </w:p>
        </w:tc>
        <w:tc>
          <w:tcPr>
            <w:tcW w:w="1910" w:type="dxa"/>
            <w:tcBorders>
              <w:bottom w:val="single" w:color="000000" w:sz="12" w:space="0"/>
            </w:tcBorders>
            <w:shd w:val="clear" w:color="auto" w:fill="auto"/>
            <w:noWrap/>
            <w:vAlign w:val="center"/>
          </w:tcPr>
          <w:p w14:paraId="1A0AD2D9">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质量（</w:t>
            </w:r>
            <w:r>
              <w:rPr>
                <w:rFonts w:hint="default"/>
                <w:b/>
                <w:bCs/>
                <w:color w:val="000000" w:themeColor="text1"/>
                <w:highlight w:val="none"/>
                <w:lang w:val="en-US" w:eastAsia="zh-CN"/>
                <w14:textFill>
                  <w14:solidFill>
                    <w14:schemeClr w14:val="tx1"/>
                  </w14:solidFill>
                </w14:textFill>
              </w:rPr>
              <w:t>t/a</w:t>
            </w:r>
            <w:r>
              <w:rPr>
                <w:rFonts w:hint="eastAsia"/>
                <w:b/>
                <w:bCs/>
                <w:color w:val="000000" w:themeColor="text1"/>
                <w:highlight w:val="none"/>
                <w:lang w:val="en-US" w:eastAsia="zh-CN"/>
                <w14:textFill>
                  <w14:solidFill>
                    <w14:schemeClr w14:val="tx1"/>
                  </w14:solidFill>
                </w14:textFill>
              </w:rPr>
              <w:t>）</w:t>
            </w:r>
          </w:p>
        </w:tc>
        <w:tc>
          <w:tcPr>
            <w:tcW w:w="1800" w:type="dxa"/>
            <w:tcBorders>
              <w:bottom w:val="single" w:color="000000" w:sz="12" w:space="0"/>
            </w:tcBorders>
            <w:shd w:val="clear" w:color="auto" w:fill="auto"/>
            <w:noWrap/>
            <w:vAlign w:val="center"/>
          </w:tcPr>
          <w:p w14:paraId="4C50E6F3">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物料名称</w:t>
            </w:r>
          </w:p>
        </w:tc>
        <w:tc>
          <w:tcPr>
            <w:tcW w:w="2359" w:type="dxa"/>
            <w:tcBorders>
              <w:bottom w:val="single" w:color="000000" w:sz="12" w:space="0"/>
            </w:tcBorders>
            <w:shd w:val="clear" w:color="auto" w:fill="auto"/>
            <w:noWrap/>
            <w:vAlign w:val="center"/>
          </w:tcPr>
          <w:p w14:paraId="69142532">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质量（</w:t>
            </w:r>
            <w:r>
              <w:rPr>
                <w:rFonts w:hint="default"/>
                <w:b/>
                <w:bCs/>
                <w:color w:val="000000" w:themeColor="text1"/>
                <w:highlight w:val="none"/>
                <w:lang w:val="en-US" w:eastAsia="zh-CN"/>
                <w14:textFill>
                  <w14:solidFill>
                    <w14:schemeClr w14:val="tx1"/>
                  </w14:solidFill>
                </w14:textFill>
              </w:rPr>
              <w:t>t/a</w:t>
            </w:r>
            <w:r>
              <w:rPr>
                <w:rFonts w:hint="eastAsia"/>
                <w:b/>
                <w:bCs/>
                <w:color w:val="000000" w:themeColor="text1"/>
                <w:highlight w:val="none"/>
                <w:lang w:val="en-US" w:eastAsia="zh-CN"/>
                <w14:textFill>
                  <w14:solidFill>
                    <w14:schemeClr w14:val="tx1"/>
                  </w14:solidFill>
                </w14:textFill>
              </w:rPr>
              <w:t>）</w:t>
            </w:r>
          </w:p>
        </w:tc>
      </w:tr>
      <w:tr w14:paraId="0AF995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op w:val="single" w:color="000000" w:sz="12" w:space="0"/>
              <w:tl2br w:val="nil"/>
              <w:tr2bl w:val="nil"/>
            </w:tcBorders>
            <w:shd w:val="clear" w:color="auto" w:fill="auto"/>
            <w:noWrap/>
            <w:vAlign w:val="center"/>
          </w:tcPr>
          <w:p w14:paraId="7C9E279D">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2042" w:type="dxa"/>
            <w:tcBorders>
              <w:top w:val="single" w:color="000000" w:sz="12" w:space="0"/>
              <w:tl2br w:val="nil"/>
              <w:tr2bl w:val="nil"/>
            </w:tcBorders>
            <w:shd w:val="clear" w:color="auto" w:fill="auto"/>
            <w:vAlign w:val="center"/>
          </w:tcPr>
          <w:p w14:paraId="664D99DA">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工业浓硫酸</w:t>
            </w:r>
          </w:p>
        </w:tc>
        <w:tc>
          <w:tcPr>
            <w:tcW w:w="1910" w:type="dxa"/>
            <w:tcBorders>
              <w:top w:val="single" w:color="000000" w:sz="12" w:space="0"/>
              <w:tl2br w:val="nil"/>
              <w:tr2bl w:val="nil"/>
            </w:tcBorders>
            <w:shd w:val="clear" w:color="auto" w:fill="auto"/>
            <w:vAlign w:val="center"/>
          </w:tcPr>
          <w:p w14:paraId="0F53B7B9">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4000</w:t>
            </w:r>
            <w:r>
              <w:rPr>
                <w:rFonts w:hint="eastAsia" w:cs="Times New Roman"/>
                <w:color w:val="000000" w:themeColor="text1"/>
                <w:highlight w:val="none"/>
                <w:lang w:val="en-US" w:eastAsia="zh-CN"/>
                <w14:textFill>
                  <w14:solidFill>
                    <w14:schemeClr w14:val="tx1"/>
                  </w14:solidFill>
                </w14:textFill>
              </w:rPr>
              <w:t>.42</w:t>
            </w:r>
          </w:p>
        </w:tc>
        <w:tc>
          <w:tcPr>
            <w:tcW w:w="1800" w:type="dxa"/>
            <w:tcBorders>
              <w:top w:val="single" w:color="000000" w:sz="12" w:space="0"/>
              <w:tl2br w:val="nil"/>
              <w:tr2bl w:val="nil"/>
            </w:tcBorders>
            <w:shd w:val="clear" w:color="auto" w:fill="auto"/>
            <w:noWrap/>
            <w:vAlign w:val="center"/>
          </w:tcPr>
          <w:p w14:paraId="4A422BBB">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硫酸铝</w:t>
            </w:r>
          </w:p>
        </w:tc>
        <w:tc>
          <w:tcPr>
            <w:tcW w:w="2359" w:type="dxa"/>
            <w:tcBorders>
              <w:top w:val="single" w:color="000000" w:sz="12" w:space="0"/>
              <w:tl2br w:val="nil"/>
              <w:tr2bl w:val="nil"/>
            </w:tcBorders>
            <w:shd w:val="clear" w:color="auto" w:fill="auto"/>
            <w:noWrap/>
            <w:vAlign w:val="center"/>
          </w:tcPr>
          <w:p w14:paraId="5F564E6D">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20000</w:t>
            </w:r>
          </w:p>
        </w:tc>
      </w:tr>
      <w:tr w14:paraId="5C69C6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646C1EEF">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2042" w:type="dxa"/>
            <w:tcBorders>
              <w:tl2br w:val="nil"/>
              <w:tr2bl w:val="nil"/>
            </w:tcBorders>
            <w:shd w:val="clear" w:color="auto" w:fill="auto"/>
            <w:vAlign w:val="center"/>
          </w:tcPr>
          <w:p w14:paraId="6BCCFCFE">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氢氧化铝</w:t>
            </w:r>
          </w:p>
        </w:tc>
        <w:tc>
          <w:tcPr>
            <w:tcW w:w="1910" w:type="dxa"/>
            <w:tcBorders>
              <w:tl2br w:val="nil"/>
              <w:tr2bl w:val="nil"/>
            </w:tcBorders>
            <w:shd w:val="clear" w:color="auto" w:fill="auto"/>
            <w:vAlign w:val="center"/>
          </w:tcPr>
          <w:p w14:paraId="4A8311F5">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3000</w:t>
            </w:r>
          </w:p>
        </w:tc>
        <w:tc>
          <w:tcPr>
            <w:tcW w:w="1800" w:type="dxa"/>
            <w:tcBorders>
              <w:tl2br w:val="nil"/>
              <w:tr2bl w:val="nil"/>
            </w:tcBorders>
            <w:shd w:val="clear" w:color="auto" w:fill="auto"/>
            <w:noWrap/>
            <w:vAlign w:val="center"/>
          </w:tcPr>
          <w:p w14:paraId="7566A16D">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外排</w:t>
            </w: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2359" w:type="dxa"/>
            <w:tcBorders>
              <w:tl2br w:val="nil"/>
              <w:tr2bl w:val="nil"/>
            </w:tcBorders>
            <w:shd w:val="clear" w:color="auto" w:fill="auto"/>
            <w:noWrap/>
            <w:vAlign w:val="center"/>
          </w:tcPr>
          <w:p w14:paraId="74176CAD">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0.42</w:t>
            </w:r>
          </w:p>
        </w:tc>
      </w:tr>
      <w:tr w14:paraId="12F523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3A57DE9B">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2042" w:type="dxa"/>
            <w:tcBorders>
              <w:tl2br w:val="nil"/>
              <w:tr2bl w:val="nil"/>
            </w:tcBorders>
            <w:shd w:val="clear" w:color="auto" w:fill="auto"/>
            <w:vAlign w:val="center"/>
          </w:tcPr>
          <w:p w14:paraId="0A1D2BF4">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水</w:t>
            </w:r>
          </w:p>
        </w:tc>
        <w:tc>
          <w:tcPr>
            <w:tcW w:w="1910" w:type="dxa"/>
            <w:tcBorders>
              <w:tl2br w:val="nil"/>
              <w:tr2bl w:val="nil"/>
            </w:tcBorders>
            <w:shd w:val="clear" w:color="auto" w:fill="auto"/>
            <w:vAlign w:val="center"/>
          </w:tcPr>
          <w:p w14:paraId="0B678C93">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13000</w:t>
            </w:r>
          </w:p>
        </w:tc>
        <w:tc>
          <w:tcPr>
            <w:tcW w:w="1800" w:type="dxa"/>
            <w:tcBorders>
              <w:tl2br w:val="nil"/>
              <w:tr2bl w:val="nil"/>
            </w:tcBorders>
            <w:shd w:val="clear" w:color="auto" w:fill="auto"/>
            <w:noWrap/>
            <w:vAlign w:val="center"/>
          </w:tcPr>
          <w:p w14:paraId="5BB6B066">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2359" w:type="dxa"/>
            <w:tcBorders>
              <w:tl2br w:val="nil"/>
              <w:tr2bl w:val="nil"/>
            </w:tcBorders>
            <w:shd w:val="clear" w:color="auto" w:fill="auto"/>
            <w:noWrap/>
            <w:vAlign w:val="center"/>
          </w:tcPr>
          <w:p w14:paraId="59CB21BB">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F5C4D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3002" w:type="dxa"/>
            <w:gridSpan w:val="2"/>
            <w:tcBorders>
              <w:tl2br w:val="nil"/>
              <w:tr2bl w:val="nil"/>
            </w:tcBorders>
            <w:shd w:val="clear" w:color="auto" w:fill="auto"/>
            <w:noWrap/>
            <w:vAlign w:val="center"/>
          </w:tcPr>
          <w:p w14:paraId="645D1D2A">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合计</w:t>
            </w:r>
          </w:p>
        </w:tc>
        <w:tc>
          <w:tcPr>
            <w:tcW w:w="1910" w:type="dxa"/>
            <w:tcBorders>
              <w:tl2br w:val="nil"/>
              <w:tr2bl w:val="nil"/>
            </w:tcBorders>
            <w:shd w:val="clear" w:color="auto" w:fill="auto"/>
            <w:vAlign w:val="center"/>
          </w:tcPr>
          <w:p w14:paraId="254898BB">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20000</w:t>
            </w:r>
          </w:p>
        </w:tc>
        <w:tc>
          <w:tcPr>
            <w:tcW w:w="1800" w:type="dxa"/>
            <w:tcBorders>
              <w:tl2br w:val="nil"/>
              <w:tr2bl w:val="nil"/>
            </w:tcBorders>
            <w:shd w:val="clear" w:color="auto" w:fill="auto"/>
            <w:noWrap/>
            <w:vAlign w:val="center"/>
          </w:tcPr>
          <w:p w14:paraId="715DA3E9">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2359" w:type="dxa"/>
            <w:tcBorders>
              <w:tl2br w:val="nil"/>
              <w:tr2bl w:val="nil"/>
            </w:tcBorders>
            <w:shd w:val="clear" w:color="auto" w:fill="auto"/>
            <w:noWrap/>
            <w:vAlign w:val="center"/>
          </w:tcPr>
          <w:p w14:paraId="4DC4B641">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20000.42</w:t>
            </w:r>
          </w:p>
        </w:tc>
      </w:tr>
    </w:tbl>
    <w:p w14:paraId="179EB386">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（3）速凝剂生产线</w:t>
      </w:r>
    </w:p>
    <w:p w14:paraId="036B30BF">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速凝剂生产线物料平衡见表表3.6.3-4。</w:t>
      </w:r>
    </w:p>
    <w:p w14:paraId="29DFE46C">
      <w:pPr>
        <w:pStyle w:val="2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表3.6.3-4   速凝剂生产线物料平衡表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960"/>
        <w:gridCol w:w="2042"/>
        <w:gridCol w:w="1910"/>
        <w:gridCol w:w="1800"/>
        <w:gridCol w:w="2359"/>
      </w:tblGrid>
      <w:tr w14:paraId="798C3D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60" w:type="dxa"/>
            <w:vMerge w:val="restart"/>
            <w:shd w:val="clear" w:color="auto" w:fill="auto"/>
            <w:noWrap/>
            <w:vAlign w:val="center"/>
          </w:tcPr>
          <w:p w14:paraId="50572F05">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序号</w:t>
            </w:r>
          </w:p>
        </w:tc>
        <w:tc>
          <w:tcPr>
            <w:tcW w:w="3952" w:type="dxa"/>
            <w:gridSpan w:val="2"/>
            <w:shd w:val="clear" w:color="auto" w:fill="auto"/>
            <w:noWrap/>
            <w:vAlign w:val="center"/>
          </w:tcPr>
          <w:p w14:paraId="5B8F21B7">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投入</w:t>
            </w:r>
          </w:p>
        </w:tc>
        <w:tc>
          <w:tcPr>
            <w:tcW w:w="4159" w:type="dxa"/>
            <w:gridSpan w:val="2"/>
            <w:shd w:val="clear" w:color="auto" w:fill="auto"/>
            <w:noWrap/>
            <w:vAlign w:val="center"/>
          </w:tcPr>
          <w:p w14:paraId="57AB58AE">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产出</w:t>
            </w:r>
          </w:p>
        </w:tc>
      </w:tr>
      <w:tr w14:paraId="6BE89B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60" w:type="dxa"/>
            <w:vMerge w:val="continue"/>
            <w:tcBorders>
              <w:bottom w:val="single" w:color="000000" w:sz="12" w:space="0"/>
            </w:tcBorders>
            <w:shd w:val="clear" w:color="auto" w:fill="auto"/>
            <w:noWrap/>
            <w:vAlign w:val="center"/>
          </w:tcPr>
          <w:p w14:paraId="4A1B56CF">
            <w:pPr>
              <w:pStyle w:val="26"/>
              <w:bidi w:val="0"/>
              <w:rPr>
                <w:rFonts w:hint="eastAsia"/>
                <w:b/>
                <w:bCs/>
                <w:color w:val="000000" w:themeColor="text1"/>
                <w:highlight w:val="none"/>
                <w14:textFill>
                  <w14:solidFill>
                    <w14:schemeClr w14:val="tx1"/>
                  </w14:solidFill>
                </w14:textFill>
              </w:rPr>
            </w:pPr>
          </w:p>
        </w:tc>
        <w:tc>
          <w:tcPr>
            <w:tcW w:w="2042" w:type="dxa"/>
            <w:tcBorders>
              <w:bottom w:val="single" w:color="000000" w:sz="12" w:space="0"/>
            </w:tcBorders>
            <w:shd w:val="clear" w:color="auto" w:fill="auto"/>
            <w:noWrap/>
            <w:vAlign w:val="center"/>
          </w:tcPr>
          <w:p w14:paraId="69E2B5E9">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物料名称</w:t>
            </w:r>
          </w:p>
        </w:tc>
        <w:tc>
          <w:tcPr>
            <w:tcW w:w="1910" w:type="dxa"/>
            <w:tcBorders>
              <w:bottom w:val="single" w:color="000000" w:sz="12" w:space="0"/>
            </w:tcBorders>
            <w:shd w:val="clear" w:color="auto" w:fill="auto"/>
            <w:noWrap/>
            <w:vAlign w:val="center"/>
          </w:tcPr>
          <w:p w14:paraId="436D3E1E">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质量（</w:t>
            </w:r>
            <w:r>
              <w:rPr>
                <w:rFonts w:hint="default"/>
                <w:b/>
                <w:bCs/>
                <w:color w:val="000000" w:themeColor="text1"/>
                <w:highlight w:val="none"/>
                <w:lang w:val="en-US" w:eastAsia="zh-CN"/>
                <w14:textFill>
                  <w14:solidFill>
                    <w14:schemeClr w14:val="tx1"/>
                  </w14:solidFill>
                </w14:textFill>
              </w:rPr>
              <w:t>t/a</w:t>
            </w:r>
            <w:r>
              <w:rPr>
                <w:rFonts w:hint="eastAsia"/>
                <w:b/>
                <w:bCs/>
                <w:color w:val="000000" w:themeColor="text1"/>
                <w:highlight w:val="none"/>
                <w:lang w:val="en-US" w:eastAsia="zh-CN"/>
                <w14:textFill>
                  <w14:solidFill>
                    <w14:schemeClr w14:val="tx1"/>
                  </w14:solidFill>
                </w14:textFill>
              </w:rPr>
              <w:t>）</w:t>
            </w:r>
          </w:p>
        </w:tc>
        <w:tc>
          <w:tcPr>
            <w:tcW w:w="1800" w:type="dxa"/>
            <w:tcBorders>
              <w:bottom w:val="single" w:color="000000" w:sz="12" w:space="0"/>
            </w:tcBorders>
            <w:shd w:val="clear" w:color="auto" w:fill="auto"/>
            <w:noWrap/>
            <w:vAlign w:val="center"/>
          </w:tcPr>
          <w:p w14:paraId="42807A89">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物料名称</w:t>
            </w:r>
          </w:p>
        </w:tc>
        <w:tc>
          <w:tcPr>
            <w:tcW w:w="2359" w:type="dxa"/>
            <w:tcBorders>
              <w:bottom w:val="single" w:color="000000" w:sz="12" w:space="0"/>
            </w:tcBorders>
            <w:shd w:val="clear" w:color="auto" w:fill="auto"/>
            <w:noWrap/>
            <w:vAlign w:val="center"/>
          </w:tcPr>
          <w:p w14:paraId="086A87BF">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质量（</w:t>
            </w:r>
            <w:r>
              <w:rPr>
                <w:rFonts w:hint="default"/>
                <w:b/>
                <w:bCs/>
                <w:color w:val="000000" w:themeColor="text1"/>
                <w:highlight w:val="none"/>
                <w:lang w:val="en-US" w:eastAsia="zh-CN"/>
                <w14:textFill>
                  <w14:solidFill>
                    <w14:schemeClr w14:val="tx1"/>
                  </w14:solidFill>
                </w14:textFill>
              </w:rPr>
              <w:t>t/a</w:t>
            </w:r>
            <w:r>
              <w:rPr>
                <w:rFonts w:hint="eastAsia"/>
                <w:b/>
                <w:bCs/>
                <w:color w:val="000000" w:themeColor="text1"/>
                <w:highlight w:val="none"/>
                <w:lang w:val="en-US" w:eastAsia="zh-CN"/>
                <w14:textFill>
                  <w14:solidFill>
                    <w14:schemeClr w14:val="tx1"/>
                  </w14:solidFill>
                </w14:textFill>
              </w:rPr>
              <w:t>）</w:t>
            </w:r>
          </w:p>
        </w:tc>
      </w:tr>
      <w:tr w14:paraId="2B8C767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60" w:type="dxa"/>
            <w:tcBorders>
              <w:top w:val="single" w:color="000000" w:sz="12" w:space="0"/>
              <w:tl2br w:val="nil"/>
              <w:tr2bl w:val="nil"/>
            </w:tcBorders>
            <w:shd w:val="clear" w:color="auto" w:fill="auto"/>
            <w:noWrap/>
            <w:vAlign w:val="center"/>
          </w:tcPr>
          <w:p w14:paraId="1137ADA2">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2042" w:type="dxa"/>
            <w:tcBorders>
              <w:top w:val="single" w:color="000000" w:sz="12" w:space="0"/>
              <w:tl2br w:val="nil"/>
              <w:tr2bl w:val="nil"/>
            </w:tcBorders>
            <w:shd w:val="clear" w:color="auto" w:fill="auto"/>
            <w:vAlign w:val="center"/>
          </w:tcPr>
          <w:p w14:paraId="576E356E">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硫酸铝</w:t>
            </w:r>
          </w:p>
        </w:tc>
        <w:tc>
          <w:tcPr>
            <w:tcW w:w="1910" w:type="dxa"/>
            <w:tcBorders>
              <w:top w:val="single" w:color="000000" w:sz="12" w:space="0"/>
              <w:tl2br w:val="nil"/>
              <w:tr2bl w:val="nil"/>
            </w:tcBorders>
            <w:shd w:val="clear" w:color="auto" w:fill="auto"/>
            <w:vAlign w:val="center"/>
          </w:tcPr>
          <w:p w14:paraId="4E96DCA4">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7000</w:t>
            </w:r>
          </w:p>
        </w:tc>
        <w:tc>
          <w:tcPr>
            <w:tcW w:w="1800" w:type="dxa"/>
            <w:tcBorders>
              <w:top w:val="single" w:color="000000" w:sz="12" w:space="0"/>
              <w:tl2br w:val="nil"/>
              <w:tr2bl w:val="nil"/>
            </w:tcBorders>
            <w:shd w:val="clear" w:color="auto" w:fill="auto"/>
            <w:noWrap/>
            <w:vAlign w:val="center"/>
          </w:tcPr>
          <w:p w14:paraId="128D064B">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有碱</w:t>
            </w:r>
            <w:r>
              <w:rPr>
                <w:rFonts w:hint="eastAsia" w:ascii="Times New Roman" w:hAnsi="Times New Roman" w:eastAsia="宋体" w:cs="Times New Roman"/>
                <w:color w:val="000000" w:themeColor="text1"/>
                <w:highlight w:val="none"/>
                <w:lang w:val="en-US" w:eastAsia="zh-CN"/>
                <w14:textFill>
                  <w14:solidFill>
                    <w14:schemeClr w14:val="tx1"/>
                  </w14:solidFill>
                </w14:textFill>
              </w:rPr>
              <w:t>速凝剂</w:t>
            </w:r>
          </w:p>
        </w:tc>
        <w:tc>
          <w:tcPr>
            <w:tcW w:w="2359" w:type="dxa"/>
            <w:tcBorders>
              <w:top w:val="single" w:color="000000" w:sz="12" w:space="0"/>
              <w:tl2br w:val="nil"/>
              <w:tr2bl w:val="nil"/>
            </w:tcBorders>
            <w:shd w:val="clear" w:color="auto" w:fill="auto"/>
            <w:noWrap/>
            <w:vAlign w:val="center"/>
          </w:tcPr>
          <w:p w14:paraId="33A24F60">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highlight w:val="none"/>
                <w:lang w:val="en-US" w:eastAsia="zh-CN"/>
                <w14:textFill>
                  <w14:solidFill>
                    <w14:schemeClr w14:val="tx1"/>
                  </w14:solidFill>
                </w14:textFill>
              </w:rPr>
              <w:t>000</w:t>
            </w:r>
          </w:p>
        </w:tc>
      </w:tr>
      <w:tr w14:paraId="1A827F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0F6B1CD7">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2042" w:type="dxa"/>
            <w:tcBorders>
              <w:tl2br w:val="nil"/>
              <w:tr2bl w:val="nil"/>
            </w:tcBorders>
            <w:shd w:val="clear" w:color="auto" w:fill="auto"/>
            <w:vAlign w:val="center"/>
          </w:tcPr>
          <w:p w14:paraId="2674BC06">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氟硅酸</w:t>
            </w:r>
          </w:p>
        </w:tc>
        <w:tc>
          <w:tcPr>
            <w:tcW w:w="1910" w:type="dxa"/>
            <w:tcBorders>
              <w:tl2br w:val="nil"/>
              <w:tr2bl w:val="nil"/>
            </w:tcBorders>
            <w:shd w:val="clear" w:color="auto" w:fill="auto"/>
            <w:vAlign w:val="center"/>
          </w:tcPr>
          <w:p w14:paraId="00ABACDB">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4700</w:t>
            </w:r>
            <w:r>
              <w:rPr>
                <w:rFonts w:hint="eastAsia" w:cs="Times New Roman"/>
                <w:color w:val="000000" w:themeColor="text1"/>
                <w:highlight w:val="none"/>
                <w:lang w:val="en-US" w:eastAsia="zh-CN"/>
                <w14:textFill>
                  <w14:solidFill>
                    <w14:schemeClr w14:val="tx1"/>
                  </w14:solidFill>
                </w14:textFill>
              </w:rPr>
              <w:t>.22</w:t>
            </w:r>
          </w:p>
        </w:tc>
        <w:tc>
          <w:tcPr>
            <w:tcW w:w="1800" w:type="dxa"/>
            <w:tcBorders>
              <w:tl2br w:val="nil"/>
              <w:tr2bl w:val="nil"/>
            </w:tcBorders>
            <w:shd w:val="clear" w:color="auto" w:fill="auto"/>
            <w:noWrap/>
            <w:vAlign w:val="center"/>
          </w:tcPr>
          <w:p w14:paraId="62080777">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无碱速凝剂</w:t>
            </w:r>
          </w:p>
        </w:tc>
        <w:tc>
          <w:tcPr>
            <w:tcW w:w="2359" w:type="dxa"/>
            <w:tcBorders>
              <w:tl2br w:val="nil"/>
              <w:tr2bl w:val="nil"/>
            </w:tcBorders>
            <w:shd w:val="clear" w:color="auto" w:fill="auto"/>
            <w:noWrap/>
            <w:vAlign w:val="center"/>
          </w:tcPr>
          <w:p w14:paraId="06FE2C62">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16000</w:t>
            </w:r>
          </w:p>
        </w:tc>
      </w:tr>
      <w:tr w14:paraId="59DC20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086F8C9C">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2042" w:type="dxa"/>
            <w:tcBorders>
              <w:tl2br w:val="nil"/>
              <w:tr2bl w:val="nil"/>
            </w:tcBorders>
            <w:shd w:val="clear" w:color="auto" w:fill="auto"/>
            <w:vAlign w:val="center"/>
          </w:tcPr>
          <w:p w14:paraId="0ADA2D2B">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片碱</w:t>
            </w:r>
          </w:p>
        </w:tc>
        <w:tc>
          <w:tcPr>
            <w:tcW w:w="1910" w:type="dxa"/>
            <w:tcBorders>
              <w:tl2br w:val="nil"/>
              <w:tr2bl w:val="nil"/>
            </w:tcBorders>
            <w:shd w:val="clear" w:color="auto" w:fill="auto"/>
            <w:vAlign w:val="center"/>
          </w:tcPr>
          <w:p w14:paraId="48DD95BE">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500</w:t>
            </w:r>
          </w:p>
        </w:tc>
        <w:tc>
          <w:tcPr>
            <w:tcW w:w="1800" w:type="dxa"/>
            <w:tcBorders>
              <w:tl2br w:val="nil"/>
              <w:tr2bl w:val="nil"/>
            </w:tcBorders>
            <w:shd w:val="clear" w:color="auto" w:fill="auto"/>
            <w:noWrap/>
            <w:vAlign w:val="center"/>
          </w:tcPr>
          <w:p w14:paraId="2A05EFD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外排</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2359" w:type="dxa"/>
            <w:tcBorders>
              <w:tl2br w:val="nil"/>
              <w:tr2bl w:val="nil"/>
            </w:tcBorders>
            <w:shd w:val="clear" w:color="auto" w:fill="auto"/>
            <w:noWrap/>
            <w:vAlign w:val="center"/>
          </w:tcPr>
          <w:p w14:paraId="4650FFC7">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0.22</w:t>
            </w:r>
          </w:p>
        </w:tc>
      </w:tr>
      <w:tr w14:paraId="3F9652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60" w:type="dxa"/>
            <w:tcBorders>
              <w:tl2br w:val="nil"/>
              <w:tr2bl w:val="nil"/>
            </w:tcBorders>
            <w:shd w:val="clear" w:color="auto" w:fill="auto"/>
            <w:noWrap/>
            <w:vAlign w:val="center"/>
          </w:tcPr>
          <w:p w14:paraId="2241061C">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2042" w:type="dxa"/>
            <w:tcBorders>
              <w:tl2br w:val="nil"/>
              <w:tr2bl w:val="nil"/>
            </w:tcBorders>
            <w:shd w:val="clear" w:color="auto" w:fill="auto"/>
            <w:vAlign w:val="center"/>
          </w:tcPr>
          <w:p w14:paraId="3A3D33CD">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水</w:t>
            </w:r>
          </w:p>
        </w:tc>
        <w:tc>
          <w:tcPr>
            <w:tcW w:w="1910" w:type="dxa"/>
            <w:tcBorders>
              <w:tl2br w:val="nil"/>
              <w:tr2bl w:val="nil"/>
            </w:tcBorders>
            <w:shd w:val="clear" w:color="auto" w:fill="auto"/>
            <w:vAlign w:val="center"/>
          </w:tcPr>
          <w:p w14:paraId="45022F19">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7800</w:t>
            </w:r>
          </w:p>
        </w:tc>
        <w:tc>
          <w:tcPr>
            <w:tcW w:w="1800" w:type="dxa"/>
            <w:tcBorders>
              <w:tl2br w:val="nil"/>
              <w:tr2bl w:val="nil"/>
            </w:tcBorders>
            <w:shd w:val="clear" w:color="auto" w:fill="auto"/>
            <w:noWrap/>
            <w:vAlign w:val="center"/>
          </w:tcPr>
          <w:p w14:paraId="01FEAE7F">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2359" w:type="dxa"/>
            <w:tcBorders>
              <w:tl2br w:val="nil"/>
              <w:tr2bl w:val="nil"/>
            </w:tcBorders>
            <w:shd w:val="clear" w:color="auto" w:fill="auto"/>
            <w:noWrap/>
            <w:vAlign w:val="center"/>
          </w:tcPr>
          <w:p w14:paraId="497BFB95">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94DA7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002" w:type="dxa"/>
            <w:gridSpan w:val="2"/>
            <w:tcBorders>
              <w:tl2br w:val="nil"/>
              <w:tr2bl w:val="nil"/>
            </w:tcBorders>
            <w:shd w:val="clear" w:color="auto" w:fill="auto"/>
            <w:noWrap/>
            <w:vAlign w:val="center"/>
          </w:tcPr>
          <w:p w14:paraId="5E635AFF">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合计</w:t>
            </w:r>
          </w:p>
        </w:tc>
        <w:tc>
          <w:tcPr>
            <w:tcW w:w="1910" w:type="dxa"/>
            <w:tcBorders>
              <w:tl2br w:val="nil"/>
              <w:tr2bl w:val="nil"/>
            </w:tcBorders>
            <w:shd w:val="clear" w:color="auto" w:fill="auto"/>
            <w:noWrap/>
            <w:vAlign w:val="center"/>
          </w:tcPr>
          <w:p w14:paraId="187CA5D0">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20000</w:t>
            </w:r>
          </w:p>
        </w:tc>
        <w:tc>
          <w:tcPr>
            <w:tcW w:w="1800" w:type="dxa"/>
            <w:tcBorders>
              <w:tl2br w:val="nil"/>
              <w:tr2bl w:val="nil"/>
            </w:tcBorders>
            <w:shd w:val="clear" w:color="auto" w:fill="auto"/>
            <w:noWrap/>
            <w:vAlign w:val="center"/>
          </w:tcPr>
          <w:p w14:paraId="7B19D37B">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2359" w:type="dxa"/>
            <w:tcBorders>
              <w:tl2br w:val="nil"/>
              <w:tr2bl w:val="nil"/>
            </w:tcBorders>
            <w:shd w:val="clear" w:color="auto" w:fill="auto"/>
            <w:noWrap/>
            <w:vAlign w:val="center"/>
          </w:tcPr>
          <w:p w14:paraId="18416FFB">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20000.22</w:t>
            </w:r>
          </w:p>
        </w:tc>
      </w:tr>
    </w:tbl>
    <w:p w14:paraId="248EEDDF">
      <w:pPr>
        <w:pStyle w:val="3"/>
        <w:bidi w:val="0"/>
        <w:rPr>
          <w:rFonts w:hint="default"/>
          <w:color w:val="000000" w:themeColor="text1"/>
          <w:highlight w:val="none"/>
          <w:lang w:val="en-US" w:eastAsia="zh-CN"/>
          <w14:textFill>
            <w14:solidFill>
              <w14:schemeClr w14:val="tx1"/>
            </w14:solidFill>
          </w14:textFill>
        </w:rPr>
      </w:pPr>
      <w:bookmarkStart w:id="648" w:name="_Toc25080"/>
      <w:r>
        <w:rPr>
          <w:rFonts w:hint="eastAsia"/>
          <w:color w:val="000000" w:themeColor="text1"/>
          <w:highlight w:val="none"/>
          <w:lang w:val="en-US" w:eastAsia="zh-CN"/>
          <w14:textFill>
            <w14:solidFill>
              <w14:schemeClr w14:val="tx1"/>
            </w14:solidFill>
          </w14:textFill>
        </w:rPr>
        <w:t>3.7</w:t>
      </w:r>
      <w:r>
        <w:rPr>
          <w:rFonts w:hint="eastAsia"/>
          <w:color w:val="000000" w:themeColor="text1"/>
          <w:highlight w:val="none"/>
          <w:lang w:val="en-US"/>
          <w14:textFill>
            <w14:solidFill>
              <w14:schemeClr w14:val="tx1"/>
            </w14:solidFill>
          </w14:textFill>
        </w:rPr>
        <w:t>污染源强核算</w:t>
      </w:r>
      <w:bookmarkEnd w:id="646"/>
      <w:bookmarkEnd w:id="647"/>
      <w:bookmarkEnd w:id="648"/>
    </w:p>
    <w:p w14:paraId="28CCF0EA">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3.7.1</w:t>
      </w:r>
      <w:r>
        <w:rPr>
          <w:rFonts w:hint="eastAsia"/>
          <w:color w:val="000000" w:themeColor="text1"/>
          <w:highlight w:val="none"/>
          <w14:textFill>
            <w14:solidFill>
              <w14:schemeClr w14:val="tx1"/>
            </w14:solidFill>
          </w14:textFill>
        </w:rPr>
        <w:t>废气</w:t>
      </w:r>
    </w:p>
    <w:p w14:paraId="5D2E465F">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3.7.1.1有组织废气</w:t>
      </w:r>
    </w:p>
    <w:p w14:paraId="53E566A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w:t>
      </w:r>
      <w:r>
        <w:rPr>
          <w:rFonts w:hint="default"/>
          <w:color w:val="000000" w:themeColor="text1"/>
          <w:highlight w:val="none"/>
          <w:lang w:val="en-US" w:eastAsia="zh-CN"/>
          <w14:textFill>
            <w14:solidFill>
              <w14:schemeClr w14:val="tx1"/>
            </w14:solidFill>
          </w14:textFill>
        </w:rPr>
        <w:t>生产过程中产生的废气主要为投料废气、</w:t>
      </w:r>
      <w:r>
        <w:rPr>
          <w:rFonts w:hint="eastAsia"/>
          <w:color w:val="000000" w:themeColor="text1"/>
          <w:highlight w:val="none"/>
          <w:lang w:val="en-US" w:eastAsia="zh-CN"/>
          <w14:textFill>
            <w14:solidFill>
              <w14:schemeClr w14:val="tx1"/>
            </w14:solidFill>
          </w14:textFill>
        </w:rPr>
        <w:t>反应废气。</w:t>
      </w:r>
    </w:p>
    <w:p w14:paraId="3868D30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（1）减水剂生产线</w:t>
      </w:r>
      <w:r>
        <w:rPr>
          <w:rFonts w:hint="default"/>
          <w:color w:val="000000" w:themeColor="text1"/>
          <w:highlight w:val="none"/>
          <w:lang w:val="en-US" w:eastAsia="zh-CN"/>
          <w14:textFill>
            <w14:solidFill>
              <w14:schemeClr w14:val="tx1"/>
            </w14:solidFill>
          </w14:textFill>
        </w:rPr>
        <w:t>投料废气G1</w:t>
      </w:r>
      <w:r>
        <w:rPr>
          <w:rFonts w:hint="eastAsia"/>
          <w:color w:val="000000" w:themeColor="text1"/>
          <w:highlight w:val="none"/>
          <w:lang w:val="en-US" w:eastAsia="zh-CN"/>
          <w14:textFill>
            <w14:solidFill>
              <w14:schemeClr w14:val="tx1"/>
            </w14:solidFill>
          </w14:textFill>
        </w:rPr>
        <w:t>-1、G1-3</w:t>
      </w:r>
    </w:p>
    <w:p w14:paraId="593EB391">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项目减水型母液投料过程中粉尘主要</w:t>
      </w:r>
      <w:r>
        <w:rPr>
          <w:rFonts w:hint="eastAsia"/>
          <w:color w:val="000000" w:themeColor="text1"/>
          <w:highlight w:val="none"/>
          <w:lang w:val="en-US" w:eastAsia="zh-CN"/>
          <w14:textFill>
            <w14:solidFill>
              <w14:schemeClr w14:val="tx1"/>
            </w14:solidFill>
          </w14:textFill>
        </w:rPr>
        <w:t>来自聚醚大单体、过硫酸铵、</w:t>
      </w:r>
      <w:r>
        <w:rPr>
          <w:rFonts w:hint="default"/>
          <w:color w:val="000000" w:themeColor="text1"/>
          <w:highlight w:val="none"/>
          <w:lang w:val="en-US" w:eastAsia="zh-CN"/>
          <w14:textFill>
            <w14:solidFill>
              <w14:schemeClr w14:val="tx1"/>
            </w14:solidFill>
          </w14:textFill>
        </w:rPr>
        <w:t>维生素C</w:t>
      </w:r>
      <w:r>
        <w:rPr>
          <w:rFonts w:hint="eastAsia"/>
          <w:color w:val="000000" w:themeColor="text1"/>
          <w:highlight w:val="none"/>
          <w:lang w:val="en-US" w:eastAsia="zh-CN"/>
          <w14:textFill>
            <w14:solidFill>
              <w14:schemeClr w14:val="tx1"/>
            </w14:solidFill>
          </w14:textFill>
        </w:rPr>
        <w:t>、氢氧化钠等</w:t>
      </w:r>
      <w:r>
        <w:rPr>
          <w:rFonts w:hint="default"/>
          <w:color w:val="000000" w:themeColor="text1"/>
          <w:highlight w:val="none"/>
          <w:lang w:val="en-US" w:eastAsia="zh-CN"/>
          <w14:textFill>
            <w14:solidFill>
              <w14:schemeClr w14:val="tx1"/>
            </w14:solidFill>
          </w14:textFill>
        </w:rPr>
        <w:t>固体原料的投料过</w:t>
      </w:r>
      <w:r>
        <w:rPr>
          <w:rFonts w:hint="eastAsia"/>
          <w:color w:val="000000" w:themeColor="text1"/>
          <w:highlight w:val="none"/>
          <w:lang w:val="en-US" w:eastAsia="zh-CN"/>
          <w14:textFill>
            <w14:solidFill>
              <w14:schemeClr w14:val="tx1"/>
            </w14:solidFill>
          </w14:textFill>
        </w:rPr>
        <w:t>程中产生的废气，主要为颗粒物，本次评价参考《逸散性工业粉尘控制技术》</w:t>
      </w:r>
      <w:r>
        <w:rPr>
          <w:rFonts w:hint="eastAsia"/>
          <w:color w:val="000000" w:themeColor="text1"/>
          <w:highlight w:val="none"/>
          <w14:textFill>
            <w14:solidFill>
              <w14:schemeClr w14:val="tx1"/>
            </w14:solidFill>
          </w14:textFill>
        </w:rPr>
        <w:t>拆包、投料过程粉尘产生系数按</w:t>
      </w:r>
      <w:r>
        <w:rPr>
          <w:rFonts w:hint="eastAsia"/>
          <w:color w:val="000000" w:themeColor="text1"/>
          <w:highlight w:val="none"/>
          <w:lang w:val="en-US" w:eastAsia="zh-CN"/>
          <w14:textFill>
            <w14:solidFill>
              <w14:schemeClr w14:val="tx1"/>
            </w14:solidFill>
          </w14:textFill>
        </w:rPr>
        <w:t>0.5</w:t>
      </w:r>
      <w:r>
        <w:rPr>
          <w:rFonts w:hint="default"/>
          <w:color w:val="000000" w:themeColor="text1"/>
          <w:highlight w:val="none"/>
          <w14:textFill>
            <w14:solidFill>
              <w14:schemeClr w14:val="tx1"/>
            </w14:solidFill>
          </w14:textFill>
        </w:rPr>
        <w:t>kg/t</w:t>
      </w:r>
      <w:r>
        <w:rPr>
          <w:rFonts w:hint="eastAsia"/>
          <w:color w:val="000000" w:themeColor="text1"/>
          <w:highlight w:val="none"/>
          <w14:textFill>
            <w14:solidFill>
              <w14:schemeClr w14:val="tx1"/>
            </w14:solidFill>
          </w14:textFill>
        </w:rPr>
        <w:t>物料计</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本项目减水剂生产线</w:t>
      </w:r>
      <w:r>
        <w:rPr>
          <w:rFonts w:hint="default"/>
          <w:color w:val="000000" w:themeColor="text1"/>
          <w:highlight w:val="none"/>
          <w:lang w:val="en-US" w:eastAsia="zh-CN"/>
          <w14:textFill>
            <w14:solidFill>
              <w14:schemeClr w14:val="tx1"/>
            </w14:solidFill>
          </w14:textFill>
        </w:rPr>
        <w:t>固体原料使用量</w:t>
      </w:r>
      <w:r>
        <w:rPr>
          <w:rFonts w:hint="eastAsia"/>
          <w:color w:val="000000" w:themeColor="text1"/>
          <w:highlight w:val="none"/>
          <w:lang w:val="en-US" w:eastAsia="zh-CN"/>
          <w14:textFill>
            <w14:solidFill>
              <w14:schemeClr w14:val="tx1"/>
            </w14:solidFill>
          </w14:textFill>
        </w:rPr>
        <w:t>7516</w:t>
      </w:r>
      <w:r>
        <w:rPr>
          <w:rFonts w:hint="default"/>
          <w:color w:val="000000" w:themeColor="text1"/>
          <w:highlight w:val="none"/>
          <w:lang w:val="en-US" w:eastAsia="zh-CN"/>
          <w14:textFill>
            <w14:solidFill>
              <w14:schemeClr w14:val="tx1"/>
            </w14:solidFill>
          </w14:textFill>
        </w:rPr>
        <w:t>t/a，则颗粒物产生量约</w:t>
      </w:r>
      <w:r>
        <w:rPr>
          <w:rFonts w:hint="eastAsia"/>
          <w:color w:val="000000" w:themeColor="text1"/>
          <w:highlight w:val="none"/>
          <w:lang w:val="en-US" w:eastAsia="zh-CN"/>
          <w14:textFill>
            <w14:solidFill>
              <w14:schemeClr w14:val="tx1"/>
            </w14:solidFill>
          </w14:textFill>
        </w:rPr>
        <w:t>3.76</w:t>
      </w:r>
      <w:r>
        <w:rPr>
          <w:rFonts w:hint="default"/>
          <w:color w:val="000000" w:themeColor="text1"/>
          <w:highlight w:val="none"/>
          <w:lang w:val="en-US" w:eastAsia="zh-CN"/>
          <w14:textFill>
            <w14:solidFill>
              <w14:schemeClr w14:val="tx1"/>
            </w14:solidFill>
          </w14:textFill>
        </w:rPr>
        <w:t>t/a</w:t>
      </w:r>
      <w:r>
        <w:rPr>
          <w:rFonts w:hint="eastAsia"/>
          <w:color w:val="000000" w:themeColor="text1"/>
          <w:highlight w:val="none"/>
          <w:lang w:val="en-US" w:eastAsia="zh-CN"/>
          <w14:textFill>
            <w14:solidFill>
              <w14:schemeClr w14:val="tx1"/>
            </w14:solidFill>
          </w14:textFill>
        </w:rPr>
        <w:t>，产生的废气经投料口上方集气罩收集后，收集效率按80%计，废气通过水喷淋+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r>
        <w:rPr>
          <w:rFonts w:hint="default"/>
          <w:color w:val="000000" w:themeColor="text1"/>
          <w:highlight w:val="none"/>
          <w:lang w:val="en-US" w:eastAsia="zh-CN"/>
          <w14:textFill>
            <w14:solidFill>
              <w14:schemeClr w14:val="tx1"/>
            </w14:solidFill>
          </w14:textFill>
        </w:rPr>
        <w:t>处理</w:t>
      </w:r>
      <w:r>
        <w:rPr>
          <w:rFonts w:hint="eastAsia"/>
          <w:color w:val="000000" w:themeColor="text1"/>
          <w:highlight w:val="none"/>
          <w:lang w:val="en-US" w:eastAsia="zh-CN"/>
          <w14:textFill>
            <w14:solidFill>
              <w14:schemeClr w14:val="tx1"/>
            </w14:solidFill>
          </w14:textFill>
        </w:rPr>
        <w:t>后通过1根15m</w:t>
      </w:r>
      <w:r>
        <w:rPr>
          <w:rFonts w:hint="default"/>
          <w:color w:val="000000" w:themeColor="text1"/>
          <w:highlight w:val="none"/>
          <w:lang w:val="en-US" w:eastAsia="zh-CN"/>
          <w14:textFill>
            <w14:solidFill>
              <w14:schemeClr w14:val="tx1"/>
            </w14:solidFill>
          </w14:textFill>
        </w:rPr>
        <w:t>高排气</w:t>
      </w:r>
      <w:r>
        <w:rPr>
          <w:rFonts w:hint="eastAsia"/>
          <w:color w:val="000000" w:themeColor="text1"/>
          <w:highlight w:val="none"/>
          <w:lang w:val="en-US" w:eastAsia="zh-CN"/>
          <w14:textFill>
            <w14:solidFill>
              <w14:schemeClr w14:val="tx1"/>
            </w14:solidFill>
          </w14:textFill>
        </w:rPr>
        <w:t>筒（</w:t>
      </w:r>
      <w:r>
        <w:rPr>
          <w:rFonts w:hint="default"/>
          <w:color w:val="000000" w:themeColor="text1"/>
          <w:highlight w:val="none"/>
          <w:lang w:val="en-US" w:eastAsia="zh-CN"/>
          <w14:textFill>
            <w14:solidFill>
              <w14:schemeClr w14:val="tx1"/>
            </w14:solidFill>
          </w14:textFill>
        </w:rPr>
        <w:t>DA001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排放</w:t>
      </w:r>
      <w:r>
        <w:rPr>
          <w:rFonts w:hint="eastAsia"/>
          <w:color w:val="000000" w:themeColor="text1"/>
          <w:highlight w:val="none"/>
          <w:lang w:val="en-US" w:eastAsia="zh-CN"/>
          <w14:textFill>
            <w14:solidFill>
              <w14:schemeClr w14:val="tx1"/>
            </w14:solidFill>
          </w14:textFill>
        </w:rPr>
        <w:t>，废气颗粒物主要成分为过硫酸铵、</w:t>
      </w:r>
      <w:r>
        <w:rPr>
          <w:rFonts w:hint="default"/>
          <w:color w:val="000000" w:themeColor="text1"/>
          <w:highlight w:val="none"/>
          <w:lang w:val="en-US" w:eastAsia="zh-CN"/>
          <w14:textFill>
            <w14:solidFill>
              <w14:schemeClr w14:val="tx1"/>
            </w14:solidFill>
          </w14:textFill>
        </w:rPr>
        <w:t>维生素C</w:t>
      </w:r>
      <w:r>
        <w:rPr>
          <w:rFonts w:hint="eastAsia"/>
          <w:color w:val="000000" w:themeColor="text1"/>
          <w:highlight w:val="none"/>
          <w:lang w:val="en-US" w:eastAsia="zh-CN"/>
          <w14:textFill>
            <w14:solidFill>
              <w14:schemeClr w14:val="tx1"/>
            </w14:solidFill>
          </w14:textFill>
        </w:rPr>
        <w:t>、氢氧化钠均为可溶于水的物质，因此本次评价参考《排放源统计调查产排污核算方法和系数手册》（部公告，2021年第24号）</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中“2613无机盐制造行业系数表”</w:t>
      </w:r>
      <w:r>
        <w:rPr>
          <w:rFonts w:hint="eastAsia" w:cs="Times New Roman"/>
          <w:color w:val="000000" w:themeColor="text1"/>
          <w:highlight w:val="none"/>
          <w:lang w:val="en-US" w:eastAsia="zh-CN"/>
          <w14:textFill>
            <w14:solidFill>
              <w14:schemeClr w14:val="tx1"/>
            </w14:solidFill>
          </w14:textFill>
        </w:rPr>
        <w:t>中喷淋塔除尘的去除效率，</w:t>
      </w:r>
      <w:r>
        <w:rPr>
          <w:rFonts w:hint="eastAsia"/>
          <w:color w:val="000000" w:themeColor="text1"/>
          <w:highlight w:val="none"/>
          <w:lang w:val="en-US" w:eastAsia="zh-CN"/>
          <w14:textFill>
            <w14:solidFill>
              <w14:schemeClr w14:val="tx1"/>
            </w14:solidFill>
          </w14:textFill>
        </w:rPr>
        <w:t>颗粒物去除效率为95%，风机风量</w:t>
      </w:r>
      <w:r>
        <w:rPr>
          <w:rFonts w:hint="default"/>
          <w:color w:val="000000" w:themeColor="text1"/>
          <w:highlight w:val="none"/>
          <w:lang w:val="en-US" w:eastAsia="zh-CN"/>
          <w14:textFill>
            <w14:solidFill>
              <w14:schemeClr w14:val="tx1"/>
            </w14:solidFill>
          </w14:textFill>
        </w:rPr>
        <w:t>为</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00</w:t>
      </w:r>
      <w:r>
        <w:rPr>
          <w:rFonts w:hint="eastAsia"/>
          <w:color w:val="000000" w:themeColor="text1"/>
          <w:highlight w:val="none"/>
          <w:lang w:val="en-US" w:eastAsia="zh-CN"/>
          <w14:textFill>
            <w14:solidFill>
              <w14:schemeClr w14:val="tx1"/>
            </w14:solidFill>
          </w14:textFill>
        </w:rPr>
        <w:t>0</w:t>
      </w:r>
      <w:r>
        <w:rPr>
          <w:rFonts w:hint="default"/>
          <w:color w:val="000000" w:themeColor="text1"/>
          <w:highlight w:val="none"/>
          <w:lang w:val="en-US" w:eastAsia="zh-CN"/>
          <w14:textFill>
            <w14:solidFill>
              <w14:schemeClr w14:val="tx1"/>
            </w14:solidFill>
          </w14:textFill>
        </w:rPr>
        <w:t>0m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/h</w:t>
      </w:r>
      <w:r>
        <w:rPr>
          <w:rFonts w:hint="eastAsia"/>
          <w:color w:val="000000" w:themeColor="text1"/>
          <w:highlight w:val="none"/>
          <w:lang w:val="en-US" w:eastAsia="zh-CN"/>
          <w14:textFill>
            <w14:solidFill>
              <w14:schemeClr w14:val="tx1"/>
            </w14:solidFill>
          </w14:textFill>
        </w:rPr>
        <w:t>。则项目</w:t>
      </w:r>
      <w:r>
        <w:rPr>
          <w:rFonts w:hint="default"/>
          <w:color w:val="000000" w:themeColor="text1"/>
          <w:highlight w:val="none"/>
          <w:lang w:val="en-US" w:eastAsia="zh-CN"/>
          <w14:textFill>
            <w14:solidFill>
              <w14:schemeClr w14:val="tx1"/>
            </w14:solidFill>
          </w14:textFill>
        </w:rPr>
        <w:t>减水型母液投料</w:t>
      </w:r>
      <w:r>
        <w:rPr>
          <w:rFonts w:hint="eastAsia"/>
          <w:color w:val="000000" w:themeColor="text1"/>
          <w:highlight w:val="none"/>
          <w:lang w:val="en-US" w:eastAsia="zh-CN"/>
          <w14:textFill>
            <w14:solidFill>
              <w14:schemeClr w14:val="tx1"/>
            </w14:solidFill>
          </w14:textFill>
        </w:rPr>
        <w:t>废气有组织颗粒物产生量为3t/a，单批次投料时间为0.5h，总投料时间为270h。</w:t>
      </w:r>
    </w:p>
    <w:p w14:paraId="24E9FCD0">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（2）硫酸铝生产线、速凝剂生产线</w:t>
      </w:r>
      <w:r>
        <w:rPr>
          <w:rFonts w:hint="default"/>
          <w:color w:val="000000" w:themeColor="text1"/>
          <w:highlight w:val="none"/>
          <w:lang w:val="en-US" w:eastAsia="zh-CN"/>
          <w14:textFill>
            <w14:solidFill>
              <w14:schemeClr w14:val="tx1"/>
            </w14:solidFill>
          </w14:textFill>
        </w:rPr>
        <w:t>投料废气G</w:t>
      </w:r>
      <w:r>
        <w:rPr>
          <w:rFonts w:hint="eastAsia"/>
          <w:color w:val="000000" w:themeColor="text1"/>
          <w:highlight w:val="none"/>
          <w:lang w:val="en-US" w:eastAsia="zh-CN"/>
          <w14:textFill>
            <w14:solidFill>
              <w14:schemeClr w14:val="tx1"/>
            </w14:solidFill>
          </w14:textFill>
        </w:rPr>
        <w:t>2-1、G3-1</w:t>
      </w:r>
    </w:p>
    <w:p w14:paraId="552037D6">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w:t>
      </w:r>
      <w:r>
        <w:rPr>
          <w:rFonts w:hint="eastAsia"/>
          <w:color w:val="000000" w:themeColor="text1"/>
          <w:highlight w:val="none"/>
          <w:lang w:val="en-US" w:eastAsia="zh-CN"/>
          <w14:textFill>
            <w14:solidFill>
              <w14:schemeClr w14:val="tx1"/>
            </w14:solidFill>
          </w14:textFill>
        </w:rPr>
        <w:t>硫酸铝</w:t>
      </w:r>
      <w:r>
        <w:rPr>
          <w:rFonts w:hint="default"/>
          <w:color w:val="000000" w:themeColor="text1"/>
          <w:highlight w:val="none"/>
          <w:lang w:val="en-US" w:eastAsia="zh-CN"/>
          <w14:textFill>
            <w14:solidFill>
              <w14:schemeClr w14:val="tx1"/>
            </w14:solidFill>
          </w14:textFill>
        </w:rPr>
        <w:t>投料过程中粉尘主要</w:t>
      </w:r>
      <w:r>
        <w:rPr>
          <w:rFonts w:hint="eastAsia"/>
          <w:color w:val="000000" w:themeColor="text1"/>
          <w:highlight w:val="none"/>
          <w:lang w:val="en-US" w:eastAsia="zh-CN"/>
          <w14:textFill>
            <w14:solidFill>
              <w14:schemeClr w14:val="tx1"/>
            </w14:solidFill>
          </w14:textFill>
        </w:rPr>
        <w:t>来自氢氧化铝</w:t>
      </w:r>
      <w:r>
        <w:rPr>
          <w:rFonts w:hint="default"/>
          <w:color w:val="000000" w:themeColor="text1"/>
          <w:highlight w:val="none"/>
          <w:lang w:val="en-US" w:eastAsia="zh-CN"/>
          <w14:textFill>
            <w14:solidFill>
              <w14:schemeClr w14:val="tx1"/>
            </w14:solidFill>
          </w14:textFill>
        </w:rPr>
        <w:t>固体原料的投料过程。</w:t>
      </w:r>
      <w:r>
        <w:rPr>
          <w:rFonts w:hint="eastAsia"/>
          <w:color w:val="000000" w:themeColor="text1"/>
          <w:highlight w:val="none"/>
          <w:lang w:val="en-US" w:eastAsia="zh-CN"/>
          <w14:textFill>
            <w14:solidFill>
              <w14:schemeClr w14:val="tx1"/>
            </w14:solidFill>
          </w14:textFill>
        </w:rPr>
        <w:t>本次评价参考《逸散性工业粉尘控制技术》</w:t>
      </w:r>
      <w:r>
        <w:rPr>
          <w:rFonts w:hint="eastAsia"/>
          <w:color w:val="000000" w:themeColor="text1"/>
          <w:highlight w:val="none"/>
          <w14:textFill>
            <w14:solidFill>
              <w14:schemeClr w14:val="tx1"/>
            </w14:solidFill>
          </w14:textFill>
        </w:rPr>
        <w:t>拆包、投料过程粉尘产生系数按</w:t>
      </w:r>
      <w:r>
        <w:rPr>
          <w:rFonts w:hint="eastAsia"/>
          <w:color w:val="000000" w:themeColor="text1"/>
          <w:highlight w:val="none"/>
          <w:lang w:val="en-US" w:eastAsia="zh-CN"/>
          <w14:textFill>
            <w14:solidFill>
              <w14:schemeClr w14:val="tx1"/>
            </w14:solidFill>
          </w14:textFill>
        </w:rPr>
        <w:t>0.5</w:t>
      </w:r>
      <w:r>
        <w:rPr>
          <w:rFonts w:hint="default"/>
          <w:color w:val="000000" w:themeColor="text1"/>
          <w:highlight w:val="none"/>
          <w14:textFill>
            <w14:solidFill>
              <w14:schemeClr w14:val="tx1"/>
            </w14:solidFill>
          </w14:textFill>
        </w:rPr>
        <w:t>kg/t</w:t>
      </w:r>
      <w:r>
        <w:rPr>
          <w:rFonts w:hint="eastAsia"/>
          <w:color w:val="000000" w:themeColor="text1"/>
          <w:highlight w:val="none"/>
          <w14:textFill>
            <w14:solidFill>
              <w14:schemeClr w14:val="tx1"/>
            </w14:solidFill>
          </w14:textFill>
        </w:rPr>
        <w:t>物料计</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本项目硫酸铝生产线、速凝剂生产线</w:t>
      </w:r>
      <w:r>
        <w:rPr>
          <w:rFonts w:hint="default"/>
          <w:color w:val="000000" w:themeColor="text1"/>
          <w:highlight w:val="none"/>
          <w:lang w:val="en-US" w:eastAsia="zh-CN"/>
          <w14:textFill>
            <w14:solidFill>
              <w14:schemeClr w14:val="tx1"/>
            </w14:solidFill>
          </w14:textFill>
        </w:rPr>
        <w:t>固体原料使用量</w:t>
      </w:r>
      <w:r>
        <w:rPr>
          <w:rFonts w:hint="eastAsia"/>
          <w:color w:val="000000" w:themeColor="text1"/>
          <w:highlight w:val="none"/>
          <w:lang w:val="en-US" w:eastAsia="zh-CN"/>
          <w14:textFill>
            <w14:solidFill>
              <w14:schemeClr w14:val="tx1"/>
            </w14:solidFill>
          </w14:textFill>
        </w:rPr>
        <w:t>3000</w:t>
      </w:r>
      <w:r>
        <w:rPr>
          <w:rFonts w:hint="default"/>
          <w:color w:val="000000" w:themeColor="text1"/>
          <w:highlight w:val="none"/>
          <w:lang w:val="en-US" w:eastAsia="zh-CN"/>
          <w14:textFill>
            <w14:solidFill>
              <w14:schemeClr w14:val="tx1"/>
            </w14:solidFill>
          </w14:textFill>
        </w:rPr>
        <w:t>t/a，则颗粒物产生量约</w:t>
      </w:r>
      <w:r>
        <w:rPr>
          <w:rFonts w:hint="eastAsia"/>
          <w:color w:val="000000" w:themeColor="text1"/>
          <w:highlight w:val="none"/>
          <w:lang w:val="en-US" w:eastAsia="zh-CN"/>
          <w14:textFill>
            <w14:solidFill>
              <w14:schemeClr w14:val="tx1"/>
            </w14:solidFill>
          </w14:textFill>
        </w:rPr>
        <w:t>1.5</w:t>
      </w:r>
      <w:r>
        <w:rPr>
          <w:rFonts w:hint="default"/>
          <w:color w:val="000000" w:themeColor="text1"/>
          <w:highlight w:val="none"/>
          <w:lang w:val="en-US" w:eastAsia="zh-CN"/>
          <w14:textFill>
            <w14:solidFill>
              <w14:schemeClr w14:val="tx1"/>
            </w14:solidFill>
          </w14:textFill>
        </w:rPr>
        <w:t>t/a</w:t>
      </w:r>
      <w:r>
        <w:rPr>
          <w:rFonts w:hint="eastAsia"/>
          <w:color w:val="000000" w:themeColor="text1"/>
          <w:highlight w:val="none"/>
          <w:lang w:val="en-US" w:eastAsia="zh-CN"/>
          <w14:textFill>
            <w14:solidFill>
              <w14:schemeClr w14:val="tx1"/>
            </w14:solidFill>
          </w14:textFill>
        </w:rPr>
        <w:t>。产生的废气经投料口上方集气罩收集后，收集效率按80%计，废气通过水喷淋+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r>
        <w:rPr>
          <w:rFonts w:hint="default"/>
          <w:color w:val="000000" w:themeColor="text1"/>
          <w:highlight w:val="none"/>
          <w:lang w:val="en-US" w:eastAsia="zh-CN"/>
          <w14:textFill>
            <w14:solidFill>
              <w14:schemeClr w14:val="tx1"/>
            </w14:solidFill>
          </w14:textFill>
        </w:rPr>
        <w:t>处理</w:t>
      </w:r>
      <w:r>
        <w:rPr>
          <w:rFonts w:hint="eastAsia"/>
          <w:color w:val="000000" w:themeColor="text1"/>
          <w:highlight w:val="none"/>
          <w:lang w:val="en-US" w:eastAsia="zh-CN"/>
          <w14:textFill>
            <w14:solidFill>
              <w14:schemeClr w14:val="tx1"/>
            </w14:solidFill>
          </w14:textFill>
        </w:rPr>
        <w:t>后通过1根15m</w:t>
      </w:r>
      <w:r>
        <w:rPr>
          <w:rFonts w:hint="default"/>
          <w:color w:val="000000" w:themeColor="text1"/>
          <w:highlight w:val="none"/>
          <w:lang w:val="en-US" w:eastAsia="zh-CN"/>
          <w14:textFill>
            <w14:solidFill>
              <w14:schemeClr w14:val="tx1"/>
            </w14:solidFill>
          </w14:textFill>
        </w:rPr>
        <w:t>高排气</w:t>
      </w:r>
      <w:r>
        <w:rPr>
          <w:rFonts w:hint="eastAsia"/>
          <w:color w:val="000000" w:themeColor="text1"/>
          <w:highlight w:val="none"/>
          <w:lang w:val="en-US" w:eastAsia="zh-CN"/>
          <w14:textFill>
            <w14:solidFill>
              <w14:schemeClr w14:val="tx1"/>
            </w14:solidFill>
          </w14:textFill>
        </w:rPr>
        <w:t>筒（</w:t>
      </w:r>
      <w:r>
        <w:rPr>
          <w:rFonts w:hint="default"/>
          <w:color w:val="000000" w:themeColor="text1"/>
          <w:highlight w:val="none"/>
          <w:lang w:val="en-US" w:eastAsia="zh-CN"/>
          <w14:textFill>
            <w14:solidFill>
              <w14:schemeClr w14:val="tx1"/>
            </w14:solidFill>
          </w14:textFill>
        </w:rPr>
        <w:t>DA001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排放</w:t>
      </w:r>
      <w:r>
        <w:rPr>
          <w:rFonts w:hint="eastAsia"/>
          <w:color w:val="000000" w:themeColor="text1"/>
          <w:highlight w:val="none"/>
          <w:lang w:val="en-US" w:eastAsia="zh-CN"/>
          <w14:textFill>
            <w14:solidFill>
              <w14:schemeClr w14:val="tx1"/>
            </w14:solidFill>
          </w14:textFill>
        </w:rPr>
        <w:t>，废气颗粒物主要成分为氢氧化铝、氢氧化钠均为可溶于水的物质，因此本次评价参考《排放源统计调查产排污核算方法和系数手册》（部公告，2021年第24号）</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中“2613无机盐制造行业系数表”</w:t>
      </w:r>
      <w:r>
        <w:rPr>
          <w:rFonts w:hint="eastAsia" w:cs="Times New Roman"/>
          <w:color w:val="000000" w:themeColor="text1"/>
          <w:highlight w:val="none"/>
          <w:lang w:val="en-US" w:eastAsia="zh-CN"/>
          <w14:textFill>
            <w14:solidFill>
              <w14:schemeClr w14:val="tx1"/>
            </w14:solidFill>
          </w14:textFill>
        </w:rPr>
        <w:t>中喷淋塔除尘的去除效率，</w:t>
      </w:r>
      <w:r>
        <w:rPr>
          <w:rFonts w:hint="eastAsia"/>
          <w:color w:val="000000" w:themeColor="text1"/>
          <w:highlight w:val="none"/>
          <w:lang w:val="en-US" w:eastAsia="zh-CN"/>
          <w14:textFill>
            <w14:solidFill>
              <w14:schemeClr w14:val="tx1"/>
            </w14:solidFill>
          </w14:textFill>
        </w:rPr>
        <w:t>颗粒物去除效率为95%，风机风量</w:t>
      </w:r>
      <w:r>
        <w:rPr>
          <w:rFonts w:hint="default"/>
          <w:color w:val="000000" w:themeColor="text1"/>
          <w:highlight w:val="none"/>
          <w:lang w:val="en-US" w:eastAsia="zh-CN"/>
          <w14:textFill>
            <w14:solidFill>
              <w14:schemeClr w14:val="tx1"/>
            </w14:solidFill>
          </w14:textFill>
        </w:rPr>
        <w:t>为</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00</w:t>
      </w:r>
      <w:r>
        <w:rPr>
          <w:rFonts w:hint="eastAsia"/>
          <w:color w:val="000000" w:themeColor="text1"/>
          <w:highlight w:val="none"/>
          <w:lang w:val="en-US" w:eastAsia="zh-CN"/>
          <w14:textFill>
            <w14:solidFill>
              <w14:schemeClr w14:val="tx1"/>
            </w14:solidFill>
          </w14:textFill>
        </w:rPr>
        <w:t>0</w:t>
      </w:r>
      <w:r>
        <w:rPr>
          <w:rFonts w:hint="default"/>
          <w:color w:val="000000" w:themeColor="text1"/>
          <w:highlight w:val="none"/>
          <w:lang w:val="en-US" w:eastAsia="zh-CN"/>
          <w14:textFill>
            <w14:solidFill>
              <w14:schemeClr w14:val="tx1"/>
            </w14:solidFill>
          </w14:textFill>
        </w:rPr>
        <w:t>0m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/h</w:t>
      </w:r>
      <w:r>
        <w:rPr>
          <w:rFonts w:hint="eastAsia"/>
          <w:color w:val="000000" w:themeColor="text1"/>
          <w:highlight w:val="none"/>
          <w:lang w:val="en-US" w:eastAsia="zh-CN"/>
          <w14:textFill>
            <w14:solidFill>
              <w14:schemeClr w14:val="tx1"/>
            </w14:solidFill>
          </w14:textFill>
        </w:rPr>
        <w:t>。则项目硫酸铝生产线、速凝剂生产线废气有组织颗粒物产生量为1.2t/a，单批次投料时间为0.5h，总投料时间为270h。</w:t>
      </w:r>
    </w:p>
    <w:p w14:paraId="71AFBFA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项目减水剂生产线</w:t>
      </w:r>
      <w:r>
        <w:rPr>
          <w:rFonts w:hint="default"/>
          <w:color w:val="000000" w:themeColor="text1"/>
          <w:highlight w:val="none"/>
          <w:lang w:val="en-US" w:eastAsia="zh-CN"/>
          <w14:textFill>
            <w14:solidFill>
              <w14:schemeClr w14:val="tx1"/>
            </w14:solidFill>
          </w14:textFill>
        </w:rPr>
        <w:t>投料废气</w:t>
      </w:r>
      <w:r>
        <w:rPr>
          <w:rFonts w:hint="eastAsia"/>
          <w:color w:val="000000" w:themeColor="text1"/>
          <w:highlight w:val="none"/>
          <w:lang w:val="en-US" w:eastAsia="zh-CN"/>
          <w14:textFill>
            <w14:solidFill>
              <w14:schemeClr w14:val="tx1"/>
            </w14:solidFill>
          </w14:textFill>
        </w:rPr>
        <w:t>，硫酸铝生产线、速凝剂生产线</w:t>
      </w:r>
      <w:r>
        <w:rPr>
          <w:rFonts w:hint="default"/>
          <w:color w:val="000000" w:themeColor="text1"/>
          <w:highlight w:val="none"/>
          <w:lang w:val="en-US" w:eastAsia="zh-CN"/>
          <w14:textFill>
            <w14:solidFill>
              <w14:schemeClr w14:val="tx1"/>
            </w14:solidFill>
          </w14:textFill>
        </w:rPr>
        <w:t>投料废气</w:t>
      </w:r>
      <w:r>
        <w:rPr>
          <w:rFonts w:hint="eastAsia"/>
          <w:color w:val="000000" w:themeColor="text1"/>
          <w:highlight w:val="none"/>
          <w:lang w:val="en-US" w:eastAsia="zh-CN"/>
          <w14:textFill>
            <w14:solidFill>
              <w14:schemeClr w14:val="tx1"/>
            </w14:solidFill>
          </w14:textFill>
        </w:rPr>
        <w:t>均引至水喷淋+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r>
        <w:rPr>
          <w:rFonts w:hint="default"/>
          <w:color w:val="000000" w:themeColor="text1"/>
          <w:highlight w:val="none"/>
          <w:lang w:val="en-US" w:eastAsia="zh-CN"/>
          <w14:textFill>
            <w14:solidFill>
              <w14:schemeClr w14:val="tx1"/>
            </w14:solidFill>
          </w14:textFill>
        </w:rPr>
        <w:t>处理</w:t>
      </w:r>
      <w:r>
        <w:rPr>
          <w:rFonts w:hint="eastAsia"/>
          <w:color w:val="000000" w:themeColor="text1"/>
          <w:highlight w:val="none"/>
          <w:lang w:val="en-US" w:eastAsia="zh-CN"/>
          <w14:textFill>
            <w14:solidFill>
              <w14:schemeClr w14:val="tx1"/>
            </w14:solidFill>
          </w14:textFill>
        </w:rPr>
        <w:t>，风机风量为50000</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/h，</w:t>
      </w:r>
      <w:r>
        <w:rPr>
          <w:rFonts w:hint="eastAsia"/>
          <w:color w:val="000000" w:themeColor="text1"/>
          <w:highlight w:val="none"/>
          <w:lang w:val="en-US" w:eastAsia="zh-CN"/>
          <w14:textFill>
            <w14:solidFill>
              <w14:schemeClr w14:val="tx1"/>
            </w14:solidFill>
          </w14:textFill>
        </w:rPr>
        <w:t>颗粒物去除效率为95%，处理后通过1根15m</w:t>
      </w:r>
      <w:r>
        <w:rPr>
          <w:rFonts w:hint="default"/>
          <w:color w:val="000000" w:themeColor="text1"/>
          <w:highlight w:val="none"/>
          <w:lang w:val="en-US" w:eastAsia="zh-CN"/>
          <w14:textFill>
            <w14:solidFill>
              <w14:schemeClr w14:val="tx1"/>
            </w14:solidFill>
          </w14:textFill>
        </w:rPr>
        <w:t>高排气</w:t>
      </w:r>
      <w:r>
        <w:rPr>
          <w:rFonts w:hint="eastAsia"/>
          <w:color w:val="000000" w:themeColor="text1"/>
          <w:highlight w:val="none"/>
          <w:lang w:val="en-US" w:eastAsia="zh-CN"/>
          <w14:textFill>
            <w14:solidFill>
              <w14:schemeClr w14:val="tx1"/>
            </w14:solidFill>
          </w14:textFill>
        </w:rPr>
        <w:t>筒（</w:t>
      </w:r>
      <w:r>
        <w:rPr>
          <w:rFonts w:hint="default"/>
          <w:color w:val="000000" w:themeColor="text1"/>
          <w:highlight w:val="none"/>
          <w:lang w:val="en-US" w:eastAsia="zh-CN"/>
          <w14:textFill>
            <w14:solidFill>
              <w14:schemeClr w14:val="tx1"/>
            </w14:solidFill>
          </w14:textFill>
        </w:rPr>
        <w:t>DA001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排放</w:t>
      </w:r>
      <w:r>
        <w:rPr>
          <w:rFonts w:hint="eastAsia"/>
          <w:color w:val="000000" w:themeColor="text1"/>
          <w:highlight w:val="none"/>
          <w:lang w:val="en-US" w:eastAsia="zh-CN"/>
          <w14:textFill>
            <w14:solidFill>
              <w14:schemeClr w14:val="tx1"/>
            </w14:solidFill>
          </w14:textFill>
        </w:rPr>
        <w:t>，则DA001排放口颗粒物排放量为0.21t/a，排放速率为0.778kg/h，排放浓度为15.56mg/m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p>
    <w:p w14:paraId="55F293E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（3）减水剂生产线反应</w:t>
      </w:r>
      <w:r>
        <w:rPr>
          <w:rFonts w:hint="default"/>
          <w:color w:val="000000" w:themeColor="text1"/>
          <w:highlight w:val="none"/>
          <w:lang w:val="en-US" w:eastAsia="zh-CN"/>
          <w14:textFill>
            <w14:solidFill>
              <w14:schemeClr w14:val="tx1"/>
            </w14:solidFill>
          </w14:textFill>
        </w:rPr>
        <w:t>废气</w:t>
      </w:r>
      <w:r>
        <w:rPr>
          <w:rFonts w:hint="eastAsia"/>
          <w:color w:val="000000" w:themeColor="text1"/>
          <w:highlight w:val="none"/>
          <w:lang w:val="en-US" w:eastAsia="zh-CN"/>
          <w14:textFill>
            <w14:solidFill>
              <w14:schemeClr w14:val="tx1"/>
            </w14:solidFill>
          </w14:textFill>
        </w:rPr>
        <w:t>G1-2</w:t>
      </w:r>
    </w:p>
    <w:p w14:paraId="5C3CF023">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减水型</w:t>
      </w:r>
      <w:r>
        <w:rPr>
          <w:rFonts w:hint="eastAsia"/>
          <w:color w:val="000000" w:themeColor="text1"/>
          <w:highlight w:val="none"/>
          <w:lang w:val="en-US" w:eastAsia="zh-CN"/>
          <w14:textFill>
            <w14:solidFill>
              <w14:schemeClr w14:val="tx1"/>
            </w14:solidFill>
          </w14:textFill>
        </w:rPr>
        <w:t>生产线</w:t>
      </w:r>
      <w:r>
        <w:rPr>
          <w:rFonts w:hint="default"/>
          <w:color w:val="000000" w:themeColor="text1"/>
          <w:highlight w:val="none"/>
          <w:lang w:val="en-US" w:eastAsia="zh-CN"/>
          <w14:textFill>
            <w14:solidFill>
              <w14:schemeClr w14:val="tx1"/>
            </w14:solidFill>
          </w14:textFill>
        </w:rPr>
        <w:t>生产过程</w:t>
      </w:r>
      <w:r>
        <w:rPr>
          <w:rFonts w:hint="eastAsia"/>
          <w:color w:val="000000" w:themeColor="text1"/>
          <w:highlight w:val="none"/>
          <w:lang w:val="en-US" w:eastAsia="zh-CN"/>
          <w14:textFill>
            <w14:solidFill>
              <w14:schemeClr w14:val="tx1"/>
            </w14:solidFill>
          </w14:textFill>
        </w:rPr>
        <w:t>中反应废气主要为母液生产过程中产生的不凝气。生产过程中，反应釜中的物料聚合成高分子聚合物，釜内物料主要原材料、高分子聚合物的水混合料。原材料及高分子聚合物的沸点较高，釜内温度保持在40℃左右，在该温度下原材料及高分子聚合物不会挥发，但反应釜仍需考虑有少量挥发性有机物废气跟随水蒸气挥发出来。减水型母液原辅材料主要为聚醚大单体、丙烯酸。则反应过程中主要污染为非甲烷总烃（丙烯酸以非甲烷总烃表征）。</w:t>
      </w:r>
    </w:p>
    <w:p w14:paraId="6133797F">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次评价参考《上海市工业企业挥发性有机物排放量通用计算方法（试行）》（上海市环境保护局，2017年2月）进行污染源核算。根据该计算方法中“表1-2溶剂加工类工艺废气排放源项产污系数”其他化工类产品挥发性有机物产污系数为0.021kg/t-产品。本项目减水型母液产量为15048t/a，则项目生产过程中有机废气（非甲烷总烃）产生量为0.32t/a。</w:t>
      </w:r>
      <w:r>
        <w:rPr>
          <w:rFonts w:hint="default"/>
          <w:color w:val="000000" w:themeColor="text1"/>
          <w:highlight w:val="none"/>
          <w:lang w:val="en-US" w:eastAsia="zh-CN"/>
          <w14:textFill>
            <w14:solidFill>
              <w14:schemeClr w14:val="tx1"/>
            </w14:solidFill>
          </w14:textFill>
        </w:rPr>
        <w:t>反应釜为密闭情况下进行生产，排气管配备引风机，</w:t>
      </w:r>
      <w:r>
        <w:rPr>
          <w:rFonts w:hint="eastAsia"/>
          <w:color w:val="000000" w:themeColor="text1"/>
          <w:highlight w:val="none"/>
          <w:lang w:val="en-US" w:eastAsia="zh-CN"/>
          <w14:textFill>
            <w14:solidFill>
              <w14:schemeClr w14:val="tx1"/>
            </w14:solidFill>
          </w14:textFill>
        </w:rPr>
        <w:t>参考《主要污染物总量减排核算技术指南（2022年修订）》（环办综合函</w:t>
      </w:r>
      <w:r>
        <w:rPr>
          <w:rFonts w:hint="eastAsia" w:ascii="仿宋" w:hAnsi="仿宋" w:eastAsia="仿宋" w:cs="仿宋"/>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2022</w:t>
      </w:r>
      <w:r>
        <w:rPr>
          <w:rFonts w:hint="eastAsia" w:ascii="仿宋" w:hAnsi="仿宋" w:eastAsia="仿宋" w:cs="仿宋"/>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50号）密闭管道收集率</w:t>
      </w:r>
      <w:r>
        <w:rPr>
          <w:rFonts w:hint="default" w:ascii="Times New Roman" w:hAnsi="Times New Roman" w:eastAsia="宋体" w:cs="Times New Roman"/>
          <w:color w:val="000000" w:themeColor="text1"/>
          <w:highlight w:val="none"/>
          <w:lang w:val="en-US" w:eastAsia="zh-CN"/>
          <w14:textFill>
            <w14:solidFill>
              <w14:schemeClr w14:val="tx1"/>
            </w14:solidFill>
          </w14:textFill>
        </w:rPr>
        <w:t>按</w:t>
      </w:r>
      <w:r>
        <w:rPr>
          <w:rFonts w:hint="eastAsia" w:ascii="Times New Roman" w:hAnsi="Times New Roman" w:eastAsia="宋体" w:cs="Times New Roman"/>
          <w:color w:val="000000" w:themeColor="text1"/>
          <w:highlight w:val="none"/>
          <w:lang w:val="en-US" w:eastAsia="zh-CN"/>
          <w14:textFill>
            <w14:solidFill>
              <w14:schemeClr w14:val="tx1"/>
            </w14:solidFill>
          </w14:textFill>
        </w:rPr>
        <w:t>95</w:t>
      </w:r>
      <w:r>
        <w:rPr>
          <w:rFonts w:hint="default" w:ascii="Times New Roman" w:hAnsi="Times New Roman" w:eastAsia="宋体" w:cs="Times New Roman"/>
          <w:color w:val="000000" w:themeColor="text1"/>
          <w:highlight w:val="none"/>
          <w:lang w:val="en-US" w:eastAsia="zh-CN"/>
          <w14:textFill>
            <w14:solidFill>
              <w14:schemeClr w14:val="tx1"/>
            </w14:solidFill>
          </w14:textFill>
        </w:rPr>
        <w:t>%计，</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废</w:t>
      </w:r>
      <w:r>
        <w:rPr>
          <w:rFonts w:hint="eastAsia"/>
          <w:color w:val="000000" w:themeColor="text1"/>
          <w:highlight w:val="none"/>
          <w:lang w:val="en-US" w:eastAsia="zh-CN"/>
          <w14:textFill>
            <w14:solidFill>
              <w14:schemeClr w14:val="tx1"/>
            </w14:solidFill>
          </w14:textFill>
        </w:rPr>
        <w:t>气通过水喷淋+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r>
        <w:rPr>
          <w:rFonts w:hint="default"/>
          <w:color w:val="000000" w:themeColor="text1"/>
          <w:highlight w:val="none"/>
          <w:lang w:val="en-US" w:eastAsia="zh-CN"/>
          <w14:textFill>
            <w14:solidFill>
              <w14:schemeClr w14:val="tx1"/>
            </w14:solidFill>
          </w14:textFill>
        </w:rPr>
        <w:t>处理</w:t>
      </w:r>
      <w:r>
        <w:rPr>
          <w:rFonts w:hint="eastAsia"/>
          <w:color w:val="000000" w:themeColor="text1"/>
          <w:highlight w:val="none"/>
          <w:lang w:val="en-US" w:eastAsia="zh-CN"/>
          <w14:textFill>
            <w14:solidFill>
              <w14:schemeClr w14:val="tx1"/>
            </w14:solidFill>
          </w14:textFill>
        </w:rPr>
        <w:t>后通过1根15m</w:t>
      </w:r>
      <w:r>
        <w:rPr>
          <w:rFonts w:hint="default"/>
          <w:color w:val="000000" w:themeColor="text1"/>
          <w:highlight w:val="none"/>
          <w:lang w:val="en-US" w:eastAsia="zh-CN"/>
          <w14:textFill>
            <w14:solidFill>
              <w14:schemeClr w14:val="tx1"/>
            </w14:solidFill>
          </w14:textFill>
        </w:rPr>
        <w:t>高排气</w:t>
      </w:r>
      <w:r>
        <w:rPr>
          <w:rFonts w:hint="eastAsia"/>
          <w:color w:val="000000" w:themeColor="text1"/>
          <w:highlight w:val="none"/>
          <w:lang w:val="en-US" w:eastAsia="zh-CN"/>
          <w14:textFill>
            <w14:solidFill>
              <w14:schemeClr w14:val="tx1"/>
            </w14:solidFill>
          </w14:textFill>
        </w:rPr>
        <w:t>筒（</w:t>
      </w:r>
      <w:r>
        <w:rPr>
          <w:rFonts w:hint="default"/>
          <w:color w:val="000000" w:themeColor="text1"/>
          <w:highlight w:val="none"/>
          <w:lang w:val="en-US" w:eastAsia="zh-CN"/>
          <w14:textFill>
            <w14:solidFill>
              <w14:schemeClr w14:val="tx1"/>
            </w14:solidFill>
          </w14:textFill>
        </w:rPr>
        <w:t>DA001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排放</w:t>
      </w:r>
      <w:r>
        <w:rPr>
          <w:rFonts w:hint="eastAsia"/>
          <w:color w:val="000000" w:themeColor="text1"/>
          <w:highlight w:val="none"/>
          <w:lang w:val="en-US" w:eastAsia="zh-CN"/>
          <w14:textFill>
            <w14:solidFill>
              <w14:schemeClr w14:val="tx1"/>
            </w14:solidFill>
          </w14:textFill>
        </w:rPr>
        <w:t>，根据《主要污染物总量减排核算技术指南（2022年修订）》（环办综合函</w:t>
      </w:r>
      <w:r>
        <w:rPr>
          <w:rFonts w:hint="eastAsia" w:ascii="仿宋" w:hAnsi="仿宋" w:eastAsia="仿宋" w:cs="仿宋"/>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2022</w:t>
      </w:r>
      <w:r>
        <w:rPr>
          <w:rFonts w:hint="eastAsia" w:ascii="仿宋" w:hAnsi="仿宋" w:eastAsia="仿宋" w:cs="仿宋"/>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350号）二级活性炭处理效率按27.75%计，风机风量为50000</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/h，</w:t>
      </w:r>
      <w:r>
        <w:rPr>
          <w:rFonts w:hint="eastAsia"/>
          <w:color w:val="000000" w:themeColor="text1"/>
          <w:highlight w:val="none"/>
          <w:lang w:val="en-US" w:eastAsia="zh-CN"/>
          <w14:textFill>
            <w14:solidFill>
              <w14:schemeClr w14:val="tx1"/>
            </w14:solidFill>
          </w14:textFill>
        </w:rPr>
        <w:t>则非甲烷总烃排放量为0.22t/a，单批次反应时间为3h，总反应时间为1620h，排放速率为0.134kg/h，排放浓度为2.68mg/m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p>
    <w:p w14:paraId="740A561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（4）硫酸铝生产线反应废气G2-2</w:t>
      </w:r>
    </w:p>
    <w:p w14:paraId="752744F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硫酸铝</w:t>
      </w:r>
      <w:r>
        <w:rPr>
          <w:rFonts w:hint="default"/>
          <w:color w:val="000000" w:themeColor="text1"/>
          <w:highlight w:val="none"/>
          <w:lang w:val="en-US" w:eastAsia="zh-CN"/>
          <w14:textFill>
            <w14:solidFill>
              <w14:schemeClr w14:val="tx1"/>
            </w14:solidFill>
          </w14:textFill>
        </w:rPr>
        <w:t>生产装置各原料在反应釜内搅拌过程中，会挥发出少量酸性气体</w:t>
      </w:r>
      <w:r>
        <w:rPr>
          <w:rFonts w:hint="eastAsia"/>
          <w:color w:val="000000" w:themeColor="text1"/>
          <w:highlight w:val="none"/>
          <w:lang w:val="en-US" w:eastAsia="zh-CN"/>
          <w14:textFill>
            <w14:solidFill>
              <w14:schemeClr w14:val="tx1"/>
            </w14:solidFill>
          </w14:textFill>
        </w:rPr>
        <w:t>，主要成分为硫酸雾</w:t>
      </w:r>
      <w:r>
        <w:rPr>
          <w:rFonts w:hint="default"/>
          <w:color w:val="000000" w:themeColor="text1"/>
          <w:highlight w:val="none"/>
          <w:lang w:val="en-US" w:eastAsia="zh-CN"/>
          <w14:textFill>
            <w14:solidFill>
              <w14:schemeClr w14:val="tx1"/>
            </w14:solidFill>
          </w14:textFill>
        </w:rPr>
        <w:t>，类比重庆不冻泉科技有限公司混凝土外加剂生产项目</w:t>
      </w:r>
      <w:r>
        <w:rPr>
          <w:rFonts w:hint="eastAsia"/>
          <w:color w:val="000000" w:themeColor="text1"/>
          <w:highlight w:val="none"/>
          <w:lang w:val="en-US" w:eastAsia="zh-CN"/>
          <w14:textFill>
            <w14:solidFill>
              <w14:schemeClr w14:val="tx1"/>
            </w14:solidFill>
          </w14:textFill>
        </w:rPr>
        <w:t>竣工环保验收数据</w:t>
      </w:r>
      <w:r>
        <w:rPr>
          <w:rFonts w:hint="default"/>
          <w:color w:val="000000" w:themeColor="text1"/>
          <w:highlight w:val="none"/>
          <w:lang w:val="en-US" w:eastAsia="zh-CN"/>
          <w14:textFill>
            <w14:solidFill>
              <w14:schemeClr w14:val="tx1"/>
            </w14:solidFill>
          </w14:textFill>
        </w:rPr>
        <w:t>，反应釜酸性废气产污系数为0.021kg/t-产品</w:t>
      </w:r>
      <w:r>
        <w:rPr>
          <w:rFonts w:hint="eastAsia"/>
          <w:color w:val="000000" w:themeColor="text1"/>
          <w:highlight w:val="none"/>
          <w:lang w:val="en-US" w:eastAsia="zh-CN"/>
          <w14:textFill>
            <w14:solidFill>
              <w14:schemeClr w14:val="tx1"/>
            </w14:solidFill>
          </w14:textFill>
        </w:rPr>
        <w:t>，本项目硫酸铝生产线产品产量为20000t/a，则硫酸雾产生量为0.42t/a，</w:t>
      </w:r>
      <w:r>
        <w:rPr>
          <w:rFonts w:hint="default"/>
          <w:color w:val="000000" w:themeColor="text1"/>
          <w:highlight w:val="none"/>
          <w:lang w:val="en-US" w:eastAsia="zh-CN"/>
          <w14:textFill>
            <w14:solidFill>
              <w14:schemeClr w14:val="tx1"/>
            </w14:solidFill>
          </w14:textFill>
        </w:rPr>
        <w:t>反应釜为密闭情况下进行生产，排气管配备引风机，</w:t>
      </w:r>
      <w:r>
        <w:rPr>
          <w:rFonts w:hint="eastAsia"/>
          <w:color w:val="000000" w:themeColor="text1"/>
          <w:highlight w:val="none"/>
          <w:lang w:val="en-US" w:eastAsia="zh-CN"/>
          <w14:textFill>
            <w14:solidFill>
              <w14:schemeClr w14:val="tx1"/>
            </w14:solidFill>
          </w14:textFill>
        </w:rPr>
        <w:t>参考《主要污染物总量减排核算技术指南（2022年修订）》（环办综合函</w:t>
      </w:r>
      <w:r>
        <w:rPr>
          <w:rFonts w:hint="eastAsia" w:ascii="仿宋" w:hAnsi="仿宋" w:eastAsia="仿宋" w:cs="仿宋"/>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2022</w:t>
      </w:r>
      <w:r>
        <w:rPr>
          <w:rFonts w:hint="eastAsia" w:ascii="仿宋" w:hAnsi="仿宋" w:eastAsia="仿宋" w:cs="仿宋"/>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50号）密闭管道收集率</w:t>
      </w:r>
      <w:r>
        <w:rPr>
          <w:rFonts w:hint="default" w:ascii="Times New Roman" w:hAnsi="Times New Roman" w:eastAsia="宋体" w:cs="Times New Roman"/>
          <w:color w:val="000000" w:themeColor="text1"/>
          <w:highlight w:val="none"/>
          <w:lang w:val="en-US" w:eastAsia="zh-CN"/>
          <w14:textFill>
            <w14:solidFill>
              <w14:schemeClr w14:val="tx1"/>
            </w14:solidFill>
          </w14:textFill>
        </w:rPr>
        <w:t>按</w:t>
      </w:r>
      <w:r>
        <w:rPr>
          <w:rFonts w:hint="eastAsia" w:ascii="Times New Roman" w:hAnsi="Times New Roman" w:eastAsia="宋体" w:cs="Times New Roman"/>
          <w:color w:val="000000" w:themeColor="text1"/>
          <w:highlight w:val="none"/>
          <w:lang w:val="en-US" w:eastAsia="zh-CN"/>
          <w14:textFill>
            <w14:solidFill>
              <w14:schemeClr w14:val="tx1"/>
            </w14:solidFill>
          </w14:textFill>
        </w:rPr>
        <w:t>95</w:t>
      </w:r>
      <w:r>
        <w:rPr>
          <w:rFonts w:hint="default" w:ascii="Times New Roman" w:hAnsi="Times New Roman" w:eastAsia="宋体" w:cs="Times New Roman"/>
          <w:color w:val="000000" w:themeColor="text1"/>
          <w:highlight w:val="none"/>
          <w:lang w:val="en-US" w:eastAsia="zh-CN"/>
          <w14:textFill>
            <w14:solidFill>
              <w14:schemeClr w14:val="tx1"/>
            </w14:solidFill>
          </w14:textFill>
        </w:rPr>
        <w:t>%计</w:t>
      </w:r>
      <w:r>
        <w:rPr>
          <w:rFonts w:hint="default"/>
          <w:color w:val="000000" w:themeColor="text1"/>
          <w:highlight w:val="none"/>
          <w:lang w:val="en-US" w:eastAsia="zh-CN"/>
          <w14:textFill>
            <w14:solidFill>
              <w14:schemeClr w14:val="tx1"/>
            </w14:solidFill>
          </w14:textFill>
        </w:rPr>
        <w:t>，引风量约为</w:t>
      </w:r>
      <w:r>
        <w:rPr>
          <w:rFonts w:hint="eastAsia"/>
          <w:color w:val="000000" w:themeColor="text1"/>
          <w:highlight w:val="none"/>
          <w:lang w:val="en-US" w:eastAsia="zh-CN"/>
          <w14:textFill>
            <w14:solidFill>
              <w14:schemeClr w14:val="tx1"/>
            </w14:solidFill>
          </w14:textFill>
        </w:rPr>
        <w:t>50</w:t>
      </w:r>
      <w:r>
        <w:rPr>
          <w:rFonts w:hint="default"/>
          <w:color w:val="000000" w:themeColor="text1"/>
          <w:highlight w:val="none"/>
          <w:lang w:val="en-US" w:eastAsia="zh-CN"/>
          <w14:textFill>
            <w14:solidFill>
              <w14:schemeClr w14:val="tx1"/>
            </w14:solidFill>
          </w14:textFill>
        </w:rPr>
        <w:t>000m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/h</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废气通过水喷淋+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r>
        <w:rPr>
          <w:rFonts w:hint="default"/>
          <w:color w:val="000000" w:themeColor="text1"/>
          <w:highlight w:val="none"/>
          <w:lang w:val="en-US" w:eastAsia="zh-CN"/>
          <w14:textFill>
            <w14:solidFill>
              <w14:schemeClr w14:val="tx1"/>
            </w14:solidFill>
          </w14:textFill>
        </w:rPr>
        <w:t>处理</w:t>
      </w:r>
      <w:r>
        <w:rPr>
          <w:rFonts w:hint="eastAsia"/>
          <w:color w:val="000000" w:themeColor="text1"/>
          <w:highlight w:val="none"/>
          <w:lang w:val="en-US" w:eastAsia="zh-CN"/>
          <w14:textFill>
            <w14:solidFill>
              <w14:schemeClr w14:val="tx1"/>
            </w14:solidFill>
          </w14:textFill>
        </w:rPr>
        <w:t>后通过1根15m</w:t>
      </w:r>
      <w:r>
        <w:rPr>
          <w:rFonts w:hint="default"/>
          <w:color w:val="000000" w:themeColor="text1"/>
          <w:highlight w:val="none"/>
          <w:lang w:val="en-US" w:eastAsia="zh-CN"/>
          <w14:textFill>
            <w14:solidFill>
              <w14:schemeClr w14:val="tx1"/>
            </w14:solidFill>
          </w14:textFill>
        </w:rPr>
        <w:t>高排气</w:t>
      </w:r>
      <w:r>
        <w:rPr>
          <w:rFonts w:hint="eastAsia"/>
          <w:color w:val="000000" w:themeColor="text1"/>
          <w:highlight w:val="none"/>
          <w:lang w:val="en-US" w:eastAsia="zh-CN"/>
          <w14:textFill>
            <w14:solidFill>
              <w14:schemeClr w14:val="tx1"/>
            </w14:solidFill>
          </w14:textFill>
        </w:rPr>
        <w:t>筒（</w:t>
      </w:r>
      <w:r>
        <w:rPr>
          <w:rFonts w:hint="default"/>
          <w:color w:val="000000" w:themeColor="text1"/>
          <w:highlight w:val="none"/>
          <w:lang w:val="en-US" w:eastAsia="zh-CN"/>
          <w14:textFill>
            <w14:solidFill>
              <w14:schemeClr w14:val="tx1"/>
            </w14:solidFill>
          </w14:textFill>
        </w:rPr>
        <w:t>DA001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排放</w:t>
      </w:r>
      <w:r>
        <w:rPr>
          <w:rFonts w:hint="eastAsia"/>
          <w:color w:val="000000" w:themeColor="text1"/>
          <w:highlight w:val="none"/>
          <w:lang w:val="en-US" w:eastAsia="zh-CN"/>
          <w14:textFill>
            <w14:solidFill>
              <w14:schemeClr w14:val="tx1"/>
            </w14:solidFill>
          </w14:textFill>
        </w:rPr>
        <w:t>，参考《排放源统计调查产排污核算方法和系数手册》（部公告，2021年第24号）</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中“2613无机盐制造行业系数表”，硫酸雾处理效率为98%，</w:t>
      </w:r>
      <w:r>
        <w:rPr>
          <w:rFonts w:hint="eastAsia"/>
          <w:color w:val="000000" w:themeColor="text1"/>
          <w:highlight w:val="none"/>
          <w:lang w:val="en-US" w:eastAsia="zh-CN"/>
          <w14:textFill>
            <w14:solidFill>
              <w14:schemeClr w14:val="tx1"/>
            </w14:solidFill>
          </w14:textFill>
        </w:rPr>
        <w:t>硫酸雾</w:t>
      </w:r>
      <w:r>
        <w:rPr>
          <w:rFonts w:hint="default"/>
          <w:color w:val="000000" w:themeColor="text1"/>
          <w:highlight w:val="none"/>
          <w:lang w:val="en-US" w:eastAsia="zh-CN"/>
          <w14:textFill>
            <w14:solidFill>
              <w14:schemeClr w14:val="tx1"/>
            </w14:solidFill>
          </w14:textFill>
        </w:rPr>
        <w:t>有组织排放量为0.0</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t/a</w:t>
      </w:r>
      <w:r>
        <w:rPr>
          <w:rFonts w:hint="eastAsia"/>
          <w:color w:val="000000" w:themeColor="text1"/>
          <w:highlight w:val="none"/>
          <w:lang w:val="en-US" w:eastAsia="zh-CN"/>
          <w14:textFill>
            <w14:solidFill>
              <w14:schemeClr w14:val="tx1"/>
            </w14:solidFill>
          </w14:textFill>
        </w:rPr>
        <w:t>，单批次反应时间为2h，总反应时间为360h，排放速率为0.022kg/h，排放浓度为0.44mg/</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w:t>
      </w:r>
    </w:p>
    <w:p w14:paraId="1B5C1597">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5）速凝剂生产线反应废气G3-2</w:t>
      </w:r>
    </w:p>
    <w:p w14:paraId="12287123">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速凝剂生产线各原料在反应釜内搅拌过程中，会挥发出酸性气体，主要成分为氟化物气体</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本次评价全部以HF计</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，参考《环境统计手册》中有关酸液蒸发量的计算，其理论挥发量计算公式如下</w:t>
      </w:r>
      <w:r>
        <w:rPr>
          <w:rFonts w:hint="eastAsia"/>
          <w:color w:val="000000" w:themeColor="text1"/>
          <w:highlight w:val="none"/>
          <w:lang w:val="en-US" w:eastAsia="zh-CN"/>
          <w14:textFill>
            <w14:solidFill>
              <w14:schemeClr w14:val="tx1"/>
            </w14:solidFill>
          </w14:textFill>
        </w:rPr>
        <w:t>：</w:t>
      </w:r>
    </w:p>
    <w:p w14:paraId="41FB9A09">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Gz=M(0.000352+0.000786V)PF</w:t>
      </w:r>
    </w:p>
    <w:p w14:paraId="356C5592">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式中，Gz</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污染物产生量，kg</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h</w:t>
      </w:r>
    </w:p>
    <w:p w14:paraId="63321465">
      <w:pPr>
        <w:bidi w:val="0"/>
        <w:ind w:firstLine="1200" w:firstLineChars="50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M</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HF的分子量为20</w:t>
      </w:r>
    </w:p>
    <w:p w14:paraId="7BC915EA">
      <w:pPr>
        <w:bidi w:val="0"/>
        <w:ind w:firstLine="1200" w:firstLineChars="50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蒸汽液体表面上的空气流速，取0.05m/s</w:t>
      </w:r>
    </w:p>
    <w:p w14:paraId="5FA14C62">
      <w:pPr>
        <w:bidi w:val="0"/>
        <w:ind w:firstLine="1200" w:firstLineChars="500"/>
        <w:rPr>
          <w:rFonts w:hint="eastAsia"/>
          <w:color w:val="000000" w:themeColor="text1"/>
          <w:highlight w:val="none"/>
          <w:lang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P</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相应于液体温度下的空气中的蒸汽分压力，mmHg，反应釜内氟硅酸初始浓度约为12%左右，混合开始后氟硅酸浓度迅速降低，混合均匀氟硅酸质量分数为</w:t>
      </w:r>
      <w:r>
        <w:rPr>
          <w:rFonts w:hint="eastAsia"/>
          <w:color w:val="000000" w:themeColor="text1"/>
          <w:highlight w:val="none"/>
          <w:lang w:val="en-US" w:eastAsia="zh-CN"/>
          <w14:textFill>
            <w14:solidFill>
              <w14:schemeClr w14:val="tx1"/>
            </w14:solidFill>
          </w14:textFill>
        </w:rPr>
        <w:t>0.05%～0.1%，</w:t>
      </w:r>
      <w:r>
        <w:rPr>
          <w:rFonts w:hint="default"/>
          <w:color w:val="000000" w:themeColor="text1"/>
          <w:highlight w:val="none"/>
          <w:lang w:val="en-US" w:eastAsia="zh-CN"/>
          <w14:textFill>
            <w14:solidFill>
              <w14:schemeClr w14:val="tx1"/>
            </w14:solidFill>
          </w14:textFill>
        </w:rPr>
        <w:t>该过程中平均浓度按10%进行计算，10%氟硅酸蒸汽压力数据参考取10%氢氟酸的蒸汽分压进行计算</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实际生产中考虑溶液反应转换率，实际生产中溶液的蒸气主要成分为氟硅酸气体(以氟化物表征)，</w:t>
      </w:r>
      <w:r>
        <w:rPr>
          <w:rFonts w:hint="eastAsia"/>
          <w:color w:val="000000" w:themeColor="text1"/>
          <w:highlight w:val="none"/>
          <w:lang w:eastAsia="zh-CN"/>
          <w14:textFill>
            <w14:solidFill>
              <w14:schemeClr w14:val="tx1"/>
            </w14:solidFill>
          </w14:textFill>
        </w:rPr>
        <w:t>分压力小于氢氟酸的蒸汽分压力），10%质量分数的HF温度60℃时 HF的蒸汽分压为1.8mmHg.</w:t>
      </w:r>
    </w:p>
    <w:p w14:paraId="1539B2CE">
      <w:pPr>
        <w:bidi w:val="0"/>
        <w:ind w:firstLine="960" w:firstLineChars="40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F：液体蒸发面的表面积，m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，反应釜出口总面积按1.88m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计。</w:t>
      </w:r>
    </w:p>
    <w:p w14:paraId="3991B695">
      <w:pPr>
        <w:bidi w:val="0"/>
        <w:ind w:firstLine="960" w:firstLineChars="400"/>
        <w:rPr>
          <w:rFonts w:hint="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经计算，</w:t>
      </w:r>
      <w:r>
        <w:rPr>
          <w:rFonts w:hint="eastAsia"/>
          <w:color w:val="000000" w:themeColor="text1"/>
          <w:highlight w:val="none"/>
          <w:lang w:eastAsia="zh-CN"/>
          <w14:textFill>
            <w14:solidFill>
              <w14:schemeClr w14:val="tx1"/>
            </w14:solidFill>
          </w14:textFill>
        </w:rPr>
        <w:t>污染物（以 HF 计）产生量约0.02</w:t>
      </w:r>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lang w:eastAsia="zh-CN"/>
          <w14:textFill>
            <w14:solidFill>
              <w14:schemeClr w14:val="tx1"/>
            </w14:solidFill>
          </w14:textFill>
        </w:rPr>
        <w:t>kg/h，</w:t>
      </w:r>
      <w:r>
        <w:rPr>
          <w:rFonts w:hint="eastAsia"/>
          <w:color w:val="000000" w:themeColor="text1"/>
          <w:highlight w:val="none"/>
          <w:lang w:val="en-US" w:eastAsia="zh-CN"/>
          <w14:textFill>
            <w14:solidFill>
              <w14:schemeClr w14:val="tx1"/>
            </w14:solidFill>
          </w14:textFill>
        </w:rPr>
        <w:t>项目单批次反应时间为3h，总反应时间为540h，产生量为0.015t/a，</w:t>
      </w:r>
      <w:r>
        <w:rPr>
          <w:rFonts w:hint="default"/>
          <w:color w:val="000000" w:themeColor="text1"/>
          <w:highlight w:val="none"/>
          <w:lang w:val="en-US" w:eastAsia="zh-CN"/>
          <w14:textFill>
            <w14:solidFill>
              <w14:schemeClr w14:val="tx1"/>
            </w14:solidFill>
          </w14:textFill>
        </w:rPr>
        <w:t>反应釜为密闭情况下进行生产，排气管配备引风机，</w:t>
      </w:r>
      <w:r>
        <w:rPr>
          <w:rFonts w:hint="eastAsia"/>
          <w:color w:val="000000" w:themeColor="text1"/>
          <w:highlight w:val="none"/>
          <w:lang w:val="en-US" w:eastAsia="zh-CN"/>
          <w14:textFill>
            <w14:solidFill>
              <w14:schemeClr w14:val="tx1"/>
            </w14:solidFill>
          </w14:textFill>
        </w:rPr>
        <w:t>参考《主要污染物总量减排核算技术指南（2022年修订）》（环办综合函</w:t>
      </w:r>
      <w:r>
        <w:rPr>
          <w:rFonts w:hint="eastAsia" w:ascii="仿宋" w:hAnsi="仿宋" w:eastAsia="仿宋" w:cs="仿宋"/>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2022</w:t>
      </w:r>
      <w:r>
        <w:rPr>
          <w:rFonts w:hint="eastAsia" w:ascii="仿宋" w:hAnsi="仿宋" w:eastAsia="仿宋" w:cs="仿宋"/>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50号）密闭管道收集率</w:t>
      </w:r>
      <w:r>
        <w:rPr>
          <w:rFonts w:hint="default" w:ascii="Times New Roman" w:hAnsi="Times New Roman" w:eastAsia="宋体" w:cs="Times New Roman"/>
          <w:color w:val="000000" w:themeColor="text1"/>
          <w:highlight w:val="none"/>
          <w:lang w:val="en-US" w:eastAsia="zh-CN"/>
          <w14:textFill>
            <w14:solidFill>
              <w14:schemeClr w14:val="tx1"/>
            </w14:solidFill>
          </w14:textFill>
        </w:rPr>
        <w:t>按</w:t>
      </w:r>
      <w:r>
        <w:rPr>
          <w:rFonts w:hint="eastAsia" w:ascii="Times New Roman" w:hAnsi="Times New Roman" w:eastAsia="宋体" w:cs="Times New Roman"/>
          <w:color w:val="000000" w:themeColor="text1"/>
          <w:highlight w:val="none"/>
          <w:lang w:val="en-US" w:eastAsia="zh-CN"/>
          <w14:textFill>
            <w14:solidFill>
              <w14:schemeClr w14:val="tx1"/>
            </w14:solidFill>
          </w14:textFill>
        </w:rPr>
        <w:t>95</w:t>
      </w:r>
      <w:r>
        <w:rPr>
          <w:rFonts w:hint="default" w:ascii="Times New Roman" w:hAnsi="Times New Roman" w:eastAsia="宋体" w:cs="Times New Roman"/>
          <w:color w:val="000000" w:themeColor="text1"/>
          <w:highlight w:val="none"/>
          <w:lang w:val="en-US" w:eastAsia="zh-CN"/>
          <w14:textFill>
            <w14:solidFill>
              <w14:schemeClr w14:val="tx1"/>
            </w14:solidFill>
          </w14:textFill>
        </w:rPr>
        <w:t>%计</w:t>
      </w:r>
      <w:r>
        <w:rPr>
          <w:rFonts w:hint="eastAsia"/>
          <w:color w:val="000000" w:themeColor="text1"/>
          <w:highlight w:val="none"/>
          <w:lang w:val="en-US" w:eastAsia="zh-CN"/>
          <w14:textFill>
            <w14:solidFill>
              <w14:schemeClr w14:val="tx1"/>
            </w14:solidFill>
          </w14:textFill>
        </w:rPr>
        <w:t>，废气通过水喷淋+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r>
        <w:rPr>
          <w:rFonts w:hint="default"/>
          <w:color w:val="000000" w:themeColor="text1"/>
          <w:highlight w:val="none"/>
          <w:lang w:val="en-US" w:eastAsia="zh-CN"/>
          <w14:textFill>
            <w14:solidFill>
              <w14:schemeClr w14:val="tx1"/>
            </w14:solidFill>
          </w14:textFill>
        </w:rPr>
        <w:t>处理</w:t>
      </w:r>
      <w:r>
        <w:rPr>
          <w:rFonts w:hint="eastAsia"/>
          <w:color w:val="000000" w:themeColor="text1"/>
          <w:highlight w:val="none"/>
          <w:lang w:val="en-US" w:eastAsia="zh-CN"/>
          <w14:textFill>
            <w14:solidFill>
              <w14:schemeClr w14:val="tx1"/>
            </w14:solidFill>
          </w14:textFill>
        </w:rPr>
        <w:t>后通过1根15m</w:t>
      </w:r>
      <w:r>
        <w:rPr>
          <w:rFonts w:hint="default"/>
          <w:color w:val="000000" w:themeColor="text1"/>
          <w:highlight w:val="none"/>
          <w:lang w:val="en-US" w:eastAsia="zh-CN"/>
          <w14:textFill>
            <w14:solidFill>
              <w14:schemeClr w14:val="tx1"/>
            </w14:solidFill>
          </w14:textFill>
        </w:rPr>
        <w:t>高排气</w:t>
      </w:r>
      <w:r>
        <w:rPr>
          <w:rFonts w:hint="eastAsia"/>
          <w:color w:val="000000" w:themeColor="text1"/>
          <w:highlight w:val="none"/>
          <w:lang w:val="en-US" w:eastAsia="zh-CN"/>
          <w14:textFill>
            <w14:solidFill>
              <w14:schemeClr w14:val="tx1"/>
            </w14:solidFill>
          </w14:textFill>
        </w:rPr>
        <w:t>筒（</w:t>
      </w:r>
      <w:r>
        <w:rPr>
          <w:rFonts w:hint="default"/>
          <w:color w:val="000000" w:themeColor="text1"/>
          <w:highlight w:val="none"/>
          <w:lang w:val="en-US" w:eastAsia="zh-CN"/>
          <w14:textFill>
            <w14:solidFill>
              <w14:schemeClr w14:val="tx1"/>
            </w14:solidFill>
          </w14:textFill>
        </w:rPr>
        <w:t>DA001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排放</w:t>
      </w:r>
      <w:r>
        <w:rPr>
          <w:rFonts w:hint="eastAsia"/>
          <w:color w:val="000000" w:themeColor="text1"/>
          <w:highlight w:val="none"/>
          <w:lang w:val="en-US" w:eastAsia="zh-CN"/>
          <w14:textFill>
            <w14:solidFill>
              <w14:schemeClr w14:val="tx1"/>
            </w14:solidFill>
          </w14:textFill>
        </w:rPr>
        <w:t>，参考《排放源统计调查产排污核算方法和系数手册》（部公告，2021年第24号）</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中“2611无机酸制造行业系数表”，氟化氢处理效率为99.49%，</w:t>
      </w:r>
      <w:r>
        <w:rPr>
          <w:rFonts w:hint="eastAsia"/>
          <w:color w:val="000000" w:themeColor="text1"/>
          <w:highlight w:val="none"/>
          <w:lang w:val="en-US" w:eastAsia="zh-CN"/>
          <w14:textFill>
            <w14:solidFill>
              <w14:schemeClr w14:val="tx1"/>
            </w14:solidFill>
          </w14:textFill>
        </w:rPr>
        <w:t>则</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氟化氢</w:t>
      </w:r>
      <w:r>
        <w:rPr>
          <w:rFonts w:hint="default"/>
          <w:color w:val="000000" w:themeColor="text1"/>
          <w:highlight w:val="none"/>
          <w:lang w:val="en-US" w:eastAsia="zh-CN"/>
          <w14:textFill>
            <w14:solidFill>
              <w14:schemeClr w14:val="tx1"/>
            </w14:solidFill>
          </w14:textFill>
        </w:rPr>
        <w:t>有组织排放量为0.0</w:t>
      </w:r>
      <w:r>
        <w:rPr>
          <w:rFonts w:hint="eastAsia"/>
          <w:color w:val="000000" w:themeColor="text1"/>
          <w:highlight w:val="none"/>
          <w:lang w:val="en-US" w:eastAsia="zh-CN"/>
          <w14:textFill>
            <w14:solidFill>
              <w14:schemeClr w14:val="tx1"/>
            </w14:solidFill>
          </w14:textFill>
        </w:rPr>
        <w:t>7kg</w:t>
      </w:r>
      <w:r>
        <w:rPr>
          <w:rFonts w:hint="default"/>
          <w:color w:val="000000" w:themeColor="text1"/>
          <w:highlight w:val="none"/>
          <w:lang w:val="en-US" w:eastAsia="zh-CN"/>
          <w14:textFill>
            <w14:solidFill>
              <w14:schemeClr w14:val="tx1"/>
            </w14:solidFill>
          </w14:textFill>
        </w:rPr>
        <w:t>/a</w:t>
      </w:r>
      <w:r>
        <w:rPr>
          <w:rFonts w:hint="eastAsia"/>
          <w:color w:val="000000" w:themeColor="text1"/>
          <w:highlight w:val="none"/>
          <w:lang w:val="en-US" w:eastAsia="zh-CN"/>
          <w14:textFill>
            <w14:solidFill>
              <w14:schemeClr w14:val="tx1"/>
            </w14:solidFill>
          </w14:textFill>
        </w:rPr>
        <w:t>，单批次反应时间为3h，总反应时间为540h，排放速率为0.0001kg/h，排放浓度为0.003mg/</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w:t>
      </w:r>
    </w:p>
    <w:p w14:paraId="42B495A4">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本项目有组织废气产生及排放情况见表3.7.1-1。</w:t>
      </w:r>
    </w:p>
    <w:p w14:paraId="2AC847F1">
      <w:pPr>
        <w:pStyle w:val="2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表3.7.1-1      本项目有组织废气产生及排放情况</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2"/>
        <w:gridCol w:w="437"/>
        <w:gridCol w:w="436"/>
        <w:gridCol w:w="871"/>
        <w:gridCol w:w="1035"/>
        <w:gridCol w:w="1165"/>
        <w:gridCol w:w="757"/>
        <w:gridCol w:w="828"/>
        <w:gridCol w:w="1040"/>
        <w:gridCol w:w="1060"/>
        <w:gridCol w:w="790"/>
      </w:tblGrid>
      <w:tr w14:paraId="41CF46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Merge w:val="restart"/>
            <w:noWrap w:val="0"/>
            <w:vAlign w:val="center"/>
          </w:tcPr>
          <w:p w14:paraId="56F60634">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废气类别</w:t>
            </w:r>
          </w:p>
        </w:tc>
        <w:tc>
          <w:tcPr>
            <w:tcW w:w="437" w:type="dxa"/>
            <w:vMerge w:val="restart"/>
            <w:noWrap w:val="0"/>
            <w:vAlign w:val="center"/>
          </w:tcPr>
          <w:p w14:paraId="2DCA0E79">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污染物</w:t>
            </w:r>
          </w:p>
        </w:tc>
        <w:tc>
          <w:tcPr>
            <w:tcW w:w="436" w:type="dxa"/>
            <w:vMerge w:val="restart"/>
            <w:noWrap w:val="0"/>
            <w:vAlign w:val="center"/>
          </w:tcPr>
          <w:p w14:paraId="14B6575B">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核算方法</w:t>
            </w:r>
          </w:p>
        </w:tc>
        <w:tc>
          <w:tcPr>
            <w:tcW w:w="3071" w:type="dxa"/>
            <w:gridSpan w:val="3"/>
            <w:noWrap w:val="0"/>
            <w:vAlign w:val="center"/>
          </w:tcPr>
          <w:p w14:paraId="2414B7B5">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产生情况</w:t>
            </w:r>
          </w:p>
        </w:tc>
        <w:tc>
          <w:tcPr>
            <w:tcW w:w="757" w:type="dxa"/>
            <w:vMerge w:val="restart"/>
            <w:noWrap w:val="0"/>
            <w:vAlign w:val="center"/>
          </w:tcPr>
          <w:p w14:paraId="5E3CE818">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处理措施</w:t>
            </w:r>
          </w:p>
        </w:tc>
        <w:tc>
          <w:tcPr>
            <w:tcW w:w="2928" w:type="dxa"/>
            <w:gridSpan w:val="3"/>
            <w:noWrap w:val="0"/>
            <w:vAlign w:val="center"/>
          </w:tcPr>
          <w:p w14:paraId="3AEA9965">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排放情况</w:t>
            </w:r>
          </w:p>
        </w:tc>
        <w:tc>
          <w:tcPr>
            <w:tcW w:w="790" w:type="dxa"/>
            <w:vMerge w:val="restart"/>
            <w:noWrap w:val="0"/>
            <w:vAlign w:val="center"/>
          </w:tcPr>
          <w:p w14:paraId="5157177E">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排放口</w:t>
            </w:r>
          </w:p>
        </w:tc>
      </w:tr>
      <w:tr w14:paraId="35D5BF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Merge w:val="continue"/>
            <w:tcBorders>
              <w:bottom w:val="single" w:color="auto" w:sz="12" w:space="0"/>
            </w:tcBorders>
            <w:noWrap w:val="0"/>
            <w:vAlign w:val="center"/>
          </w:tcPr>
          <w:p w14:paraId="7283AB34">
            <w:pPr>
              <w:pStyle w:val="26"/>
              <w:bidi w:val="0"/>
              <w:jc w:val="center"/>
              <w:rPr>
                <w:rFonts w:hint="default"/>
                <w:b/>
                <w:bCs/>
                <w:color w:val="000000" w:themeColor="text1"/>
                <w:highlight w:val="none"/>
                <w:lang w:val="en-US" w:eastAsia="zh-CN"/>
                <w14:textFill>
                  <w14:solidFill>
                    <w14:schemeClr w14:val="tx1"/>
                  </w14:solidFill>
                </w14:textFill>
              </w:rPr>
            </w:pPr>
          </w:p>
        </w:tc>
        <w:tc>
          <w:tcPr>
            <w:tcW w:w="437" w:type="dxa"/>
            <w:vMerge w:val="continue"/>
            <w:tcBorders>
              <w:bottom w:val="single" w:color="auto" w:sz="12" w:space="0"/>
            </w:tcBorders>
            <w:noWrap w:val="0"/>
            <w:vAlign w:val="center"/>
          </w:tcPr>
          <w:p w14:paraId="1272595E">
            <w:pPr>
              <w:pStyle w:val="26"/>
              <w:bidi w:val="0"/>
              <w:jc w:val="center"/>
              <w:rPr>
                <w:rFonts w:hint="default"/>
                <w:b/>
                <w:bCs/>
                <w:color w:val="000000" w:themeColor="text1"/>
                <w:highlight w:val="none"/>
                <w:lang w:val="en-US" w:eastAsia="zh-CN"/>
                <w14:textFill>
                  <w14:solidFill>
                    <w14:schemeClr w14:val="tx1"/>
                  </w14:solidFill>
                </w14:textFill>
              </w:rPr>
            </w:pPr>
          </w:p>
        </w:tc>
        <w:tc>
          <w:tcPr>
            <w:tcW w:w="436" w:type="dxa"/>
            <w:vMerge w:val="continue"/>
            <w:tcBorders>
              <w:bottom w:val="single" w:color="auto" w:sz="12" w:space="0"/>
            </w:tcBorders>
            <w:noWrap w:val="0"/>
            <w:vAlign w:val="center"/>
          </w:tcPr>
          <w:p w14:paraId="5310F73A">
            <w:pPr>
              <w:pStyle w:val="26"/>
              <w:bidi w:val="0"/>
              <w:jc w:val="center"/>
              <w:rPr>
                <w:rFonts w:hint="default"/>
                <w:b/>
                <w:bCs/>
                <w:color w:val="000000" w:themeColor="text1"/>
                <w:highlight w:val="none"/>
                <w:lang w:val="en-US" w:eastAsia="zh-CN"/>
                <w14:textFill>
                  <w14:solidFill>
                    <w14:schemeClr w14:val="tx1"/>
                  </w14:solidFill>
                </w14:textFill>
              </w:rPr>
            </w:pPr>
          </w:p>
        </w:tc>
        <w:tc>
          <w:tcPr>
            <w:tcW w:w="871" w:type="dxa"/>
            <w:tcBorders>
              <w:bottom w:val="single" w:color="auto" w:sz="12" w:space="0"/>
            </w:tcBorders>
            <w:noWrap w:val="0"/>
            <w:vAlign w:val="center"/>
          </w:tcPr>
          <w:p w14:paraId="07A1AC65">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产生量（t/a）</w:t>
            </w:r>
          </w:p>
        </w:tc>
        <w:tc>
          <w:tcPr>
            <w:tcW w:w="1035" w:type="dxa"/>
            <w:tcBorders>
              <w:bottom w:val="single" w:color="auto" w:sz="12" w:space="0"/>
            </w:tcBorders>
            <w:noWrap w:val="0"/>
            <w:vAlign w:val="center"/>
          </w:tcPr>
          <w:p w14:paraId="24E17AEE">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产生速率（kg/h）</w:t>
            </w:r>
          </w:p>
        </w:tc>
        <w:tc>
          <w:tcPr>
            <w:tcW w:w="1165" w:type="dxa"/>
            <w:tcBorders>
              <w:bottom w:val="single" w:color="auto" w:sz="12" w:space="0"/>
            </w:tcBorders>
            <w:noWrap w:val="0"/>
            <w:vAlign w:val="center"/>
          </w:tcPr>
          <w:p w14:paraId="3B87A3B4">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产生浓度（mg/m</w:t>
            </w:r>
            <w:r>
              <w:rPr>
                <w:rFonts w:hint="eastAsia"/>
                <w:b/>
                <w:bCs/>
                <w:color w:val="000000" w:themeColor="text1"/>
                <w:highlight w:val="none"/>
                <w:vertAlign w:val="superscript"/>
                <w:lang w:val="en-US" w:eastAsia="zh-CN"/>
                <w14:textFill>
                  <w14:solidFill>
                    <w14:schemeClr w14:val="tx1"/>
                  </w14:solidFill>
                </w14:textFill>
              </w:rPr>
              <w:t>3</w:t>
            </w:r>
            <w:r>
              <w:rPr>
                <w:rFonts w:hint="eastAsia"/>
                <w:b/>
                <w:bCs/>
                <w:color w:val="000000" w:themeColor="text1"/>
                <w:highlight w:val="none"/>
                <w:lang w:val="en-US" w:eastAsia="zh-CN"/>
                <w14:textFill>
                  <w14:solidFill>
                    <w14:schemeClr w14:val="tx1"/>
                  </w14:solidFill>
                </w14:textFill>
              </w:rPr>
              <w:t>）</w:t>
            </w:r>
          </w:p>
        </w:tc>
        <w:tc>
          <w:tcPr>
            <w:tcW w:w="757" w:type="dxa"/>
            <w:vMerge w:val="continue"/>
            <w:tcBorders>
              <w:bottom w:val="single" w:color="auto" w:sz="12" w:space="0"/>
            </w:tcBorders>
            <w:noWrap w:val="0"/>
            <w:vAlign w:val="center"/>
          </w:tcPr>
          <w:p w14:paraId="382CE35D">
            <w:pPr>
              <w:pStyle w:val="26"/>
              <w:bidi w:val="0"/>
              <w:jc w:val="center"/>
              <w:rPr>
                <w:rFonts w:hint="default"/>
                <w:b/>
                <w:bCs/>
                <w:color w:val="000000" w:themeColor="text1"/>
                <w:highlight w:val="none"/>
                <w:lang w:val="en-US" w:eastAsia="zh-CN"/>
                <w14:textFill>
                  <w14:solidFill>
                    <w14:schemeClr w14:val="tx1"/>
                  </w14:solidFill>
                </w14:textFill>
              </w:rPr>
            </w:pPr>
          </w:p>
        </w:tc>
        <w:tc>
          <w:tcPr>
            <w:tcW w:w="828" w:type="dxa"/>
            <w:tcBorders>
              <w:bottom w:val="single" w:color="auto" w:sz="12" w:space="0"/>
            </w:tcBorders>
            <w:noWrap w:val="0"/>
            <w:vAlign w:val="center"/>
          </w:tcPr>
          <w:p w14:paraId="66153299">
            <w:pPr>
              <w:pStyle w:val="26"/>
              <w:bidi w:val="0"/>
              <w:ind w:left="0" w:leftChars="0" w:right="0" w:rightChars="0" w:firstLine="0" w:firstLineChars="0"/>
              <w:jc w:val="cente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排放量（t/a）</w:t>
            </w:r>
          </w:p>
        </w:tc>
        <w:tc>
          <w:tcPr>
            <w:tcW w:w="1040" w:type="dxa"/>
            <w:tcBorders>
              <w:bottom w:val="single" w:color="auto" w:sz="12" w:space="0"/>
            </w:tcBorders>
            <w:noWrap w:val="0"/>
            <w:vAlign w:val="center"/>
          </w:tcPr>
          <w:p w14:paraId="0B311142">
            <w:pPr>
              <w:pStyle w:val="26"/>
              <w:bidi w:val="0"/>
              <w:ind w:left="0" w:leftChars="0" w:right="0" w:rightChars="0" w:firstLine="0" w:firstLineChars="0"/>
              <w:jc w:val="cente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排放速率（kg/h）</w:t>
            </w:r>
          </w:p>
        </w:tc>
        <w:tc>
          <w:tcPr>
            <w:tcW w:w="1060" w:type="dxa"/>
            <w:tcBorders>
              <w:bottom w:val="single" w:color="auto" w:sz="12" w:space="0"/>
            </w:tcBorders>
            <w:noWrap w:val="0"/>
            <w:vAlign w:val="center"/>
          </w:tcPr>
          <w:p w14:paraId="49DC7859">
            <w:pPr>
              <w:pStyle w:val="26"/>
              <w:bidi w:val="0"/>
              <w:ind w:left="0" w:leftChars="0" w:right="0" w:rightChars="0" w:firstLine="0" w:firstLineChars="0"/>
              <w:jc w:val="cente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排放浓度（mg/m</w:t>
            </w:r>
            <w:r>
              <w:rPr>
                <w:rFonts w:hint="eastAsia"/>
                <w:b/>
                <w:bCs/>
                <w:color w:val="000000" w:themeColor="text1"/>
                <w:highlight w:val="none"/>
                <w:vertAlign w:val="superscript"/>
                <w:lang w:val="en-US" w:eastAsia="zh-CN"/>
                <w14:textFill>
                  <w14:solidFill>
                    <w14:schemeClr w14:val="tx1"/>
                  </w14:solidFill>
                </w14:textFill>
              </w:rPr>
              <w:t>3</w:t>
            </w:r>
            <w:r>
              <w:rPr>
                <w:rFonts w:hint="eastAsia"/>
                <w:b/>
                <w:bCs/>
                <w:color w:val="000000" w:themeColor="text1"/>
                <w:highlight w:val="none"/>
                <w:lang w:val="en-US" w:eastAsia="zh-CN"/>
                <w14:textFill>
                  <w14:solidFill>
                    <w14:schemeClr w14:val="tx1"/>
                  </w14:solidFill>
                </w14:textFill>
              </w:rPr>
              <w:t>）</w:t>
            </w:r>
          </w:p>
        </w:tc>
        <w:tc>
          <w:tcPr>
            <w:tcW w:w="790" w:type="dxa"/>
            <w:vMerge w:val="continue"/>
            <w:tcBorders>
              <w:bottom w:val="single" w:color="auto" w:sz="12" w:space="0"/>
            </w:tcBorders>
            <w:noWrap w:val="0"/>
            <w:vAlign w:val="center"/>
          </w:tcPr>
          <w:p w14:paraId="1FAF22A0">
            <w:pPr>
              <w:pStyle w:val="26"/>
              <w:bidi w:val="0"/>
              <w:ind w:left="0" w:leftChars="0" w:right="0" w:rightChars="0" w:firstLine="0" w:firstLineChars="0"/>
              <w:jc w:val="center"/>
              <w:rPr>
                <w:rFonts w:hint="eastAsia"/>
                <w:b/>
                <w:bCs/>
                <w:color w:val="000000" w:themeColor="text1"/>
                <w:highlight w:val="none"/>
                <w:lang w:val="en-US" w:eastAsia="zh-CN"/>
                <w14:textFill>
                  <w14:solidFill>
                    <w14:schemeClr w14:val="tx1"/>
                  </w14:solidFill>
                </w14:textFill>
              </w:rPr>
            </w:pPr>
          </w:p>
        </w:tc>
      </w:tr>
      <w:tr w14:paraId="0055E0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tcBorders>
              <w:top w:val="single" w:color="auto" w:sz="12" w:space="0"/>
              <w:tl2br w:val="nil"/>
              <w:tr2bl w:val="nil"/>
            </w:tcBorders>
            <w:noWrap w:val="0"/>
            <w:vAlign w:val="center"/>
          </w:tcPr>
          <w:p w14:paraId="35222AC1">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减水剂生产线</w:t>
            </w:r>
            <w:r>
              <w:rPr>
                <w:rFonts w:hint="default" w:ascii="Times New Roman" w:hAnsi="Times New Roman" w:eastAsia="宋体" w:cs="Times New Roman"/>
                <w:color w:val="000000" w:themeColor="text1"/>
                <w:highlight w:val="none"/>
                <w:lang w:val="en-US" w:eastAsia="zh-CN"/>
                <w14:textFill>
                  <w14:solidFill>
                    <w14:schemeClr w14:val="tx1"/>
                  </w14:solidFill>
                </w14:textFill>
              </w:rPr>
              <w:t>投料废气</w:t>
            </w:r>
          </w:p>
        </w:tc>
        <w:tc>
          <w:tcPr>
            <w:tcW w:w="437" w:type="dxa"/>
            <w:tcBorders>
              <w:top w:val="single" w:color="auto" w:sz="12" w:space="0"/>
              <w:tl2br w:val="nil"/>
              <w:tr2bl w:val="nil"/>
            </w:tcBorders>
            <w:noWrap w:val="0"/>
            <w:vAlign w:val="center"/>
          </w:tcPr>
          <w:p w14:paraId="31A94DB3">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436" w:type="dxa"/>
            <w:tcBorders>
              <w:top w:val="single" w:color="auto" w:sz="12" w:space="0"/>
              <w:tl2br w:val="nil"/>
              <w:tr2bl w:val="nil"/>
            </w:tcBorders>
            <w:noWrap w:val="0"/>
            <w:vAlign w:val="center"/>
          </w:tcPr>
          <w:p w14:paraId="12C339DF">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系数法</w:t>
            </w:r>
          </w:p>
        </w:tc>
        <w:tc>
          <w:tcPr>
            <w:tcW w:w="871" w:type="dxa"/>
            <w:tcBorders>
              <w:top w:val="single" w:color="auto" w:sz="12" w:space="0"/>
              <w:tl2br w:val="nil"/>
              <w:tr2bl w:val="nil"/>
            </w:tcBorders>
            <w:noWrap w:val="0"/>
            <w:vAlign w:val="center"/>
          </w:tcPr>
          <w:p w14:paraId="5F7266CE">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w:t>
            </w:r>
          </w:p>
        </w:tc>
        <w:tc>
          <w:tcPr>
            <w:tcW w:w="1035" w:type="dxa"/>
            <w:tcBorders>
              <w:top w:val="single" w:color="auto" w:sz="12" w:space="0"/>
              <w:tl2br w:val="nil"/>
              <w:tr2bl w:val="nil"/>
            </w:tcBorders>
            <w:noWrap w:val="0"/>
            <w:vAlign w:val="center"/>
          </w:tcPr>
          <w:p w14:paraId="0CA70DE0">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11.111</w:t>
            </w:r>
          </w:p>
        </w:tc>
        <w:tc>
          <w:tcPr>
            <w:tcW w:w="1165" w:type="dxa"/>
            <w:tcBorders>
              <w:top w:val="single" w:color="auto" w:sz="12" w:space="0"/>
              <w:tl2br w:val="nil"/>
              <w:tr2bl w:val="nil"/>
            </w:tcBorders>
            <w:noWrap w:val="0"/>
            <w:vAlign w:val="center"/>
          </w:tcPr>
          <w:p w14:paraId="650D0E3C">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222.22</w:t>
            </w:r>
          </w:p>
        </w:tc>
        <w:tc>
          <w:tcPr>
            <w:tcW w:w="757" w:type="dxa"/>
            <w:vMerge w:val="restart"/>
            <w:tcBorders>
              <w:top w:val="single" w:color="auto" w:sz="12" w:space="0"/>
              <w:tl2br w:val="nil"/>
              <w:tr2bl w:val="nil"/>
            </w:tcBorders>
            <w:noWrap w:val="0"/>
            <w:vAlign w:val="center"/>
          </w:tcPr>
          <w:p w14:paraId="0765AC03">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水喷淋+</w:t>
            </w:r>
            <w:r>
              <w:rPr>
                <w:rFonts w:hint="default"/>
                <w:color w:val="000000" w:themeColor="text1"/>
                <w:highlight w:val="none"/>
                <w:lang w:val="en-US" w:eastAsia="zh-CN"/>
                <w14:textFill>
                  <w14:solidFill>
                    <w14:schemeClr w14:val="tx1"/>
                  </w14:solidFill>
                </w14:textFill>
              </w:rPr>
              <w:t>碱喷淋</w:t>
            </w:r>
            <w:r>
              <w:rPr>
                <w:rFonts w:hint="eastAsia"/>
                <w:color w:val="000000" w:themeColor="text1"/>
                <w:highlight w:val="none"/>
                <w:lang w:val="en-US" w:eastAsia="zh-CN"/>
                <w14:textFill>
                  <w14:solidFill>
                    <w14:schemeClr w14:val="tx1"/>
                  </w14:solidFill>
                </w14:textFill>
              </w:rPr>
              <w:t>+除雾器+二级活性炭</w:t>
            </w:r>
          </w:p>
        </w:tc>
        <w:tc>
          <w:tcPr>
            <w:tcW w:w="828" w:type="dxa"/>
            <w:vMerge w:val="restart"/>
            <w:tcBorders>
              <w:top w:val="single" w:color="auto" w:sz="12" w:space="0"/>
              <w:tl2br w:val="nil"/>
              <w:tr2bl w:val="nil"/>
            </w:tcBorders>
            <w:noWrap w:val="0"/>
            <w:vAlign w:val="center"/>
          </w:tcPr>
          <w:p w14:paraId="67D0FD3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0.21</w:t>
            </w:r>
          </w:p>
        </w:tc>
        <w:tc>
          <w:tcPr>
            <w:tcW w:w="1040" w:type="dxa"/>
            <w:vMerge w:val="restart"/>
            <w:tcBorders>
              <w:top w:val="single" w:color="auto" w:sz="12" w:space="0"/>
              <w:tl2br w:val="nil"/>
              <w:tr2bl w:val="nil"/>
            </w:tcBorders>
            <w:noWrap w:val="0"/>
            <w:vAlign w:val="center"/>
          </w:tcPr>
          <w:p w14:paraId="028F5823">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0.778</w:t>
            </w:r>
          </w:p>
        </w:tc>
        <w:tc>
          <w:tcPr>
            <w:tcW w:w="1060" w:type="dxa"/>
            <w:vMerge w:val="restart"/>
            <w:tcBorders>
              <w:top w:val="single" w:color="auto" w:sz="12" w:space="0"/>
              <w:tl2br w:val="nil"/>
              <w:tr2bl w:val="nil"/>
            </w:tcBorders>
            <w:noWrap w:val="0"/>
            <w:vAlign w:val="center"/>
          </w:tcPr>
          <w:p w14:paraId="77896C0E">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15.56</w:t>
            </w:r>
          </w:p>
        </w:tc>
        <w:tc>
          <w:tcPr>
            <w:tcW w:w="790" w:type="dxa"/>
            <w:vMerge w:val="restart"/>
            <w:tcBorders>
              <w:top w:val="single" w:color="auto" w:sz="12" w:space="0"/>
              <w:tl2br w:val="nil"/>
              <w:tr2bl w:val="nil"/>
            </w:tcBorders>
            <w:noWrap w:val="0"/>
            <w:vAlign w:val="center"/>
          </w:tcPr>
          <w:p w14:paraId="5878430D">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DA001</w:t>
            </w:r>
          </w:p>
        </w:tc>
      </w:tr>
      <w:tr w14:paraId="661895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tcBorders>
              <w:tl2br w:val="nil"/>
              <w:tr2bl w:val="nil"/>
            </w:tcBorders>
            <w:noWrap w:val="0"/>
            <w:vAlign w:val="center"/>
          </w:tcPr>
          <w:p w14:paraId="18620646">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硫酸铝生产线、速凝剂生产线</w:t>
            </w:r>
            <w:r>
              <w:rPr>
                <w:rFonts w:hint="default" w:ascii="Times New Roman" w:hAnsi="Times New Roman" w:eastAsia="宋体" w:cs="Times New Roman"/>
                <w:color w:val="000000" w:themeColor="text1"/>
                <w:highlight w:val="none"/>
                <w:lang w:val="en-US" w:eastAsia="zh-CN"/>
                <w14:textFill>
                  <w14:solidFill>
                    <w14:schemeClr w14:val="tx1"/>
                  </w14:solidFill>
                </w14:textFill>
              </w:rPr>
              <w:t>投料废气</w:t>
            </w:r>
          </w:p>
        </w:tc>
        <w:tc>
          <w:tcPr>
            <w:tcW w:w="437" w:type="dxa"/>
            <w:tcBorders>
              <w:tl2br w:val="nil"/>
              <w:tr2bl w:val="nil"/>
            </w:tcBorders>
            <w:noWrap w:val="0"/>
            <w:vAlign w:val="center"/>
          </w:tcPr>
          <w:p w14:paraId="06274867">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436" w:type="dxa"/>
            <w:tcBorders>
              <w:tl2br w:val="nil"/>
              <w:tr2bl w:val="nil"/>
            </w:tcBorders>
            <w:noWrap w:val="0"/>
            <w:vAlign w:val="center"/>
          </w:tcPr>
          <w:p w14:paraId="04F1A543">
            <w:pPr>
              <w:pStyle w:val="26"/>
              <w:bidi w:val="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系数法</w:t>
            </w:r>
          </w:p>
        </w:tc>
        <w:tc>
          <w:tcPr>
            <w:tcW w:w="871" w:type="dxa"/>
            <w:tcBorders>
              <w:tl2br w:val="nil"/>
              <w:tr2bl w:val="nil"/>
            </w:tcBorders>
            <w:noWrap w:val="0"/>
            <w:vAlign w:val="center"/>
          </w:tcPr>
          <w:p w14:paraId="77774891">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1.2</w:t>
            </w:r>
          </w:p>
        </w:tc>
        <w:tc>
          <w:tcPr>
            <w:tcW w:w="1035" w:type="dxa"/>
            <w:tcBorders>
              <w:tl2br w:val="nil"/>
              <w:tr2bl w:val="nil"/>
            </w:tcBorders>
            <w:noWrap w:val="0"/>
            <w:vAlign w:val="center"/>
          </w:tcPr>
          <w:p w14:paraId="4FFD0F85">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4.444</w:t>
            </w:r>
          </w:p>
        </w:tc>
        <w:tc>
          <w:tcPr>
            <w:tcW w:w="1165" w:type="dxa"/>
            <w:tcBorders>
              <w:tl2br w:val="nil"/>
              <w:tr2bl w:val="nil"/>
            </w:tcBorders>
            <w:noWrap w:val="0"/>
            <w:vAlign w:val="center"/>
          </w:tcPr>
          <w:p w14:paraId="273BA48C">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88.89</w:t>
            </w:r>
          </w:p>
        </w:tc>
        <w:tc>
          <w:tcPr>
            <w:tcW w:w="757" w:type="dxa"/>
            <w:vMerge w:val="continue"/>
            <w:tcBorders>
              <w:tl2br w:val="nil"/>
              <w:tr2bl w:val="nil"/>
            </w:tcBorders>
            <w:noWrap w:val="0"/>
            <w:vAlign w:val="center"/>
          </w:tcPr>
          <w:p w14:paraId="46327723">
            <w:pPr>
              <w:pStyle w:val="26"/>
              <w:bidi w:val="0"/>
              <w:jc w:val="center"/>
              <w:rPr>
                <w:rFonts w:hint="default"/>
                <w:color w:val="000000" w:themeColor="text1"/>
                <w:highlight w:val="none"/>
                <w:lang w:val="en-US" w:eastAsia="zh-CN"/>
                <w14:textFill>
                  <w14:solidFill>
                    <w14:schemeClr w14:val="tx1"/>
                  </w14:solidFill>
                </w14:textFill>
              </w:rPr>
            </w:pPr>
          </w:p>
        </w:tc>
        <w:tc>
          <w:tcPr>
            <w:tcW w:w="828" w:type="dxa"/>
            <w:vMerge w:val="continue"/>
            <w:tcBorders>
              <w:tl2br w:val="nil"/>
              <w:tr2bl w:val="nil"/>
            </w:tcBorders>
            <w:noWrap w:val="0"/>
            <w:vAlign w:val="center"/>
          </w:tcPr>
          <w:p w14:paraId="623AB0C5">
            <w:pPr>
              <w:pStyle w:val="26"/>
              <w:bidi w:val="0"/>
              <w:jc w:val="center"/>
              <w:rPr>
                <w:rFonts w:hint="default"/>
                <w:color w:val="000000" w:themeColor="text1"/>
                <w:highlight w:val="none"/>
                <w:lang w:val="en-US" w:eastAsia="zh-CN"/>
                <w14:textFill>
                  <w14:solidFill>
                    <w14:schemeClr w14:val="tx1"/>
                  </w14:solidFill>
                </w14:textFill>
              </w:rPr>
            </w:pPr>
          </w:p>
        </w:tc>
        <w:tc>
          <w:tcPr>
            <w:tcW w:w="1040" w:type="dxa"/>
            <w:vMerge w:val="continue"/>
            <w:tcBorders>
              <w:tl2br w:val="nil"/>
              <w:tr2bl w:val="nil"/>
            </w:tcBorders>
            <w:noWrap w:val="0"/>
            <w:vAlign w:val="center"/>
          </w:tcPr>
          <w:p w14:paraId="2DD96F20">
            <w:pPr>
              <w:pStyle w:val="26"/>
              <w:bidi w:val="0"/>
              <w:jc w:val="center"/>
              <w:rPr>
                <w:rFonts w:hint="default"/>
                <w:color w:val="000000" w:themeColor="text1"/>
                <w:highlight w:val="none"/>
                <w:lang w:val="en-US" w:eastAsia="zh-CN"/>
                <w14:textFill>
                  <w14:solidFill>
                    <w14:schemeClr w14:val="tx1"/>
                  </w14:solidFill>
                </w14:textFill>
              </w:rPr>
            </w:pPr>
          </w:p>
        </w:tc>
        <w:tc>
          <w:tcPr>
            <w:tcW w:w="1060" w:type="dxa"/>
            <w:vMerge w:val="continue"/>
            <w:tcBorders>
              <w:tl2br w:val="nil"/>
              <w:tr2bl w:val="nil"/>
            </w:tcBorders>
            <w:noWrap w:val="0"/>
            <w:vAlign w:val="center"/>
          </w:tcPr>
          <w:p w14:paraId="05334AAA">
            <w:pPr>
              <w:pStyle w:val="26"/>
              <w:bidi w:val="0"/>
              <w:jc w:val="center"/>
              <w:rPr>
                <w:rFonts w:hint="default"/>
                <w:color w:val="000000" w:themeColor="text1"/>
                <w:highlight w:val="none"/>
                <w:lang w:val="en-US" w:eastAsia="zh-CN"/>
                <w14:textFill>
                  <w14:solidFill>
                    <w14:schemeClr w14:val="tx1"/>
                  </w14:solidFill>
                </w14:textFill>
              </w:rPr>
            </w:pPr>
          </w:p>
        </w:tc>
        <w:tc>
          <w:tcPr>
            <w:tcW w:w="790" w:type="dxa"/>
            <w:vMerge w:val="continue"/>
            <w:tcBorders>
              <w:tl2br w:val="nil"/>
              <w:tr2bl w:val="nil"/>
            </w:tcBorders>
            <w:noWrap w:val="0"/>
            <w:vAlign w:val="center"/>
          </w:tcPr>
          <w:p w14:paraId="12B89BAA">
            <w:pPr>
              <w:pStyle w:val="26"/>
              <w:bidi w:val="0"/>
              <w:jc w:val="center"/>
              <w:rPr>
                <w:rFonts w:hint="eastAsia"/>
                <w:color w:val="000000" w:themeColor="text1"/>
                <w:highlight w:val="none"/>
                <w:lang w:val="en-US" w:eastAsia="zh-CN"/>
                <w14:textFill>
                  <w14:solidFill>
                    <w14:schemeClr w14:val="tx1"/>
                  </w14:solidFill>
                </w14:textFill>
              </w:rPr>
            </w:pPr>
          </w:p>
        </w:tc>
      </w:tr>
      <w:tr w14:paraId="44AD17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tcBorders>
              <w:tl2br w:val="nil"/>
              <w:tr2bl w:val="nil"/>
            </w:tcBorders>
            <w:noWrap w:val="0"/>
            <w:vAlign w:val="center"/>
          </w:tcPr>
          <w:p w14:paraId="78A8D3EB">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减水剂生产线反应</w:t>
            </w:r>
            <w:r>
              <w:rPr>
                <w:rFonts w:hint="default" w:ascii="Times New Roman" w:hAnsi="Times New Roman" w:eastAsia="宋体" w:cs="Times New Roman"/>
                <w:color w:val="000000" w:themeColor="text1"/>
                <w:highlight w:val="none"/>
                <w:lang w:val="en-US" w:eastAsia="zh-CN"/>
                <w14:textFill>
                  <w14:solidFill>
                    <w14:schemeClr w14:val="tx1"/>
                  </w14:solidFill>
                </w14:textFill>
              </w:rPr>
              <w:t>废气</w:t>
            </w:r>
          </w:p>
        </w:tc>
        <w:tc>
          <w:tcPr>
            <w:tcW w:w="437" w:type="dxa"/>
            <w:tcBorders>
              <w:tl2br w:val="nil"/>
              <w:tr2bl w:val="nil"/>
            </w:tcBorders>
            <w:noWrap w:val="0"/>
            <w:vAlign w:val="center"/>
          </w:tcPr>
          <w:p w14:paraId="1964372B">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436" w:type="dxa"/>
            <w:tcBorders>
              <w:tl2br w:val="nil"/>
              <w:tr2bl w:val="nil"/>
            </w:tcBorders>
            <w:noWrap w:val="0"/>
            <w:vAlign w:val="center"/>
          </w:tcPr>
          <w:p w14:paraId="244A7763">
            <w:pPr>
              <w:pStyle w:val="26"/>
              <w:bidi w:val="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系数法</w:t>
            </w:r>
          </w:p>
        </w:tc>
        <w:tc>
          <w:tcPr>
            <w:tcW w:w="871" w:type="dxa"/>
            <w:tcBorders>
              <w:tl2br w:val="nil"/>
              <w:tr2bl w:val="nil"/>
            </w:tcBorders>
            <w:noWrap w:val="0"/>
            <w:vAlign w:val="center"/>
          </w:tcPr>
          <w:p w14:paraId="0383100F">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w:t>
            </w:r>
          </w:p>
        </w:tc>
        <w:tc>
          <w:tcPr>
            <w:tcW w:w="1035" w:type="dxa"/>
            <w:tcBorders>
              <w:tl2br w:val="nil"/>
              <w:tr2bl w:val="nil"/>
            </w:tcBorders>
            <w:noWrap w:val="0"/>
            <w:vAlign w:val="center"/>
          </w:tcPr>
          <w:p w14:paraId="52BD3F4C">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0.185</w:t>
            </w:r>
          </w:p>
        </w:tc>
        <w:tc>
          <w:tcPr>
            <w:tcW w:w="1165" w:type="dxa"/>
            <w:tcBorders>
              <w:tl2br w:val="nil"/>
              <w:tr2bl w:val="nil"/>
            </w:tcBorders>
            <w:noWrap w:val="0"/>
            <w:vAlign w:val="center"/>
          </w:tcPr>
          <w:p w14:paraId="021267F4">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3.70</w:t>
            </w:r>
          </w:p>
        </w:tc>
        <w:tc>
          <w:tcPr>
            <w:tcW w:w="757" w:type="dxa"/>
            <w:vMerge w:val="continue"/>
            <w:tcBorders>
              <w:tl2br w:val="nil"/>
              <w:tr2bl w:val="nil"/>
            </w:tcBorders>
            <w:noWrap w:val="0"/>
            <w:vAlign w:val="center"/>
          </w:tcPr>
          <w:p w14:paraId="5EFDC14D">
            <w:pPr>
              <w:pStyle w:val="26"/>
              <w:bidi w:val="0"/>
              <w:jc w:val="center"/>
              <w:rPr>
                <w:rFonts w:hint="default"/>
                <w:color w:val="000000" w:themeColor="text1"/>
                <w:highlight w:val="none"/>
                <w:lang w:val="en-US" w:eastAsia="zh-CN"/>
                <w14:textFill>
                  <w14:solidFill>
                    <w14:schemeClr w14:val="tx1"/>
                  </w14:solidFill>
                </w14:textFill>
              </w:rPr>
            </w:pPr>
          </w:p>
        </w:tc>
        <w:tc>
          <w:tcPr>
            <w:tcW w:w="828" w:type="dxa"/>
            <w:tcBorders>
              <w:tl2br w:val="nil"/>
              <w:tr2bl w:val="nil"/>
            </w:tcBorders>
            <w:noWrap w:val="0"/>
            <w:vAlign w:val="center"/>
          </w:tcPr>
          <w:p w14:paraId="0B201E8E">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0.22</w:t>
            </w:r>
          </w:p>
        </w:tc>
        <w:tc>
          <w:tcPr>
            <w:tcW w:w="1040" w:type="dxa"/>
            <w:tcBorders>
              <w:tl2br w:val="nil"/>
              <w:tr2bl w:val="nil"/>
            </w:tcBorders>
            <w:noWrap w:val="0"/>
            <w:vAlign w:val="center"/>
          </w:tcPr>
          <w:p w14:paraId="34BB3533">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0.134</w:t>
            </w:r>
          </w:p>
        </w:tc>
        <w:tc>
          <w:tcPr>
            <w:tcW w:w="1060" w:type="dxa"/>
            <w:tcBorders>
              <w:tl2br w:val="nil"/>
              <w:tr2bl w:val="nil"/>
            </w:tcBorders>
            <w:noWrap w:val="0"/>
            <w:vAlign w:val="center"/>
          </w:tcPr>
          <w:p w14:paraId="745D22C5">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2.68</w:t>
            </w:r>
          </w:p>
        </w:tc>
        <w:tc>
          <w:tcPr>
            <w:tcW w:w="790" w:type="dxa"/>
            <w:vMerge w:val="continue"/>
            <w:tcBorders>
              <w:tl2br w:val="nil"/>
              <w:tr2bl w:val="nil"/>
            </w:tcBorders>
            <w:noWrap w:val="0"/>
            <w:vAlign w:val="center"/>
          </w:tcPr>
          <w:p w14:paraId="1C543167">
            <w:pPr>
              <w:pStyle w:val="26"/>
              <w:bidi w:val="0"/>
              <w:jc w:val="center"/>
              <w:rPr>
                <w:rFonts w:hint="eastAsia"/>
                <w:color w:val="000000" w:themeColor="text1"/>
                <w:highlight w:val="none"/>
                <w:lang w:val="en-US" w:eastAsia="zh-CN"/>
                <w14:textFill>
                  <w14:solidFill>
                    <w14:schemeClr w14:val="tx1"/>
                  </w14:solidFill>
                </w14:textFill>
              </w:rPr>
            </w:pPr>
          </w:p>
        </w:tc>
      </w:tr>
      <w:tr w14:paraId="182DCB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tcBorders>
              <w:tl2br w:val="nil"/>
              <w:tr2bl w:val="nil"/>
            </w:tcBorders>
            <w:noWrap w:val="0"/>
            <w:vAlign w:val="center"/>
          </w:tcPr>
          <w:p w14:paraId="0496409E">
            <w:pPr>
              <w:pStyle w:val="26"/>
              <w:bidi w:val="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硫酸铝生产线反应废气</w:t>
            </w:r>
          </w:p>
        </w:tc>
        <w:tc>
          <w:tcPr>
            <w:tcW w:w="437" w:type="dxa"/>
            <w:tcBorders>
              <w:tl2br w:val="nil"/>
              <w:tr2bl w:val="nil"/>
            </w:tcBorders>
            <w:noWrap w:val="0"/>
            <w:vAlign w:val="center"/>
          </w:tcPr>
          <w:p w14:paraId="23F2B1FB">
            <w:pPr>
              <w:pStyle w:val="26"/>
              <w:bidi w:val="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436" w:type="dxa"/>
            <w:tcBorders>
              <w:tl2br w:val="nil"/>
              <w:tr2bl w:val="nil"/>
            </w:tcBorders>
            <w:noWrap w:val="0"/>
            <w:vAlign w:val="center"/>
          </w:tcPr>
          <w:p w14:paraId="605E7C32">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类比法</w:t>
            </w:r>
          </w:p>
        </w:tc>
        <w:tc>
          <w:tcPr>
            <w:tcW w:w="871" w:type="dxa"/>
            <w:tcBorders>
              <w:tl2br w:val="nil"/>
              <w:tr2bl w:val="nil"/>
            </w:tcBorders>
            <w:noWrap w:val="0"/>
            <w:vAlign w:val="center"/>
          </w:tcPr>
          <w:p w14:paraId="3846C83D">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0.4</w:t>
            </w:r>
          </w:p>
        </w:tc>
        <w:tc>
          <w:tcPr>
            <w:tcW w:w="1035" w:type="dxa"/>
            <w:tcBorders>
              <w:tl2br w:val="nil"/>
              <w:tr2bl w:val="nil"/>
            </w:tcBorders>
            <w:noWrap w:val="0"/>
            <w:vAlign w:val="center"/>
          </w:tcPr>
          <w:p w14:paraId="3B35E205">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1.111</w:t>
            </w:r>
          </w:p>
        </w:tc>
        <w:tc>
          <w:tcPr>
            <w:tcW w:w="1165" w:type="dxa"/>
            <w:tcBorders>
              <w:tl2br w:val="nil"/>
              <w:tr2bl w:val="nil"/>
            </w:tcBorders>
            <w:noWrap w:val="0"/>
            <w:vAlign w:val="center"/>
          </w:tcPr>
          <w:p w14:paraId="3EF44A50">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22.22</w:t>
            </w:r>
          </w:p>
        </w:tc>
        <w:tc>
          <w:tcPr>
            <w:tcW w:w="757" w:type="dxa"/>
            <w:vMerge w:val="continue"/>
            <w:tcBorders>
              <w:tl2br w:val="nil"/>
              <w:tr2bl w:val="nil"/>
            </w:tcBorders>
            <w:noWrap w:val="0"/>
            <w:vAlign w:val="center"/>
          </w:tcPr>
          <w:p w14:paraId="56915745">
            <w:pPr>
              <w:pStyle w:val="26"/>
              <w:bidi w:val="0"/>
              <w:jc w:val="center"/>
              <w:rPr>
                <w:rFonts w:hint="eastAsia"/>
                <w:color w:val="000000" w:themeColor="text1"/>
                <w:highlight w:val="none"/>
                <w:lang w:val="en-US" w:eastAsia="zh-CN"/>
                <w14:textFill>
                  <w14:solidFill>
                    <w14:schemeClr w14:val="tx1"/>
                  </w14:solidFill>
                </w14:textFill>
              </w:rPr>
            </w:pPr>
          </w:p>
        </w:tc>
        <w:tc>
          <w:tcPr>
            <w:tcW w:w="828" w:type="dxa"/>
            <w:tcBorders>
              <w:tl2br w:val="nil"/>
              <w:tr2bl w:val="nil"/>
            </w:tcBorders>
            <w:noWrap w:val="0"/>
            <w:vAlign w:val="center"/>
          </w:tcPr>
          <w:p w14:paraId="68EB27F0">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0.01</w:t>
            </w:r>
          </w:p>
        </w:tc>
        <w:tc>
          <w:tcPr>
            <w:tcW w:w="1040" w:type="dxa"/>
            <w:tcBorders>
              <w:tl2br w:val="nil"/>
              <w:tr2bl w:val="nil"/>
            </w:tcBorders>
            <w:noWrap w:val="0"/>
            <w:vAlign w:val="center"/>
          </w:tcPr>
          <w:p w14:paraId="386B15A1">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0.022</w:t>
            </w:r>
          </w:p>
        </w:tc>
        <w:tc>
          <w:tcPr>
            <w:tcW w:w="1060" w:type="dxa"/>
            <w:tcBorders>
              <w:tl2br w:val="nil"/>
              <w:tr2bl w:val="nil"/>
            </w:tcBorders>
            <w:noWrap w:val="0"/>
            <w:vAlign w:val="center"/>
          </w:tcPr>
          <w:p w14:paraId="546ECD14">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0.44</w:t>
            </w:r>
          </w:p>
        </w:tc>
        <w:tc>
          <w:tcPr>
            <w:tcW w:w="790" w:type="dxa"/>
            <w:vMerge w:val="continue"/>
            <w:tcBorders>
              <w:tl2br w:val="nil"/>
              <w:tr2bl w:val="nil"/>
            </w:tcBorders>
            <w:noWrap w:val="0"/>
            <w:vAlign w:val="center"/>
          </w:tcPr>
          <w:p w14:paraId="1243C4DB">
            <w:pPr>
              <w:pStyle w:val="26"/>
              <w:bidi w:val="0"/>
              <w:jc w:val="center"/>
              <w:rPr>
                <w:rFonts w:hint="eastAsia"/>
                <w:color w:val="000000" w:themeColor="text1"/>
                <w:highlight w:val="none"/>
                <w:lang w:val="en-US" w:eastAsia="zh-CN"/>
                <w14:textFill>
                  <w14:solidFill>
                    <w14:schemeClr w14:val="tx1"/>
                  </w14:solidFill>
                </w14:textFill>
              </w:rPr>
            </w:pPr>
          </w:p>
        </w:tc>
      </w:tr>
      <w:tr w14:paraId="3C177E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tcBorders>
              <w:tl2br w:val="nil"/>
              <w:tr2bl w:val="nil"/>
            </w:tcBorders>
            <w:noWrap w:val="0"/>
            <w:vAlign w:val="center"/>
          </w:tcPr>
          <w:p w14:paraId="66EAECD6">
            <w:pPr>
              <w:pStyle w:val="26"/>
              <w:bidi w:val="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速凝剂生产线反应废气</w:t>
            </w:r>
          </w:p>
        </w:tc>
        <w:tc>
          <w:tcPr>
            <w:tcW w:w="437" w:type="dxa"/>
            <w:tcBorders>
              <w:tl2br w:val="nil"/>
              <w:tr2bl w:val="nil"/>
            </w:tcBorders>
            <w:noWrap w:val="0"/>
            <w:vAlign w:val="center"/>
          </w:tcPr>
          <w:p w14:paraId="756794B3">
            <w:pPr>
              <w:pStyle w:val="26"/>
              <w:bidi w:val="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436" w:type="dxa"/>
            <w:tcBorders>
              <w:tl2br w:val="nil"/>
              <w:tr2bl w:val="nil"/>
            </w:tcBorders>
            <w:noWrap w:val="0"/>
            <w:vAlign w:val="center"/>
          </w:tcPr>
          <w:p w14:paraId="118F75E5">
            <w:pPr>
              <w:pStyle w:val="26"/>
              <w:bidi w:val="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公式法</w:t>
            </w:r>
          </w:p>
        </w:tc>
        <w:tc>
          <w:tcPr>
            <w:tcW w:w="871" w:type="dxa"/>
            <w:tcBorders>
              <w:tl2br w:val="nil"/>
              <w:tr2bl w:val="nil"/>
            </w:tcBorders>
            <w:noWrap w:val="0"/>
            <w:vAlign w:val="center"/>
          </w:tcPr>
          <w:p w14:paraId="3C56817D">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0.014</w:t>
            </w:r>
          </w:p>
        </w:tc>
        <w:tc>
          <w:tcPr>
            <w:tcW w:w="1035" w:type="dxa"/>
            <w:tcBorders>
              <w:tl2br w:val="nil"/>
              <w:tr2bl w:val="nil"/>
            </w:tcBorders>
            <w:noWrap w:val="0"/>
            <w:vAlign w:val="center"/>
          </w:tcPr>
          <w:p w14:paraId="71383FE1">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0.026</w:t>
            </w:r>
          </w:p>
        </w:tc>
        <w:tc>
          <w:tcPr>
            <w:tcW w:w="1165" w:type="dxa"/>
            <w:tcBorders>
              <w:tl2br w:val="nil"/>
              <w:tr2bl w:val="nil"/>
            </w:tcBorders>
            <w:noWrap w:val="0"/>
            <w:vAlign w:val="center"/>
          </w:tcPr>
          <w:p w14:paraId="13BE4BE1">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0.52</w:t>
            </w:r>
          </w:p>
        </w:tc>
        <w:tc>
          <w:tcPr>
            <w:tcW w:w="757" w:type="dxa"/>
            <w:vMerge w:val="continue"/>
            <w:tcBorders>
              <w:tl2br w:val="nil"/>
              <w:tr2bl w:val="nil"/>
            </w:tcBorders>
            <w:noWrap w:val="0"/>
            <w:vAlign w:val="center"/>
          </w:tcPr>
          <w:p w14:paraId="2CF7F83A">
            <w:pPr>
              <w:pStyle w:val="26"/>
              <w:bidi w:val="0"/>
              <w:jc w:val="center"/>
              <w:rPr>
                <w:rFonts w:hint="eastAsia"/>
                <w:color w:val="000000" w:themeColor="text1"/>
                <w:highlight w:val="none"/>
                <w:lang w:val="en-US" w:eastAsia="zh-CN"/>
                <w14:textFill>
                  <w14:solidFill>
                    <w14:schemeClr w14:val="tx1"/>
                  </w14:solidFill>
                </w14:textFill>
              </w:rPr>
            </w:pPr>
          </w:p>
        </w:tc>
        <w:tc>
          <w:tcPr>
            <w:tcW w:w="828" w:type="dxa"/>
            <w:tcBorders>
              <w:tl2br w:val="nil"/>
              <w:tr2bl w:val="nil"/>
            </w:tcBorders>
            <w:noWrap w:val="0"/>
            <w:vAlign w:val="center"/>
          </w:tcPr>
          <w:p w14:paraId="1AFC112E">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0.00007</w:t>
            </w:r>
          </w:p>
        </w:tc>
        <w:tc>
          <w:tcPr>
            <w:tcW w:w="1040" w:type="dxa"/>
            <w:tcBorders>
              <w:tl2br w:val="nil"/>
              <w:tr2bl w:val="nil"/>
            </w:tcBorders>
            <w:noWrap w:val="0"/>
            <w:vAlign w:val="center"/>
          </w:tcPr>
          <w:p w14:paraId="5E2E585E">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0.0001</w:t>
            </w:r>
          </w:p>
        </w:tc>
        <w:tc>
          <w:tcPr>
            <w:tcW w:w="1060" w:type="dxa"/>
            <w:tcBorders>
              <w:tl2br w:val="nil"/>
              <w:tr2bl w:val="nil"/>
            </w:tcBorders>
            <w:noWrap w:val="0"/>
            <w:vAlign w:val="center"/>
          </w:tcPr>
          <w:p w14:paraId="12E67EDC">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0.003</w:t>
            </w:r>
          </w:p>
        </w:tc>
        <w:tc>
          <w:tcPr>
            <w:tcW w:w="790" w:type="dxa"/>
            <w:vMerge w:val="continue"/>
            <w:tcBorders>
              <w:tl2br w:val="nil"/>
              <w:tr2bl w:val="nil"/>
            </w:tcBorders>
            <w:noWrap w:val="0"/>
            <w:vAlign w:val="center"/>
          </w:tcPr>
          <w:p w14:paraId="55B21D83">
            <w:pPr>
              <w:pStyle w:val="26"/>
              <w:bidi w:val="0"/>
              <w:jc w:val="center"/>
              <w:rPr>
                <w:rFonts w:hint="eastAsia"/>
                <w:color w:val="000000" w:themeColor="text1"/>
                <w:highlight w:val="none"/>
                <w:lang w:val="en-US" w:eastAsia="zh-CN"/>
                <w14:textFill>
                  <w14:solidFill>
                    <w14:schemeClr w14:val="tx1"/>
                  </w14:solidFill>
                </w14:textFill>
              </w:rPr>
            </w:pPr>
          </w:p>
        </w:tc>
      </w:tr>
    </w:tbl>
    <w:p w14:paraId="390AECE2">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3.7.1.2无组织废气</w:t>
      </w:r>
    </w:p>
    <w:p w14:paraId="3D99340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项目无组织废气为未被收集的投料粉尘、硫酸罐废气及交通运输废气。</w:t>
      </w:r>
    </w:p>
    <w:p w14:paraId="7588CE63">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（1）未被收集的投料废气</w:t>
      </w:r>
    </w:p>
    <w:p w14:paraId="01CEEB48">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项目减水剂生产线</w:t>
      </w:r>
      <w:r>
        <w:rPr>
          <w:rFonts w:hint="default"/>
          <w:color w:val="000000" w:themeColor="text1"/>
          <w:highlight w:val="none"/>
          <w:lang w:val="en-US" w:eastAsia="zh-CN"/>
          <w14:textFill>
            <w14:solidFill>
              <w14:schemeClr w14:val="tx1"/>
            </w14:solidFill>
          </w14:textFill>
        </w:rPr>
        <w:t>投料废气</w:t>
      </w:r>
      <w:r>
        <w:rPr>
          <w:rFonts w:hint="eastAsia"/>
          <w:color w:val="000000" w:themeColor="text1"/>
          <w:highlight w:val="none"/>
          <w:lang w:val="en-US" w:eastAsia="zh-CN"/>
          <w14:textFill>
            <w14:solidFill>
              <w14:schemeClr w14:val="tx1"/>
            </w14:solidFill>
          </w14:textFill>
        </w:rPr>
        <w:t>，硫酸铝生产线、速凝剂生产线</w:t>
      </w:r>
      <w:r>
        <w:rPr>
          <w:rFonts w:hint="default"/>
          <w:color w:val="000000" w:themeColor="text1"/>
          <w:highlight w:val="none"/>
          <w:lang w:val="en-US" w:eastAsia="zh-CN"/>
          <w14:textFill>
            <w14:solidFill>
              <w14:schemeClr w14:val="tx1"/>
            </w14:solidFill>
          </w14:textFill>
        </w:rPr>
        <w:t>投料废气</w:t>
      </w:r>
      <w:r>
        <w:rPr>
          <w:rFonts w:hint="eastAsia"/>
          <w:color w:val="000000" w:themeColor="text1"/>
          <w:highlight w:val="none"/>
          <w:lang w:val="en-US" w:eastAsia="zh-CN"/>
          <w14:textFill>
            <w14:solidFill>
              <w14:schemeClr w14:val="tx1"/>
            </w14:solidFill>
          </w14:textFill>
        </w:rPr>
        <w:t>均采用集气罩收集，收集效率为80%，则无组织产生量为1.06t/a，由于项目位于密闭车间进行生产，且投料工序产生的粉尘粒径较大，容易沉降，沉降率按80%计，则无组织颗粒物排放量为0.21t/a，排放速率为0.05kg/h。</w:t>
      </w:r>
    </w:p>
    <w:p w14:paraId="28A4C7D3">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（2）硫酸罐废气</w:t>
      </w:r>
    </w:p>
    <w:p w14:paraId="6C39353D">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项目设置2座30m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的硫酸储罐，储存过程中会有硫酸雾产生，</w:t>
      </w:r>
      <w:r>
        <w:rPr>
          <w:color w:val="000000" w:themeColor="text1"/>
          <w:highlight w:val="none"/>
          <w14:textFill>
            <w14:solidFill>
              <w14:schemeClr w14:val="tx1"/>
            </w14:solidFill>
          </w14:textFill>
        </w:rPr>
        <w:t>本项目储罐呼吸主要来自浓硫酸储罐，储存为常压储存，挥发量较小。储罐为固定顶罐，环境温度和大气压力变化，物料装卸过程等均会产生一定量储罐呼吸气，主要包括大呼吸和小呼吸。大呼吸是指物料装卸工作时的工作损失；小呼吸是指储罐在没有装卸物料作业的情况下，随着外界气温、压力在一天内的升降周期 变化，罐内气体空间温度、物料蒸发速度、蒸汽浓度和压力也随之变化的损失。</w:t>
      </w:r>
    </w:p>
    <w:p w14:paraId="6AE7AAFF">
      <w:pPr>
        <w:bidi w:val="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①</w:t>
      </w:r>
      <w:r>
        <w:rPr>
          <w:color w:val="000000" w:themeColor="text1"/>
          <w:highlight w:val="none"/>
          <w14:textFill>
            <w14:solidFill>
              <w14:schemeClr w14:val="tx1"/>
            </w14:solidFill>
          </w14:textFill>
        </w:rPr>
        <w:t>硫酸储罐</w:t>
      </w:r>
      <w:r>
        <w:rPr>
          <w:rFonts w:hint="eastAsia"/>
          <w:color w:val="000000" w:themeColor="text1"/>
          <w:highlight w:val="none"/>
          <w:lang w:val="en-US" w:eastAsia="zh-CN"/>
          <w14:textFill>
            <w14:solidFill>
              <w14:schemeClr w14:val="tx1"/>
            </w14:solidFill>
          </w14:textFill>
        </w:rPr>
        <w:t>大</w:t>
      </w:r>
      <w:r>
        <w:rPr>
          <w:color w:val="000000" w:themeColor="text1"/>
          <w:highlight w:val="none"/>
          <w14:textFill>
            <w14:solidFill>
              <w14:schemeClr w14:val="tx1"/>
            </w14:solidFill>
          </w14:textFill>
        </w:rPr>
        <w:t>呼吸</w:t>
      </w:r>
      <w:r>
        <w:rPr>
          <w:rFonts w:hint="eastAsia"/>
          <w:color w:val="000000" w:themeColor="text1"/>
          <w:highlight w:val="none"/>
          <w:lang w:val="en-US" w:eastAsia="zh-CN"/>
          <w14:textFill>
            <w14:solidFill>
              <w14:schemeClr w14:val="tx1"/>
            </w14:solidFill>
          </w14:textFill>
        </w:rPr>
        <w:t>废气</w:t>
      </w:r>
    </w:p>
    <w:p w14:paraId="2F76E8F0">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大</w:t>
      </w:r>
      <w:r>
        <w:rPr>
          <w:color w:val="000000" w:themeColor="text1"/>
          <w:highlight w:val="none"/>
          <w14:textFill>
            <w14:solidFill>
              <w14:schemeClr w14:val="tx1"/>
            </w14:solidFill>
          </w14:textFill>
        </w:rPr>
        <w:t>呼吸损失的影响因素主要为：①物料性质，密度越小，轻质馏分越多，损耗越大。②收发速度，进料、出料速度越快，损耗越大。③储罐耐压等级，储罐耐压性能越好，呼吸损耗越小。当储罐耐压达到5kPa时，则降耗率为25.1%，若耐压提高到26kPa时，则可基本上消除小呼吸损失，并在一定程度上降低呼吸损失。④与储罐所处的地理位置、大气温度、风向、风力及管理水平有关。本项目采用《工业污染源调查与研究 第二辑–空气污染物排放和控制手册》 （美国环境保护局）中固定顶罐的工作损失可用下式估算其污染物的排放量</w:t>
      </w:r>
    </w:p>
    <w:p w14:paraId="76CD8F6E">
      <w:pPr>
        <w:bidi w:val="0"/>
        <w:jc w:val="center"/>
        <w:rPr>
          <w:rFonts w:hint="eastAsia" w:eastAsia="宋体"/>
          <w:color w:val="000000" w:themeColor="text1"/>
          <w:highlight w:val="none"/>
          <w:lang w:eastAsia="zh-CN"/>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drawing>
          <wp:inline distT="0" distB="0" distL="114300" distR="114300">
            <wp:extent cx="2305050" cy="292100"/>
            <wp:effectExtent l="0" t="0" r="6350" b="0"/>
            <wp:docPr id="4" name="图片 44" descr="微信截图_2026042713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4" descr="微信截图_20260427130105"/>
                    <pic:cNvPicPr>
                      <a:picLocks noChangeAspect="1"/>
                    </pic:cNvPicPr>
                  </pic:nvPicPr>
                  <pic:blipFill>
                    <a:blip r:embed="rId18"/>
                    <a:stretch>
                      <a:fillRect/>
                    </a:stretch>
                  </pic:blipFill>
                  <pic:spPr>
                    <a:xfrm>
                      <a:off x="0" y="0"/>
                      <a:ext cx="2305050" cy="292100"/>
                    </a:xfrm>
                    <a:prstGeom prst="rect">
                      <a:avLst/>
                    </a:prstGeom>
                    <a:noFill/>
                    <a:ln>
                      <a:noFill/>
                    </a:ln>
                  </pic:spPr>
                </pic:pic>
              </a:graphicData>
            </a:graphic>
          </wp:inline>
        </w:drawing>
      </w:r>
    </w:p>
    <w:p w14:paraId="56E894BA">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式中：L</w:t>
      </w:r>
      <w:r>
        <w:rPr>
          <w:color w:val="000000" w:themeColor="text1"/>
          <w:highlight w:val="none"/>
          <w:vertAlign w:val="subscript"/>
          <w14:textFill>
            <w14:solidFill>
              <w14:schemeClr w14:val="tx1"/>
            </w14:solidFill>
          </w14:textFill>
        </w:rPr>
        <w:t>W</w:t>
      </w:r>
      <w:r>
        <w:rPr>
          <w:color w:val="000000" w:themeColor="text1"/>
          <w:highlight w:val="none"/>
          <w14:textFill>
            <w14:solidFill>
              <w14:schemeClr w14:val="tx1"/>
            </w14:solidFill>
          </w14:textFill>
        </w:rPr>
        <w:t>—固定罐的工作损失（kg/m</w:t>
      </w:r>
      <w:r>
        <w:rPr>
          <w:color w:val="000000" w:themeColor="text1"/>
          <w:highlight w:val="none"/>
          <w:vertAlign w:val="superscript"/>
          <w14:textFill>
            <w14:solidFill>
              <w14:schemeClr w14:val="tx1"/>
            </w14:solidFill>
          </w14:textFill>
        </w:rPr>
        <w:t>3</w:t>
      </w:r>
      <w:r>
        <w:rPr>
          <w:color w:val="000000" w:themeColor="text1"/>
          <w:highlight w:val="none"/>
          <w14:textFill>
            <w14:solidFill>
              <w14:schemeClr w14:val="tx1"/>
            </w14:solidFill>
          </w14:textFill>
        </w:rPr>
        <w:t>投加量）；</w:t>
      </w:r>
    </w:p>
    <w:p w14:paraId="3D3D2FDA">
      <w:pPr>
        <w:bidi w:val="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K</w:t>
      </w:r>
      <w:r>
        <w:rPr>
          <w:color w:val="000000" w:themeColor="text1"/>
          <w:highlight w:val="none"/>
          <w:vertAlign w:val="subscript"/>
          <w14:textFill>
            <w14:solidFill>
              <w14:schemeClr w14:val="tx1"/>
            </w14:solidFill>
          </w14:textFill>
        </w:rPr>
        <w:t>N</w:t>
      </w:r>
      <w:r>
        <w:rPr>
          <w:color w:val="000000" w:themeColor="text1"/>
          <w:highlight w:val="none"/>
          <w14:textFill>
            <w14:solidFill>
              <w14:schemeClr w14:val="tx1"/>
            </w14:solidFill>
          </w14:textFill>
        </w:rPr>
        <w:t>—周转因子（无量纲），取值按年周转次数（K）确定。（K≦36，KN=1；36&lt;K≦220，KN=11.467×K</w:t>
      </w:r>
      <w:r>
        <w:rPr>
          <w:color w:val="000000" w:themeColor="text1"/>
          <w:highlight w:val="none"/>
          <w:vertAlign w:val="superscript"/>
          <w14:textFill>
            <w14:solidFill>
              <w14:schemeClr w14:val="tx1"/>
            </w14:solidFill>
          </w14:textFill>
        </w:rPr>
        <w:t>-0.7026</w:t>
      </w:r>
      <w:r>
        <w:rPr>
          <w:color w:val="000000" w:themeColor="text1"/>
          <w:highlight w:val="none"/>
          <w14:textFill>
            <w14:solidFill>
              <w14:schemeClr w14:val="tx1"/>
            </w14:solidFill>
          </w14:textFill>
        </w:rPr>
        <w:t>；K&gt;220，KN=0.26），</w:t>
      </w:r>
      <w:r>
        <w:rPr>
          <w:rFonts w:hint="eastAsia"/>
          <w:color w:val="000000" w:themeColor="text1"/>
          <w:highlight w:val="none"/>
          <w:lang w:val="en-US" w:eastAsia="zh-CN"/>
          <w14:textFill>
            <w14:solidFill>
              <w14:schemeClr w14:val="tx1"/>
            </w14:solidFill>
          </w14:textFill>
        </w:rPr>
        <w:t>本项目年周转36次，</w:t>
      </w:r>
      <w:r>
        <w:rPr>
          <w:color w:val="000000" w:themeColor="text1"/>
          <w:highlight w:val="none"/>
          <w14:textFill>
            <w14:solidFill>
              <w14:schemeClr w14:val="tx1"/>
            </w14:solidFill>
          </w14:textFill>
        </w:rPr>
        <w:t>KN=</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w:t>
      </w:r>
    </w:p>
    <w:p w14:paraId="385815D6">
      <w:pPr>
        <w:bidi w:val="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M—储罐内蒸汽的分子量，98g/mol；</w:t>
      </w:r>
    </w:p>
    <w:p w14:paraId="2D43AB18">
      <w:pPr>
        <w:bidi w:val="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P—在大量液体状态下，真实的蒸汽压力（Pa），根据《硫酸工艺设计手册物 化数据篇》，98%硫酸蒸汽分压为3.3×10</w:t>
      </w:r>
      <w:r>
        <w:rPr>
          <w:color w:val="000000" w:themeColor="text1"/>
          <w:highlight w:val="none"/>
          <w:vertAlign w:val="superscript"/>
          <w14:textFill>
            <w14:solidFill>
              <w14:schemeClr w14:val="tx1"/>
            </w14:solidFill>
          </w14:textFill>
        </w:rPr>
        <w:t>-5</w:t>
      </w:r>
      <w:r>
        <w:rPr>
          <w:color w:val="000000" w:themeColor="text1"/>
          <w:highlight w:val="none"/>
          <w14:textFill>
            <w14:solidFill>
              <w14:schemeClr w14:val="tx1"/>
            </w14:solidFill>
          </w14:textFill>
        </w:rPr>
        <w:t>kPa（0.033Pa）（25℃）；</w:t>
      </w:r>
    </w:p>
    <w:p w14:paraId="54253A33">
      <w:pPr>
        <w:bidi w:val="0"/>
        <w:ind w:firstLine="1200" w:firstLineChars="50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Kc—产品因子（石油原油Kc取0.65，其他的液体取1.0）。</w:t>
      </w:r>
    </w:p>
    <w:p w14:paraId="6FA630C7">
      <w:pPr>
        <w:bidi w:val="0"/>
        <w:rPr>
          <w:rFonts w:hint="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根据上式计算</w:t>
      </w:r>
      <w:r>
        <w:rPr>
          <w:rFonts w:ascii="宋体" w:hAnsi="宋体" w:eastAsia="宋体" w:cs="宋体"/>
          <w:color w:val="000000" w:themeColor="text1"/>
          <w:sz w:val="24"/>
          <w:szCs w:val="24"/>
          <w:highlight w:val="none"/>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硫酸储罐大呼吸酸雾产生量为Lw=</w:t>
      </w:r>
      <w:r>
        <w:rPr>
          <w:rFonts w:hint="eastAsia" w:cs="Times New Roman"/>
          <w:color w:val="000000" w:themeColor="text1"/>
          <w:highlight w:val="none"/>
          <w:lang w:val="en-US" w:eastAsia="zh-CN"/>
          <w14:textFill>
            <w14:solidFill>
              <w14:schemeClr w14:val="tx1"/>
            </w14:solidFill>
          </w14:textFill>
        </w:rPr>
        <w:t>1.35</w:t>
      </w:r>
      <w:r>
        <w:rPr>
          <w:rFonts w:hint="eastAsia" w:ascii="Times New Roman" w:hAnsi="Times New Roman" w:eastAsia="宋体" w:cs="Times New Roman"/>
          <w:color w:val="000000" w:themeColor="text1"/>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highlight w:val="none"/>
          <w:vertAlign w:val="superscript"/>
          <w:lang w:val="en-US" w:eastAsia="zh-CN"/>
          <w14:textFill>
            <w14:solidFill>
              <w14:schemeClr w14:val="tx1"/>
            </w14:solidFill>
          </w14:textFill>
        </w:rPr>
        <w:t>-</w:t>
      </w:r>
      <w:r>
        <w:rPr>
          <w:rFonts w:hint="eastAsia" w:cs="Times New Roman"/>
          <w:color w:val="000000" w:themeColor="text1"/>
          <w:highlight w:val="none"/>
          <w:vertAlign w:val="superscript"/>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kg/m</w:t>
      </w:r>
      <w:r>
        <w:rPr>
          <w:rFonts w:hint="eastAsia" w:ascii="Times New Roman" w:hAnsi="Times New Roman" w:eastAsia="宋体" w:cs="Times New Roman"/>
          <w:color w:val="000000" w:themeColor="text1"/>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项目年消耗硫酸量为4000t/a（2174m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，则项目硫酸储罐大呼吸酸雾产生量约为0.0</w:t>
      </w:r>
      <w:r>
        <w:rPr>
          <w:rFonts w:hint="eastAsia"/>
          <w:color w:val="000000" w:themeColor="text1"/>
          <w:highlight w:val="none"/>
          <w:lang w:val="en-US" w:eastAsia="zh-CN"/>
          <w14:textFill>
            <w14:solidFill>
              <w14:schemeClr w14:val="tx1"/>
            </w14:solidFill>
          </w14:textFill>
        </w:rPr>
        <w:t>03kg</w:t>
      </w:r>
      <w:r>
        <w:rPr>
          <w:color w:val="000000" w:themeColor="text1"/>
          <w:highlight w:val="none"/>
          <w14:textFill>
            <w14:solidFill>
              <w14:schemeClr w14:val="tx1"/>
            </w14:solidFill>
          </w14:textFill>
        </w:rPr>
        <w:t>/a</w:t>
      </w:r>
      <w:r>
        <w:rPr>
          <w:rFonts w:hint="eastAsia"/>
          <w:color w:val="000000" w:themeColor="text1"/>
          <w:highlight w:val="none"/>
          <w:lang w:eastAsia="zh-CN"/>
          <w14:textFill>
            <w14:solidFill>
              <w14:schemeClr w14:val="tx1"/>
            </w14:solidFill>
          </w14:textFill>
        </w:rPr>
        <w:t>。</w:t>
      </w:r>
    </w:p>
    <w:p w14:paraId="41EC8B2F">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②</w:t>
      </w:r>
      <w:r>
        <w:rPr>
          <w:color w:val="000000" w:themeColor="text1"/>
          <w:highlight w:val="none"/>
          <w14:textFill>
            <w14:solidFill>
              <w14:schemeClr w14:val="tx1"/>
            </w14:solidFill>
          </w14:textFill>
        </w:rPr>
        <w:t>硫酸储罐</w:t>
      </w:r>
      <w:r>
        <w:rPr>
          <w:rFonts w:hint="eastAsia"/>
          <w:color w:val="000000" w:themeColor="text1"/>
          <w:highlight w:val="none"/>
          <w:lang w:val="en-US" w:eastAsia="zh-CN"/>
          <w14:textFill>
            <w14:solidFill>
              <w14:schemeClr w14:val="tx1"/>
            </w14:solidFill>
          </w14:textFill>
        </w:rPr>
        <w:t>小</w:t>
      </w:r>
      <w:r>
        <w:rPr>
          <w:color w:val="000000" w:themeColor="text1"/>
          <w:highlight w:val="none"/>
          <w14:textFill>
            <w14:solidFill>
              <w14:schemeClr w14:val="tx1"/>
            </w14:solidFill>
          </w14:textFill>
        </w:rPr>
        <w:t>呼吸</w:t>
      </w:r>
      <w:r>
        <w:rPr>
          <w:rFonts w:hint="eastAsia"/>
          <w:color w:val="000000" w:themeColor="text1"/>
          <w:highlight w:val="none"/>
          <w:lang w:val="en-US" w:eastAsia="zh-CN"/>
          <w14:textFill>
            <w14:solidFill>
              <w14:schemeClr w14:val="tx1"/>
            </w14:solidFill>
          </w14:textFill>
        </w:rPr>
        <w:t>废气</w:t>
      </w:r>
    </w:p>
    <w:p w14:paraId="1AABE4A2">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本项目采用《工业污染源调查与研究 第二辑—空气污染物排放和控制手册》（美国环境保护局）中储罐呼吸公式计算储罐呼吸量，固定顶罐的呼吸排放可用下式估算其污染物的排放量： </w:t>
      </w:r>
    </w:p>
    <w:p w14:paraId="394DB8AF">
      <w:pPr>
        <w:bidi w:val="0"/>
        <w:ind w:firstLine="960" w:firstLineChars="400"/>
        <w:rPr>
          <w:rFonts w:hint="eastAsia" w:eastAsia="宋体"/>
          <w:color w:val="000000" w:themeColor="text1"/>
          <w:highlight w:val="none"/>
          <w:lang w:eastAsia="zh-CN"/>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drawing>
          <wp:inline distT="0" distB="0" distL="114300" distR="114300">
            <wp:extent cx="4743450" cy="292100"/>
            <wp:effectExtent l="0" t="0" r="6350" b="0"/>
            <wp:docPr id="7" name="图片 45" descr="微信截图_20260427133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5" descr="微信截图_20260427133141"/>
                    <pic:cNvPicPr>
                      <a:picLocks noChangeAspect="1"/>
                    </pic:cNvPicPr>
                  </pic:nvPicPr>
                  <pic:blipFill>
                    <a:blip r:embed="rId19"/>
                    <a:stretch>
                      <a:fillRect/>
                    </a:stretch>
                  </pic:blipFill>
                  <pic:spPr>
                    <a:xfrm>
                      <a:off x="0" y="0"/>
                      <a:ext cx="4743450" cy="292100"/>
                    </a:xfrm>
                    <a:prstGeom prst="rect">
                      <a:avLst/>
                    </a:prstGeom>
                    <a:noFill/>
                    <a:ln>
                      <a:noFill/>
                    </a:ln>
                  </pic:spPr>
                </pic:pic>
              </a:graphicData>
            </a:graphic>
          </wp:inline>
        </w:drawing>
      </w:r>
    </w:p>
    <w:p w14:paraId="74546855">
      <w:pPr>
        <w:bidi w:val="0"/>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式中：LB—固定顶罐的呼吸排放量（kg/a）；</w:t>
      </w:r>
    </w:p>
    <w:p w14:paraId="04B88045">
      <w:pPr>
        <w:bidi w:val="0"/>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M—储罐内蒸汽的分子量，98g/mol；</w:t>
      </w:r>
    </w:p>
    <w:p w14:paraId="3981E044">
      <w:pPr>
        <w:bidi w:val="0"/>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P—在大量液体状态下，真实的蒸汽压力（Pa），根据《硫酸工艺设计手册物 化数据篇》，98%硫酸蒸汽分压为3.3×10</w:t>
      </w:r>
      <w:r>
        <w:rPr>
          <w:color w:val="000000" w:themeColor="text1"/>
          <w:highlight w:val="none"/>
          <w:vertAlign w:val="superscript"/>
          <w14:textFill>
            <w14:solidFill>
              <w14:schemeClr w14:val="tx1"/>
            </w14:solidFill>
          </w14:textFill>
        </w:rPr>
        <w:t>-5</w:t>
      </w:r>
      <w:r>
        <w:rPr>
          <w:color w:val="000000" w:themeColor="text1"/>
          <w:highlight w:val="none"/>
          <w14:textFill>
            <w14:solidFill>
              <w14:schemeClr w14:val="tx1"/>
            </w14:solidFill>
          </w14:textFill>
        </w:rPr>
        <w:t>kPa（0.033Pa）（25℃）；</w:t>
      </w:r>
    </w:p>
    <w:p w14:paraId="3E05E487">
      <w:pPr>
        <w:bidi w:val="0"/>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D—罐的直径（m），</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m；</w:t>
      </w:r>
    </w:p>
    <w:p w14:paraId="414CE52A">
      <w:pPr>
        <w:bidi w:val="0"/>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H—平均蒸汽空间高度（m），浓硫酸储罐取2.8m（项目储罐的充装系数取0.8）；</w:t>
      </w:r>
    </w:p>
    <w:p w14:paraId="0CE56330">
      <w:pPr>
        <w:bidi w:val="0"/>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ΔT—一天之内的平均温度差（℃），</w:t>
      </w:r>
      <w:r>
        <w:rPr>
          <w:rFonts w:hint="eastAsia"/>
          <w:color w:val="000000" w:themeColor="text1"/>
          <w:highlight w:val="none"/>
          <w:lang w:val="en-US" w:eastAsia="zh-CN"/>
          <w14:textFill>
            <w14:solidFill>
              <w14:schemeClr w14:val="tx1"/>
            </w14:solidFill>
          </w14:textFill>
        </w:rPr>
        <w:t>15</w:t>
      </w:r>
      <w:r>
        <w:rPr>
          <w:color w:val="000000" w:themeColor="text1"/>
          <w:highlight w:val="none"/>
          <w14:textFill>
            <w14:solidFill>
              <w14:schemeClr w14:val="tx1"/>
            </w14:solidFill>
          </w14:textFill>
        </w:rPr>
        <w:t>℃；</w:t>
      </w:r>
    </w:p>
    <w:p w14:paraId="327478F8">
      <w:pPr>
        <w:bidi w:val="0"/>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F</w:t>
      </w:r>
      <w:r>
        <w:rPr>
          <w:color w:val="000000" w:themeColor="text1"/>
          <w:highlight w:val="none"/>
          <w:vertAlign w:val="subscript"/>
          <w14:textFill>
            <w14:solidFill>
              <w14:schemeClr w14:val="tx1"/>
            </w14:solidFill>
          </w14:textFill>
        </w:rPr>
        <w:t>P</w:t>
      </w:r>
      <w:r>
        <w:rPr>
          <w:color w:val="000000" w:themeColor="text1"/>
          <w:highlight w:val="none"/>
          <w14:textFill>
            <w14:solidFill>
              <w14:schemeClr w14:val="tx1"/>
            </w14:solidFill>
          </w14:textFill>
        </w:rPr>
        <w:t>—涂层因子（无量纲），根据油漆状况取值在1～1.5之间，本次取1.3。</w:t>
      </w:r>
    </w:p>
    <w:p w14:paraId="4B79A153">
      <w:pPr>
        <w:bidi w:val="0"/>
        <w:ind w:firstLine="960" w:firstLineChars="40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C—用于小直径罐的调节因子（无量纲）；直径在0～9m之间的罐体，C=1-0.0123（D-9）2；罐径大于9的C=1；</w:t>
      </w:r>
    </w:p>
    <w:p w14:paraId="5E3B196D">
      <w:pPr>
        <w:bidi w:val="0"/>
        <w:ind w:firstLine="960" w:firstLineChars="40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KC—产品因子（石油原油Kc取0.65，其他的液体取1.0）。</w:t>
      </w:r>
    </w:p>
    <w:p w14:paraId="20D86AC5">
      <w:pPr>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经计算，硫酸储罐小呼吸酸雾产生量为LB=</w:t>
      </w:r>
      <w:r>
        <w:rPr>
          <w:rFonts w:hint="eastAsia"/>
          <w:color w:val="000000" w:themeColor="text1"/>
          <w:highlight w:val="none"/>
          <w:lang w:val="en-US" w:eastAsia="zh-CN"/>
          <w14:textFill>
            <w14:solidFill>
              <w14:schemeClr w14:val="tx1"/>
            </w14:solidFill>
          </w14:textFill>
        </w:rPr>
        <w:t>0.04kg</w:t>
      </w:r>
      <w:r>
        <w:rPr>
          <w:color w:val="000000" w:themeColor="text1"/>
          <w:highlight w:val="none"/>
          <w14:textFill>
            <w14:solidFill>
              <w14:schemeClr w14:val="tx1"/>
            </w14:solidFill>
          </w14:textFill>
        </w:rPr>
        <w:t>/a</w:t>
      </w:r>
      <w:r>
        <w:rPr>
          <w:rFonts w:hint="eastAsia"/>
          <w:color w:val="000000" w:themeColor="text1"/>
          <w:highlight w:val="none"/>
          <w:lang w:eastAsia="zh-CN"/>
          <w14:textFill>
            <w14:solidFill>
              <w14:schemeClr w14:val="tx1"/>
            </w14:solidFill>
          </w14:textFill>
        </w:rPr>
        <w:t>。</w:t>
      </w:r>
    </w:p>
    <w:p w14:paraId="6D559337">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则项目</w:t>
      </w:r>
      <w:r>
        <w:rPr>
          <w:color w:val="000000" w:themeColor="text1"/>
          <w:highlight w:val="none"/>
          <w14:textFill>
            <w14:solidFill>
              <w14:schemeClr w14:val="tx1"/>
            </w14:solidFill>
          </w14:textFill>
        </w:rPr>
        <w:t>硫酸储罐</w:t>
      </w:r>
      <w:r>
        <w:rPr>
          <w:rFonts w:hint="eastAsia"/>
          <w:color w:val="000000" w:themeColor="text1"/>
          <w:highlight w:val="none"/>
          <w:lang w:val="en-US" w:eastAsia="zh-CN"/>
          <w14:textFill>
            <w14:solidFill>
              <w14:schemeClr w14:val="tx1"/>
            </w14:solidFill>
          </w14:textFill>
        </w:rPr>
        <w:t>产生的硫酸雾为0.043kg/a，通过呼吸口无组织排放。</w:t>
      </w:r>
    </w:p>
    <w:p w14:paraId="3212590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本项目无组织废气产生及排放情况见表3.7.1-2。</w:t>
      </w:r>
    </w:p>
    <w:p w14:paraId="71B6348B">
      <w:pPr>
        <w:pStyle w:val="2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表3.7.1-2     项目无组织废气产排情况</w:t>
      </w:r>
    </w:p>
    <w:tbl>
      <w:tblPr>
        <w:tblStyle w:val="21"/>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85"/>
        <w:gridCol w:w="1235"/>
        <w:gridCol w:w="981"/>
        <w:gridCol w:w="1206"/>
        <w:gridCol w:w="1035"/>
        <w:gridCol w:w="1330"/>
        <w:gridCol w:w="1052"/>
        <w:gridCol w:w="1247"/>
      </w:tblGrid>
      <w:tr w14:paraId="61D2D9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7" w:type="pct"/>
            <w:vMerge w:val="restart"/>
            <w:noWrap w:val="0"/>
            <w:vAlign w:val="center"/>
          </w:tcPr>
          <w:p w14:paraId="753940CC">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车间/位置</w:t>
            </w:r>
          </w:p>
        </w:tc>
        <w:tc>
          <w:tcPr>
            <w:tcW w:w="685" w:type="pct"/>
            <w:vMerge w:val="restart"/>
            <w:noWrap w:val="0"/>
            <w:vAlign w:val="center"/>
          </w:tcPr>
          <w:p w14:paraId="0C923566">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排放工序</w:t>
            </w:r>
          </w:p>
        </w:tc>
        <w:tc>
          <w:tcPr>
            <w:tcW w:w="545" w:type="pct"/>
            <w:vMerge w:val="restart"/>
            <w:noWrap w:val="0"/>
            <w:vAlign w:val="center"/>
          </w:tcPr>
          <w:p w14:paraId="323129E6">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污染物</w:t>
            </w:r>
          </w:p>
        </w:tc>
        <w:tc>
          <w:tcPr>
            <w:tcW w:w="1240" w:type="pct"/>
            <w:gridSpan w:val="2"/>
            <w:noWrap w:val="0"/>
            <w:vAlign w:val="center"/>
          </w:tcPr>
          <w:p w14:paraId="4D56BA2B">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产生情况</w:t>
            </w:r>
          </w:p>
        </w:tc>
        <w:tc>
          <w:tcPr>
            <w:tcW w:w="741" w:type="pct"/>
            <w:vMerge w:val="restart"/>
            <w:noWrap w:val="0"/>
            <w:vAlign w:val="center"/>
          </w:tcPr>
          <w:p w14:paraId="482A877B">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处理措施</w:t>
            </w:r>
          </w:p>
        </w:tc>
        <w:tc>
          <w:tcPr>
            <w:tcW w:w="1240" w:type="pct"/>
            <w:gridSpan w:val="2"/>
            <w:noWrap w:val="0"/>
            <w:vAlign w:val="center"/>
          </w:tcPr>
          <w:p w14:paraId="75492A37">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排放情况</w:t>
            </w:r>
          </w:p>
        </w:tc>
      </w:tr>
      <w:tr w14:paraId="24D981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7" w:type="pct"/>
            <w:vMerge w:val="continue"/>
            <w:tcBorders>
              <w:bottom w:val="single" w:color="auto" w:sz="12" w:space="0"/>
            </w:tcBorders>
            <w:noWrap w:val="0"/>
            <w:vAlign w:val="center"/>
          </w:tcPr>
          <w:p w14:paraId="23907B15">
            <w:pPr>
              <w:pStyle w:val="26"/>
              <w:bidi w:val="0"/>
              <w:jc w:val="center"/>
              <w:rPr>
                <w:b/>
                <w:bCs/>
                <w:color w:val="000000" w:themeColor="text1"/>
                <w:highlight w:val="none"/>
                <w14:textFill>
                  <w14:solidFill>
                    <w14:schemeClr w14:val="tx1"/>
                  </w14:solidFill>
                </w14:textFill>
              </w:rPr>
            </w:pPr>
          </w:p>
        </w:tc>
        <w:tc>
          <w:tcPr>
            <w:tcW w:w="685" w:type="pct"/>
            <w:vMerge w:val="continue"/>
            <w:tcBorders>
              <w:bottom w:val="single" w:color="auto" w:sz="12" w:space="0"/>
            </w:tcBorders>
            <w:noWrap w:val="0"/>
            <w:vAlign w:val="center"/>
          </w:tcPr>
          <w:p w14:paraId="45C83530">
            <w:pPr>
              <w:pStyle w:val="26"/>
              <w:bidi w:val="0"/>
              <w:jc w:val="center"/>
              <w:rPr>
                <w:rFonts w:hint="eastAsia"/>
                <w:b/>
                <w:bCs/>
                <w:color w:val="000000" w:themeColor="text1"/>
                <w:highlight w:val="none"/>
                <w:lang w:val="en-US" w:eastAsia="zh-CN"/>
                <w14:textFill>
                  <w14:solidFill>
                    <w14:schemeClr w14:val="tx1"/>
                  </w14:solidFill>
                </w14:textFill>
              </w:rPr>
            </w:pPr>
          </w:p>
        </w:tc>
        <w:tc>
          <w:tcPr>
            <w:tcW w:w="545" w:type="pct"/>
            <w:vMerge w:val="continue"/>
            <w:tcBorders>
              <w:bottom w:val="single" w:color="auto" w:sz="12" w:space="0"/>
            </w:tcBorders>
            <w:noWrap w:val="0"/>
            <w:vAlign w:val="center"/>
          </w:tcPr>
          <w:p w14:paraId="0B8CF50D">
            <w:pPr>
              <w:pStyle w:val="26"/>
              <w:bidi w:val="0"/>
              <w:jc w:val="center"/>
              <w:rPr>
                <w:rFonts w:hint="eastAsia"/>
                <w:b/>
                <w:bCs/>
                <w:color w:val="000000" w:themeColor="text1"/>
                <w:highlight w:val="none"/>
                <w:lang w:val="en-US" w:eastAsia="zh-CN"/>
                <w14:textFill>
                  <w14:solidFill>
                    <w14:schemeClr w14:val="tx1"/>
                  </w14:solidFill>
                </w14:textFill>
              </w:rPr>
            </w:pPr>
          </w:p>
        </w:tc>
        <w:tc>
          <w:tcPr>
            <w:tcW w:w="669" w:type="pct"/>
            <w:tcBorders>
              <w:bottom w:val="single" w:color="auto" w:sz="12" w:space="0"/>
            </w:tcBorders>
            <w:noWrap w:val="0"/>
            <w:vAlign w:val="center"/>
          </w:tcPr>
          <w:p w14:paraId="7DFF11C9">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产生量（t/a）</w:t>
            </w:r>
          </w:p>
        </w:tc>
        <w:tc>
          <w:tcPr>
            <w:tcW w:w="571" w:type="pct"/>
            <w:tcBorders>
              <w:bottom w:val="single" w:color="auto" w:sz="12" w:space="0"/>
            </w:tcBorders>
            <w:noWrap w:val="0"/>
            <w:vAlign w:val="center"/>
          </w:tcPr>
          <w:p w14:paraId="0D6C1B84">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产生速率（kg/h）</w:t>
            </w:r>
          </w:p>
        </w:tc>
        <w:tc>
          <w:tcPr>
            <w:tcW w:w="741" w:type="pct"/>
            <w:vMerge w:val="continue"/>
            <w:tcBorders>
              <w:bottom w:val="single" w:color="auto" w:sz="12" w:space="0"/>
            </w:tcBorders>
            <w:noWrap w:val="0"/>
            <w:vAlign w:val="center"/>
          </w:tcPr>
          <w:p w14:paraId="7201ADE4">
            <w:pPr>
              <w:pStyle w:val="26"/>
              <w:bidi w:val="0"/>
              <w:jc w:val="center"/>
              <w:rPr>
                <w:rFonts w:hint="eastAsia"/>
                <w:b/>
                <w:bCs/>
                <w:color w:val="000000" w:themeColor="text1"/>
                <w:highlight w:val="none"/>
                <w:lang w:val="en-US" w:eastAsia="zh-CN"/>
                <w14:textFill>
                  <w14:solidFill>
                    <w14:schemeClr w14:val="tx1"/>
                  </w14:solidFill>
                </w14:textFill>
              </w:rPr>
            </w:pPr>
          </w:p>
        </w:tc>
        <w:tc>
          <w:tcPr>
            <w:tcW w:w="549" w:type="pct"/>
            <w:tcBorders>
              <w:bottom w:val="single" w:color="auto" w:sz="12" w:space="0"/>
            </w:tcBorders>
            <w:noWrap w:val="0"/>
            <w:vAlign w:val="center"/>
          </w:tcPr>
          <w:p w14:paraId="0714AB6F">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排放量（t/a）</w:t>
            </w:r>
          </w:p>
        </w:tc>
        <w:tc>
          <w:tcPr>
            <w:tcW w:w="691" w:type="pct"/>
            <w:tcBorders>
              <w:bottom w:val="single" w:color="auto" w:sz="12" w:space="0"/>
            </w:tcBorders>
            <w:noWrap w:val="0"/>
            <w:vAlign w:val="center"/>
          </w:tcPr>
          <w:p w14:paraId="1C38E658">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排放速率（kg/h）</w:t>
            </w:r>
          </w:p>
        </w:tc>
      </w:tr>
      <w:tr w14:paraId="48977B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7" w:type="pct"/>
            <w:tcBorders>
              <w:top w:val="single" w:color="auto" w:sz="12" w:space="0"/>
              <w:tl2br w:val="nil"/>
              <w:tr2bl w:val="nil"/>
            </w:tcBorders>
            <w:noWrap w:val="0"/>
            <w:vAlign w:val="center"/>
          </w:tcPr>
          <w:p w14:paraId="5525E937">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生产</w:t>
            </w:r>
            <w:r>
              <w:rPr>
                <w:rFonts w:hint="eastAsia"/>
                <w:color w:val="000000" w:themeColor="text1"/>
                <w:highlight w:val="none"/>
                <w:lang w:val="en-US" w:eastAsia="zh-CN"/>
                <w14:textFill>
                  <w14:solidFill>
                    <w14:schemeClr w14:val="tx1"/>
                  </w14:solidFill>
                </w14:textFill>
              </w:rPr>
              <w:t>车间</w:t>
            </w:r>
          </w:p>
        </w:tc>
        <w:tc>
          <w:tcPr>
            <w:tcW w:w="685" w:type="pct"/>
            <w:tcBorders>
              <w:top w:val="single" w:color="auto" w:sz="12" w:space="0"/>
              <w:tl2br w:val="nil"/>
              <w:tr2bl w:val="nil"/>
            </w:tcBorders>
            <w:noWrap w:val="0"/>
            <w:vAlign w:val="center"/>
          </w:tcPr>
          <w:p w14:paraId="0A086181">
            <w:pPr>
              <w:pStyle w:val="26"/>
              <w:bidi w:val="0"/>
              <w:jc w:val="center"/>
              <w:rPr>
                <w:rFonts w:hint="default"/>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投料</w:t>
            </w:r>
          </w:p>
        </w:tc>
        <w:tc>
          <w:tcPr>
            <w:tcW w:w="545" w:type="pct"/>
            <w:tcBorders>
              <w:top w:val="single" w:color="auto" w:sz="12" w:space="0"/>
              <w:tl2br w:val="nil"/>
              <w:tr2bl w:val="nil"/>
            </w:tcBorders>
            <w:noWrap w:val="0"/>
            <w:vAlign w:val="center"/>
          </w:tcPr>
          <w:p w14:paraId="39A8688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669" w:type="pct"/>
            <w:tcBorders>
              <w:top w:val="single" w:color="auto" w:sz="12" w:space="0"/>
              <w:tl2br w:val="nil"/>
              <w:tr2bl w:val="nil"/>
            </w:tcBorders>
            <w:noWrap w:val="0"/>
            <w:vAlign w:val="center"/>
          </w:tcPr>
          <w:p w14:paraId="16A2BAC3">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1.06</w:t>
            </w:r>
          </w:p>
        </w:tc>
        <w:tc>
          <w:tcPr>
            <w:tcW w:w="571" w:type="pct"/>
            <w:tcBorders>
              <w:top w:val="single" w:color="auto" w:sz="12" w:space="0"/>
              <w:tl2br w:val="nil"/>
              <w:tr2bl w:val="nil"/>
            </w:tcBorders>
            <w:noWrap w:val="0"/>
            <w:vAlign w:val="center"/>
          </w:tcPr>
          <w:p w14:paraId="69541D56">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w:t>
            </w:r>
            <w:r>
              <w:rPr>
                <w:rFonts w:hint="eastAsia" w:cs="Times New Roman"/>
                <w:color w:val="000000" w:themeColor="text1"/>
                <w:highlight w:val="none"/>
                <w:lang w:val="en-US" w:eastAsia="zh-CN"/>
                <w14:textFill>
                  <w14:solidFill>
                    <w14:schemeClr w14:val="tx1"/>
                  </w14:solidFill>
                </w14:textFill>
              </w:rPr>
              <w:t>2</w:t>
            </w:r>
          </w:p>
        </w:tc>
        <w:tc>
          <w:tcPr>
            <w:tcW w:w="741" w:type="pct"/>
            <w:tcBorders>
              <w:top w:val="single" w:color="auto" w:sz="12" w:space="0"/>
              <w:tl2br w:val="nil"/>
              <w:tr2bl w:val="nil"/>
            </w:tcBorders>
            <w:noWrap w:val="0"/>
            <w:vAlign w:val="center"/>
          </w:tcPr>
          <w:p w14:paraId="2EAA4DBA">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强化通风、自然沉降</w:t>
            </w:r>
          </w:p>
        </w:tc>
        <w:tc>
          <w:tcPr>
            <w:tcW w:w="549" w:type="pct"/>
            <w:tcBorders>
              <w:top w:val="single" w:color="auto" w:sz="12" w:space="0"/>
              <w:tl2br w:val="nil"/>
              <w:tr2bl w:val="nil"/>
            </w:tcBorders>
            <w:noWrap w:val="0"/>
            <w:vAlign w:val="center"/>
          </w:tcPr>
          <w:p w14:paraId="10C61542">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0.21</w:t>
            </w:r>
          </w:p>
        </w:tc>
        <w:tc>
          <w:tcPr>
            <w:tcW w:w="691" w:type="pct"/>
            <w:tcBorders>
              <w:top w:val="single" w:color="auto" w:sz="12" w:space="0"/>
              <w:tl2br w:val="nil"/>
              <w:tr2bl w:val="nil"/>
            </w:tcBorders>
            <w:noWrap w:val="0"/>
            <w:vAlign w:val="center"/>
          </w:tcPr>
          <w:p w14:paraId="036D0A01">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0.0</w:t>
            </w:r>
            <w:r>
              <w:rPr>
                <w:rFonts w:hint="eastAsia" w:cs="Times New Roman"/>
                <w:color w:val="000000" w:themeColor="text1"/>
                <w:kern w:val="0"/>
                <w:sz w:val="21"/>
                <w:szCs w:val="21"/>
                <w:highlight w:val="none"/>
                <w:lang w:val="en-US" w:eastAsia="zh-CN" w:bidi="ar-SA"/>
                <w14:textFill>
                  <w14:solidFill>
                    <w14:schemeClr w14:val="tx1"/>
                  </w14:solidFill>
                </w14:textFill>
              </w:rPr>
              <w:t>5</w:t>
            </w:r>
          </w:p>
        </w:tc>
      </w:tr>
      <w:tr w14:paraId="4AB2E0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7" w:type="pct"/>
            <w:tcBorders>
              <w:tl2br w:val="nil"/>
              <w:tr2bl w:val="nil"/>
            </w:tcBorders>
            <w:noWrap w:val="0"/>
            <w:vAlign w:val="center"/>
          </w:tcPr>
          <w:p w14:paraId="46F24876">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硫酸储罐</w:t>
            </w:r>
          </w:p>
        </w:tc>
        <w:tc>
          <w:tcPr>
            <w:tcW w:w="685" w:type="pct"/>
            <w:tcBorders>
              <w:tl2br w:val="nil"/>
              <w:tr2bl w:val="nil"/>
            </w:tcBorders>
            <w:noWrap w:val="0"/>
            <w:vAlign w:val="center"/>
          </w:tcPr>
          <w:p w14:paraId="7F2EFB7E">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硫酸装载</w:t>
            </w:r>
          </w:p>
        </w:tc>
        <w:tc>
          <w:tcPr>
            <w:tcW w:w="545" w:type="pct"/>
            <w:tcBorders>
              <w:tl2br w:val="nil"/>
              <w:tr2bl w:val="nil"/>
            </w:tcBorders>
            <w:noWrap w:val="0"/>
            <w:vAlign w:val="center"/>
          </w:tcPr>
          <w:p w14:paraId="5C69D205">
            <w:pPr>
              <w:pStyle w:val="26"/>
              <w:bidi w:val="0"/>
              <w:ind w:left="0" w:leftChars="0" w:right="0" w:rightChars="0" w:firstLine="0" w:firstLineChars="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669" w:type="pct"/>
            <w:tcBorders>
              <w:tl2br w:val="nil"/>
              <w:tr2bl w:val="nil"/>
            </w:tcBorders>
            <w:noWrap w:val="0"/>
            <w:vAlign w:val="center"/>
          </w:tcPr>
          <w:p w14:paraId="68275228">
            <w:pPr>
              <w:pStyle w:val="26"/>
              <w:spacing w:line="240" w:lineRule="auto"/>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0.043kg/a</w:t>
            </w:r>
          </w:p>
        </w:tc>
        <w:tc>
          <w:tcPr>
            <w:tcW w:w="571" w:type="pct"/>
            <w:tcBorders>
              <w:tl2br w:val="nil"/>
              <w:tr2bl w:val="nil"/>
            </w:tcBorders>
            <w:noWrap w:val="0"/>
            <w:vAlign w:val="center"/>
          </w:tcPr>
          <w:p w14:paraId="0A54516E">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0.0000</w:t>
            </w:r>
            <w:r>
              <w:rPr>
                <w:rFonts w:hint="eastAsia" w:cs="Times New Roman"/>
                <w:color w:val="000000" w:themeColor="text1"/>
                <w:kern w:val="0"/>
                <w:sz w:val="21"/>
                <w:szCs w:val="21"/>
                <w:highlight w:val="none"/>
                <w:lang w:val="en-US" w:eastAsia="zh-CN" w:bidi="ar-SA"/>
                <w14:textFill>
                  <w14:solidFill>
                    <w14:schemeClr w14:val="tx1"/>
                  </w14:solidFill>
                </w14:textFill>
              </w:rPr>
              <w:t>1</w:t>
            </w:r>
          </w:p>
        </w:tc>
        <w:tc>
          <w:tcPr>
            <w:tcW w:w="741" w:type="pct"/>
            <w:tcBorders>
              <w:tl2br w:val="nil"/>
              <w:tr2bl w:val="nil"/>
            </w:tcBorders>
            <w:noWrap w:val="0"/>
            <w:vAlign w:val="center"/>
          </w:tcPr>
          <w:p w14:paraId="09A602FE">
            <w:pPr>
              <w:pStyle w:val="26"/>
              <w:bidi w:val="0"/>
              <w:ind w:left="0" w:leftChars="0" w:right="0" w:rightChars="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549" w:type="pct"/>
            <w:tcBorders>
              <w:tl2br w:val="nil"/>
              <w:tr2bl w:val="nil"/>
            </w:tcBorders>
            <w:noWrap w:val="0"/>
            <w:vAlign w:val="center"/>
          </w:tcPr>
          <w:p w14:paraId="5024F2D6">
            <w:pPr>
              <w:pStyle w:val="26"/>
              <w:spacing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0.043kg/a</w:t>
            </w:r>
          </w:p>
        </w:tc>
        <w:tc>
          <w:tcPr>
            <w:tcW w:w="691" w:type="pct"/>
            <w:tcBorders>
              <w:tl2br w:val="nil"/>
              <w:tr2bl w:val="nil"/>
            </w:tcBorders>
            <w:noWrap w:val="0"/>
            <w:vAlign w:val="center"/>
          </w:tcPr>
          <w:p w14:paraId="19166E50">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0.0000</w:t>
            </w:r>
            <w:r>
              <w:rPr>
                <w:rFonts w:hint="eastAsia" w:cs="Times New Roman"/>
                <w:color w:val="000000" w:themeColor="text1"/>
                <w:kern w:val="0"/>
                <w:sz w:val="21"/>
                <w:szCs w:val="21"/>
                <w:highlight w:val="none"/>
                <w:lang w:val="en-US" w:eastAsia="zh-CN" w:bidi="ar-SA"/>
                <w14:textFill>
                  <w14:solidFill>
                    <w14:schemeClr w14:val="tx1"/>
                  </w14:solidFill>
                </w14:textFill>
              </w:rPr>
              <w:t>1</w:t>
            </w:r>
          </w:p>
        </w:tc>
      </w:tr>
    </w:tbl>
    <w:p w14:paraId="6F110BAC">
      <w:pPr>
        <w:bidi w:val="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动静密封点挥发性有机物</w:t>
      </w:r>
    </w:p>
    <w:p w14:paraId="08044262">
      <w:pPr>
        <w:bidi w:val="0"/>
        <w:rPr>
          <w:rFonts w:hint="eastAsia"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本项目减水剂生产使用有机单体原辅材料，反应釜、原料储罐、输送管道、泵体、阀门及法兰等设备动静密封点存在挥发性有机物（以非甲烷总烃计）微量泄漏。本次参照《石化行业 VOCs 污染源排查工作指南》密封点排放系数法开展核算</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计算公式：</w:t>
      </w:r>
    </w:p>
    <w:p w14:paraId="565F072E">
      <w:pPr>
        <w:bidi w:val="0"/>
        <w:rPr>
          <w:rFonts w:hint="eastAsia" w:eastAsia="宋体"/>
          <w:color w:val="000000" w:themeColor="text1"/>
          <w:highlight w:val="none"/>
          <w:lang w:eastAsia="zh-CN"/>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drawing>
          <wp:inline distT="0" distB="0" distL="114300" distR="114300">
            <wp:extent cx="2242185" cy="514985"/>
            <wp:effectExtent l="0" t="0" r="5715" b="5715"/>
            <wp:docPr id="37" name="图片 37" descr="ScreenShot_2026-09-16_133917_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ScreenShot_2026-09-16_133917_012"/>
                    <pic:cNvPicPr>
                      <a:picLocks noChangeAspect="1"/>
                    </pic:cNvPicPr>
                  </pic:nvPicPr>
                  <pic:blipFill>
                    <a:blip r:embed="rId20"/>
                    <a:stretch>
                      <a:fillRect/>
                    </a:stretch>
                  </pic:blipFill>
                  <pic:spPr>
                    <a:xfrm>
                      <a:off x="0" y="0"/>
                      <a:ext cx="2242185" cy="514985"/>
                    </a:xfrm>
                    <a:prstGeom prst="rect">
                      <a:avLst/>
                    </a:prstGeom>
                  </pic:spPr>
                </pic:pic>
              </a:graphicData>
            </a:graphic>
          </wp:inline>
        </w:drawing>
      </w:r>
    </w:p>
    <w:p w14:paraId="0ECECD3B">
      <w:pPr>
        <w:bidi w:val="0"/>
        <w:ind w:left="480" w:leftChars="200" w:firstLine="0" w:firstLineChars="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Evocs</w:t>
      </w:r>
      <w:r>
        <w:rPr>
          <w:color w:val="000000" w:themeColor="text1"/>
          <w:highlight w:val="none"/>
          <w14:textFill>
            <w14:solidFill>
              <w14:schemeClr w14:val="tx1"/>
            </w14:solidFill>
          </w14:textFill>
        </w:rPr>
        <w:t>—密封点VOCs年排放量，kg/a；</w:t>
      </w:r>
      <w:r>
        <w:rPr>
          <w:color w:val="000000" w:themeColor="text1"/>
          <w:highlight w:val="none"/>
          <w14:textFill>
            <w14:solidFill>
              <w14:schemeClr w14:val="tx1"/>
            </w14:solidFill>
          </w14:textFill>
        </w:rPr>
        <w:br w:type="textWrapping"/>
      </w:r>
      <w:r>
        <w:rPr>
          <w:rFonts w:hint="eastAsia"/>
          <w:color w:val="000000" w:themeColor="text1"/>
          <w:highlight w:val="none"/>
          <w:lang w:val="en-US" w:eastAsia="zh-CN"/>
          <w14:textFill>
            <w14:solidFill>
              <w14:schemeClr w14:val="tx1"/>
            </w14:solidFill>
          </w14:textFill>
        </w:rPr>
        <w:t>F</w:t>
      </w:r>
      <w:r>
        <w:rPr>
          <w:rFonts w:hint="eastAsia"/>
          <w:color w:val="000000" w:themeColor="text1"/>
          <w:highlight w:val="none"/>
          <w:vertAlign w:val="subscript"/>
          <w:lang w:val="en-US" w:eastAsia="zh-CN"/>
          <w14:textFill>
            <w14:solidFill>
              <w14:schemeClr w14:val="tx1"/>
            </w14:solidFill>
          </w14:textFill>
        </w:rPr>
        <w:t>Ai</w:t>
      </w:r>
      <w:r>
        <w:rPr>
          <w:color w:val="000000" w:themeColor="text1"/>
          <w:highlight w:val="none"/>
          <w14:textFill>
            <w14:solidFill>
              <w14:schemeClr w14:val="tx1"/>
            </w14:solidFill>
          </w14:textFill>
        </w:rPr>
        <w:t>——密封点排放系数，kg/（h·密封点）；</w:t>
      </w:r>
      <w:r>
        <w:rPr>
          <w:color w:val="000000" w:themeColor="text1"/>
          <w:highlight w:val="none"/>
          <w14:textFill>
            <w14:solidFill>
              <w14:schemeClr w14:val="tx1"/>
            </w14:solidFill>
          </w14:textFill>
        </w:rPr>
        <w:br w:type="textWrapping"/>
      </w:r>
      <w:r>
        <w:rPr>
          <w:color w:val="000000" w:themeColor="text1"/>
          <w:highlight w:val="none"/>
          <w14:textFill>
            <w14:solidFill>
              <w14:schemeClr w14:val="tx1"/>
            </w14:solidFill>
          </w14:textFill>
        </w:rPr>
        <w:t>W</w:t>
      </w:r>
      <w:r>
        <w:rPr>
          <w:color w:val="000000" w:themeColor="text1"/>
          <w:highlight w:val="none"/>
          <w:vertAlign w:val="baseline"/>
          <w14:textFill>
            <w14:solidFill>
              <w14:schemeClr w14:val="tx1"/>
            </w14:solidFill>
          </w14:textFill>
        </w:rPr>
        <w:t>F</w:t>
      </w:r>
      <w:r>
        <w:rPr>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——介质中挥发性有机组分质量分数；</w:t>
      </w:r>
      <w:r>
        <w:rPr>
          <w:color w:val="000000" w:themeColor="text1"/>
          <w:highlight w:val="none"/>
          <w14:textFill>
            <w14:solidFill>
              <w14:schemeClr w14:val="tx1"/>
            </w14:solidFill>
          </w14:textFill>
        </w:rPr>
        <w:br w:type="textWrapping"/>
      </w:r>
      <w:r>
        <w:rPr>
          <w:color w:val="000000" w:themeColor="text1"/>
          <w:highlight w:val="none"/>
          <w14:textFill>
            <w14:solidFill>
              <w14:schemeClr w14:val="tx1"/>
            </w14:solidFill>
          </w14:textFill>
        </w:rPr>
        <w:t>CF——转换系数，液相介质取1；</w:t>
      </w:r>
      <w:r>
        <w:rPr>
          <w:color w:val="000000" w:themeColor="text1"/>
          <w:highlight w:val="none"/>
          <w14:textFill>
            <w14:solidFill>
              <w14:schemeClr w14:val="tx1"/>
            </w14:solidFill>
          </w14:textFill>
        </w:rPr>
        <w:br w:type="textWrapping"/>
      </w:r>
      <w:r>
        <w:rPr>
          <w:color w:val="000000" w:themeColor="text1"/>
          <w:highlight w:val="none"/>
          <w14:textFill>
            <w14:solidFill>
              <w14:schemeClr w14:val="tx1"/>
            </w14:solidFill>
          </w14:textFill>
        </w:rPr>
        <w:t>t——装置年运行时间，h/a。</w:t>
      </w:r>
    </w:p>
    <w:p w14:paraId="035255E2">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密封点统计及参数选取：项目减水剂生产线涉有机物料静密封点（法兰、垫片）120个，动密封点（搅拌、泵机封）18个；依据规范，液态介质受控设备静密封系数取0.000020kg/（h·点），动密封系数取0.000240kg/（h·点）；有机介质挥发性组分质量分数取0.12；年运行时间</w:t>
      </w:r>
      <w:r>
        <w:rPr>
          <w:rFonts w:hint="eastAsia"/>
          <w:color w:val="000000" w:themeColor="text1"/>
          <w:highlight w:val="none"/>
          <w:lang w:val="en-US" w:eastAsia="zh-CN"/>
          <w14:textFill>
            <w14:solidFill>
              <w14:schemeClr w14:val="tx1"/>
            </w14:solidFill>
          </w14:textFill>
        </w:rPr>
        <w:t>432</w:t>
      </w:r>
      <w:r>
        <w:rPr>
          <w:color w:val="000000" w:themeColor="text1"/>
          <w:highlight w:val="none"/>
          <w14:textFill>
            <w14:solidFill>
              <w14:schemeClr w14:val="tx1"/>
            </w14:solidFill>
          </w14:textFill>
        </w:rPr>
        <w:t>0h。</w:t>
      </w:r>
    </w:p>
    <w:p w14:paraId="03BB33C5">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经计算，项目静密封点VOCs排放量为2.0736kg/a，动密封点VOCs排放量为3.7325kg/a，动静密封点无组织VOCs总排放量为5.81kg/a，平均排放速率0.000806kg/h。</w:t>
      </w:r>
    </w:p>
    <w:p w14:paraId="497E9064">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3.7.1.3车间异味</w:t>
      </w:r>
    </w:p>
    <w:p w14:paraId="58456334">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本项目产品为减水剂、硫酸铝外加剂、速凝剂，生产过程异味来源于原料投料、反应搅拌、成品复配、物料储存及物料输送等工序，异味物质随无组织废气逸散至车间及厂界。</w:t>
      </w:r>
      <w:r>
        <w:rPr>
          <w:rFonts w:hint="eastAsia"/>
          <w:color w:val="000000" w:themeColor="text1"/>
          <w:highlight w:val="none"/>
          <w14:textFill>
            <w14:solidFill>
              <w14:schemeClr w14:val="tx1"/>
            </w14:solidFill>
          </w14:textFill>
        </w:rPr>
        <w:t>异味以酸性刺激性气味、小分子有机单体异味为主；异味属于无组织逸散，具有间断性，集中在投料、放料、灌装、储罐呼吸等开盖操作时段；密闭工况下逸散量小，开盖操作时异味瞬时浓度升高。</w:t>
      </w:r>
    </w:p>
    <w:p w14:paraId="52BD380C">
      <w:pPr>
        <w:bidi w:val="0"/>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本项目异味不属于持久性恶臭污染物，异味感知强度与操作方式、车间密闭程度、废气收集效率直接相关；</w:t>
      </w:r>
      <w:r>
        <w:rPr>
          <w:rFonts w:hint="eastAsia"/>
          <w:color w:val="000000" w:themeColor="text1"/>
          <w:highlight w:val="none"/>
          <w:lang w:val="en-US" w:eastAsia="zh-CN"/>
          <w14:textFill>
            <w14:solidFill>
              <w14:schemeClr w14:val="tx1"/>
            </w14:solidFill>
          </w14:textFill>
        </w:rPr>
        <w:t>车间生产</w:t>
      </w:r>
      <w:r>
        <w:rPr>
          <w:color w:val="000000" w:themeColor="text1"/>
          <w:highlight w:val="none"/>
          <w14:textFill>
            <w14:solidFill>
              <w14:schemeClr w14:val="tx1"/>
            </w14:solidFill>
          </w14:textFill>
        </w:rPr>
        <w:t>废气收集处理后，少量未被收集的无组织异味向外扩散；在正常工况、废气收集治理设施稳定运行前提下，异味影响主要局限于厂区及厂界近域，</w:t>
      </w:r>
      <w:r>
        <w:rPr>
          <w:rFonts w:hint="eastAsia"/>
          <w:color w:val="000000" w:themeColor="text1"/>
          <w:highlight w:val="none"/>
          <w:lang w:val="en-US" w:eastAsia="zh-CN"/>
          <w14:textFill>
            <w14:solidFill>
              <w14:schemeClr w14:val="tx1"/>
            </w14:solidFill>
          </w14:textFill>
        </w:rPr>
        <w:t>项目周边无敏感点，因此对周边环境影响较小。</w:t>
      </w:r>
    </w:p>
    <w:p w14:paraId="3AF83741">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3.7.1.4</w:t>
      </w:r>
      <w:r>
        <w:rPr>
          <w:rFonts w:hint="eastAsia"/>
          <w:color w:val="000000" w:themeColor="text1"/>
          <w:highlight w:val="none"/>
          <w14:textFill>
            <w14:solidFill>
              <w14:schemeClr w14:val="tx1"/>
            </w14:solidFill>
          </w14:textFill>
        </w:rPr>
        <w:t xml:space="preserve">交通运输废气 </w:t>
      </w:r>
    </w:p>
    <w:p w14:paraId="4F8666C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根据《环境影响评价技术导则 大气环境》（</w:t>
      </w:r>
      <w:r>
        <w:rPr>
          <w:color w:val="000000" w:themeColor="text1"/>
          <w:highlight w:val="none"/>
          <w14:textFill>
            <w14:solidFill>
              <w14:schemeClr w14:val="tx1"/>
            </w14:solidFill>
          </w14:textFill>
        </w:rPr>
        <w:t>HJ 2.2-2018</w:t>
      </w:r>
      <w:r>
        <w:rPr>
          <w:rFonts w:hint="eastAsia"/>
          <w:color w:val="000000" w:themeColor="text1"/>
          <w:highlight w:val="none"/>
          <w14:textFill>
            <w14:solidFill>
              <w14:schemeClr w14:val="tx1"/>
            </w14:solidFill>
          </w14:textFill>
        </w:rPr>
        <w:t>）的规定，对于编制报告书的工业项目，分析调查受本项目物料及产品运输影响新增的交通运输移动源，包括运输方式、新增交通流量、排放污染物及排放量。本项目建成后，交通运输方式以公路汽运为主，厂区内所设机动车位均为地上车位，在汽车怠速（车速约</w:t>
      </w:r>
      <w:r>
        <w:rPr>
          <w:color w:val="000000" w:themeColor="text1"/>
          <w:highlight w:val="none"/>
          <w14:textFill>
            <w14:solidFill>
              <w14:schemeClr w14:val="tx1"/>
            </w14:solidFill>
          </w14:textFill>
        </w:rPr>
        <w:t>5km/h</w:t>
      </w:r>
      <w:r>
        <w:rPr>
          <w:rFonts w:hint="eastAsia"/>
          <w:color w:val="000000" w:themeColor="text1"/>
          <w:highlight w:val="none"/>
          <w14:textFill>
            <w14:solidFill>
              <w14:schemeClr w14:val="tx1"/>
            </w14:solidFill>
          </w14:textFill>
        </w:rPr>
        <w:t>）进出时会产生一定的汽车尾气，其主要污染物是非甲烷总烃、</w:t>
      </w:r>
      <w:r>
        <w:rPr>
          <w:color w:val="000000" w:themeColor="text1"/>
          <w:highlight w:val="none"/>
          <w14:textFill>
            <w14:solidFill>
              <w14:schemeClr w14:val="tx1"/>
            </w14:solidFill>
          </w14:textFill>
        </w:rPr>
        <w:t>NOx</w:t>
      </w:r>
      <w:r>
        <w:rPr>
          <w:rFonts w:hint="eastAsia"/>
          <w:color w:val="000000" w:themeColor="text1"/>
          <w:highlight w:val="none"/>
          <w14:textFill>
            <w14:solidFill>
              <w14:schemeClr w14:val="tx1"/>
            </w14:solidFill>
          </w14:textFill>
        </w:rPr>
        <w:t>和</w:t>
      </w:r>
      <w:r>
        <w:rPr>
          <w:color w:val="000000" w:themeColor="text1"/>
          <w:highlight w:val="none"/>
          <w14:textFill>
            <w14:solidFill>
              <w14:schemeClr w14:val="tx1"/>
            </w14:solidFill>
          </w14:textFill>
        </w:rPr>
        <w:t>CO</w:t>
      </w:r>
      <w:r>
        <w:rPr>
          <w:rFonts w:hint="eastAsia"/>
          <w:color w:val="000000" w:themeColor="text1"/>
          <w:highlight w:val="none"/>
          <w14:textFill>
            <w14:solidFill>
              <w14:schemeClr w14:val="tx1"/>
            </w14:solidFill>
          </w14:textFill>
        </w:rPr>
        <w:t xml:space="preserve">。经调查分析，车库停车场的汽车尾气排放量与汽车车型、汽车行驶车况、停车场的车流量及汽车在车库的运行时间均有关系。 </w:t>
      </w:r>
    </w:p>
    <w:p w14:paraId="65B542D6">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①</w:t>
      </w:r>
      <w:r>
        <w:rPr>
          <w:rFonts w:hint="eastAsia"/>
          <w:color w:val="000000" w:themeColor="text1"/>
          <w:highlight w:val="none"/>
          <w14:textFill>
            <w14:solidFill>
              <w14:schemeClr w14:val="tx1"/>
            </w14:solidFill>
          </w14:textFill>
        </w:rPr>
        <w:t xml:space="preserve">交通运输扬尘 </w:t>
      </w:r>
    </w:p>
    <w:p w14:paraId="4294160A">
      <w:pPr>
        <w:ind w:firstLine="48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据有关调查</w:t>
      </w:r>
      <w:r>
        <w:rPr>
          <w:rFonts w:hint="eastAsia"/>
          <w:color w:val="000000" w:themeColor="text1"/>
          <w:highlight w:val="none"/>
          <w14:textFill>
            <w14:solidFill>
              <w14:schemeClr w14:val="tx1"/>
            </w14:solidFill>
          </w14:textFill>
        </w:rPr>
        <w:t xml:space="preserve">，交通运输的扬尘主要是由原料、产品运输车辆行驶产生，与道路路面及车辆行驶速度有关。在完全干燥情况下，可按经验公式计算： </w:t>
      </w:r>
    </w:p>
    <w:p w14:paraId="1E487B46">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3143250" cy="685800"/>
            <wp:effectExtent l="0" t="0" r="635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1"/>
                    <a:stretch>
                      <a:fillRect/>
                    </a:stretch>
                  </pic:blipFill>
                  <pic:spPr>
                    <a:xfrm>
                      <a:off x="0" y="0"/>
                      <a:ext cx="3143250" cy="685800"/>
                    </a:xfrm>
                    <a:prstGeom prst="rect">
                      <a:avLst/>
                    </a:prstGeom>
                    <a:noFill/>
                    <a:ln>
                      <a:noFill/>
                    </a:ln>
                  </pic:spPr>
                </pic:pic>
              </a:graphicData>
            </a:graphic>
          </wp:inline>
        </w:drawing>
      </w:r>
    </w:p>
    <w:p w14:paraId="3FB808D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式中：</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p</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道路扬尘量，（</w:t>
      </w:r>
      <w:r>
        <w:rPr>
          <w:color w:val="000000" w:themeColor="text1"/>
          <w:highlight w:val="none"/>
          <w14:textFill>
            <w14:solidFill>
              <w14:schemeClr w14:val="tx1"/>
            </w14:solidFill>
          </w14:textFill>
        </w:rPr>
        <w:t>kg/km▪</w:t>
      </w:r>
      <w:r>
        <w:rPr>
          <w:rFonts w:hint="eastAsia"/>
          <w:color w:val="000000" w:themeColor="text1"/>
          <w:highlight w:val="none"/>
          <w14:textFill>
            <w14:solidFill>
              <w14:schemeClr w14:val="tx1"/>
            </w14:solidFill>
          </w14:textFill>
        </w:rPr>
        <w:t xml:space="preserve">辆） </w:t>
      </w:r>
    </w:p>
    <w:p w14:paraId="1A4E449B">
      <w:pPr>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p</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总扬尘量，（</w:t>
      </w:r>
      <w:r>
        <w:rPr>
          <w:color w:val="000000" w:themeColor="text1"/>
          <w:highlight w:val="none"/>
          <w14:textFill>
            <w14:solidFill>
              <w14:schemeClr w14:val="tx1"/>
            </w14:solidFill>
          </w14:textFill>
        </w:rPr>
        <w:t>kg/a</w:t>
      </w:r>
      <w:r>
        <w:rPr>
          <w:rFonts w:hint="eastAsia"/>
          <w:color w:val="000000" w:themeColor="text1"/>
          <w:highlight w:val="none"/>
          <w14:textFill>
            <w14:solidFill>
              <w14:schemeClr w14:val="tx1"/>
            </w14:solidFill>
          </w14:textFill>
        </w:rPr>
        <w:t>）；</w:t>
      </w:r>
    </w:p>
    <w:p w14:paraId="561EE706">
      <w:pPr>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V—</w:t>
      </w:r>
      <w:r>
        <w:rPr>
          <w:rFonts w:hint="eastAsia"/>
          <w:color w:val="000000" w:themeColor="text1"/>
          <w:highlight w:val="none"/>
          <w14:textFill>
            <w14:solidFill>
              <w14:schemeClr w14:val="tx1"/>
            </w14:solidFill>
          </w14:textFill>
        </w:rPr>
        <w:t>车辆速度，（</w:t>
      </w:r>
      <w:r>
        <w:rPr>
          <w:color w:val="000000" w:themeColor="text1"/>
          <w:highlight w:val="none"/>
          <w14:textFill>
            <w14:solidFill>
              <w14:schemeClr w14:val="tx1"/>
            </w14:solidFill>
          </w14:textFill>
        </w:rPr>
        <w:t>20km/h</w:t>
      </w:r>
      <w:r>
        <w:rPr>
          <w:rFonts w:hint="eastAsia"/>
          <w:color w:val="000000" w:themeColor="text1"/>
          <w:highlight w:val="none"/>
          <w14:textFill>
            <w14:solidFill>
              <w14:schemeClr w14:val="tx1"/>
            </w14:solidFill>
          </w14:textFill>
        </w:rPr>
        <w:t>）；</w:t>
      </w:r>
    </w:p>
    <w:p w14:paraId="7081B6E8">
      <w:pPr>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M—</w:t>
      </w:r>
      <w:r>
        <w:rPr>
          <w:rFonts w:hint="eastAsia"/>
          <w:color w:val="000000" w:themeColor="text1"/>
          <w:highlight w:val="none"/>
          <w14:textFill>
            <w14:solidFill>
              <w14:schemeClr w14:val="tx1"/>
            </w14:solidFill>
          </w14:textFill>
        </w:rPr>
        <w:t>车辆载重，</w:t>
      </w:r>
      <w:r>
        <w:rPr>
          <w:color w:val="000000" w:themeColor="text1"/>
          <w:highlight w:val="none"/>
          <w14:textFill>
            <w14:solidFill>
              <w14:schemeClr w14:val="tx1"/>
            </w14:solidFill>
          </w14:textFill>
        </w:rPr>
        <w:t>20t/</w:t>
      </w:r>
      <w:r>
        <w:rPr>
          <w:rFonts w:hint="eastAsia"/>
          <w:color w:val="000000" w:themeColor="text1"/>
          <w:highlight w:val="none"/>
          <w14:textFill>
            <w14:solidFill>
              <w14:schemeClr w14:val="tx1"/>
            </w14:solidFill>
          </w14:textFill>
        </w:rPr>
        <w:t>辆；</w:t>
      </w:r>
    </w:p>
    <w:p w14:paraId="4FC1444E">
      <w:pPr>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路面灰尘覆盖率，（取值</w:t>
      </w:r>
      <w:r>
        <w:rPr>
          <w:color w:val="000000" w:themeColor="text1"/>
          <w:highlight w:val="none"/>
          <w14:textFill>
            <w14:solidFill>
              <w14:schemeClr w14:val="tx1"/>
            </w14:solidFill>
          </w14:textFill>
        </w:rPr>
        <w:t>0.05kg/m</w:t>
      </w:r>
      <w:r>
        <w:rPr>
          <w:color w:val="000000" w:themeColor="text1"/>
          <w:highlight w:val="none"/>
          <w:vertAlign w:val="superscript"/>
          <w14:textFill>
            <w14:solidFill>
              <w14:schemeClr w14:val="tx1"/>
            </w14:solidFill>
          </w14:textFill>
        </w:rPr>
        <w:t>2</w:t>
      </w:r>
      <w:r>
        <w:rPr>
          <w:rFonts w:hint="eastAsia"/>
          <w:color w:val="000000" w:themeColor="text1"/>
          <w:highlight w:val="none"/>
          <w14:textFill>
            <w14:solidFill>
              <w14:schemeClr w14:val="tx1"/>
            </w14:solidFill>
          </w14:textFill>
        </w:rPr>
        <w:t xml:space="preserve">）； </w:t>
      </w:r>
    </w:p>
    <w:p w14:paraId="208A3672">
      <w:pPr>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L—</w:t>
      </w:r>
      <w:r>
        <w:rPr>
          <w:rFonts w:hint="eastAsia"/>
          <w:color w:val="000000" w:themeColor="text1"/>
          <w:highlight w:val="none"/>
          <w14:textFill>
            <w14:solidFill>
              <w14:schemeClr w14:val="tx1"/>
            </w14:solidFill>
          </w14:textFill>
        </w:rPr>
        <w:t>运距，（厂区内取0.8</w:t>
      </w:r>
      <w:r>
        <w:rPr>
          <w:color w:val="000000" w:themeColor="text1"/>
          <w:highlight w:val="none"/>
          <w14:textFill>
            <w14:solidFill>
              <w14:schemeClr w14:val="tx1"/>
            </w14:solidFill>
          </w14:textFill>
        </w:rPr>
        <w:t>km</w:t>
      </w:r>
      <w:r>
        <w:rPr>
          <w:rFonts w:hint="eastAsia"/>
          <w:color w:val="000000" w:themeColor="text1"/>
          <w:highlight w:val="none"/>
          <w14:textFill>
            <w14:solidFill>
              <w14:schemeClr w14:val="tx1"/>
            </w14:solidFill>
          </w14:textFill>
        </w:rPr>
        <w:t xml:space="preserve">）； </w:t>
      </w:r>
    </w:p>
    <w:p w14:paraId="2054F832">
      <w:pPr>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Q— </w:t>
      </w:r>
      <w:r>
        <w:rPr>
          <w:rFonts w:hint="eastAsia"/>
          <w:color w:val="000000" w:themeColor="text1"/>
          <w:highlight w:val="none"/>
          <w14:textFill>
            <w14:solidFill>
              <w14:schemeClr w14:val="tx1"/>
            </w14:solidFill>
          </w14:textFill>
        </w:rPr>
        <w:t>运输量，项目原料、产品运输量合计</w:t>
      </w:r>
      <w:r>
        <w:rPr>
          <w:rFonts w:hint="eastAsia"/>
          <w:color w:val="000000" w:themeColor="text1"/>
          <w:highlight w:val="none"/>
          <w:lang w:val="en-US" w:eastAsia="zh-CN"/>
          <w14:textFill>
            <w14:solidFill>
              <w14:schemeClr w14:val="tx1"/>
            </w14:solidFill>
          </w14:textFill>
        </w:rPr>
        <w:t>86800</w:t>
      </w:r>
      <w:r>
        <w:rPr>
          <w:color w:val="000000" w:themeColor="text1"/>
          <w:highlight w:val="none"/>
          <w14:textFill>
            <w14:solidFill>
              <w14:schemeClr w14:val="tx1"/>
            </w14:solidFill>
          </w14:textFill>
        </w:rPr>
        <w:t>t/a</w:t>
      </w:r>
      <w:r>
        <w:rPr>
          <w:rFonts w:hint="eastAsia"/>
          <w:color w:val="000000" w:themeColor="text1"/>
          <w:highlight w:val="none"/>
          <w14:textFill>
            <w14:solidFill>
              <w14:schemeClr w14:val="tx1"/>
            </w14:solidFill>
          </w14:textFill>
        </w:rPr>
        <w:t xml:space="preserve">。 </w:t>
      </w:r>
    </w:p>
    <w:p w14:paraId="0C926F1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经计算，道路扬尘量为</w:t>
      </w:r>
      <w:r>
        <w:rPr>
          <w:color w:val="000000" w:themeColor="text1"/>
          <w:highlight w:val="none"/>
          <w14:textFill>
            <w14:solidFill>
              <w14:schemeClr w14:val="tx1"/>
            </w14:solidFill>
          </w14:textFill>
        </w:rPr>
        <w:t>0.2337kg/km▪</w:t>
      </w:r>
      <w:r>
        <w:rPr>
          <w:rFonts w:hint="eastAsia"/>
          <w:color w:val="000000" w:themeColor="text1"/>
          <w:highlight w:val="none"/>
          <w14:textFill>
            <w14:solidFill>
              <w14:schemeClr w14:val="tx1"/>
            </w14:solidFill>
          </w14:textFill>
        </w:rPr>
        <w:t>辆，项目交通运输扬尘产生量为</w:t>
      </w:r>
      <w:r>
        <w:rPr>
          <w:rFonts w:hint="eastAsia"/>
          <w:color w:val="000000" w:themeColor="text1"/>
          <w:highlight w:val="none"/>
          <w:lang w:val="en-US" w:eastAsia="zh-CN"/>
          <w14:textFill>
            <w14:solidFill>
              <w14:schemeClr w14:val="tx1"/>
            </w14:solidFill>
          </w14:textFill>
        </w:rPr>
        <w:t>0.81</w:t>
      </w:r>
      <w:r>
        <w:rPr>
          <w:color w:val="000000" w:themeColor="text1"/>
          <w:highlight w:val="none"/>
          <w14:textFill>
            <w14:solidFill>
              <w14:schemeClr w14:val="tx1"/>
            </w14:solidFill>
          </w14:textFill>
        </w:rPr>
        <w:t>t/a</w:t>
      </w:r>
      <w:r>
        <w:rPr>
          <w:rFonts w:hint="eastAsia"/>
          <w:color w:val="000000" w:themeColor="text1"/>
          <w:highlight w:val="none"/>
          <w14:textFill>
            <w14:solidFill>
              <w14:schemeClr w14:val="tx1"/>
            </w14:solidFill>
          </w14:textFill>
        </w:rPr>
        <w:t>，建设单位采取加盖篷布、降低车速、洒水抑尘的方式减少起尘量，根据天气状况适当调整洒水频率和洒水量，在炎热、干燥季节，则加大洒水频次及洒水量，以路面湿润不起尘为准，可有效抑制扬尘产生，抑尘率为</w:t>
      </w:r>
      <w:r>
        <w:rPr>
          <w:color w:val="000000" w:themeColor="text1"/>
          <w:highlight w:val="none"/>
          <w14:textFill>
            <w14:solidFill>
              <w14:schemeClr w14:val="tx1"/>
            </w14:solidFill>
          </w14:textFill>
        </w:rPr>
        <w:t>80%</w:t>
      </w:r>
      <w:r>
        <w:rPr>
          <w:rFonts w:hint="eastAsia"/>
          <w:color w:val="000000" w:themeColor="text1"/>
          <w:highlight w:val="none"/>
          <w14:textFill>
            <w14:solidFill>
              <w14:schemeClr w14:val="tx1"/>
            </w14:solidFill>
          </w14:textFill>
        </w:rPr>
        <w:t>，则项目交通运输扬尘排放量为0.</w:t>
      </w:r>
      <w:r>
        <w:rPr>
          <w:rFonts w:hint="eastAsia"/>
          <w:color w:val="000000" w:themeColor="text1"/>
          <w:highlight w:val="none"/>
          <w:lang w:val="en-US" w:eastAsia="zh-CN"/>
          <w14:textFill>
            <w14:solidFill>
              <w14:schemeClr w14:val="tx1"/>
            </w14:solidFill>
          </w14:textFill>
        </w:rPr>
        <w:t>16</w:t>
      </w:r>
      <w:r>
        <w:rPr>
          <w:color w:val="000000" w:themeColor="text1"/>
          <w:highlight w:val="none"/>
          <w14:textFill>
            <w14:solidFill>
              <w14:schemeClr w14:val="tx1"/>
            </w14:solidFill>
          </w14:textFill>
        </w:rPr>
        <w:t>t/a</w:t>
      </w:r>
      <w:r>
        <w:rPr>
          <w:rFonts w:hint="eastAsia"/>
          <w:color w:val="000000" w:themeColor="text1"/>
          <w:highlight w:val="none"/>
          <w14:textFill>
            <w14:solidFill>
              <w14:schemeClr w14:val="tx1"/>
            </w14:solidFill>
          </w14:textFill>
        </w:rPr>
        <w:t xml:space="preserve">。 </w:t>
      </w:r>
    </w:p>
    <w:p w14:paraId="25ED334E">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②</w:t>
      </w:r>
      <w:r>
        <w:rPr>
          <w:rFonts w:hint="eastAsia"/>
          <w:color w:val="000000" w:themeColor="text1"/>
          <w:highlight w:val="none"/>
          <w14:textFill>
            <w14:solidFill>
              <w14:schemeClr w14:val="tx1"/>
            </w14:solidFill>
          </w14:textFill>
        </w:rPr>
        <w:t xml:space="preserve">交通运输尾气 </w:t>
      </w:r>
    </w:p>
    <w:p w14:paraId="217AC08A">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本项目原料、产品经汽车运输进出厂区会产生汽车尾气，汽车尾气的排放量与车型、车况和车辆数等有关，参考《环境保护实用手册》，本项目交通运输大气污染物排放情况见表</w:t>
      </w:r>
      <w:r>
        <w:rPr>
          <w:rFonts w:hint="eastAsia"/>
          <w:color w:val="000000" w:themeColor="text1"/>
          <w:highlight w:val="none"/>
          <w:lang w:val="en-US" w:eastAsia="zh-CN"/>
          <w14:textFill>
            <w14:solidFill>
              <w14:schemeClr w14:val="tx1"/>
            </w14:solidFill>
          </w14:textFill>
        </w:rPr>
        <w:t>3.7</w:t>
      </w: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 xml:space="preserve">。 </w:t>
      </w:r>
    </w:p>
    <w:p w14:paraId="5F323042">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3.7</w:t>
      </w: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 xml:space="preserve">      项目交通运输移动源排放情况表</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511"/>
        <w:gridCol w:w="1511"/>
        <w:gridCol w:w="1511"/>
        <w:gridCol w:w="1513"/>
        <w:gridCol w:w="1514"/>
      </w:tblGrid>
      <w:tr w14:paraId="390E10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Borders>
              <w:bottom w:val="single" w:color="auto" w:sz="12" w:space="0"/>
            </w:tcBorders>
            <w:noWrap w:val="0"/>
            <w:vAlign w:val="center"/>
          </w:tcPr>
          <w:p w14:paraId="13F63089">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运输方式</w:t>
            </w:r>
          </w:p>
        </w:tc>
        <w:tc>
          <w:tcPr>
            <w:tcW w:w="1420" w:type="dxa"/>
            <w:tcBorders>
              <w:bottom w:val="single" w:color="auto" w:sz="12" w:space="0"/>
            </w:tcBorders>
            <w:noWrap w:val="0"/>
            <w:vAlign w:val="center"/>
          </w:tcPr>
          <w:p w14:paraId="46104541">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污染物</w:t>
            </w:r>
          </w:p>
        </w:tc>
        <w:tc>
          <w:tcPr>
            <w:tcW w:w="1420" w:type="dxa"/>
            <w:tcBorders>
              <w:bottom w:val="single" w:color="auto" w:sz="12" w:space="0"/>
            </w:tcBorders>
            <w:noWrap w:val="0"/>
            <w:vAlign w:val="center"/>
          </w:tcPr>
          <w:p w14:paraId="463ED9BB">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平均排放系数（</w:t>
            </w:r>
            <w:r>
              <w:rPr>
                <w:b/>
                <w:bCs/>
                <w:color w:val="000000" w:themeColor="text1"/>
                <w:highlight w:val="none"/>
                <w14:textFill>
                  <w14:solidFill>
                    <w14:schemeClr w14:val="tx1"/>
                  </w14:solidFill>
                </w14:textFill>
              </w:rPr>
              <w:t>g/km·</w:t>
            </w:r>
            <w:r>
              <w:rPr>
                <w:rFonts w:hint="eastAsia"/>
                <w:b/>
                <w:bCs/>
                <w:color w:val="000000" w:themeColor="text1"/>
                <w:highlight w:val="none"/>
                <w14:textFill>
                  <w14:solidFill>
                    <w14:schemeClr w14:val="tx1"/>
                  </w14:solidFill>
                </w14:textFill>
              </w:rPr>
              <w:t>辆）</w:t>
            </w:r>
          </w:p>
        </w:tc>
        <w:tc>
          <w:tcPr>
            <w:tcW w:w="1420" w:type="dxa"/>
            <w:tcBorders>
              <w:bottom w:val="single" w:color="auto" w:sz="12" w:space="0"/>
            </w:tcBorders>
            <w:noWrap w:val="0"/>
            <w:vAlign w:val="center"/>
          </w:tcPr>
          <w:p w14:paraId="273A20B9">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厂区运输长度（km）</w:t>
            </w:r>
          </w:p>
        </w:tc>
        <w:tc>
          <w:tcPr>
            <w:tcW w:w="1421" w:type="dxa"/>
            <w:tcBorders>
              <w:bottom w:val="single" w:color="auto" w:sz="12" w:space="0"/>
            </w:tcBorders>
            <w:noWrap w:val="0"/>
            <w:vAlign w:val="center"/>
          </w:tcPr>
          <w:p w14:paraId="27D62FFB">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交通量（次）</w:t>
            </w:r>
          </w:p>
        </w:tc>
        <w:tc>
          <w:tcPr>
            <w:tcW w:w="1421" w:type="dxa"/>
            <w:tcBorders>
              <w:bottom w:val="single" w:color="auto" w:sz="12" w:space="0"/>
            </w:tcBorders>
            <w:noWrap w:val="0"/>
            <w:vAlign w:val="center"/>
          </w:tcPr>
          <w:p w14:paraId="61A8AA34">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产生量（t/a）</w:t>
            </w:r>
          </w:p>
        </w:tc>
      </w:tr>
      <w:tr w14:paraId="1E869E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restart"/>
            <w:tcBorders>
              <w:top w:val="single" w:color="auto" w:sz="12" w:space="0"/>
            </w:tcBorders>
            <w:noWrap w:val="0"/>
            <w:vAlign w:val="center"/>
          </w:tcPr>
          <w:p w14:paraId="42AC14D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汽车运输</w:t>
            </w:r>
          </w:p>
        </w:tc>
        <w:tc>
          <w:tcPr>
            <w:tcW w:w="1420" w:type="dxa"/>
            <w:tcBorders>
              <w:top w:val="single" w:color="auto" w:sz="12" w:space="0"/>
            </w:tcBorders>
            <w:noWrap w:val="0"/>
            <w:vAlign w:val="center"/>
          </w:tcPr>
          <w:p w14:paraId="39EF360F">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NOx</w:t>
            </w:r>
          </w:p>
        </w:tc>
        <w:tc>
          <w:tcPr>
            <w:tcW w:w="1420" w:type="dxa"/>
            <w:tcBorders>
              <w:top w:val="single" w:color="auto" w:sz="12" w:space="0"/>
            </w:tcBorders>
            <w:noWrap w:val="0"/>
            <w:vAlign w:val="center"/>
          </w:tcPr>
          <w:p w14:paraId="349C074A">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14.65</w:t>
            </w:r>
          </w:p>
        </w:tc>
        <w:tc>
          <w:tcPr>
            <w:tcW w:w="1420" w:type="dxa"/>
            <w:vMerge w:val="restart"/>
            <w:tcBorders>
              <w:top w:val="single" w:color="auto" w:sz="12" w:space="0"/>
            </w:tcBorders>
            <w:noWrap w:val="0"/>
            <w:vAlign w:val="center"/>
          </w:tcPr>
          <w:p w14:paraId="2E58494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0.8</w:t>
            </w:r>
          </w:p>
        </w:tc>
        <w:tc>
          <w:tcPr>
            <w:tcW w:w="1421" w:type="dxa"/>
            <w:vMerge w:val="restart"/>
            <w:tcBorders>
              <w:top w:val="single" w:color="auto" w:sz="12" w:space="0"/>
            </w:tcBorders>
            <w:noWrap w:val="0"/>
            <w:vAlign w:val="center"/>
          </w:tcPr>
          <w:p w14:paraId="14DCD3D3">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4340</w:t>
            </w:r>
          </w:p>
        </w:tc>
        <w:tc>
          <w:tcPr>
            <w:tcW w:w="1421" w:type="dxa"/>
            <w:tcBorders>
              <w:top w:val="single" w:color="auto" w:sz="12" w:space="0"/>
            </w:tcBorders>
            <w:noWrap w:val="0"/>
            <w:vAlign w:val="center"/>
          </w:tcPr>
          <w:p w14:paraId="420880D7">
            <w:pPr>
              <w:pStyle w:val="26"/>
              <w:jc w:val="center"/>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0.05</w:t>
            </w:r>
          </w:p>
        </w:tc>
      </w:tr>
      <w:tr w14:paraId="68D924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noWrap w:val="0"/>
            <w:vAlign w:val="center"/>
          </w:tcPr>
          <w:p w14:paraId="76E648B9">
            <w:pPr>
              <w:pStyle w:val="26"/>
              <w:rPr>
                <w:rFonts w:hint="eastAsia"/>
                <w:color w:val="000000" w:themeColor="text1"/>
                <w:highlight w:val="none"/>
                <w14:textFill>
                  <w14:solidFill>
                    <w14:schemeClr w14:val="tx1"/>
                  </w14:solidFill>
                </w14:textFill>
              </w:rPr>
            </w:pPr>
          </w:p>
        </w:tc>
        <w:tc>
          <w:tcPr>
            <w:tcW w:w="1420" w:type="dxa"/>
            <w:noWrap w:val="0"/>
            <w:vAlign w:val="center"/>
          </w:tcPr>
          <w:p w14:paraId="7715D0C8">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CO</w:t>
            </w:r>
          </w:p>
        </w:tc>
        <w:tc>
          <w:tcPr>
            <w:tcW w:w="1420" w:type="dxa"/>
            <w:noWrap w:val="0"/>
            <w:vAlign w:val="center"/>
          </w:tcPr>
          <w:p w14:paraId="6C4D4BB5">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2.87</w:t>
            </w:r>
          </w:p>
        </w:tc>
        <w:tc>
          <w:tcPr>
            <w:tcW w:w="1420" w:type="dxa"/>
            <w:vMerge w:val="continue"/>
            <w:noWrap w:val="0"/>
            <w:vAlign w:val="center"/>
          </w:tcPr>
          <w:p w14:paraId="7F12635B">
            <w:pPr>
              <w:pStyle w:val="26"/>
              <w:rPr>
                <w:rFonts w:hint="eastAsia"/>
                <w:color w:val="000000" w:themeColor="text1"/>
                <w:highlight w:val="none"/>
                <w14:textFill>
                  <w14:solidFill>
                    <w14:schemeClr w14:val="tx1"/>
                  </w14:solidFill>
                </w14:textFill>
              </w:rPr>
            </w:pPr>
          </w:p>
        </w:tc>
        <w:tc>
          <w:tcPr>
            <w:tcW w:w="1421" w:type="dxa"/>
            <w:vMerge w:val="continue"/>
            <w:noWrap w:val="0"/>
            <w:vAlign w:val="center"/>
          </w:tcPr>
          <w:p w14:paraId="1E9EFE70">
            <w:pPr>
              <w:pStyle w:val="26"/>
              <w:rPr>
                <w:rFonts w:hint="eastAsia"/>
                <w:color w:val="000000" w:themeColor="text1"/>
                <w:highlight w:val="none"/>
                <w14:textFill>
                  <w14:solidFill>
                    <w14:schemeClr w14:val="tx1"/>
                  </w14:solidFill>
                </w14:textFill>
              </w:rPr>
            </w:pPr>
          </w:p>
        </w:tc>
        <w:tc>
          <w:tcPr>
            <w:tcW w:w="1421" w:type="dxa"/>
            <w:noWrap w:val="0"/>
            <w:vAlign w:val="center"/>
          </w:tcPr>
          <w:p w14:paraId="676F712E">
            <w:pPr>
              <w:pStyle w:val="26"/>
              <w:jc w:val="center"/>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0.01</w:t>
            </w:r>
          </w:p>
        </w:tc>
      </w:tr>
      <w:tr w14:paraId="3AB3A8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Merge w:val="continue"/>
            <w:noWrap w:val="0"/>
            <w:vAlign w:val="center"/>
          </w:tcPr>
          <w:p w14:paraId="3C7D67C2">
            <w:pPr>
              <w:pStyle w:val="26"/>
              <w:rPr>
                <w:rFonts w:hint="eastAsia"/>
                <w:color w:val="000000" w:themeColor="text1"/>
                <w:highlight w:val="none"/>
                <w14:textFill>
                  <w14:solidFill>
                    <w14:schemeClr w14:val="tx1"/>
                  </w14:solidFill>
                </w14:textFill>
              </w:rPr>
            </w:pPr>
          </w:p>
        </w:tc>
        <w:tc>
          <w:tcPr>
            <w:tcW w:w="1420" w:type="dxa"/>
            <w:noWrap w:val="0"/>
            <w:vAlign w:val="center"/>
          </w:tcPr>
          <w:p w14:paraId="3A5E1CAC">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THC</w:t>
            </w:r>
          </w:p>
        </w:tc>
        <w:tc>
          <w:tcPr>
            <w:tcW w:w="1420" w:type="dxa"/>
            <w:noWrap w:val="0"/>
            <w:vAlign w:val="center"/>
          </w:tcPr>
          <w:p w14:paraId="20BAEB5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0.51</w:t>
            </w:r>
          </w:p>
        </w:tc>
        <w:tc>
          <w:tcPr>
            <w:tcW w:w="1420" w:type="dxa"/>
            <w:vMerge w:val="continue"/>
            <w:noWrap w:val="0"/>
            <w:vAlign w:val="center"/>
          </w:tcPr>
          <w:p w14:paraId="3CD916C9">
            <w:pPr>
              <w:pStyle w:val="26"/>
              <w:rPr>
                <w:rFonts w:hint="eastAsia"/>
                <w:color w:val="000000" w:themeColor="text1"/>
                <w:highlight w:val="none"/>
                <w14:textFill>
                  <w14:solidFill>
                    <w14:schemeClr w14:val="tx1"/>
                  </w14:solidFill>
                </w14:textFill>
              </w:rPr>
            </w:pPr>
          </w:p>
        </w:tc>
        <w:tc>
          <w:tcPr>
            <w:tcW w:w="1421" w:type="dxa"/>
            <w:vMerge w:val="continue"/>
            <w:noWrap w:val="0"/>
            <w:vAlign w:val="center"/>
          </w:tcPr>
          <w:p w14:paraId="6A8D6E4E">
            <w:pPr>
              <w:pStyle w:val="26"/>
              <w:rPr>
                <w:rFonts w:hint="eastAsia"/>
                <w:color w:val="000000" w:themeColor="text1"/>
                <w:highlight w:val="none"/>
                <w14:textFill>
                  <w14:solidFill>
                    <w14:schemeClr w14:val="tx1"/>
                  </w14:solidFill>
                </w14:textFill>
              </w:rPr>
            </w:pPr>
          </w:p>
        </w:tc>
        <w:tc>
          <w:tcPr>
            <w:tcW w:w="1421" w:type="dxa"/>
            <w:noWrap w:val="0"/>
            <w:vAlign w:val="center"/>
          </w:tcPr>
          <w:p w14:paraId="6E2FB2DE">
            <w:pPr>
              <w:pStyle w:val="26"/>
              <w:jc w:val="center"/>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0.002</w:t>
            </w:r>
          </w:p>
        </w:tc>
      </w:tr>
    </w:tbl>
    <w:p w14:paraId="6AE79884">
      <w:pPr>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非正常工况</w:t>
      </w:r>
    </w:p>
    <w:p w14:paraId="18ECB8BC">
      <w:pPr>
        <w:keepNext w:val="0"/>
        <w:keepLines w:val="0"/>
        <w:widowControl/>
        <w:suppressLineNumbers w:val="0"/>
        <w:jc w:val="left"/>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本项目涉及的事故排放主要是废气处理设施发生故障，考虑最不利情况，废气处理装置完全失效，非正常排放历时不超过</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1h</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p>
    <w:p w14:paraId="22338739">
      <w:pPr>
        <w:keepNext w:val="0"/>
        <w:keepLines w:val="0"/>
        <w:widowControl/>
        <w:suppressLineNumbers w:val="0"/>
        <w:jc w:val="left"/>
        <w:rPr>
          <w:rFonts w:hint="default" w:ascii="宋体" w:hAnsi="宋体" w:eastAsia="宋体" w:cs="宋体"/>
          <w:color w:val="000000" w:themeColor="text1"/>
          <w:kern w:val="0"/>
          <w:sz w:val="24"/>
          <w:szCs w:val="24"/>
          <w:highlight w:val="none"/>
          <w:lang w:val="en-US" w:eastAsia="zh-CN" w:bidi="ar"/>
          <w14:textFill>
            <w14:solidFill>
              <w14:schemeClr w14:val="tx1"/>
            </w14:solidFill>
          </w14:textFill>
        </w:rPr>
      </w:pPr>
      <w:r>
        <w:rPr>
          <w:rFonts w:hint="eastAsia" w:ascii="宋体" w:hAnsi="宋体" w:cs="宋体"/>
          <w:color w:val="000000" w:themeColor="text1"/>
          <w:kern w:val="0"/>
          <w:sz w:val="24"/>
          <w:szCs w:val="24"/>
          <w:highlight w:val="none"/>
          <w:lang w:val="en-US" w:eastAsia="zh-CN" w:bidi="ar"/>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非正常工况废气产排情况见表3.7.1-4。</w:t>
      </w:r>
    </w:p>
    <w:p w14:paraId="3B3C9EB4">
      <w:pPr>
        <w:pStyle w:val="2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表3.7.1-4      项目非正常工况废气产排情况</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1070"/>
        <w:gridCol w:w="1520"/>
        <w:gridCol w:w="1800"/>
        <w:gridCol w:w="3655"/>
      </w:tblGrid>
      <w:tr w14:paraId="516E97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6" w:type="dxa"/>
            <w:noWrap w:val="0"/>
            <w:vAlign w:val="center"/>
          </w:tcPr>
          <w:p w14:paraId="6E447CAC">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排放源</w:t>
            </w:r>
          </w:p>
        </w:tc>
        <w:tc>
          <w:tcPr>
            <w:tcW w:w="1070" w:type="dxa"/>
            <w:noWrap w:val="0"/>
            <w:vAlign w:val="center"/>
          </w:tcPr>
          <w:p w14:paraId="71D57EB2">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废气类型</w:t>
            </w:r>
          </w:p>
        </w:tc>
        <w:tc>
          <w:tcPr>
            <w:tcW w:w="1520" w:type="dxa"/>
            <w:noWrap w:val="0"/>
            <w:vAlign w:val="center"/>
          </w:tcPr>
          <w:p w14:paraId="7B0D7D2C">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污染物</w:t>
            </w:r>
          </w:p>
        </w:tc>
        <w:tc>
          <w:tcPr>
            <w:tcW w:w="1800" w:type="dxa"/>
            <w:noWrap w:val="0"/>
            <w:vAlign w:val="center"/>
          </w:tcPr>
          <w:p w14:paraId="70D7B71A">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产生速率（kg/h）</w:t>
            </w:r>
          </w:p>
        </w:tc>
        <w:tc>
          <w:tcPr>
            <w:tcW w:w="3655" w:type="dxa"/>
            <w:tcBorders>
              <w:bottom w:val="single" w:color="auto" w:sz="12" w:space="0"/>
            </w:tcBorders>
            <w:noWrap w:val="0"/>
            <w:vAlign w:val="center"/>
          </w:tcPr>
          <w:p w14:paraId="1002763E">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备注</w:t>
            </w:r>
          </w:p>
        </w:tc>
      </w:tr>
      <w:tr w14:paraId="319A17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026" w:type="dxa"/>
            <w:vMerge w:val="restart"/>
            <w:tcBorders>
              <w:top w:val="single" w:color="auto" w:sz="12" w:space="0"/>
              <w:tl2br w:val="nil"/>
              <w:tr2bl w:val="nil"/>
            </w:tcBorders>
            <w:noWrap w:val="0"/>
            <w:vAlign w:val="center"/>
          </w:tcPr>
          <w:p w14:paraId="028227BC">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DA001</w:t>
            </w:r>
          </w:p>
        </w:tc>
        <w:tc>
          <w:tcPr>
            <w:tcW w:w="1070" w:type="dxa"/>
            <w:vMerge w:val="restart"/>
            <w:tcBorders>
              <w:top w:val="single" w:color="auto" w:sz="12" w:space="0"/>
              <w:tl2br w:val="nil"/>
              <w:tr2bl w:val="nil"/>
            </w:tcBorders>
            <w:noWrap w:val="0"/>
            <w:vAlign w:val="center"/>
          </w:tcPr>
          <w:p w14:paraId="294521F0">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投料废气、反应废气</w:t>
            </w:r>
          </w:p>
        </w:tc>
        <w:tc>
          <w:tcPr>
            <w:tcW w:w="1520" w:type="dxa"/>
            <w:tcBorders>
              <w:top w:val="single" w:color="auto" w:sz="12" w:space="0"/>
              <w:tl2br w:val="nil"/>
              <w:tr2bl w:val="nil"/>
            </w:tcBorders>
            <w:noWrap w:val="0"/>
            <w:vAlign w:val="center"/>
          </w:tcPr>
          <w:p w14:paraId="1C25EBA8">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1800" w:type="dxa"/>
            <w:tcBorders>
              <w:top w:val="single" w:color="auto" w:sz="12" w:space="0"/>
              <w:tl2br w:val="nil"/>
              <w:tr2bl w:val="nil"/>
            </w:tcBorders>
            <w:noWrap w:val="0"/>
            <w:vAlign w:val="center"/>
          </w:tcPr>
          <w:p w14:paraId="1346801F">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15.55</w:t>
            </w:r>
          </w:p>
        </w:tc>
        <w:tc>
          <w:tcPr>
            <w:tcW w:w="3655" w:type="dxa"/>
            <w:vMerge w:val="restart"/>
            <w:tcBorders>
              <w:top w:val="single" w:color="auto" w:sz="12" w:space="0"/>
              <w:tl2br w:val="nil"/>
              <w:tr2bl w:val="nil"/>
            </w:tcBorders>
            <w:noWrap w:val="0"/>
            <w:vAlign w:val="center"/>
          </w:tcPr>
          <w:p w14:paraId="44E005EC">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废气处理设施故障，碱洗设备故障，废气净化系统处理效率为0%，排放时间按照1h计，发生频率1次/年，处置措施立即停车检修，污染治理设备正常运行后方可继续生产</w:t>
            </w:r>
          </w:p>
        </w:tc>
      </w:tr>
      <w:tr w14:paraId="643070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6" w:type="dxa"/>
            <w:vMerge w:val="continue"/>
            <w:tcBorders>
              <w:tl2br w:val="nil"/>
              <w:tr2bl w:val="nil"/>
            </w:tcBorders>
            <w:noWrap w:val="0"/>
            <w:vAlign w:val="center"/>
          </w:tcPr>
          <w:p w14:paraId="18FEAFD6">
            <w:pPr>
              <w:pStyle w:val="26"/>
              <w:bidi w:val="0"/>
              <w:ind w:left="0" w:leftChars="0" w:right="0" w:rightChars="0" w:firstLine="0" w:firstLineChars="0"/>
              <w:jc w:val="center"/>
              <w:rPr>
                <w:rFonts w:hint="eastAsia"/>
                <w:color w:val="000000" w:themeColor="text1"/>
                <w:highlight w:val="none"/>
                <w:lang w:val="en-US" w:eastAsia="zh-CN"/>
                <w14:textFill>
                  <w14:solidFill>
                    <w14:schemeClr w14:val="tx1"/>
                  </w14:solidFill>
                </w14:textFill>
              </w:rPr>
            </w:pPr>
          </w:p>
        </w:tc>
        <w:tc>
          <w:tcPr>
            <w:tcW w:w="1070" w:type="dxa"/>
            <w:vMerge w:val="continue"/>
            <w:tcBorders>
              <w:tl2br w:val="nil"/>
              <w:tr2bl w:val="nil"/>
            </w:tcBorders>
            <w:noWrap w:val="0"/>
            <w:vAlign w:val="center"/>
          </w:tcPr>
          <w:p w14:paraId="6D7ABB54">
            <w:pPr>
              <w:pStyle w:val="26"/>
              <w:bidi w:val="0"/>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520" w:type="dxa"/>
            <w:tcBorders>
              <w:tl2br w:val="nil"/>
              <w:tr2bl w:val="nil"/>
            </w:tcBorders>
            <w:noWrap w:val="0"/>
            <w:vAlign w:val="center"/>
          </w:tcPr>
          <w:p w14:paraId="43A6B12D">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1800" w:type="dxa"/>
            <w:tcBorders>
              <w:tl2br w:val="nil"/>
              <w:tr2bl w:val="nil"/>
            </w:tcBorders>
            <w:noWrap w:val="0"/>
            <w:vAlign w:val="center"/>
          </w:tcPr>
          <w:p w14:paraId="31B0281D">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0.185</w:t>
            </w:r>
          </w:p>
        </w:tc>
        <w:tc>
          <w:tcPr>
            <w:tcW w:w="3655" w:type="dxa"/>
            <w:vMerge w:val="continue"/>
            <w:tcBorders>
              <w:tl2br w:val="nil"/>
              <w:tr2bl w:val="nil"/>
            </w:tcBorders>
            <w:noWrap w:val="0"/>
            <w:vAlign w:val="center"/>
          </w:tcPr>
          <w:p w14:paraId="39FAEC60">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671513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6" w:type="dxa"/>
            <w:vMerge w:val="continue"/>
            <w:tcBorders>
              <w:tl2br w:val="nil"/>
              <w:tr2bl w:val="nil"/>
            </w:tcBorders>
            <w:noWrap w:val="0"/>
            <w:vAlign w:val="center"/>
          </w:tcPr>
          <w:p w14:paraId="63F94CB9">
            <w:pPr>
              <w:pStyle w:val="26"/>
              <w:bidi w:val="0"/>
              <w:ind w:left="0" w:leftChars="0" w:right="0" w:rightChars="0" w:firstLine="0" w:firstLineChars="0"/>
              <w:jc w:val="center"/>
              <w:rPr>
                <w:rFonts w:hint="eastAsia"/>
                <w:color w:val="000000" w:themeColor="text1"/>
                <w:highlight w:val="none"/>
                <w:lang w:val="en-US" w:eastAsia="zh-CN"/>
                <w14:textFill>
                  <w14:solidFill>
                    <w14:schemeClr w14:val="tx1"/>
                  </w14:solidFill>
                </w14:textFill>
              </w:rPr>
            </w:pPr>
          </w:p>
        </w:tc>
        <w:tc>
          <w:tcPr>
            <w:tcW w:w="1070" w:type="dxa"/>
            <w:vMerge w:val="continue"/>
            <w:tcBorders>
              <w:tl2br w:val="nil"/>
              <w:tr2bl w:val="nil"/>
            </w:tcBorders>
            <w:noWrap w:val="0"/>
            <w:vAlign w:val="center"/>
          </w:tcPr>
          <w:p w14:paraId="4753A3DE">
            <w:pPr>
              <w:pStyle w:val="26"/>
              <w:bidi w:val="0"/>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520" w:type="dxa"/>
            <w:tcBorders>
              <w:tl2br w:val="nil"/>
              <w:tr2bl w:val="nil"/>
            </w:tcBorders>
            <w:noWrap w:val="0"/>
            <w:vAlign w:val="center"/>
          </w:tcPr>
          <w:p w14:paraId="7743E467">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1800" w:type="dxa"/>
            <w:tcBorders>
              <w:tl2br w:val="nil"/>
              <w:tr2bl w:val="nil"/>
            </w:tcBorders>
            <w:noWrap w:val="0"/>
            <w:vAlign w:val="center"/>
          </w:tcPr>
          <w:p w14:paraId="181F32D1">
            <w:pPr>
              <w:pStyle w:val="26"/>
              <w:bidi w:val="0"/>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1.1</w:t>
            </w:r>
            <w:r>
              <w:rPr>
                <w:rFonts w:hint="eastAsia" w:cs="Times New Roman"/>
                <w:color w:val="000000" w:themeColor="text1"/>
                <w:highlight w:val="none"/>
                <w:lang w:val="en-US" w:eastAsia="zh-CN"/>
                <w14:textFill>
                  <w14:solidFill>
                    <w14:schemeClr w14:val="tx1"/>
                  </w14:solidFill>
                </w14:textFill>
              </w:rPr>
              <w:t>1</w:t>
            </w:r>
          </w:p>
        </w:tc>
        <w:tc>
          <w:tcPr>
            <w:tcW w:w="3655" w:type="dxa"/>
            <w:vMerge w:val="continue"/>
            <w:tcBorders>
              <w:tl2br w:val="nil"/>
              <w:tr2bl w:val="nil"/>
            </w:tcBorders>
            <w:noWrap w:val="0"/>
            <w:vAlign w:val="center"/>
          </w:tcPr>
          <w:p w14:paraId="4C8F15F4">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r w14:paraId="177019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6" w:type="dxa"/>
            <w:vMerge w:val="continue"/>
            <w:tcBorders>
              <w:tl2br w:val="nil"/>
              <w:tr2bl w:val="nil"/>
            </w:tcBorders>
            <w:noWrap w:val="0"/>
            <w:vAlign w:val="center"/>
          </w:tcPr>
          <w:p w14:paraId="0B10F5EE">
            <w:pPr>
              <w:pStyle w:val="26"/>
              <w:bidi w:val="0"/>
              <w:ind w:left="0" w:leftChars="0" w:right="0" w:rightChars="0" w:firstLine="0" w:firstLineChars="0"/>
              <w:jc w:val="center"/>
              <w:rPr>
                <w:rFonts w:hint="eastAsia"/>
                <w:color w:val="000000" w:themeColor="text1"/>
                <w:highlight w:val="none"/>
                <w:lang w:val="en-US" w:eastAsia="zh-CN"/>
                <w14:textFill>
                  <w14:solidFill>
                    <w14:schemeClr w14:val="tx1"/>
                  </w14:solidFill>
                </w14:textFill>
              </w:rPr>
            </w:pPr>
          </w:p>
        </w:tc>
        <w:tc>
          <w:tcPr>
            <w:tcW w:w="1070" w:type="dxa"/>
            <w:vMerge w:val="continue"/>
            <w:tcBorders>
              <w:tl2br w:val="nil"/>
              <w:tr2bl w:val="nil"/>
            </w:tcBorders>
            <w:noWrap w:val="0"/>
            <w:vAlign w:val="center"/>
          </w:tcPr>
          <w:p w14:paraId="3FEC4A4C">
            <w:pPr>
              <w:pStyle w:val="26"/>
              <w:bidi w:val="0"/>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520" w:type="dxa"/>
            <w:tcBorders>
              <w:tl2br w:val="nil"/>
              <w:tr2bl w:val="nil"/>
            </w:tcBorders>
            <w:noWrap w:val="0"/>
            <w:vAlign w:val="center"/>
          </w:tcPr>
          <w:p w14:paraId="3E21F0CB">
            <w:pPr>
              <w:pStyle w:val="26"/>
              <w:bidi w:val="0"/>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1800" w:type="dxa"/>
            <w:tcBorders>
              <w:tl2br w:val="nil"/>
              <w:tr2bl w:val="nil"/>
            </w:tcBorders>
            <w:noWrap w:val="0"/>
            <w:vAlign w:val="center"/>
          </w:tcPr>
          <w:p w14:paraId="1549BCFD">
            <w:pPr>
              <w:pStyle w:val="26"/>
              <w:bidi w:val="0"/>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0.026</w:t>
            </w:r>
          </w:p>
        </w:tc>
        <w:tc>
          <w:tcPr>
            <w:tcW w:w="3655" w:type="dxa"/>
            <w:vMerge w:val="continue"/>
            <w:tcBorders>
              <w:tl2br w:val="nil"/>
              <w:tr2bl w:val="nil"/>
            </w:tcBorders>
            <w:noWrap w:val="0"/>
            <w:vAlign w:val="center"/>
          </w:tcPr>
          <w:p w14:paraId="2F862429">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r>
    </w:tbl>
    <w:p w14:paraId="78A1B75D">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3.7.2</w:t>
      </w:r>
      <w:r>
        <w:rPr>
          <w:rFonts w:hint="eastAsia"/>
          <w:color w:val="000000" w:themeColor="text1"/>
          <w:highlight w:val="none"/>
          <w14:textFill>
            <w14:solidFill>
              <w14:schemeClr w14:val="tx1"/>
            </w14:solidFill>
          </w14:textFill>
        </w:rPr>
        <w:t>废水</w:t>
      </w:r>
    </w:p>
    <w:p w14:paraId="78F0560C">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项目运营期产生的废水主要为碱喷淋废水、纯水制备废水和生活污水。</w:t>
      </w:r>
    </w:p>
    <w:p w14:paraId="4C2EAB36">
      <w:pPr>
        <w:bidi w:val="0"/>
        <w:spacing w:line="36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碱喷淋塔废水</w:t>
      </w:r>
    </w:p>
    <w:p w14:paraId="4DCA1468">
      <w:pPr>
        <w:numPr>
          <w:ilvl w:val="0"/>
          <w:numId w:val="0"/>
        </w:numPr>
        <w:bidi w:val="0"/>
        <w:spacing w:line="360" w:lineRule="auto"/>
        <w:ind w:firstLine="480" w:firstLineChars="20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项目速凝剂装置设有3台反应釜</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中和剂反应釜1台，速凝剂反应釜2台</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，其中产生有机废气的为速凝剂反应釜，根据前述工程分析、引风量总量为</w:t>
      </w:r>
      <w:r>
        <w:rPr>
          <w:rFonts w:hint="eastAsia"/>
          <w:color w:val="000000" w:themeColor="text1"/>
          <w:highlight w:val="none"/>
          <w:lang w:val="en-US" w:eastAsia="zh-CN"/>
          <w14:textFill>
            <w14:solidFill>
              <w14:schemeClr w14:val="tx1"/>
            </w14:solidFill>
          </w14:textFill>
        </w:rPr>
        <w:t>50</w:t>
      </w:r>
      <w:r>
        <w:rPr>
          <w:rFonts w:hint="default"/>
          <w:color w:val="000000" w:themeColor="text1"/>
          <w:highlight w:val="none"/>
          <w:lang w:val="en-US" w:eastAsia="zh-CN"/>
          <w14:textFill>
            <w14:solidFill>
              <w14:schemeClr w14:val="tx1"/>
            </w14:solidFill>
          </w14:textFill>
        </w:rPr>
        <w:t>000m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h。项目废气喷淋用水按液气比</w:t>
      </w:r>
      <w:r>
        <w:rPr>
          <w:rFonts w:hint="eastAsia"/>
          <w:color w:val="000000" w:themeColor="text1"/>
          <w:highlight w:val="none"/>
          <w:lang w:val="en-US" w:eastAsia="zh-CN"/>
          <w14:textFill>
            <w14:solidFill>
              <w14:schemeClr w14:val="tx1"/>
            </w14:solidFill>
          </w14:textFill>
        </w:rPr>
        <w:t>1.6</w:t>
      </w:r>
      <w:r>
        <w:rPr>
          <w:rFonts w:hint="default"/>
          <w:color w:val="000000" w:themeColor="text1"/>
          <w:highlight w:val="none"/>
          <w:lang w:val="en-US" w:eastAsia="zh-CN"/>
          <w14:textFill>
            <w14:solidFill>
              <w14:schemeClr w14:val="tx1"/>
            </w14:solidFill>
          </w14:textFill>
        </w:rPr>
        <w:t>L/m</w:t>
      </w:r>
      <w:r>
        <w:rPr>
          <w:rFonts w:hint="eastAsia"/>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计算。则项目碱喷淋塔循环水量均为8m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h，喷淋过程中补水量约为循环水量的1.0%，则补充水量均为0.08m(0.8m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d，240m</w:t>
      </w:r>
      <w:r>
        <w:rPr>
          <w:rFonts w:hint="default"/>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/a</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循环水池储水量约为6m</w:t>
      </w:r>
      <w:r>
        <w:rPr>
          <w:rFonts w:hint="default"/>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，喷淋塔水循环使用，定期补充新鲜水，平均每个月更换一次，废水排放量按总储水量的90%计，则废水排放量均为5.4m</w:t>
      </w:r>
      <w:r>
        <w:rPr>
          <w:rFonts w:hint="eastAsia"/>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/次</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0.18m</w:t>
      </w:r>
      <w:r>
        <w:rPr>
          <w:rFonts w:hint="eastAsia"/>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/d，54m</w:t>
      </w:r>
      <w:r>
        <w:rPr>
          <w:rFonts w:hint="eastAsia"/>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/a</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废水直接回用</w:t>
      </w:r>
      <w:r>
        <w:rPr>
          <w:rFonts w:hint="eastAsia"/>
          <w:color w:val="000000" w:themeColor="text1"/>
          <w:highlight w:val="none"/>
          <w:lang w:val="en-US" w:eastAsia="zh-CN"/>
          <w14:textFill>
            <w14:solidFill>
              <w14:schemeClr w14:val="tx1"/>
            </w14:solidFill>
          </w14:textFill>
        </w:rPr>
        <w:t>于硫酸铝生产线</w:t>
      </w:r>
      <w:r>
        <w:rPr>
          <w:rFonts w:hint="default"/>
          <w:color w:val="000000" w:themeColor="text1"/>
          <w:highlight w:val="none"/>
          <w:lang w:val="en-US" w:eastAsia="zh-CN"/>
          <w14:textFill>
            <w14:solidFill>
              <w14:schemeClr w14:val="tx1"/>
            </w14:solidFill>
          </w14:textFill>
        </w:rPr>
        <w:t>工序，不外排。</w:t>
      </w:r>
    </w:p>
    <w:p w14:paraId="3B2F31E0">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（2）纯水制备废水</w:t>
      </w:r>
    </w:p>
    <w:p w14:paraId="4B8327BB">
      <w:pPr>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本项目纯水来自纯水制备系统，使用自来水制备，产水率约为8</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%，制备纯水的自来水用量为</w:t>
      </w:r>
      <w:r>
        <w:rPr>
          <w:rFonts w:hint="eastAsia"/>
          <w:color w:val="000000" w:themeColor="text1"/>
          <w:highlight w:val="none"/>
          <w:lang w:val="en-US" w:eastAsia="zh-CN"/>
          <w14:textFill>
            <w14:solidFill>
              <w14:schemeClr w14:val="tx1"/>
            </w14:solidFill>
          </w14:textFill>
        </w:rPr>
        <w:t>12970</w:t>
      </w:r>
      <w:r>
        <w:rPr>
          <w:rFonts w:hint="eastAsia"/>
          <w:color w:val="000000" w:themeColor="text1"/>
          <w:highlight w:val="none"/>
          <w14:textFill>
            <w14:solidFill>
              <w14:schemeClr w14:val="tx1"/>
            </w14:solidFill>
          </w14:textFill>
        </w:rPr>
        <w:t>t</w:t>
      </w:r>
      <w:r>
        <w:rPr>
          <w:color w:val="000000" w:themeColor="text1"/>
          <w:highlight w:val="none"/>
          <w14:textFill>
            <w14:solidFill>
              <w14:schemeClr w14:val="tx1"/>
            </w14:solidFill>
          </w14:textFill>
        </w:rPr>
        <w:t>/a，则产生的废水量约为</w:t>
      </w:r>
      <w:r>
        <w:rPr>
          <w:rFonts w:hint="eastAsia"/>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94t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该部分水为清净下水，</w:t>
      </w:r>
      <w:r>
        <w:rPr>
          <w:rFonts w:hint="default"/>
          <w:color w:val="000000" w:themeColor="text1"/>
          <w:highlight w:val="none"/>
          <w:lang w:val="en-US" w:eastAsia="zh-CN"/>
          <w14:textFill>
            <w14:solidFill>
              <w14:schemeClr w14:val="tx1"/>
            </w14:solidFill>
          </w14:textFill>
        </w:rPr>
        <w:t>回用</w:t>
      </w:r>
      <w:r>
        <w:rPr>
          <w:rFonts w:hint="eastAsia"/>
          <w:color w:val="000000" w:themeColor="text1"/>
          <w:highlight w:val="none"/>
          <w:lang w:val="en-US" w:eastAsia="zh-CN"/>
          <w14:textFill>
            <w14:solidFill>
              <w14:schemeClr w14:val="tx1"/>
            </w14:solidFill>
          </w14:textFill>
        </w:rPr>
        <w:t>于速凝剂生产线</w:t>
      </w:r>
      <w:r>
        <w:rPr>
          <w:rFonts w:hint="default"/>
          <w:color w:val="000000" w:themeColor="text1"/>
          <w:highlight w:val="none"/>
          <w:lang w:val="en-US" w:eastAsia="zh-CN"/>
          <w14:textFill>
            <w14:solidFill>
              <w14:schemeClr w14:val="tx1"/>
            </w14:solidFill>
          </w14:textFill>
        </w:rPr>
        <w:t>，不外排</w:t>
      </w:r>
      <w:r>
        <w:rPr>
          <w:color w:val="000000" w:themeColor="text1"/>
          <w:highlight w:val="none"/>
          <w14:textFill>
            <w14:solidFill>
              <w14:schemeClr w14:val="tx1"/>
            </w14:solidFill>
          </w14:textFill>
        </w:rPr>
        <w:t>。</w:t>
      </w:r>
    </w:p>
    <w:p w14:paraId="37578334">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（3）生活污水</w:t>
      </w:r>
    </w:p>
    <w:p w14:paraId="14217E4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本项目定员</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人，年工作</w:t>
      </w:r>
      <w:r>
        <w:rPr>
          <w:rFonts w:hint="eastAsia"/>
          <w:color w:val="000000" w:themeColor="text1"/>
          <w:highlight w:val="none"/>
          <w:lang w:val="en-US" w:eastAsia="zh-CN"/>
          <w14:textFill>
            <w14:solidFill>
              <w14:schemeClr w14:val="tx1"/>
            </w14:solidFill>
          </w14:textFill>
        </w:rPr>
        <w:t>18</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天，员工用水标准按照100L/人·d，则生活用水</w:t>
      </w:r>
      <w:r>
        <w:rPr>
          <w:rFonts w:hint="eastAsia"/>
          <w:color w:val="000000" w:themeColor="text1"/>
          <w:highlight w:val="none"/>
          <w:lang w:val="en-US" w:eastAsia="zh-CN"/>
          <w14:textFill>
            <w14:solidFill>
              <w14:schemeClr w14:val="tx1"/>
            </w14:solidFill>
          </w14:textFill>
        </w:rPr>
        <w:t>540</w:t>
      </w:r>
      <w:r>
        <w:rPr>
          <w:rFonts w:hint="eastAsia"/>
          <w:color w:val="000000" w:themeColor="text1"/>
          <w:highlight w:val="none"/>
          <w14:textFill>
            <w14:solidFill>
              <w14:schemeClr w14:val="tx1"/>
            </w14:solidFill>
          </w14:textFill>
        </w:rPr>
        <w:t>t/a，</w:t>
      </w:r>
      <w:r>
        <w:rPr>
          <w:color w:val="000000" w:themeColor="text1"/>
          <w:highlight w:val="none"/>
          <w14:textFill>
            <w14:solidFill>
              <w14:schemeClr w14:val="tx1"/>
            </w14:solidFill>
          </w14:textFill>
        </w:rPr>
        <w:t>项目生活污水量按用水量的80%</w:t>
      </w:r>
      <w:r>
        <w:rPr>
          <w:rFonts w:hint="eastAsia"/>
          <w:color w:val="000000" w:themeColor="text1"/>
          <w:highlight w:val="none"/>
          <w:lang w:eastAsia="zh-CN"/>
          <w14:textFill>
            <w14:solidFill>
              <w14:schemeClr w14:val="tx1"/>
            </w14:solidFill>
          </w14:textFill>
        </w:rPr>
        <w:t>计算</w:t>
      </w:r>
      <w:r>
        <w:rPr>
          <w:color w:val="000000" w:themeColor="text1"/>
          <w:highlight w:val="none"/>
          <w14:textFill>
            <w14:solidFill>
              <w14:schemeClr w14:val="tx1"/>
            </w14:solidFill>
          </w14:textFill>
        </w:rPr>
        <w:t>，则生活污水量为</w:t>
      </w:r>
      <w:r>
        <w:rPr>
          <w:rFonts w:hint="eastAsia"/>
          <w:color w:val="000000" w:themeColor="text1"/>
          <w:highlight w:val="none"/>
          <w:lang w:val="en-US" w:eastAsia="zh-CN"/>
          <w14:textFill>
            <w14:solidFill>
              <w14:schemeClr w14:val="tx1"/>
            </w14:solidFill>
          </w14:textFill>
        </w:rPr>
        <w:t>432</w:t>
      </w:r>
      <w:r>
        <w:rPr>
          <w:rFonts w:hint="eastAsia"/>
          <w:color w:val="000000" w:themeColor="text1"/>
          <w:highlight w:val="none"/>
          <w14:textFill>
            <w14:solidFill>
              <w14:schemeClr w14:val="tx1"/>
            </w14:solidFill>
          </w14:textFill>
        </w:rPr>
        <w:t>t/a，</w:t>
      </w:r>
      <w:r>
        <w:rPr>
          <w:rFonts w:hint="eastAsia"/>
          <w:color w:val="000000" w:themeColor="text1"/>
          <w:szCs w:val="32"/>
          <w:highlight w:val="none"/>
          <w14:textFill>
            <w14:solidFill>
              <w14:schemeClr w14:val="tx1"/>
            </w14:solidFill>
          </w14:textFill>
        </w:rPr>
        <w:t>生活污水排入</w:t>
      </w:r>
      <w:r>
        <w:rPr>
          <w:rFonts w:hint="eastAsia"/>
          <w:color w:val="000000" w:themeColor="text1"/>
          <w:highlight w:val="none"/>
          <w14:textFill>
            <w14:solidFill>
              <w14:schemeClr w14:val="tx1"/>
            </w14:solidFill>
          </w14:textFill>
        </w:rPr>
        <w:t>园区污水管网，</w:t>
      </w:r>
      <w:r>
        <w:rPr>
          <w:color w:val="000000" w:themeColor="text1"/>
          <w:highlight w:val="none"/>
          <w14:textFill>
            <w14:solidFill>
              <w14:schemeClr w14:val="tx1"/>
            </w14:solidFill>
          </w14:textFill>
        </w:rPr>
        <w:t>本项目污水产生及排放情况见表</w:t>
      </w:r>
      <w:r>
        <w:rPr>
          <w:rFonts w:hint="eastAsia"/>
          <w:color w:val="000000" w:themeColor="text1"/>
          <w:highlight w:val="none"/>
          <w:lang w:val="en-US" w:eastAsia="zh-CN"/>
          <w14:textFill>
            <w14:solidFill>
              <w14:schemeClr w14:val="tx1"/>
            </w14:solidFill>
          </w14:textFill>
        </w:rPr>
        <w:t>3.7.2-1</w:t>
      </w:r>
      <w:r>
        <w:rPr>
          <w:color w:val="000000" w:themeColor="text1"/>
          <w:highlight w:val="none"/>
          <w14:textFill>
            <w14:solidFill>
              <w14:schemeClr w14:val="tx1"/>
            </w14:solidFill>
          </w14:textFill>
        </w:rPr>
        <w:t>。</w:t>
      </w:r>
    </w:p>
    <w:p w14:paraId="4831DF43">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3.7</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 xml:space="preserve">-1   </w:t>
      </w:r>
      <w:r>
        <w:rPr>
          <w:color w:val="000000" w:themeColor="text1"/>
          <w:highlight w:val="none"/>
          <w14:textFill>
            <w14:solidFill>
              <w14:schemeClr w14:val="tx1"/>
            </w14:solidFill>
          </w14:textFill>
        </w:rPr>
        <w:t xml:space="preserve">  建设项目废水产生及排放一览表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537"/>
        <w:gridCol w:w="910"/>
        <w:gridCol w:w="1160"/>
        <w:gridCol w:w="1070"/>
        <w:gridCol w:w="1450"/>
        <w:gridCol w:w="1200"/>
        <w:gridCol w:w="1489"/>
        <w:gridCol w:w="1255"/>
      </w:tblGrid>
      <w:tr w14:paraId="22FDFD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37" w:type="dxa"/>
            <w:vMerge w:val="restart"/>
            <w:noWrap w:val="0"/>
            <w:vAlign w:val="center"/>
          </w:tcPr>
          <w:p w14:paraId="6C89F25C">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废水类别</w:t>
            </w:r>
          </w:p>
        </w:tc>
        <w:tc>
          <w:tcPr>
            <w:tcW w:w="910" w:type="dxa"/>
            <w:vMerge w:val="restart"/>
            <w:noWrap w:val="0"/>
            <w:vAlign w:val="center"/>
          </w:tcPr>
          <w:p w14:paraId="0AD986E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污染物</w:t>
            </w:r>
          </w:p>
        </w:tc>
        <w:tc>
          <w:tcPr>
            <w:tcW w:w="2230" w:type="dxa"/>
            <w:gridSpan w:val="2"/>
            <w:noWrap w:val="0"/>
            <w:vAlign w:val="center"/>
          </w:tcPr>
          <w:p w14:paraId="629F33D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产生情况</w:t>
            </w:r>
          </w:p>
        </w:tc>
        <w:tc>
          <w:tcPr>
            <w:tcW w:w="1450" w:type="dxa"/>
            <w:vMerge w:val="restart"/>
            <w:noWrap w:val="0"/>
            <w:vAlign w:val="center"/>
          </w:tcPr>
          <w:p w14:paraId="48342C4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治理措施</w:t>
            </w:r>
          </w:p>
        </w:tc>
        <w:tc>
          <w:tcPr>
            <w:tcW w:w="2689" w:type="dxa"/>
            <w:gridSpan w:val="2"/>
            <w:noWrap w:val="0"/>
            <w:vAlign w:val="center"/>
          </w:tcPr>
          <w:p w14:paraId="212C881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排放情况</w:t>
            </w:r>
          </w:p>
        </w:tc>
        <w:tc>
          <w:tcPr>
            <w:tcW w:w="1255" w:type="dxa"/>
            <w:vMerge w:val="restart"/>
            <w:tcBorders>
              <w:bottom w:val="single" w:color="000000" w:sz="12" w:space="0"/>
            </w:tcBorders>
            <w:noWrap w:val="0"/>
            <w:vAlign w:val="center"/>
          </w:tcPr>
          <w:p w14:paraId="7F405733">
            <w:pPr>
              <w:pStyle w:val="26"/>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去向</w:t>
            </w:r>
          </w:p>
        </w:tc>
      </w:tr>
      <w:tr w14:paraId="0F8511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37" w:type="dxa"/>
            <w:vMerge w:val="continue"/>
            <w:tcBorders>
              <w:bottom w:val="single" w:color="000000" w:sz="12" w:space="0"/>
            </w:tcBorders>
            <w:noWrap w:val="0"/>
            <w:vAlign w:val="center"/>
          </w:tcPr>
          <w:p w14:paraId="0C3FF377">
            <w:pPr>
              <w:pStyle w:val="26"/>
              <w:rPr>
                <w:b/>
                <w:bCs/>
                <w:color w:val="000000" w:themeColor="text1"/>
                <w:highlight w:val="none"/>
                <w14:textFill>
                  <w14:solidFill>
                    <w14:schemeClr w14:val="tx1"/>
                  </w14:solidFill>
                </w14:textFill>
              </w:rPr>
            </w:pPr>
          </w:p>
        </w:tc>
        <w:tc>
          <w:tcPr>
            <w:tcW w:w="910" w:type="dxa"/>
            <w:vMerge w:val="continue"/>
            <w:tcBorders>
              <w:bottom w:val="single" w:color="000000" w:sz="12" w:space="0"/>
            </w:tcBorders>
            <w:noWrap w:val="0"/>
            <w:vAlign w:val="center"/>
          </w:tcPr>
          <w:p w14:paraId="74759864">
            <w:pPr>
              <w:pStyle w:val="26"/>
              <w:rPr>
                <w:b/>
                <w:bCs/>
                <w:color w:val="000000" w:themeColor="text1"/>
                <w:highlight w:val="none"/>
                <w14:textFill>
                  <w14:solidFill>
                    <w14:schemeClr w14:val="tx1"/>
                  </w14:solidFill>
                </w14:textFill>
              </w:rPr>
            </w:pPr>
          </w:p>
        </w:tc>
        <w:tc>
          <w:tcPr>
            <w:tcW w:w="1160" w:type="dxa"/>
            <w:tcBorders>
              <w:bottom w:val="single" w:color="000000" w:sz="12" w:space="0"/>
            </w:tcBorders>
            <w:noWrap w:val="0"/>
            <w:vAlign w:val="center"/>
          </w:tcPr>
          <w:p w14:paraId="15E9075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浓度mg/L</w:t>
            </w:r>
          </w:p>
        </w:tc>
        <w:tc>
          <w:tcPr>
            <w:tcW w:w="1070" w:type="dxa"/>
            <w:tcBorders>
              <w:bottom w:val="single" w:color="000000" w:sz="12" w:space="0"/>
            </w:tcBorders>
            <w:noWrap w:val="0"/>
            <w:vAlign w:val="center"/>
          </w:tcPr>
          <w:p w14:paraId="19B480C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产生量t/a</w:t>
            </w:r>
          </w:p>
        </w:tc>
        <w:tc>
          <w:tcPr>
            <w:tcW w:w="1450" w:type="dxa"/>
            <w:vMerge w:val="continue"/>
            <w:tcBorders>
              <w:bottom w:val="single" w:color="000000" w:sz="12" w:space="0"/>
            </w:tcBorders>
            <w:noWrap w:val="0"/>
            <w:vAlign w:val="center"/>
          </w:tcPr>
          <w:p w14:paraId="28EA37D3">
            <w:pPr>
              <w:pStyle w:val="26"/>
              <w:rPr>
                <w:b/>
                <w:bCs/>
                <w:color w:val="000000" w:themeColor="text1"/>
                <w:highlight w:val="none"/>
                <w14:textFill>
                  <w14:solidFill>
                    <w14:schemeClr w14:val="tx1"/>
                  </w14:solidFill>
                </w14:textFill>
              </w:rPr>
            </w:pPr>
          </w:p>
        </w:tc>
        <w:tc>
          <w:tcPr>
            <w:tcW w:w="1200" w:type="dxa"/>
            <w:tcBorders>
              <w:bottom w:val="single" w:color="000000" w:sz="12" w:space="0"/>
            </w:tcBorders>
            <w:noWrap w:val="0"/>
            <w:vAlign w:val="center"/>
          </w:tcPr>
          <w:p w14:paraId="3BEC918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浓度mg/L</w:t>
            </w:r>
          </w:p>
        </w:tc>
        <w:tc>
          <w:tcPr>
            <w:tcW w:w="1489" w:type="dxa"/>
            <w:tcBorders>
              <w:bottom w:val="single" w:color="000000" w:sz="12" w:space="0"/>
            </w:tcBorders>
            <w:noWrap w:val="0"/>
            <w:vAlign w:val="center"/>
          </w:tcPr>
          <w:p w14:paraId="5376DE8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排放量t/a</w:t>
            </w:r>
          </w:p>
        </w:tc>
        <w:tc>
          <w:tcPr>
            <w:tcW w:w="1255" w:type="dxa"/>
            <w:vMerge w:val="continue"/>
            <w:tcBorders>
              <w:top w:val="single" w:color="000000" w:sz="12" w:space="0"/>
              <w:bottom w:val="single" w:color="000000" w:sz="12" w:space="0"/>
            </w:tcBorders>
            <w:noWrap w:val="0"/>
            <w:vAlign w:val="center"/>
          </w:tcPr>
          <w:p w14:paraId="097011CF">
            <w:pPr>
              <w:pStyle w:val="26"/>
              <w:rPr>
                <w:color w:val="000000" w:themeColor="text1"/>
                <w:highlight w:val="none"/>
                <w14:textFill>
                  <w14:solidFill>
                    <w14:schemeClr w14:val="tx1"/>
                  </w14:solidFill>
                </w14:textFill>
              </w:rPr>
            </w:pPr>
          </w:p>
        </w:tc>
      </w:tr>
      <w:tr w14:paraId="4CE24D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37" w:type="dxa"/>
            <w:vMerge w:val="restart"/>
            <w:tcBorders>
              <w:top w:val="single" w:color="000000" w:sz="12" w:space="0"/>
            </w:tcBorders>
            <w:noWrap w:val="0"/>
            <w:vAlign w:val="center"/>
          </w:tcPr>
          <w:p w14:paraId="0F79BFB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生活污水</w:t>
            </w:r>
          </w:p>
        </w:tc>
        <w:tc>
          <w:tcPr>
            <w:tcW w:w="910" w:type="dxa"/>
            <w:tcBorders>
              <w:top w:val="single" w:color="000000" w:sz="12" w:space="0"/>
            </w:tcBorders>
            <w:noWrap w:val="0"/>
            <w:vAlign w:val="center"/>
          </w:tcPr>
          <w:p w14:paraId="3FBC835F">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COD</w:t>
            </w:r>
            <w:r>
              <w:rPr>
                <w:rFonts w:hint="eastAsia"/>
                <w:color w:val="000000" w:themeColor="text1"/>
                <w:highlight w:val="none"/>
                <w14:textFill>
                  <w14:solidFill>
                    <w14:schemeClr w14:val="tx1"/>
                  </w14:solidFill>
                </w14:textFill>
              </w:rPr>
              <w:t>cr</w:t>
            </w:r>
          </w:p>
        </w:tc>
        <w:tc>
          <w:tcPr>
            <w:tcW w:w="1160" w:type="dxa"/>
            <w:tcBorders>
              <w:top w:val="single" w:color="000000" w:sz="12" w:space="0"/>
            </w:tcBorders>
            <w:noWrap w:val="0"/>
            <w:vAlign w:val="center"/>
          </w:tcPr>
          <w:p w14:paraId="46685DE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50</w:t>
            </w:r>
          </w:p>
        </w:tc>
        <w:tc>
          <w:tcPr>
            <w:tcW w:w="1070" w:type="dxa"/>
            <w:tcBorders>
              <w:top w:val="single" w:color="000000" w:sz="12" w:space="0"/>
            </w:tcBorders>
            <w:noWrap w:val="0"/>
            <w:vAlign w:val="center"/>
          </w:tcPr>
          <w:p w14:paraId="12C8A479">
            <w:pPr>
              <w:pStyle w:val="26"/>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15</w:t>
            </w:r>
          </w:p>
        </w:tc>
        <w:tc>
          <w:tcPr>
            <w:tcW w:w="1450" w:type="dxa"/>
            <w:vMerge w:val="restart"/>
            <w:tcBorders>
              <w:top w:val="single" w:color="000000" w:sz="12" w:space="0"/>
            </w:tcBorders>
            <w:noWrap w:val="0"/>
            <w:vAlign w:val="center"/>
          </w:tcPr>
          <w:p w14:paraId="3FEDF54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00" w:type="dxa"/>
            <w:tcBorders>
              <w:top w:val="single" w:color="000000" w:sz="12" w:space="0"/>
            </w:tcBorders>
            <w:noWrap w:val="0"/>
            <w:vAlign w:val="center"/>
          </w:tcPr>
          <w:p w14:paraId="14D98044">
            <w:pPr>
              <w:pStyle w:val="26"/>
              <w:ind w:left="0" w:leftChars="0" w:right="0" w:righ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50</w:t>
            </w:r>
          </w:p>
        </w:tc>
        <w:tc>
          <w:tcPr>
            <w:tcW w:w="1489" w:type="dxa"/>
            <w:tcBorders>
              <w:top w:val="single" w:color="000000" w:sz="12" w:space="0"/>
            </w:tcBorders>
            <w:noWrap w:val="0"/>
            <w:vAlign w:val="center"/>
          </w:tcPr>
          <w:p w14:paraId="782DB668">
            <w:pPr>
              <w:pStyle w:val="26"/>
              <w:ind w:left="0" w:leftChars="0" w:right="0" w:righ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15</w:t>
            </w:r>
          </w:p>
        </w:tc>
        <w:tc>
          <w:tcPr>
            <w:tcW w:w="1255" w:type="dxa"/>
            <w:vMerge w:val="restart"/>
            <w:tcBorders>
              <w:top w:val="single" w:color="000000" w:sz="12" w:space="0"/>
            </w:tcBorders>
            <w:noWrap w:val="0"/>
            <w:vAlign w:val="center"/>
          </w:tcPr>
          <w:p w14:paraId="0644688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园区污水处理厂</w:t>
            </w:r>
          </w:p>
        </w:tc>
      </w:tr>
      <w:tr w14:paraId="2C36E2A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37" w:type="dxa"/>
            <w:vMerge w:val="continue"/>
            <w:noWrap w:val="0"/>
            <w:vAlign w:val="center"/>
          </w:tcPr>
          <w:p w14:paraId="55ED9488">
            <w:pPr>
              <w:pStyle w:val="26"/>
              <w:rPr>
                <w:color w:val="000000" w:themeColor="text1"/>
                <w:highlight w:val="none"/>
                <w14:textFill>
                  <w14:solidFill>
                    <w14:schemeClr w14:val="tx1"/>
                  </w14:solidFill>
                </w14:textFill>
              </w:rPr>
            </w:pPr>
          </w:p>
        </w:tc>
        <w:tc>
          <w:tcPr>
            <w:tcW w:w="910" w:type="dxa"/>
            <w:noWrap w:val="0"/>
            <w:vAlign w:val="center"/>
          </w:tcPr>
          <w:p w14:paraId="158DB00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BOD</w:t>
            </w:r>
            <w:r>
              <w:rPr>
                <w:color w:val="000000" w:themeColor="text1"/>
                <w:highlight w:val="none"/>
                <w:vertAlign w:val="subscript"/>
                <w14:textFill>
                  <w14:solidFill>
                    <w14:schemeClr w14:val="tx1"/>
                  </w14:solidFill>
                </w14:textFill>
              </w:rPr>
              <w:t>5</w:t>
            </w:r>
          </w:p>
        </w:tc>
        <w:tc>
          <w:tcPr>
            <w:tcW w:w="1160" w:type="dxa"/>
            <w:noWrap w:val="0"/>
            <w:vAlign w:val="center"/>
          </w:tcPr>
          <w:p w14:paraId="0BEA9B7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250</w:t>
            </w:r>
          </w:p>
        </w:tc>
        <w:tc>
          <w:tcPr>
            <w:tcW w:w="1070" w:type="dxa"/>
            <w:noWrap w:val="0"/>
            <w:vAlign w:val="center"/>
          </w:tcPr>
          <w:p w14:paraId="1D321B2D">
            <w:pPr>
              <w:pStyle w:val="26"/>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11</w:t>
            </w:r>
          </w:p>
        </w:tc>
        <w:tc>
          <w:tcPr>
            <w:tcW w:w="1450" w:type="dxa"/>
            <w:vMerge w:val="continue"/>
            <w:noWrap w:val="0"/>
            <w:vAlign w:val="center"/>
          </w:tcPr>
          <w:p w14:paraId="5102C7E7">
            <w:pPr>
              <w:pStyle w:val="26"/>
              <w:rPr>
                <w:color w:val="000000" w:themeColor="text1"/>
                <w:highlight w:val="none"/>
                <w14:textFill>
                  <w14:solidFill>
                    <w14:schemeClr w14:val="tx1"/>
                  </w14:solidFill>
                </w14:textFill>
              </w:rPr>
            </w:pPr>
          </w:p>
        </w:tc>
        <w:tc>
          <w:tcPr>
            <w:tcW w:w="1200" w:type="dxa"/>
            <w:noWrap w:val="0"/>
            <w:vAlign w:val="center"/>
          </w:tcPr>
          <w:p w14:paraId="1460349F">
            <w:pPr>
              <w:pStyle w:val="26"/>
              <w:ind w:left="0" w:leftChars="0" w:right="0" w:rightChars="0"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250</w:t>
            </w:r>
          </w:p>
        </w:tc>
        <w:tc>
          <w:tcPr>
            <w:tcW w:w="1489" w:type="dxa"/>
            <w:noWrap w:val="0"/>
            <w:vAlign w:val="center"/>
          </w:tcPr>
          <w:p w14:paraId="33A082E2">
            <w:pPr>
              <w:pStyle w:val="26"/>
              <w:ind w:left="0" w:leftChars="0" w:right="0" w:righ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11</w:t>
            </w:r>
          </w:p>
        </w:tc>
        <w:tc>
          <w:tcPr>
            <w:tcW w:w="1255" w:type="dxa"/>
            <w:vMerge w:val="continue"/>
            <w:noWrap w:val="0"/>
            <w:vAlign w:val="center"/>
          </w:tcPr>
          <w:p w14:paraId="76584D2D">
            <w:pPr>
              <w:pStyle w:val="26"/>
              <w:rPr>
                <w:color w:val="000000" w:themeColor="text1"/>
                <w:highlight w:val="none"/>
                <w14:textFill>
                  <w14:solidFill>
                    <w14:schemeClr w14:val="tx1"/>
                  </w14:solidFill>
                </w14:textFill>
              </w:rPr>
            </w:pPr>
          </w:p>
        </w:tc>
      </w:tr>
      <w:tr w14:paraId="7944A7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37" w:type="dxa"/>
            <w:vMerge w:val="continue"/>
            <w:noWrap w:val="0"/>
            <w:vAlign w:val="center"/>
          </w:tcPr>
          <w:p w14:paraId="112B10F0">
            <w:pPr>
              <w:pStyle w:val="26"/>
              <w:rPr>
                <w:color w:val="000000" w:themeColor="text1"/>
                <w:highlight w:val="none"/>
                <w14:textFill>
                  <w14:solidFill>
                    <w14:schemeClr w14:val="tx1"/>
                  </w14:solidFill>
                </w14:textFill>
              </w:rPr>
            </w:pPr>
          </w:p>
        </w:tc>
        <w:tc>
          <w:tcPr>
            <w:tcW w:w="910" w:type="dxa"/>
            <w:noWrap w:val="0"/>
            <w:vAlign w:val="center"/>
          </w:tcPr>
          <w:p w14:paraId="7F2D403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SS</w:t>
            </w:r>
          </w:p>
        </w:tc>
        <w:tc>
          <w:tcPr>
            <w:tcW w:w="1160" w:type="dxa"/>
            <w:noWrap w:val="0"/>
            <w:vAlign w:val="center"/>
          </w:tcPr>
          <w:p w14:paraId="3DFEF70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200</w:t>
            </w:r>
          </w:p>
        </w:tc>
        <w:tc>
          <w:tcPr>
            <w:tcW w:w="1070" w:type="dxa"/>
            <w:noWrap w:val="0"/>
            <w:vAlign w:val="center"/>
          </w:tcPr>
          <w:p w14:paraId="6A2C328D">
            <w:pPr>
              <w:pStyle w:val="26"/>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09</w:t>
            </w:r>
          </w:p>
        </w:tc>
        <w:tc>
          <w:tcPr>
            <w:tcW w:w="1450" w:type="dxa"/>
            <w:vMerge w:val="continue"/>
            <w:noWrap w:val="0"/>
            <w:vAlign w:val="center"/>
          </w:tcPr>
          <w:p w14:paraId="4C503879">
            <w:pPr>
              <w:pStyle w:val="26"/>
              <w:rPr>
                <w:color w:val="000000" w:themeColor="text1"/>
                <w:highlight w:val="none"/>
                <w14:textFill>
                  <w14:solidFill>
                    <w14:schemeClr w14:val="tx1"/>
                  </w14:solidFill>
                </w14:textFill>
              </w:rPr>
            </w:pPr>
          </w:p>
        </w:tc>
        <w:tc>
          <w:tcPr>
            <w:tcW w:w="1200" w:type="dxa"/>
            <w:noWrap w:val="0"/>
            <w:vAlign w:val="center"/>
          </w:tcPr>
          <w:p w14:paraId="15282213">
            <w:pPr>
              <w:pStyle w:val="26"/>
              <w:ind w:left="0" w:leftChars="0" w:right="0" w:rightChars="0"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200</w:t>
            </w:r>
          </w:p>
        </w:tc>
        <w:tc>
          <w:tcPr>
            <w:tcW w:w="1489" w:type="dxa"/>
            <w:noWrap w:val="0"/>
            <w:vAlign w:val="center"/>
          </w:tcPr>
          <w:p w14:paraId="5BCD0929">
            <w:pPr>
              <w:pStyle w:val="26"/>
              <w:ind w:left="0" w:leftChars="0" w:right="0" w:righ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09</w:t>
            </w:r>
          </w:p>
        </w:tc>
        <w:tc>
          <w:tcPr>
            <w:tcW w:w="1255" w:type="dxa"/>
            <w:vMerge w:val="continue"/>
            <w:noWrap w:val="0"/>
            <w:vAlign w:val="center"/>
          </w:tcPr>
          <w:p w14:paraId="4F884315">
            <w:pPr>
              <w:pStyle w:val="26"/>
              <w:rPr>
                <w:color w:val="000000" w:themeColor="text1"/>
                <w:highlight w:val="none"/>
                <w14:textFill>
                  <w14:solidFill>
                    <w14:schemeClr w14:val="tx1"/>
                  </w14:solidFill>
                </w14:textFill>
              </w:rPr>
            </w:pPr>
          </w:p>
        </w:tc>
      </w:tr>
      <w:tr w14:paraId="420465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37" w:type="dxa"/>
            <w:vMerge w:val="continue"/>
            <w:noWrap w:val="0"/>
            <w:vAlign w:val="center"/>
          </w:tcPr>
          <w:p w14:paraId="61BD4016">
            <w:pPr>
              <w:pStyle w:val="26"/>
              <w:rPr>
                <w:color w:val="000000" w:themeColor="text1"/>
                <w:highlight w:val="none"/>
                <w14:textFill>
                  <w14:solidFill>
                    <w14:schemeClr w14:val="tx1"/>
                  </w14:solidFill>
                </w14:textFill>
              </w:rPr>
            </w:pPr>
          </w:p>
        </w:tc>
        <w:tc>
          <w:tcPr>
            <w:tcW w:w="910" w:type="dxa"/>
            <w:noWrap w:val="0"/>
            <w:vAlign w:val="center"/>
          </w:tcPr>
          <w:p w14:paraId="2702824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NH</w:t>
            </w:r>
            <w:r>
              <w:rPr>
                <w:color w:val="000000" w:themeColor="text1"/>
                <w:highlight w:val="none"/>
                <w:vertAlign w:val="subscript"/>
                <w14:textFill>
                  <w14:solidFill>
                    <w14:schemeClr w14:val="tx1"/>
                  </w14:solidFill>
                </w14:textFill>
              </w:rPr>
              <w:t>3</w:t>
            </w:r>
            <w:r>
              <w:rPr>
                <w:color w:val="000000" w:themeColor="text1"/>
                <w:highlight w:val="none"/>
                <w14:textFill>
                  <w14:solidFill>
                    <w14:schemeClr w14:val="tx1"/>
                  </w14:solidFill>
                </w14:textFill>
              </w:rPr>
              <w:t>-N</w:t>
            </w:r>
          </w:p>
        </w:tc>
        <w:tc>
          <w:tcPr>
            <w:tcW w:w="1160" w:type="dxa"/>
            <w:noWrap w:val="0"/>
            <w:vAlign w:val="center"/>
          </w:tcPr>
          <w:p w14:paraId="1CD2D57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40</w:t>
            </w:r>
          </w:p>
        </w:tc>
        <w:tc>
          <w:tcPr>
            <w:tcW w:w="1070" w:type="dxa"/>
            <w:noWrap w:val="0"/>
            <w:vAlign w:val="center"/>
          </w:tcPr>
          <w:p w14:paraId="6AC1032B">
            <w:pPr>
              <w:pStyle w:val="26"/>
              <w:rPr>
                <w:rFonts w:hint="eastAsia"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0.0</w:t>
            </w:r>
            <w:r>
              <w:rPr>
                <w:rFonts w:hint="eastAsia"/>
                <w:color w:val="000000" w:themeColor="text1"/>
                <w:highlight w:val="none"/>
                <w:lang w:val="en-US" w:eastAsia="zh-CN"/>
                <w14:textFill>
                  <w14:solidFill>
                    <w14:schemeClr w14:val="tx1"/>
                  </w14:solidFill>
                </w14:textFill>
              </w:rPr>
              <w:t>2</w:t>
            </w:r>
          </w:p>
        </w:tc>
        <w:tc>
          <w:tcPr>
            <w:tcW w:w="1450" w:type="dxa"/>
            <w:vMerge w:val="continue"/>
            <w:noWrap w:val="0"/>
            <w:vAlign w:val="center"/>
          </w:tcPr>
          <w:p w14:paraId="748840E9">
            <w:pPr>
              <w:pStyle w:val="26"/>
              <w:rPr>
                <w:color w:val="000000" w:themeColor="text1"/>
                <w:highlight w:val="none"/>
                <w14:textFill>
                  <w14:solidFill>
                    <w14:schemeClr w14:val="tx1"/>
                  </w14:solidFill>
                </w14:textFill>
              </w:rPr>
            </w:pPr>
          </w:p>
        </w:tc>
        <w:tc>
          <w:tcPr>
            <w:tcW w:w="1200" w:type="dxa"/>
            <w:noWrap w:val="0"/>
            <w:vAlign w:val="center"/>
          </w:tcPr>
          <w:p w14:paraId="0ADB51B0">
            <w:pPr>
              <w:pStyle w:val="26"/>
              <w:ind w:left="0" w:leftChars="0" w:right="0" w:rightChars="0"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40</w:t>
            </w:r>
          </w:p>
        </w:tc>
        <w:tc>
          <w:tcPr>
            <w:tcW w:w="1489" w:type="dxa"/>
            <w:noWrap w:val="0"/>
            <w:vAlign w:val="center"/>
          </w:tcPr>
          <w:p w14:paraId="6030AFAD">
            <w:pPr>
              <w:pStyle w:val="26"/>
              <w:ind w:left="0" w:leftChars="0" w:right="0" w:righ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0.0</w:t>
            </w:r>
            <w:r>
              <w:rPr>
                <w:rFonts w:hint="eastAsia"/>
                <w:color w:val="000000" w:themeColor="text1"/>
                <w:highlight w:val="none"/>
                <w:lang w:val="en-US" w:eastAsia="zh-CN"/>
                <w14:textFill>
                  <w14:solidFill>
                    <w14:schemeClr w14:val="tx1"/>
                  </w14:solidFill>
                </w14:textFill>
              </w:rPr>
              <w:t>2</w:t>
            </w:r>
          </w:p>
        </w:tc>
        <w:tc>
          <w:tcPr>
            <w:tcW w:w="1255" w:type="dxa"/>
            <w:vMerge w:val="continue"/>
            <w:noWrap w:val="0"/>
            <w:vAlign w:val="center"/>
          </w:tcPr>
          <w:p w14:paraId="04664EF4">
            <w:pPr>
              <w:pStyle w:val="26"/>
              <w:rPr>
                <w:color w:val="000000" w:themeColor="text1"/>
                <w:highlight w:val="none"/>
                <w14:textFill>
                  <w14:solidFill>
                    <w14:schemeClr w14:val="tx1"/>
                  </w14:solidFill>
                </w14:textFill>
              </w:rPr>
            </w:pPr>
          </w:p>
        </w:tc>
      </w:tr>
    </w:tbl>
    <w:p w14:paraId="6AE5E388">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w:t>
      </w:r>
      <w:r>
        <w:rPr>
          <w:rFonts w:hint="eastAsia"/>
          <w:color w:val="000000" w:themeColor="text1"/>
          <w:highlight w:val="none"/>
          <w14:textFill>
            <w14:solidFill>
              <w14:schemeClr w14:val="tx1"/>
            </w14:solidFill>
          </w14:textFill>
        </w:rPr>
        <w:t>.3噪声</w:t>
      </w:r>
    </w:p>
    <w:p w14:paraId="50648C3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项目营运期主要噪声源为</w:t>
      </w:r>
      <w:r>
        <w:rPr>
          <w:rFonts w:hint="eastAsia"/>
          <w:color w:val="000000" w:themeColor="text1"/>
          <w:highlight w:val="none"/>
          <w:lang w:val="en-US" w:eastAsia="zh-CN"/>
          <w14:textFill>
            <w14:solidFill>
              <w14:schemeClr w14:val="tx1"/>
            </w14:solidFill>
          </w14:textFill>
        </w:rPr>
        <w:t>搅拌</w:t>
      </w:r>
      <w:r>
        <w:rPr>
          <w:rFonts w:hint="eastAsia"/>
          <w:color w:val="000000" w:themeColor="text1"/>
          <w:highlight w:val="none"/>
          <w14:textFill>
            <w14:solidFill>
              <w14:schemeClr w14:val="tx1"/>
            </w14:solidFill>
          </w14:textFill>
        </w:rPr>
        <w:t>机、风机等机械设备运行噪声，噪声在</w:t>
      </w:r>
      <w:r>
        <w:rPr>
          <w:color w:val="000000" w:themeColor="text1"/>
          <w:highlight w:val="none"/>
          <w14:textFill>
            <w14:solidFill>
              <w14:schemeClr w14:val="tx1"/>
            </w14:solidFill>
          </w14:textFill>
        </w:rPr>
        <w:t>85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90dB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）。对高噪声设备采取消声、隔声、减振，将高噪声设备置于车间内等综合措施，使噪声值降低</w:t>
      </w:r>
      <w:r>
        <w:rPr>
          <w:color w:val="000000" w:themeColor="text1"/>
          <w:highlight w:val="none"/>
          <w14:textFill>
            <w14:solidFill>
              <w14:schemeClr w14:val="tx1"/>
            </w14:solidFill>
          </w14:textFill>
        </w:rPr>
        <w:t>15~30dB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），控制在</w:t>
      </w:r>
      <w:r>
        <w:rPr>
          <w:color w:val="000000" w:themeColor="text1"/>
          <w:highlight w:val="none"/>
          <w14:textFill>
            <w14:solidFill>
              <w14:schemeClr w14:val="tx1"/>
            </w14:solidFill>
          </w14:textFill>
        </w:rPr>
        <w:t>75dB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）及以下，项目建成后噪声设备声源及治理情况见表</w:t>
      </w:r>
      <w:r>
        <w:rPr>
          <w:rFonts w:hint="eastAsia"/>
          <w:color w:val="000000" w:themeColor="text1"/>
          <w:highlight w:val="none"/>
          <w:lang w:val="en-US" w:eastAsia="zh-CN"/>
          <w14:textFill>
            <w14:solidFill>
              <w14:schemeClr w14:val="tx1"/>
            </w14:solidFill>
          </w14:textFill>
        </w:rPr>
        <w:t>3.7</w:t>
      </w:r>
      <w:r>
        <w:rPr>
          <w:rFonts w:hint="eastAsia"/>
          <w:color w:val="000000" w:themeColor="text1"/>
          <w:highlight w:val="none"/>
          <w14:textFill>
            <w14:solidFill>
              <w14:schemeClr w14:val="tx1"/>
            </w14:solidFill>
          </w14:textFill>
        </w:rPr>
        <w:t>.3-1。</w:t>
      </w:r>
    </w:p>
    <w:p w14:paraId="5C064F34">
      <w:pPr>
        <w:pStyle w:val="2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3.7</w:t>
      </w:r>
      <w:r>
        <w:rPr>
          <w:rFonts w:hint="eastAsia"/>
          <w:color w:val="000000" w:themeColor="text1"/>
          <w:highlight w:val="none"/>
          <w14:textFill>
            <w14:solidFill>
              <w14:schemeClr w14:val="tx1"/>
            </w14:solidFill>
          </w14:textFill>
        </w:rPr>
        <w:t>.3-1        项目噪声设备声源及治理情况一览表</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275"/>
        <w:gridCol w:w="1356"/>
        <w:gridCol w:w="1533"/>
        <w:gridCol w:w="2155"/>
        <w:gridCol w:w="1241"/>
      </w:tblGrid>
      <w:tr w14:paraId="2FE2AF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tcBorders>
              <w:bottom w:val="single" w:color="auto" w:sz="12" w:space="0"/>
            </w:tcBorders>
            <w:noWrap w:val="0"/>
            <w:vAlign w:val="top"/>
          </w:tcPr>
          <w:p w14:paraId="22D37FA1">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设备名称</w:t>
            </w:r>
          </w:p>
        </w:tc>
        <w:tc>
          <w:tcPr>
            <w:tcW w:w="1275" w:type="dxa"/>
            <w:tcBorders>
              <w:bottom w:val="single" w:color="auto" w:sz="12" w:space="0"/>
            </w:tcBorders>
            <w:noWrap w:val="0"/>
            <w:vAlign w:val="top"/>
          </w:tcPr>
          <w:p w14:paraId="7A6501CF">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数量（台）</w:t>
            </w:r>
          </w:p>
        </w:tc>
        <w:tc>
          <w:tcPr>
            <w:tcW w:w="1356" w:type="dxa"/>
            <w:tcBorders>
              <w:bottom w:val="single" w:color="auto" w:sz="12" w:space="0"/>
            </w:tcBorders>
            <w:noWrap w:val="0"/>
            <w:vAlign w:val="top"/>
          </w:tcPr>
          <w:p w14:paraId="22A23CF2">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声压级</w:t>
            </w:r>
          </w:p>
        </w:tc>
        <w:tc>
          <w:tcPr>
            <w:tcW w:w="1533" w:type="dxa"/>
            <w:tcBorders>
              <w:bottom w:val="single" w:color="auto" w:sz="12" w:space="0"/>
            </w:tcBorders>
            <w:noWrap w:val="0"/>
            <w:vAlign w:val="top"/>
          </w:tcPr>
          <w:p w14:paraId="6232F617">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排放规律</w:t>
            </w:r>
          </w:p>
        </w:tc>
        <w:tc>
          <w:tcPr>
            <w:tcW w:w="2155" w:type="dxa"/>
            <w:tcBorders>
              <w:bottom w:val="single" w:color="auto" w:sz="12" w:space="0"/>
            </w:tcBorders>
            <w:noWrap w:val="0"/>
            <w:vAlign w:val="top"/>
          </w:tcPr>
          <w:p w14:paraId="2D171E7B">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治理措施</w:t>
            </w:r>
          </w:p>
        </w:tc>
        <w:tc>
          <w:tcPr>
            <w:tcW w:w="1241" w:type="dxa"/>
            <w:tcBorders>
              <w:bottom w:val="single" w:color="auto" w:sz="12" w:space="0"/>
            </w:tcBorders>
            <w:noWrap w:val="0"/>
            <w:vAlign w:val="top"/>
          </w:tcPr>
          <w:p w14:paraId="7F1C704C">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降噪效果</w:t>
            </w:r>
          </w:p>
        </w:tc>
      </w:tr>
      <w:tr w14:paraId="4D9D4B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14:paraId="588B6638">
            <w:pPr>
              <w:pStyle w:val="26"/>
              <w:bidi w:val="0"/>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中和搅拌釜</w:t>
            </w:r>
          </w:p>
        </w:tc>
        <w:tc>
          <w:tcPr>
            <w:tcW w:w="1275" w:type="dxa"/>
            <w:noWrap w:val="0"/>
            <w:vAlign w:val="center"/>
          </w:tcPr>
          <w:p w14:paraId="114F172F">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1356" w:type="dxa"/>
            <w:noWrap w:val="0"/>
            <w:vAlign w:val="center"/>
          </w:tcPr>
          <w:p w14:paraId="2DBEAA34">
            <w:pPr>
              <w:pStyle w:val="26"/>
              <w:bidi w:val="0"/>
              <w:ind w:left="0" w:leftChars="0" w:right="0" w:righ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w:t>
            </w:r>
          </w:p>
        </w:tc>
        <w:tc>
          <w:tcPr>
            <w:tcW w:w="1533" w:type="dxa"/>
            <w:noWrap w:val="0"/>
            <w:vAlign w:val="center"/>
          </w:tcPr>
          <w:p w14:paraId="1E299DB7">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连续</w:t>
            </w:r>
          </w:p>
        </w:tc>
        <w:tc>
          <w:tcPr>
            <w:tcW w:w="2155" w:type="dxa"/>
            <w:vMerge w:val="restart"/>
            <w:noWrap w:val="0"/>
            <w:vAlign w:val="center"/>
          </w:tcPr>
          <w:p w14:paraId="2AB7C1F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选用低噪声设备，安装减振装置，进行厂房隔声</w:t>
            </w:r>
          </w:p>
        </w:tc>
        <w:tc>
          <w:tcPr>
            <w:tcW w:w="1241" w:type="dxa"/>
            <w:noWrap w:val="0"/>
            <w:vAlign w:val="center"/>
          </w:tcPr>
          <w:p w14:paraId="64CD65E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w:t>
            </w:r>
          </w:p>
        </w:tc>
      </w:tr>
      <w:tr w14:paraId="17883B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14:paraId="18884FBC">
            <w:pPr>
              <w:pStyle w:val="26"/>
              <w:bidi w:val="0"/>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喷淋净化塔</w:t>
            </w:r>
          </w:p>
        </w:tc>
        <w:tc>
          <w:tcPr>
            <w:tcW w:w="1275" w:type="dxa"/>
            <w:noWrap w:val="0"/>
            <w:vAlign w:val="center"/>
          </w:tcPr>
          <w:p w14:paraId="260288D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356" w:type="dxa"/>
            <w:noWrap w:val="0"/>
            <w:vAlign w:val="center"/>
          </w:tcPr>
          <w:p w14:paraId="28D2DD64">
            <w:pPr>
              <w:pStyle w:val="26"/>
              <w:bidi w:val="0"/>
              <w:ind w:left="0" w:leftChars="0" w:right="0" w:righ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w:t>
            </w:r>
          </w:p>
        </w:tc>
        <w:tc>
          <w:tcPr>
            <w:tcW w:w="1533" w:type="dxa"/>
            <w:noWrap w:val="0"/>
            <w:vAlign w:val="center"/>
          </w:tcPr>
          <w:p w14:paraId="0DC88838">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连续</w:t>
            </w:r>
          </w:p>
        </w:tc>
        <w:tc>
          <w:tcPr>
            <w:tcW w:w="2155" w:type="dxa"/>
            <w:vMerge w:val="continue"/>
            <w:noWrap w:val="0"/>
            <w:vAlign w:val="center"/>
          </w:tcPr>
          <w:p w14:paraId="5B422B3B">
            <w:pPr>
              <w:pStyle w:val="26"/>
              <w:rPr>
                <w:color w:val="000000" w:themeColor="text1"/>
                <w:highlight w:val="none"/>
                <w14:textFill>
                  <w14:solidFill>
                    <w14:schemeClr w14:val="tx1"/>
                  </w14:solidFill>
                </w14:textFill>
              </w:rPr>
            </w:pPr>
          </w:p>
        </w:tc>
        <w:tc>
          <w:tcPr>
            <w:tcW w:w="1241" w:type="dxa"/>
            <w:noWrap w:val="0"/>
            <w:vAlign w:val="center"/>
          </w:tcPr>
          <w:p w14:paraId="0E393C1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w:t>
            </w:r>
          </w:p>
        </w:tc>
      </w:tr>
      <w:tr w14:paraId="442CC4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14:paraId="2DB4B5E2">
            <w:pPr>
              <w:pStyle w:val="26"/>
              <w:bidi w:val="0"/>
              <w:ind w:left="0" w:leftChars="0" w:right="0" w:rightChars="0" w:firstLine="0" w:firstLineChars="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反应釜</w:t>
            </w:r>
          </w:p>
        </w:tc>
        <w:tc>
          <w:tcPr>
            <w:tcW w:w="1275" w:type="dxa"/>
            <w:noWrap w:val="0"/>
            <w:vAlign w:val="center"/>
          </w:tcPr>
          <w:p w14:paraId="4CB9EEB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1356" w:type="dxa"/>
            <w:noWrap w:val="0"/>
            <w:vAlign w:val="center"/>
          </w:tcPr>
          <w:p w14:paraId="0CE76ED9">
            <w:pPr>
              <w:pStyle w:val="26"/>
              <w:bidi w:val="0"/>
              <w:ind w:left="0" w:leftChars="0" w:right="0" w:rightChars="0" w:firstLine="0" w:firstLineChars="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w:t>
            </w:r>
          </w:p>
        </w:tc>
        <w:tc>
          <w:tcPr>
            <w:tcW w:w="1533" w:type="dxa"/>
            <w:noWrap w:val="0"/>
            <w:vAlign w:val="center"/>
          </w:tcPr>
          <w:p w14:paraId="3E8FA029">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连续</w:t>
            </w:r>
          </w:p>
        </w:tc>
        <w:tc>
          <w:tcPr>
            <w:tcW w:w="2155" w:type="dxa"/>
            <w:vMerge w:val="continue"/>
            <w:noWrap w:val="0"/>
            <w:vAlign w:val="center"/>
          </w:tcPr>
          <w:p w14:paraId="54A2885D">
            <w:pPr>
              <w:pStyle w:val="26"/>
              <w:rPr>
                <w:color w:val="000000" w:themeColor="text1"/>
                <w:highlight w:val="none"/>
                <w14:textFill>
                  <w14:solidFill>
                    <w14:schemeClr w14:val="tx1"/>
                  </w14:solidFill>
                </w14:textFill>
              </w:rPr>
            </w:pPr>
          </w:p>
        </w:tc>
        <w:tc>
          <w:tcPr>
            <w:tcW w:w="1241" w:type="dxa"/>
            <w:noWrap w:val="0"/>
            <w:vAlign w:val="center"/>
          </w:tcPr>
          <w:p w14:paraId="23E35E9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w:t>
            </w:r>
          </w:p>
        </w:tc>
      </w:tr>
      <w:tr w14:paraId="4FCB04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14:paraId="6CD4FCD2">
            <w:pPr>
              <w:pStyle w:val="26"/>
              <w:bidi w:val="0"/>
              <w:ind w:left="0" w:leftChars="0" w:right="0" w:rightChars="0" w:firstLine="0" w:firstLineChars="0"/>
              <w:jc w:val="center"/>
              <w:rPr>
                <w:rFonts w:hint="eastAsia"/>
                <w:color w:val="000000" w:themeColor="text1"/>
                <w:highlight w:val="none"/>
                <w14:textFill>
                  <w14:solidFill>
                    <w14:schemeClr w14:val="tx1"/>
                  </w14:solidFill>
                </w14:textFill>
              </w:rPr>
            </w:pPr>
            <w:bookmarkStart w:id="649" w:name="_Toc4629"/>
            <w:r>
              <w:rPr>
                <w:color w:val="000000" w:themeColor="text1"/>
                <w:highlight w:val="none"/>
                <w14:textFill>
                  <w14:solidFill>
                    <w14:schemeClr w14:val="tx1"/>
                  </w14:solidFill>
                </w14:textFill>
              </w:rPr>
              <w:t>引风机</w:t>
            </w:r>
          </w:p>
        </w:tc>
        <w:tc>
          <w:tcPr>
            <w:tcW w:w="1275" w:type="dxa"/>
            <w:noWrap w:val="0"/>
            <w:vAlign w:val="center"/>
          </w:tcPr>
          <w:p w14:paraId="27A8C49E">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1356" w:type="dxa"/>
            <w:noWrap w:val="0"/>
            <w:vAlign w:val="center"/>
          </w:tcPr>
          <w:p w14:paraId="522142D8">
            <w:pPr>
              <w:pStyle w:val="26"/>
              <w:bidi w:val="0"/>
              <w:ind w:left="0" w:leftChars="0" w:right="0" w:rightChars="0" w:firstLine="0" w:firstLineChars="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c>
          <w:tcPr>
            <w:tcW w:w="1533" w:type="dxa"/>
            <w:noWrap w:val="0"/>
            <w:vAlign w:val="center"/>
          </w:tcPr>
          <w:p w14:paraId="28BDE1DF">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连续</w:t>
            </w:r>
          </w:p>
        </w:tc>
        <w:tc>
          <w:tcPr>
            <w:tcW w:w="2155" w:type="dxa"/>
            <w:vMerge w:val="continue"/>
            <w:noWrap w:val="0"/>
            <w:vAlign w:val="center"/>
          </w:tcPr>
          <w:p w14:paraId="6A965BFD">
            <w:pPr>
              <w:pStyle w:val="26"/>
              <w:rPr>
                <w:color w:val="000000" w:themeColor="text1"/>
                <w:highlight w:val="none"/>
                <w14:textFill>
                  <w14:solidFill>
                    <w14:schemeClr w14:val="tx1"/>
                  </w14:solidFill>
                </w14:textFill>
              </w:rPr>
            </w:pPr>
          </w:p>
        </w:tc>
        <w:tc>
          <w:tcPr>
            <w:tcW w:w="1241" w:type="dxa"/>
            <w:noWrap w:val="0"/>
            <w:vAlign w:val="center"/>
          </w:tcPr>
          <w:p w14:paraId="65B1759C">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r>
      <w:tr w14:paraId="543D62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14:paraId="516B196E">
            <w:pPr>
              <w:pStyle w:val="26"/>
              <w:bidi w:val="0"/>
              <w:ind w:left="0" w:leftChars="0" w:right="0" w:rightChars="0" w:firstLine="0" w:firstLineChars="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水泵</w:t>
            </w:r>
          </w:p>
        </w:tc>
        <w:tc>
          <w:tcPr>
            <w:tcW w:w="1275" w:type="dxa"/>
            <w:noWrap w:val="0"/>
            <w:vAlign w:val="center"/>
          </w:tcPr>
          <w:p w14:paraId="0A72B423">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c>
          <w:tcPr>
            <w:tcW w:w="1356" w:type="dxa"/>
            <w:noWrap w:val="0"/>
            <w:vAlign w:val="center"/>
          </w:tcPr>
          <w:p w14:paraId="672D60F3">
            <w:pPr>
              <w:pStyle w:val="26"/>
              <w:bidi w:val="0"/>
              <w:ind w:left="0" w:leftChars="0" w:right="0" w:rightChars="0" w:firstLine="0" w:firstLineChars="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w:t>
            </w:r>
          </w:p>
        </w:tc>
        <w:tc>
          <w:tcPr>
            <w:tcW w:w="1533" w:type="dxa"/>
            <w:noWrap w:val="0"/>
            <w:vAlign w:val="center"/>
          </w:tcPr>
          <w:p w14:paraId="324BDA30">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连续</w:t>
            </w:r>
          </w:p>
        </w:tc>
        <w:tc>
          <w:tcPr>
            <w:tcW w:w="2155" w:type="dxa"/>
            <w:vMerge w:val="continue"/>
            <w:noWrap w:val="0"/>
            <w:vAlign w:val="center"/>
          </w:tcPr>
          <w:p w14:paraId="2434EDE2">
            <w:pPr>
              <w:pStyle w:val="26"/>
              <w:rPr>
                <w:color w:val="000000" w:themeColor="text1"/>
                <w:highlight w:val="none"/>
                <w14:textFill>
                  <w14:solidFill>
                    <w14:schemeClr w14:val="tx1"/>
                  </w14:solidFill>
                </w14:textFill>
              </w:rPr>
            </w:pPr>
          </w:p>
        </w:tc>
        <w:tc>
          <w:tcPr>
            <w:tcW w:w="1241" w:type="dxa"/>
            <w:noWrap w:val="0"/>
            <w:vAlign w:val="center"/>
          </w:tcPr>
          <w:p w14:paraId="52F1B1EE">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p>
        </w:tc>
      </w:tr>
    </w:tbl>
    <w:p w14:paraId="6D1C3BF7">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w:t>
      </w:r>
      <w:r>
        <w:rPr>
          <w:rFonts w:hint="eastAsia"/>
          <w:color w:val="000000" w:themeColor="text1"/>
          <w:highlight w:val="none"/>
          <w14:textFill>
            <w14:solidFill>
              <w14:schemeClr w14:val="tx1"/>
            </w14:solidFill>
          </w14:textFill>
        </w:rPr>
        <w:t>.4固废</w:t>
      </w:r>
      <w:bookmarkEnd w:id="649"/>
    </w:p>
    <w:p w14:paraId="6596C49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拟建项目产生的固体废物主要包括一般工业废物、危险废物及生活垃圾。</w:t>
      </w:r>
    </w:p>
    <w:p w14:paraId="1A8CF54A">
      <w:pPr>
        <w:ind w:firstLine="480"/>
        <w:rPr>
          <w:color w:val="000000" w:themeColor="text1"/>
          <w:highlight w:val="none"/>
          <w14:textFill>
            <w14:solidFill>
              <w14:schemeClr w14:val="tx1"/>
            </w14:solidFill>
          </w14:textFill>
        </w:rPr>
      </w:pPr>
      <w:bookmarkStart w:id="650" w:name="_Toc28439"/>
      <w:bookmarkStart w:id="651" w:name="_Toc7086"/>
      <w:bookmarkStart w:id="652" w:name="_Toc28008"/>
      <w:bookmarkStart w:id="653" w:name="_Toc12631"/>
      <w:bookmarkStart w:id="654" w:name="_Toc4836"/>
      <w:bookmarkStart w:id="655" w:name="_Toc28423"/>
      <w:bookmarkStart w:id="656" w:name="_Toc9967"/>
      <w:r>
        <w:rPr>
          <w:rFonts w:hint="eastAsia"/>
          <w:color w:val="000000" w:themeColor="text1"/>
          <w:highlight w:val="none"/>
          <w14:textFill>
            <w14:solidFill>
              <w14:schemeClr w14:val="tx1"/>
            </w14:solidFill>
          </w14:textFill>
        </w:rPr>
        <w:t>（1）一般工业固废</w:t>
      </w:r>
      <w:bookmarkEnd w:id="650"/>
      <w:bookmarkEnd w:id="651"/>
      <w:bookmarkEnd w:id="652"/>
      <w:bookmarkEnd w:id="653"/>
      <w:bookmarkEnd w:id="654"/>
      <w:bookmarkEnd w:id="655"/>
      <w:bookmarkEnd w:id="656"/>
    </w:p>
    <w:p w14:paraId="36FEC9B0">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①</w:t>
      </w:r>
      <w:r>
        <w:rPr>
          <w:rFonts w:hint="default"/>
          <w:color w:val="000000" w:themeColor="text1"/>
          <w:highlight w:val="none"/>
          <w:lang w:val="en-US" w:eastAsia="zh-CN"/>
          <w14:textFill>
            <w14:solidFill>
              <w14:schemeClr w14:val="tx1"/>
            </w14:solidFill>
          </w14:textFill>
        </w:rPr>
        <w:t>未沾染有毒有害物质的包装袋</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桶</w:t>
      </w:r>
      <w:r>
        <w:rPr>
          <w:rFonts w:hint="eastAsia"/>
          <w:color w:val="000000" w:themeColor="text1"/>
          <w:highlight w:val="none"/>
          <w:lang w:val="en-US" w:eastAsia="zh-CN"/>
          <w14:textFill>
            <w14:solidFill>
              <w14:schemeClr w14:val="tx1"/>
            </w14:solidFill>
          </w14:textFill>
        </w:rPr>
        <w:t>）</w:t>
      </w:r>
    </w:p>
    <w:p w14:paraId="3F572F2D">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项目在生产过程中会产生</w:t>
      </w:r>
      <w:r>
        <w:rPr>
          <w:rFonts w:hint="default"/>
          <w:color w:val="000000" w:themeColor="text1"/>
          <w:highlight w:val="none"/>
          <w:lang w:val="en-US" w:eastAsia="zh-CN"/>
          <w14:textFill>
            <w14:solidFill>
              <w14:schemeClr w14:val="tx1"/>
            </w14:solidFill>
          </w14:textFill>
        </w:rPr>
        <w:t>包括聚醚大单体、维生素C、氢氧化铝废包装袋，废包装物产生量约为</w:t>
      </w:r>
      <w:r>
        <w:rPr>
          <w:rFonts w:hint="eastAsia"/>
          <w:color w:val="000000" w:themeColor="text1"/>
          <w:highlight w:val="none"/>
          <w:lang w:val="en-US" w:eastAsia="zh-CN"/>
          <w14:textFill>
            <w14:solidFill>
              <w14:schemeClr w14:val="tx1"/>
            </w14:solidFill>
          </w14:textFill>
        </w:rPr>
        <w:t>2.8t</w:t>
      </w:r>
      <w:r>
        <w:rPr>
          <w:rFonts w:hint="default"/>
          <w:color w:val="000000" w:themeColor="text1"/>
          <w:highlight w:val="none"/>
          <w:lang w:val="en-US" w:eastAsia="zh-CN"/>
          <w14:textFill>
            <w14:solidFill>
              <w14:schemeClr w14:val="tx1"/>
            </w14:solidFill>
          </w14:textFill>
        </w:rPr>
        <w:t>/a，属于一般固废，外售废品回收公司。</w:t>
      </w:r>
    </w:p>
    <w:p w14:paraId="5ACC0834">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②废离子交换树脂</w:t>
      </w:r>
    </w:p>
    <w:p w14:paraId="7680B74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项目设置一套纯水装置进行纯水处理，在运行过程中会产生废离子交换树脂，产生量约0.5t/a，由厂家更换时带走处理。</w:t>
      </w:r>
    </w:p>
    <w:p w14:paraId="7F41F947">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危险废物</w:t>
      </w:r>
    </w:p>
    <w:p w14:paraId="738C3C6B">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①</w:t>
      </w:r>
      <w:r>
        <w:rPr>
          <w:rFonts w:hint="default"/>
          <w:color w:val="000000" w:themeColor="text1"/>
          <w:highlight w:val="none"/>
          <w:lang w:val="en-US" w:eastAsia="zh-CN"/>
          <w14:textFill>
            <w14:solidFill>
              <w14:schemeClr w14:val="tx1"/>
            </w14:solidFill>
          </w14:textFill>
        </w:rPr>
        <w:t>沾染有毒有害物质的化学品包装袋</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桶</w:t>
      </w:r>
      <w:r>
        <w:rPr>
          <w:rFonts w:hint="eastAsia"/>
          <w:color w:val="000000" w:themeColor="text1"/>
          <w:highlight w:val="none"/>
          <w:lang w:val="en-US" w:eastAsia="zh-CN"/>
          <w14:textFill>
            <w14:solidFill>
              <w14:schemeClr w14:val="tx1"/>
            </w14:solidFill>
          </w14:textFill>
        </w:rPr>
        <w:t>）</w:t>
      </w:r>
    </w:p>
    <w:p w14:paraId="665795DE">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项目涉及产生危化品废包装袋</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桶</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的物料为丙烯酸产生量为</w:t>
      </w:r>
      <w:r>
        <w:rPr>
          <w:rFonts w:hint="eastAsia"/>
          <w:color w:val="000000" w:themeColor="text1"/>
          <w:highlight w:val="none"/>
          <w:lang w:val="en-US" w:eastAsia="zh-CN"/>
          <w14:textFill>
            <w14:solidFill>
              <w14:schemeClr w14:val="tx1"/>
            </w14:solidFill>
          </w14:textFill>
        </w:rPr>
        <w:t>0</w:t>
      </w:r>
      <w:r>
        <w:rPr>
          <w:rFonts w:hint="default"/>
          <w:color w:val="000000" w:themeColor="text1"/>
          <w:highlight w:val="none"/>
          <w:lang w:val="en-US" w:eastAsia="zh-CN"/>
          <w14:textFill>
            <w14:solidFill>
              <w14:schemeClr w14:val="tx1"/>
            </w14:solidFill>
          </w14:textFill>
        </w:rPr>
        <w:t>.6ta，根据《国家危险废物名录》</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年版</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，危化品包装袋</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桶</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属于危险废物</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HW49 900-041-49</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在项目危废贮存库贮存，定期</w:t>
      </w:r>
      <w:r>
        <w:rPr>
          <w:rFonts w:hint="default"/>
          <w:color w:val="000000" w:themeColor="text1"/>
          <w:highlight w:val="none"/>
          <w:lang w:val="en-US" w:eastAsia="zh-CN"/>
          <w14:textFill>
            <w14:solidFill>
              <w14:schemeClr w14:val="tx1"/>
            </w14:solidFill>
          </w14:textFill>
        </w:rPr>
        <w:t>交由有资质单位处置。</w:t>
      </w:r>
    </w:p>
    <w:p w14:paraId="73551EEF">
      <w:pPr>
        <w:bidi w:val="0"/>
        <w:rPr>
          <w:color w:val="000000" w:themeColor="text1"/>
          <w:highlight w:val="none"/>
          <w14:textFill>
            <w14:solidFill>
              <w14:schemeClr w14:val="tx1"/>
            </w14:solidFill>
          </w14:textFill>
        </w:rPr>
      </w:pPr>
      <w:bookmarkStart w:id="657" w:name="_Toc19649"/>
      <w:bookmarkStart w:id="658" w:name="_Toc29274"/>
      <w:bookmarkStart w:id="659" w:name="_Toc7439"/>
      <w:bookmarkStart w:id="660" w:name="_Toc11161"/>
      <w:bookmarkStart w:id="661" w:name="_Toc27391"/>
      <w:bookmarkStart w:id="662" w:name="_Toc3147"/>
      <w:bookmarkStart w:id="663" w:name="_Toc2247"/>
      <w:bookmarkStart w:id="664" w:name="_Toc15167"/>
      <w:bookmarkStart w:id="665" w:name="_Toc29153"/>
      <w:bookmarkStart w:id="666" w:name="_Toc18761"/>
      <w:bookmarkStart w:id="667" w:name="_Toc21540"/>
      <w:bookmarkStart w:id="668" w:name="_Toc27569"/>
      <w:bookmarkStart w:id="669" w:name="_Toc9083"/>
      <w:bookmarkStart w:id="670" w:name="_Toc28051"/>
      <w:bookmarkStart w:id="671" w:name="_Toc4504"/>
      <w:bookmarkStart w:id="672" w:name="_Toc16850"/>
      <w:bookmarkStart w:id="673" w:name="_Toc24778"/>
      <w:bookmarkStart w:id="674" w:name="_Toc8060"/>
      <w:r>
        <w:rPr>
          <w:rFonts w:hint="eastAsia"/>
          <w:color w:val="000000" w:themeColor="text1"/>
          <w:highlight w:val="none"/>
          <w14:textFill>
            <w14:solidFill>
              <w14:schemeClr w14:val="tx1"/>
            </w14:solidFill>
          </w14:textFill>
        </w:rPr>
        <w:t>②废机油</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14:paraId="264DCBA9">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项目设备检修、维护过程中将产生废机油，产生量约为</w:t>
      </w:r>
      <w:r>
        <w:rPr>
          <w:color w:val="000000" w:themeColor="text1"/>
          <w:highlight w:val="none"/>
          <w14:textFill>
            <w14:solidFill>
              <w14:schemeClr w14:val="tx1"/>
            </w14:solidFill>
          </w14:textFill>
        </w:rPr>
        <w:t>0.</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t/a</w:t>
      </w:r>
      <w:r>
        <w:rPr>
          <w:rFonts w:hint="eastAsia"/>
          <w:color w:val="000000" w:themeColor="text1"/>
          <w:highlight w:val="none"/>
          <w14:textFill>
            <w14:solidFill>
              <w14:schemeClr w14:val="tx1"/>
            </w14:solidFill>
          </w14:textFill>
        </w:rPr>
        <w:t>，属于危废，危险废物类别为</w:t>
      </w:r>
      <w:r>
        <w:rPr>
          <w:color w:val="000000" w:themeColor="text1"/>
          <w:highlight w:val="none"/>
          <w14:textFill>
            <w14:solidFill>
              <w14:schemeClr w14:val="tx1"/>
            </w14:solidFill>
          </w14:textFill>
        </w:rPr>
        <w:t>HW08</w:t>
      </w:r>
      <w:r>
        <w:rPr>
          <w:rFonts w:hint="eastAsia"/>
          <w:color w:val="000000" w:themeColor="text1"/>
          <w:highlight w:val="none"/>
          <w14:textFill>
            <w14:solidFill>
              <w14:schemeClr w14:val="tx1"/>
            </w14:solidFill>
          </w14:textFill>
        </w:rPr>
        <w:t>（代码：</w:t>
      </w:r>
      <w:r>
        <w:rPr>
          <w:color w:val="000000" w:themeColor="text1"/>
          <w:highlight w:val="none"/>
          <w14:textFill>
            <w14:solidFill>
              <w14:schemeClr w14:val="tx1"/>
            </w14:solidFill>
          </w14:textFill>
        </w:rPr>
        <w:t>900-2</w:t>
      </w:r>
      <w:r>
        <w:rPr>
          <w:rFonts w:hint="eastAsia"/>
          <w:color w:val="000000" w:themeColor="text1"/>
          <w:highlight w:val="none"/>
          <w:lang w:val="en-US" w:eastAsia="zh-CN"/>
          <w14:textFill>
            <w14:solidFill>
              <w14:schemeClr w14:val="tx1"/>
            </w14:solidFill>
          </w14:textFill>
        </w:rPr>
        <w:t>14</w:t>
      </w:r>
      <w:r>
        <w:rPr>
          <w:color w:val="000000" w:themeColor="text1"/>
          <w:highlight w:val="none"/>
          <w14:textFill>
            <w14:solidFill>
              <w14:schemeClr w14:val="tx1"/>
            </w14:solidFill>
          </w14:textFill>
        </w:rPr>
        <w:t>-08</w:t>
      </w:r>
      <w:r>
        <w:rPr>
          <w:rFonts w:hint="eastAsia"/>
          <w:color w:val="000000" w:themeColor="text1"/>
          <w:highlight w:val="none"/>
          <w14:textFill>
            <w14:solidFill>
              <w14:schemeClr w14:val="tx1"/>
            </w14:solidFill>
          </w14:textFill>
        </w:rPr>
        <w:t>）。废机油收集于密闭容器暂存于危废贮存库，定期交有相应危险废物处理资质的单位收运和处置。</w:t>
      </w:r>
    </w:p>
    <w:p w14:paraId="6C4DE167">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③废油桶</w:t>
      </w:r>
    </w:p>
    <w:p w14:paraId="64B750AD">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项目设备检修、维护过程中将产生废机油</w:t>
      </w:r>
      <w:r>
        <w:rPr>
          <w:rFonts w:hint="eastAsia"/>
          <w:color w:val="000000" w:themeColor="text1"/>
          <w:highlight w:val="none"/>
          <w:lang w:val="en-US" w:eastAsia="zh-CN"/>
          <w14:textFill>
            <w14:solidFill>
              <w14:schemeClr w14:val="tx1"/>
            </w14:solidFill>
          </w14:textFill>
        </w:rPr>
        <w:t>桶</w:t>
      </w:r>
      <w:r>
        <w:rPr>
          <w:rFonts w:hint="eastAsia"/>
          <w:color w:val="000000" w:themeColor="text1"/>
          <w:highlight w:val="none"/>
          <w14:textFill>
            <w14:solidFill>
              <w14:schemeClr w14:val="tx1"/>
            </w14:solidFill>
          </w14:textFill>
        </w:rPr>
        <w:t>，产生量约为</w:t>
      </w: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t/a</w:t>
      </w:r>
      <w:r>
        <w:rPr>
          <w:rFonts w:hint="eastAsia"/>
          <w:color w:val="000000" w:themeColor="text1"/>
          <w:highlight w:val="none"/>
          <w14:textFill>
            <w14:solidFill>
              <w14:schemeClr w14:val="tx1"/>
            </w14:solidFill>
          </w14:textFill>
        </w:rPr>
        <w:t>，属于危废，危险废物类别为</w:t>
      </w:r>
      <w:r>
        <w:rPr>
          <w:color w:val="000000" w:themeColor="text1"/>
          <w:highlight w:val="none"/>
          <w14:textFill>
            <w14:solidFill>
              <w14:schemeClr w14:val="tx1"/>
            </w14:solidFill>
          </w14:textFill>
        </w:rPr>
        <w:t>HW08</w:t>
      </w:r>
      <w:r>
        <w:rPr>
          <w:rFonts w:hint="eastAsia"/>
          <w:color w:val="000000" w:themeColor="text1"/>
          <w:highlight w:val="none"/>
          <w14:textFill>
            <w14:solidFill>
              <w14:schemeClr w14:val="tx1"/>
            </w14:solidFill>
          </w14:textFill>
        </w:rPr>
        <w:t>（代码：</w:t>
      </w:r>
      <w:r>
        <w:rPr>
          <w:color w:val="000000" w:themeColor="text1"/>
          <w:highlight w:val="none"/>
          <w14:textFill>
            <w14:solidFill>
              <w14:schemeClr w14:val="tx1"/>
            </w14:solidFill>
          </w14:textFill>
        </w:rPr>
        <w:t>900-249-08</w:t>
      </w:r>
      <w:r>
        <w:rPr>
          <w:rFonts w:hint="eastAsia"/>
          <w:color w:val="000000" w:themeColor="text1"/>
          <w:highlight w:val="none"/>
          <w14:textFill>
            <w14:solidFill>
              <w14:schemeClr w14:val="tx1"/>
            </w14:solidFill>
          </w14:textFill>
        </w:rPr>
        <w:t>）。收集于密闭容器暂存于危废贮存库，定期交有相应危险废物处理资质的单位收运和处置。</w:t>
      </w:r>
    </w:p>
    <w:p w14:paraId="192D1E87">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（3）生活垃圾</w:t>
      </w:r>
    </w:p>
    <w:p w14:paraId="1446462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本项目劳动定员</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人，生活垃圾产生量按每人1kg/d计，则生活垃圾产生量约为</w:t>
      </w:r>
      <w:r>
        <w:rPr>
          <w:rFonts w:hint="eastAsia"/>
          <w:color w:val="000000" w:themeColor="text1"/>
          <w:highlight w:val="none"/>
          <w:lang w:val="en-US" w:eastAsia="zh-CN"/>
          <w14:textFill>
            <w14:solidFill>
              <w14:schemeClr w14:val="tx1"/>
            </w14:solidFill>
          </w14:textFill>
        </w:rPr>
        <w:t>5.4</w:t>
      </w:r>
      <w:r>
        <w:rPr>
          <w:color w:val="000000" w:themeColor="text1"/>
          <w:highlight w:val="none"/>
          <w14:textFill>
            <w14:solidFill>
              <w14:schemeClr w14:val="tx1"/>
            </w14:solidFill>
          </w14:textFill>
        </w:rPr>
        <w:t>t/a，生活垃圾</w:t>
      </w:r>
      <w:r>
        <w:rPr>
          <w:rFonts w:hint="eastAsia"/>
          <w:color w:val="000000" w:themeColor="text1"/>
          <w:highlight w:val="none"/>
          <w14:textFill>
            <w14:solidFill>
              <w14:schemeClr w14:val="tx1"/>
            </w14:solidFill>
          </w14:textFill>
        </w:rPr>
        <w:t>依托现有收集设施收集后定期由园区环卫部门拉运至</w:t>
      </w:r>
      <w:r>
        <w:rPr>
          <w:rFonts w:hint="eastAsia"/>
          <w:color w:val="000000" w:themeColor="text1"/>
          <w:highlight w:val="none"/>
          <w:lang w:val="en-US" w:eastAsia="zh-CN"/>
          <w14:textFill>
            <w14:solidFill>
              <w14:schemeClr w14:val="tx1"/>
            </w14:solidFill>
          </w14:textFill>
        </w:rPr>
        <w:t>城发环保生活垃圾焚烧发电</w:t>
      </w:r>
      <w:r>
        <w:rPr>
          <w:rFonts w:hint="eastAsia"/>
          <w:color w:val="000000" w:themeColor="text1"/>
          <w:highlight w:val="none"/>
          <w14:textFill>
            <w14:solidFill>
              <w14:schemeClr w14:val="tx1"/>
            </w14:solidFill>
          </w14:textFill>
        </w:rPr>
        <w:t>处置</w:t>
      </w:r>
      <w:r>
        <w:rPr>
          <w:color w:val="000000" w:themeColor="text1"/>
          <w:highlight w:val="none"/>
          <w14:textFill>
            <w14:solidFill>
              <w14:schemeClr w14:val="tx1"/>
            </w14:solidFill>
          </w14:textFill>
        </w:rPr>
        <w:t>。</w:t>
      </w:r>
    </w:p>
    <w:p w14:paraId="0A126F58">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本项目危险废物产生及处置情况见表3.7.4-1。</w:t>
      </w:r>
    </w:p>
    <w:p w14:paraId="22FFFA64">
      <w:pPr>
        <w:pStyle w:val="25"/>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 xml:space="preserve">3.7.4-1     </w:t>
      </w:r>
      <w:r>
        <w:rPr>
          <w:rFonts w:hint="eastAsia"/>
          <w:color w:val="000000" w:themeColor="text1"/>
          <w:highlight w:val="none"/>
          <w14:textFill>
            <w14:solidFill>
              <w14:schemeClr w14:val="tx1"/>
            </w14:solidFill>
          </w14:textFill>
        </w:rPr>
        <w:t>项目危险废物汇总统计表</w:t>
      </w:r>
    </w:p>
    <w:tbl>
      <w:tblPr>
        <w:tblStyle w:val="20"/>
        <w:tblW w:w="5459"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368"/>
        <w:gridCol w:w="1000"/>
        <w:gridCol w:w="631"/>
        <w:gridCol w:w="990"/>
        <w:gridCol w:w="696"/>
        <w:gridCol w:w="1066"/>
        <w:gridCol w:w="523"/>
        <w:gridCol w:w="783"/>
        <w:gridCol w:w="730"/>
        <w:gridCol w:w="888"/>
        <w:gridCol w:w="1393"/>
      </w:tblGrid>
      <w:tr w14:paraId="2DC181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8" w:type="pct"/>
            <w:tcBorders>
              <w:bottom w:val="single" w:color="000000" w:sz="12" w:space="0"/>
            </w:tcBorders>
            <w:noWrap w:val="0"/>
            <w:vAlign w:val="center"/>
          </w:tcPr>
          <w:p w14:paraId="5AFA7BD6">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序号</w:t>
            </w:r>
          </w:p>
        </w:tc>
        <w:tc>
          <w:tcPr>
            <w:tcW w:w="556" w:type="pct"/>
            <w:tcBorders>
              <w:bottom w:val="single" w:color="000000" w:sz="12" w:space="0"/>
            </w:tcBorders>
            <w:noWrap w:val="0"/>
            <w:vAlign w:val="center"/>
          </w:tcPr>
          <w:p w14:paraId="6060840C">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危险废物名称</w:t>
            </w:r>
          </w:p>
        </w:tc>
        <w:tc>
          <w:tcPr>
            <w:tcW w:w="353" w:type="pct"/>
            <w:tcBorders>
              <w:bottom w:val="single" w:color="000000" w:sz="12" w:space="0"/>
            </w:tcBorders>
            <w:noWrap w:val="0"/>
            <w:vAlign w:val="center"/>
          </w:tcPr>
          <w:p w14:paraId="29F176C5">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危险废物类别</w:t>
            </w:r>
          </w:p>
        </w:tc>
        <w:tc>
          <w:tcPr>
            <w:tcW w:w="495" w:type="pct"/>
            <w:tcBorders>
              <w:bottom w:val="single" w:color="000000" w:sz="12" w:space="0"/>
            </w:tcBorders>
            <w:noWrap w:val="0"/>
            <w:vAlign w:val="center"/>
          </w:tcPr>
          <w:p w14:paraId="5EDDCA4B">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危险废物代码</w:t>
            </w:r>
          </w:p>
        </w:tc>
        <w:tc>
          <w:tcPr>
            <w:tcW w:w="388" w:type="pct"/>
            <w:tcBorders>
              <w:bottom w:val="single" w:color="000000" w:sz="12" w:space="0"/>
            </w:tcBorders>
            <w:noWrap w:val="0"/>
            <w:vAlign w:val="center"/>
          </w:tcPr>
          <w:p w14:paraId="58128365">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产生量</w:t>
            </w:r>
          </w:p>
          <w:p w14:paraId="2D2B130A">
            <w:pPr>
              <w:pStyle w:val="26"/>
              <w:bidi w:val="0"/>
              <w:jc w:val="center"/>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w:t>
            </w:r>
            <w:r>
              <w:rPr>
                <w:b/>
                <w:bCs/>
                <w:color w:val="000000" w:themeColor="text1"/>
                <w:sz w:val="21"/>
                <w:szCs w:val="21"/>
                <w:highlight w:val="none"/>
                <w14:textFill>
                  <w14:solidFill>
                    <w14:schemeClr w14:val="tx1"/>
                  </w14:solidFill>
                </w14:textFill>
              </w:rPr>
              <w:t>t/a</w:t>
            </w:r>
            <w:r>
              <w:rPr>
                <w:rFonts w:hint="eastAsia"/>
                <w:b/>
                <w:bCs/>
                <w:color w:val="000000" w:themeColor="text1"/>
                <w:sz w:val="21"/>
                <w:szCs w:val="21"/>
                <w:highlight w:val="none"/>
                <w:lang w:eastAsia="zh-CN"/>
                <w14:textFill>
                  <w14:solidFill>
                    <w14:schemeClr w14:val="tx1"/>
                  </w14:solidFill>
                </w14:textFill>
              </w:rPr>
              <w:t>)</w:t>
            </w:r>
          </w:p>
        </w:tc>
        <w:tc>
          <w:tcPr>
            <w:tcW w:w="592" w:type="pct"/>
            <w:tcBorders>
              <w:bottom w:val="single" w:color="000000" w:sz="12" w:space="0"/>
            </w:tcBorders>
            <w:noWrap w:val="0"/>
            <w:vAlign w:val="center"/>
          </w:tcPr>
          <w:p w14:paraId="2C405D80">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产生工序及装置</w:t>
            </w:r>
          </w:p>
        </w:tc>
        <w:tc>
          <w:tcPr>
            <w:tcW w:w="293" w:type="pct"/>
            <w:tcBorders>
              <w:bottom w:val="single" w:color="000000" w:sz="12" w:space="0"/>
            </w:tcBorders>
            <w:noWrap w:val="0"/>
            <w:vAlign w:val="center"/>
          </w:tcPr>
          <w:p w14:paraId="57DCB095">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形态</w:t>
            </w:r>
          </w:p>
        </w:tc>
        <w:tc>
          <w:tcPr>
            <w:tcW w:w="436" w:type="pct"/>
            <w:tcBorders>
              <w:bottom w:val="single" w:color="000000" w:sz="12" w:space="0"/>
            </w:tcBorders>
            <w:noWrap w:val="0"/>
            <w:vAlign w:val="center"/>
          </w:tcPr>
          <w:p w14:paraId="7D5E2EF7">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主要成分</w:t>
            </w:r>
          </w:p>
        </w:tc>
        <w:tc>
          <w:tcPr>
            <w:tcW w:w="407" w:type="pct"/>
            <w:tcBorders>
              <w:bottom w:val="single" w:color="000000" w:sz="12" w:space="0"/>
            </w:tcBorders>
            <w:noWrap w:val="0"/>
            <w:vAlign w:val="center"/>
          </w:tcPr>
          <w:p w14:paraId="2B494A18">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产废周期</w:t>
            </w:r>
          </w:p>
        </w:tc>
        <w:tc>
          <w:tcPr>
            <w:tcW w:w="494" w:type="pct"/>
            <w:tcBorders>
              <w:bottom w:val="single" w:color="000000" w:sz="12" w:space="0"/>
            </w:tcBorders>
            <w:noWrap w:val="0"/>
            <w:vAlign w:val="center"/>
          </w:tcPr>
          <w:p w14:paraId="1855BFE5">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危险特性</w:t>
            </w:r>
          </w:p>
        </w:tc>
        <w:tc>
          <w:tcPr>
            <w:tcW w:w="772" w:type="pct"/>
            <w:tcBorders>
              <w:bottom w:val="single" w:color="000000" w:sz="12" w:space="0"/>
            </w:tcBorders>
            <w:noWrap w:val="0"/>
            <w:vAlign w:val="center"/>
          </w:tcPr>
          <w:p w14:paraId="1108F45F">
            <w:pPr>
              <w:pStyle w:val="26"/>
              <w:bidi w:val="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污染防治措施</w:t>
            </w:r>
          </w:p>
        </w:tc>
      </w:tr>
      <w:tr w14:paraId="521AF9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8" w:type="pct"/>
            <w:tcBorders>
              <w:top w:val="single" w:color="000000" w:sz="12" w:space="0"/>
              <w:tl2br w:val="nil"/>
              <w:tr2bl w:val="nil"/>
            </w:tcBorders>
            <w:noWrap w:val="0"/>
            <w:vAlign w:val="center"/>
          </w:tcPr>
          <w:p w14:paraId="7494325F">
            <w:pPr>
              <w:pStyle w:val="26"/>
              <w:bidi w:val="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556" w:type="pct"/>
            <w:tcBorders>
              <w:top w:val="single" w:color="000000" w:sz="12" w:space="0"/>
              <w:tl2br w:val="nil"/>
              <w:tr2bl w:val="nil"/>
            </w:tcBorders>
            <w:noWrap w:val="0"/>
            <w:vAlign w:val="center"/>
          </w:tcPr>
          <w:p w14:paraId="54E8CAA0">
            <w:pPr>
              <w:pStyle w:val="26"/>
              <w:bidi w:val="0"/>
              <w:jc w:val="center"/>
              <w:rPr>
                <w:rFonts w:hint="eastAsia" w:eastAsia="宋体"/>
                <w:color w:val="000000" w:themeColor="text1"/>
                <w:sz w:val="21"/>
                <w:szCs w:val="21"/>
                <w:highlight w:val="none"/>
                <w:lang w:eastAsia="zh-CN"/>
                <w14:textFill>
                  <w14:solidFill>
                    <w14:schemeClr w14:val="tx1"/>
                  </w14:solidFill>
                </w14:textFill>
              </w:rPr>
            </w:pPr>
            <w:r>
              <w:rPr>
                <w:color w:val="000000" w:themeColor="text1"/>
                <w:sz w:val="21"/>
                <w:szCs w:val="21"/>
                <w:highlight w:val="none"/>
                <w14:textFill>
                  <w14:solidFill>
                    <w14:schemeClr w14:val="tx1"/>
                  </w14:solidFill>
                </w14:textFill>
              </w:rPr>
              <w:t>废包装</w:t>
            </w:r>
            <w:r>
              <w:rPr>
                <w:rFonts w:hint="eastAsia"/>
                <w:color w:val="000000" w:themeColor="text1"/>
                <w:sz w:val="21"/>
                <w:szCs w:val="21"/>
                <w:highlight w:val="none"/>
                <w:lang w:val="en-US" w:eastAsia="zh-CN"/>
                <w14:textFill>
                  <w14:solidFill>
                    <w14:schemeClr w14:val="tx1"/>
                  </w14:solidFill>
                </w14:textFill>
              </w:rPr>
              <w:t>袋</w:t>
            </w:r>
          </w:p>
        </w:tc>
        <w:tc>
          <w:tcPr>
            <w:tcW w:w="353" w:type="pct"/>
            <w:tcBorders>
              <w:top w:val="single" w:color="000000" w:sz="12" w:space="0"/>
              <w:tl2br w:val="nil"/>
              <w:tr2bl w:val="nil"/>
            </w:tcBorders>
            <w:noWrap w:val="0"/>
            <w:vAlign w:val="center"/>
          </w:tcPr>
          <w:p w14:paraId="524BDA9B">
            <w:pPr>
              <w:pStyle w:val="26"/>
              <w:bidi w:val="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HW49</w:t>
            </w:r>
          </w:p>
        </w:tc>
        <w:tc>
          <w:tcPr>
            <w:tcW w:w="495" w:type="pct"/>
            <w:tcBorders>
              <w:top w:val="single" w:color="000000" w:sz="12" w:space="0"/>
              <w:tl2br w:val="nil"/>
              <w:tr2bl w:val="nil"/>
            </w:tcBorders>
            <w:noWrap w:val="0"/>
            <w:vAlign w:val="center"/>
          </w:tcPr>
          <w:p w14:paraId="6EC52B0E">
            <w:pPr>
              <w:pStyle w:val="26"/>
              <w:bidi w:val="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900-041-49</w:t>
            </w:r>
          </w:p>
        </w:tc>
        <w:tc>
          <w:tcPr>
            <w:tcW w:w="388" w:type="pct"/>
            <w:tcBorders>
              <w:top w:val="single" w:color="000000" w:sz="12" w:space="0"/>
              <w:tl2br w:val="nil"/>
              <w:tr2bl w:val="nil"/>
            </w:tcBorders>
            <w:noWrap w:val="0"/>
            <w:vAlign w:val="center"/>
          </w:tcPr>
          <w:p w14:paraId="698C4491">
            <w:pPr>
              <w:pStyle w:val="26"/>
              <w:bidi w:val="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w:t>
            </w:r>
            <w:r>
              <w:rPr>
                <w:rFonts w:hint="eastAsia" w:eastAsia="宋体"/>
                <w:color w:val="000000" w:themeColor="text1"/>
                <w:sz w:val="21"/>
                <w:szCs w:val="21"/>
                <w:highlight w:val="none"/>
                <w:lang w:val="en-US" w:eastAsia="zh-CN"/>
                <w14:textFill>
                  <w14:solidFill>
                    <w14:schemeClr w14:val="tx1"/>
                  </w14:solidFill>
                </w14:textFill>
              </w:rPr>
              <w:t>6</w:t>
            </w:r>
          </w:p>
        </w:tc>
        <w:tc>
          <w:tcPr>
            <w:tcW w:w="592" w:type="pct"/>
            <w:tcBorders>
              <w:top w:val="single" w:color="000000" w:sz="12" w:space="0"/>
              <w:tl2br w:val="nil"/>
              <w:tr2bl w:val="nil"/>
            </w:tcBorders>
            <w:noWrap w:val="0"/>
            <w:vAlign w:val="center"/>
          </w:tcPr>
          <w:p w14:paraId="2C7F7B33">
            <w:pPr>
              <w:pStyle w:val="26"/>
              <w:bidi w:val="0"/>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投料</w:t>
            </w:r>
          </w:p>
        </w:tc>
        <w:tc>
          <w:tcPr>
            <w:tcW w:w="293" w:type="pct"/>
            <w:tcBorders>
              <w:top w:val="single" w:color="000000" w:sz="12" w:space="0"/>
              <w:tl2br w:val="nil"/>
              <w:tr2bl w:val="nil"/>
            </w:tcBorders>
            <w:noWrap w:val="0"/>
            <w:vAlign w:val="center"/>
          </w:tcPr>
          <w:p w14:paraId="5AA8B7FB">
            <w:pPr>
              <w:pStyle w:val="26"/>
              <w:bidi w:val="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固态</w:t>
            </w:r>
          </w:p>
        </w:tc>
        <w:tc>
          <w:tcPr>
            <w:tcW w:w="436" w:type="pct"/>
            <w:tcBorders>
              <w:top w:val="single" w:color="000000" w:sz="12" w:space="0"/>
              <w:tl2br w:val="nil"/>
              <w:tr2bl w:val="nil"/>
            </w:tcBorders>
            <w:noWrap w:val="0"/>
            <w:vAlign w:val="center"/>
          </w:tcPr>
          <w:p w14:paraId="75DC76ED">
            <w:pPr>
              <w:pStyle w:val="26"/>
              <w:bidi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有机杂质</w:t>
            </w:r>
          </w:p>
        </w:tc>
        <w:tc>
          <w:tcPr>
            <w:tcW w:w="407" w:type="pct"/>
            <w:tcBorders>
              <w:top w:val="single" w:color="000000" w:sz="12" w:space="0"/>
              <w:tl2br w:val="nil"/>
              <w:tr2bl w:val="nil"/>
            </w:tcBorders>
            <w:noWrap w:val="0"/>
            <w:vAlign w:val="center"/>
          </w:tcPr>
          <w:p w14:paraId="7CE52C93">
            <w:pPr>
              <w:pStyle w:val="26"/>
              <w:bidi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每天</w:t>
            </w:r>
          </w:p>
        </w:tc>
        <w:tc>
          <w:tcPr>
            <w:tcW w:w="494" w:type="pct"/>
            <w:tcBorders>
              <w:top w:val="single" w:color="000000" w:sz="12" w:space="0"/>
              <w:tl2br w:val="nil"/>
              <w:tr2bl w:val="nil"/>
            </w:tcBorders>
            <w:noWrap w:val="0"/>
            <w:vAlign w:val="center"/>
          </w:tcPr>
          <w:p w14:paraId="567806B8">
            <w:pPr>
              <w:pStyle w:val="26"/>
              <w:bidi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T 毒性</w:t>
            </w:r>
          </w:p>
          <w:p w14:paraId="187CFBC2">
            <w:pPr>
              <w:pStyle w:val="26"/>
              <w:bidi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/In 感染性</w:t>
            </w:r>
          </w:p>
        </w:tc>
        <w:tc>
          <w:tcPr>
            <w:tcW w:w="772" w:type="pct"/>
            <w:vMerge w:val="restart"/>
            <w:tcBorders>
              <w:top w:val="single" w:color="000000" w:sz="12" w:space="0"/>
              <w:tl2br w:val="nil"/>
              <w:tr2bl w:val="nil"/>
            </w:tcBorders>
            <w:noWrap w:val="0"/>
            <w:vAlign w:val="center"/>
          </w:tcPr>
          <w:p w14:paraId="3397BC4D">
            <w:pPr>
              <w:pStyle w:val="26"/>
              <w:bidi w:val="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危废暂存库暂存，定期</w:t>
            </w:r>
            <w:r>
              <w:rPr>
                <w:color w:val="000000" w:themeColor="text1"/>
                <w:sz w:val="21"/>
                <w:szCs w:val="21"/>
                <w:highlight w:val="none"/>
                <w14:textFill>
                  <w14:solidFill>
                    <w14:schemeClr w14:val="tx1"/>
                  </w14:solidFill>
                </w14:textFill>
              </w:rPr>
              <w:t>交由具有危险废物处置资质单位处置</w:t>
            </w:r>
          </w:p>
        </w:tc>
      </w:tr>
      <w:tr w14:paraId="105A75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8" w:type="pct"/>
            <w:tcBorders>
              <w:tl2br w:val="nil"/>
              <w:tr2bl w:val="nil"/>
            </w:tcBorders>
            <w:noWrap w:val="0"/>
            <w:vAlign w:val="center"/>
          </w:tcPr>
          <w:p w14:paraId="5D2638E3">
            <w:pPr>
              <w:pStyle w:val="26"/>
              <w:bidi w:val="0"/>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w:t>
            </w:r>
          </w:p>
        </w:tc>
        <w:tc>
          <w:tcPr>
            <w:tcW w:w="556" w:type="pct"/>
            <w:tcBorders>
              <w:tl2br w:val="nil"/>
              <w:tr2bl w:val="nil"/>
            </w:tcBorders>
            <w:noWrap w:val="0"/>
            <w:vAlign w:val="center"/>
          </w:tcPr>
          <w:p w14:paraId="4586EA28">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w:t>
            </w:r>
            <w:r>
              <w:rPr>
                <w:rFonts w:hint="eastAsia" w:cs="Times New Roman"/>
                <w:color w:val="000000" w:themeColor="text1"/>
                <w:highlight w:val="none"/>
                <w:lang w:val="en-US" w:eastAsia="zh-CN"/>
                <w14:textFill>
                  <w14:solidFill>
                    <w14:schemeClr w14:val="tx1"/>
                  </w14:solidFill>
                </w14:textFill>
              </w:rPr>
              <w:t>机油</w:t>
            </w:r>
          </w:p>
        </w:tc>
        <w:tc>
          <w:tcPr>
            <w:tcW w:w="353" w:type="pct"/>
            <w:tcBorders>
              <w:tl2br w:val="nil"/>
              <w:tr2bl w:val="nil"/>
            </w:tcBorders>
            <w:noWrap w:val="0"/>
            <w:vAlign w:val="center"/>
          </w:tcPr>
          <w:p w14:paraId="1E14C9D7">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HW</w:t>
            </w:r>
            <w:r>
              <w:rPr>
                <w:rFonts w:hint="eastAsia" w:cs="Times New Roman"/>
                <w:color w:val="000000" w:themeColor="text1"/>
                <w:highlight w:val="none"/>
                <w:lang w:val="en-US" w:eastAsia="zh-CN"/>
                <w14:textFill>
                  <w14:solidFill>
                    <w14:schemeClr w14:val="tx1"/>
                  </w14:solidFill>
                </w14:textFill>
              </w:rPr>
              <w:t>08</w:t>
            </w:r>
          </w:p>
        </w:tc>
        <w:tc>
          <w:tcPr>
            <w:tcW w:w="495" w:type="pct"/>
            <w:tcBorders>
              <w:tl2br w:val="nil"/>
              <w:tr2bl w:val="nil"/>
            </w:tcBorders>
            <w:noWrap w:val="0"/>
            <w:vAlign w:val="center"/>
          </w:tcPr>
          <w:p w14:paraId="6BBFE2F6">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900-2</w:t>
            </w:r>
            <w:r>
              <w:rPr>
                <w:rFonts w:hint="eastAsia"/>
                <w:color w:val="000000" w:themeColor="text1"/>
                <w:highlight w:val="none"/>
                <w:lang w:val="en-US" w:eastAsia="zh-CN"/>
                <w14:textFill>
                  <w14:solidFill>
                    <w14:schemeClr w14:val="tx1"/>
                  </w14:solidFill>
                </w14:textFill>
              </w:rPr>
              <w:t>14</w:t>
            </w:r>
            <w:r>
              <w:rPr>
                <w:color w:val="000000" w:themeColor="text1"/>
                <w:highlight w:val="none"/>
                <w14:textFill>
                  <w14:solidFill>
                    <w14:schemeClr w14:val="tx1"/>
                  </w14:solidFill>
                </w14:textFill>
              </w:rPr>
              <w:t>-08</w:t>
            </w:r>
          </w:p>
        </w:tc>
        <w:tc>
          <w:tcPr>
            <w:tcW w:w="388" w:type="pct"/>
            <w:tcBorders>
              <w:tl2br w:val="nil"/>
              <w:tr2bl w:val="nil"/>
            </w:tcBorders>
            <w:noWrap w:val="0"/>
            <w:vAlign w:val="center"/>
          </w:tcPr>
          <w:p w14:paraId="2E8A3D45">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0.3</w:t>
            </w:r>
          </w:p>
        </w:tc>
        <w:tc>
          <w:tcPr>
            <w:tcW w:w="592" w:type="pct"/>
            <w:tcBorders>
              <w:tl2br w:val="nil"/>
              <w:tr2bl w:val="nil"/>
            </w:tcBorders>
            <w:noWrap w:val="0"/>
            <w:vAlign w:val="center"/>
          </w:tcPr>
          <w:p w14:paraId="1ED6B90D">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机械维修</w:t>
            </w:r>
            <w:r>
              <w:rPr>
                <w:rFonts w:hint="eastAsia"/>
                <w:color w:val="000000" w:themeColor="text1"/>
                <w:sz w:val="21"/>
                <w:szCs w:val="21"/>
                <w:highlight w:val="none"/>
                <w:lang w:val="en-US" w:eastAsia="zh-CN"/>
                <w14:textFill>
                  <w14:solidFill>
                    <w14:schemeClr w14:val="tx1"/>
                  </w14:solidFill>
                </w14:textFill>
              </w:rPr>
              <w:t>保养</w:t>
            </w:r>
          </w:p>
        </w:tc>
        <w:tc>
          <w:tcPr>
            <w:tcW w:w="293" w:type="pct"/>
            <w:tcBorders>
              <w:tl2br w:val="nil"/>
              <w:tr2bl w:val="nil"/>
            </w:tcBorders>
            <w:noWrap w:val="0"/>
            <w:vAlign w:val="center"/>
          </w:tcPr>
          <w:p w14:paraId="110AE4FA">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液态</w:t>
            </w:r>
          </w:p>
        </w:tc>
        <w:tc>
          <w:tcPr>
            <w:tcW w:w="436" w:type="pct"/>
            <w:tcBorders>
              <w:tl2br w:val="nil"/>
              <w:tr2bl w:val="nil"/>
            </w:tcBorders>
            <w:noWrap w:val="0"/>
            <w:vAlign w:val="center"/>
          </w:tcPr>
          <w:p w14:paraId="1F4EDD13">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废矿物油</w:t>
            </w:r>
          </w:p>
        </w:tc>
        <w:tc>
          <w:tcPr>
            <w:tcW w:w="407" w:type="pct"/>
            <w:tcBorders>
              <w:tl2br w:val="nil"/>
              <w:tr2bl w:val="nil"/>
            </w:tcBorders>
            <w:noWrap w:val="0"/>
            <w:vAlign w:val="center"/>
          </w:tcPr>
          <w:p w14:paraId="3AD6A72A">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每月一次</w:t>
            </w:r>
          </w:p>
        </w:tc>
        <w:tc>
          <w:tcPr>
            <w:tcW w:w="494" w:type="pct"/>
            <w:tcBorders>
              <w:tl2br w:val="nil"/>
              <w:tr2bl w:val="nil"/>
            </w:tcBorders>
            <w:noWrap w:val="0"/>
            <w:vAlign w:val="center"/>
          </w:tcPr>
          <w:p w14:paraId="68104F3C">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T 毒性，I 易燃性</w:t>
            </w:r>
          </w:p>
        </w:tc>
        <w:tc>
          <w:tcPr>
            <w:tcW w:w="772" w:type="pct"/>
            <w:vMerge w:val="continue"/>
            <w:tcBorders>
              <w:tl2br w:val="nil"/>
              <w:tr2bl w:val="nil"/>
            </w:tcBorders>
            <w:noWrap w:val="0"/>
            <w:vAlign w:val="center"/>
          </w:tcPr>
          <w:p w14:paraId="27CCBD97">
            <w:pPr>
              <w:pStyle w:val="26"/>
              <w:bidi w:val="0"/>
              <w:jc w:val="center"/>
              <w:rPr>
                <w:rFonts w:hint="eastAsia"/>
                <w:color w:val="000000" w:themeColor="text1"/>
                <w:sz w:val="21"/>
                <w:szCs w:val="21"/>
                <w:highlight w:val="none"/>
                <w:lang w:val="en-US" w:eastAsia="zh-CN"/>
                <w14:textFill>
                  <w14:solidFill>
                    <w14:schemeClr w14:val="tx1"/>
                  </w14:solidFill>
                </w14:textFill>
              </w:rPr>
            </w:pPr>
          </w:p>
        </w:tc>
      </w:tr>
      <w:tr w14:paraId="2100B4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8" w:type="pct"/>
            <w:tcBorders>
              <w:tl2br w:val="nil"/>
              <w:tr2bl w:val="nil"/>
            </w:tcBorders>
            <w:noWrap w:val="0"/>
            <w:vAlign w:val="center"/>
          </w:tcPr>
          <w:p w14:paraId="6E65AA88">
            <w:pPr>
              <w:pStyle w:val="26"/>
              <w:bidi w:val="0"/>
              <w:jc w:val="center"/>
              <w:rPr>
                <w:rFonts w:hint="default"/>
                <w:color w:val="000000" w:themeColor="text1"/>
                <w:sz w:val="21"/>
                <w:szCs w:val="21"/>
                <w:highlight w:val="none"/>
                <w:lang w:val="en-US" w:eastAsia="zh-CN"/>
                <w14:textFill>
                  <w14:solidFill>
                    <w14:schemeClr w14:val="tx1"/>
                  </w14:solidFill>
                </w14:textFill>
              </w:rPr>
            </w:pPr>
            <w:bookmarkStart w:id="675" w:name="_Toc30772"/>
            <w:bookmarkStart w:id="676" w:name="_Toc13102"/>
            <w:bookmarkStart w:id="677" w:name="_Toc2417"/>
            <w:bookmarkStart w:id="678" w:name="_Toc2501"/>
            <w:bookmarkStart w:id="679" w:name="_Toc22112"/>
            <w:bookmarkStart w:id="680" w:name="_Toc22023"/>
            <w:bookmarkStart w:id="681" w:name="_Toc21123"/>
            <w:bookmarkStart w:id="682" w:name="_Toc10611"/>
            <w:bookmarkStart w:id="683" w:name="_Toc23429"/>
            <w:bookmarkStart w:id="684" w:name="_Toc5445"/>
            <w:r>
              <w:rPr>
                <w:rFonts w:hint="eastAsia"/>
                <w:color w:val="000000" w:themeColor="text1"/>
                <w:sz w:val="21"/>
                <w:szCs w:val="21"/>
                <w:highlight w:val="none"/>
                <w:lang w:val="en-US" w:eastAsia="zh-CN"/>
                <w14:textFill>
                  <w14:solidFill>
                    <w14:schemeClr w14:val="tx1"/>
                  </w14:solidFill>
                </w14:textFill>
              </w:rPr>
              <w:t>3</w:t>
            </w:r>
          </w:p>
        </w:tc>
        <w:tc>
          <w:tcPr>
            <w:tcW w:w="556" w:type="pct"/>
            <w:tcBorders>
              <w:tl2br w:val="nil"/>
              <w:tr2bl w:val="nil"/>
            </w:tcBorders>
            <w:shd w:val="clear" w:color="auto" w:fill="auto"/>
            <w:noWrap w:val="0"/>
            <w:vAlign w:val="center"/>
          </w:tcPr>
          <w:p w14:paraId="4CA8A446">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w:t>
            </w:r>
            <w:r>
              <w:rPr>
                <w:rFonts w:hint="eastAsia" w:cs="Times New Roman"/>
                <w:color w:val="000000" w:themeColor="text1"/>
                <w:highlight w:val="none"/>
                <w:lang w:val="en-US" w:eastAsia="zh-CN"/>
                <w14:textFill>
                  <w14:solidFill>
                    <w14:schemeClr w14:val="tx1"/>
                  </w14:solidFill>
                </w14:textFill>
              </w:rPr>
              <w:t>机油桶</w:t>
            </w:r>
          </w:p>
        </w:tc>
        <w:tc>
          <w:tcPr>
            <w:tcW w:w="353" w:type="pct"/>
            <w:tcBorders>
              <w:tl2br w:val="nil"/>
              <w:tr2bl w:val="nil"/>
            </w:tcBorders>
            <w:shd w:val="clear" w:color="auto" w:fill="auto"/>
            <w:noWrap w:val="0"/>
            <w:vAlign w:val="center"/>
          </w:tcPr>
          <w:p w14:paraId="40B7F305">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HW</w:t>
            </w:r>
            <w:r>
              <w:rPr>
                <w:rFonts w:hint="eastAsia" w:cs="Times New Roman"/>
                <w:color w:val="000000" w:themeColor="text1"/>
                <w:highlight w:val="none"/>
                <w:lang w:val="en-US" w:eastAsia="zh-CN"/>
                <w14:textFill>
                  <w14:solidFill>
                    <w14:schemeClr w14:val="tx1"/>
                  </w14:solidFill>
                </w14:textFill>
              </w:rPr>
              <w:t>08</w:t>
            </w:r>
          </w:p>
        </w:tc>
        <w:tc>
          <w:tcPr>
            <w:tcW w:w="495" w:type="pct"/>
            <w:tcBorders>
              <w:tl2br w:val="nil"/>
              <w:tr2bl w:val="nil"/>
            </w:tcBorders>
            <w:shd w:val="clear" w:color="auto" w:fill="auto"/>
            <w:noWrap w:val="0"/>
            <w:vAlign w:val="center"/>
          </w:tcPr>
          <w:p w14:paraId="76D9EFD5">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900-249-08</w:t>
            </w:r>
          </w:p>
        </w:tc>
        <w:tc>
          <w:tcPr>
            <w:tcW w:w="388" w:type="pct"/>
            <w:tcBorders>
              <w:tl2br w:val="nil"/>
              <w:tr2bl w:val="nil"/>
            </w:tcBorders>
            <w:shd w:val="clear" w:color="auto" w:fill="auto"/>
            <w:noWrap w:val="0"/>
            <w:vAlign w:val="center"/>
          </w:tcPr>
          <w:p w14:paraId="4D9B223C">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0.2</w:t>
            </w:r>
          </w:p>
        </w:tc>
        <w:tc>
          <w:tcPr>
            <w:tcW w:w="592" w:type="pct"/>
            <w:tcBorders>
              <w:tl2br w:val="nil"/>
              <w:tr2bl w:val="nil"/>
            </w:tcBorders>
            <w:shd w:val="clear" w:color="auto" w:fill="auto"/>
            <w:noWrap w:val="0"/>
            <w:vAlign w:val="center"/>
          </w:tcPr>
          <w:p w14:paraId="5D26E672">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机械维修</w:t>
            </w:r>
            <w:r>
              <w:rPr>
                <w:rFonts w:hint="eastAsia"/>
                <w:color w:val="000000" w:themeColor="text1"/>
                <w:sz w:val="21"/>
                <w:szCs w:val="21"/>
                <w:highlight w:val="none"/>
                <w:lang w:val="en-US" w:eastAsia="zh-CN"/>
                <w14:textFill>
                  <w14:solidFill>
                    <w14:schemeClr w14:val="tx1"/>
                  </w14:solidFill>
                </w14:textFill>
              </w:rPr>
              <w:t>保养</w:t>
            </w:r>
          </w:p>
        </w:tc>
        <w:tc>
          <w:tcPr>
            <w:tcW w:w="293" w:type="pct"/>
            <w:tcBorders>
              <w:tl2br w:val="nil"/>
              <w:tr2bl w:val="nil"/>
            </w:tcBorders>
            <w:shd w:val="clear" w:color="auto" w:fill="auto"/>
            <w:noWrap w:val="0"/>
            <w:vAlign w:val="center"/>
          </w:tcPr>
          <w:p w14:paraId="688B5949">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固态</w:t>
            </w:r>
          </w:p>
        </w:tc>
        <w:tc>
          <w:tcPr>
            <w:tcW w:w="436" w:type="pct"/>
            <w:tcBorders>
              <w:tl2br w:val="nil"/>
              <w:tr2bl w:val="nil"/>
            </w:tcBorders>
            <w:shd w:val="clear" w:color="auto" w:fill="auto"/>
            <w:noWrap w:val="0"/>
            <w:vAlign w:val="center"/>
          </w:tcPr>
          <w:p w14:paraId="4BA6ACE2">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废矿物油</w:t>
            </w:r>
          </w:p>
        </w:tc>
        <w:tc>
          <w:tcPr>
            <w:tcW w:w="407" w:type="pct"/>
            <w:tcBorders>
              <w:tl2br w:val="nil"/>
              <w:tr2bl w:val="nil"/>
            </w:tcBorders>
            <w:shd w:val="clear" w:color="auto" w:fill="auto"/>
            <w:noWrap w:val="0"/>
            <w:vAlign w:val="center"/>
          </w:tcPr>
          <w:p w14:paraId="37B94F6A">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每月一次</w:t>
            </w:r>
          </w:p>
        </w:tc>
        <w:tc>
          <w:tcPr>
            <w:tcW w:w="494" w:type="pct"/>
            <w:tcBorders>
              <w:tl2br w:val="nil"/>
              <w:tr2bl w:val="nil"/>
            </w:tcBorders>
            <w:shd w:val="clear" w:color="auto" w:fill="auto"/>
            <w:noWrap w:val="0"/>
            <w:vAlign w:val="center"/>
          </w:tcPr>
          <w:p w14:paraId="37ECE8F6">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T 毒性，I 易燃性</w:t>
            </w:r>
          </w:p>
        </w:tc>
        <w:tc>
          <w:tcPr>
            <w:tcW w:w="772" w:type="pct"/>
            <w:vMerge w:val="continue"/>
            <w:tcBorders>
              <w:tl2br w:val="nil"/>
              <w:tr2bl w:val="nil"/>
            </w:tcBorders>
            <w:noWrap w:val="0"/>
            <w:vAlign w:val="center"/>
          </w:tcPr>
          <w:p w14:paraId="6C3EAA11">
            <w:pPr>
              <w:pStyle w:val="26"/>
              <w:bidi w:val="0"/>
              <w:jc w:val="center"/>
              <w:rPr>
                <w:rFonts w:hint="eastAsia"/>
                <w:color w:val="000000" w:themeColor="text1"/>
                <w:sz w:val="21"/>
                <w:szCs w:val="21"/>
                <w:highlight w:val="none"/>
                <w:lang w:val="en-US" w:eastAsia="zh-CN"/>
                <w14:textFill>
                  <w14:solidFill>
                    <w14:schemeClr w14:val="tx1"/>
                  </w14:solidFill>
                </w14:textFill>
              </w:rPr>
            </w:pPr>
          </w:p>
        </w:tc>
      </w:tr>
    </w:tbl>
    <w:p w14:paraId="447D0D00">
      <w:pPr>
        <w:pStyle w:val="3"/>
        <w:rPr>
          <w:rFonts w:hint="eastAsia"/>
          <w:color w:val="000000" w:themeColor="text1"/>
          <w:highlight w:val="none"/>
          <w14:textFill>
            <w14:solidFill>
              <w14:schemeClr w14:val="tx1"/>
            </w14:solidFill>
          </w14:textFill>
        </w:rPr>
      </w:pPr>
      <w:bookmarkStart w:id="685" w:name="_Toc9441"/>
      <w:r>
        <w:rPr>
          <w:rFonts w:hint="eastAsia"/>
          <w:color w:val="000000" w:themeColor="text1"/>
          <w:highlight w:val="none"/>
          <w:lang w:val="en-US" w:eastAsia="zh-CN"/>
          <w14:textFill>
            <w14:solidFill>
              <w14:schemeClr w14:val="tx1"/>
            </w14:solidFill>
          </w14:textFill>
        </w:rPr>
        <w:t>3.8</w:t>
      </w:r>
      <w:r>
        <w:rPr>
          <w:rFonts w:hint="eastAsia"/>
          <w:color w:val="000000" w:themeColor="text1"/>
          <w:highlight w:val="none"/>
          <w14:textFill>
            <w14:solidFill>
              <w14:schemeClr w14:val="tx1"/>
            </w14:solidFill>
          </w14:textFill>
        </w:rPr>
        <w:t>污染物总量控制</w:t>
      </w:r>
      <w:bookmarkEnd w:id="675"/>
      <w:bookmarkEnd w:id="676"/>
      <w:bookmarkEnd w:id="677"/>
      <w:bookmarkEnd w:id="678"/>
      <w:bookmarkEnd w:id="679"/>
      <w:bookmarkEnd w:id="680"/>
      <w:bookmarkEnd w:id="681"/>
      <w:bookmarkEnd w:id="682"/>
      <w:bookmarkEnd w:id="683"/>
      <w:bookmarkEnd w:id="684"/>
      <w:bookmarkEnd w:id="685"/>
    </w:p>
    <w:p w14:paraId="66584EC9">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3.8.1</w:t>
      </w:r>
      <w:r>
        <w:rPr>
          <w:rFonts w:hint="eastAsia"/>
          <w:color w:val="000000" w:themeColor="text1"/>
          <w:highlight w:val="none"/>
          <w14:textFill>
            <w14:solidFill>
              <w14:schemeClr w14:val="tx1"/>
            </w14:solidFill>
          </w14:textFill>
        </w:rPr>
        <w:t>污染物总量控制因子</w:t>
      </w:r>
    </w:p>
    <w:p w14:paraId="19C84595">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根据《“十五五”污染减排工作方案编制技术指南》，确定废气污染物总量控制因子为NOx、VOCs，废水污染物总量控制因子为COD、总磷，同时根据</w:t>
      </w:r>
      <w:r>
        <w:rPr>
          <w:rFonts w:ascii="宋体" w:hAnsi="宋体" w:eastAsia="宋体" w:cs="宋体"/>
          <w:sz w:val="24"/>
          <w:szCs w:val="24"/>
        </w:rPr>
        <w:t>自治区生态环境厅建设项目环评总量管控要求，</w:t>
      </w:r>
      <w:r>
        <w:rPr>
          <w:rFonts w:hint="eastAsia" w:ascii="宋体" w:hAnsi="宋体" w:cs="宋体"/>
          <w:color w:val="000000" w:themeColor="text1"/>
          <w:kern w:val="0"/>
          <w:highlight w:val="none"/>
          <w:lang w:bidi="ar"/>
          <w14:textFill>
            <w14:solidFill>
              <w14:schemeClr w14:val="tx1"/>
            </w14:solidFill>
          </w14:textFill>
        </w:rPr>
        <w:t>结合项目所在区域环境质量现状和项目外排污染物特征，本项目废水不外排，确定本项目的总量控制因子为</w:t>
      </w:r>
      <w:r>
        <w:rPr>
          <w:rFonts w:hint="eastAsia" w:ascii="宋体" w:hAnsi="宋体" w:cs="宋体"/>
          <w:color w:val="000000" w:themeColor="text1"/>
          <w:kern w:val="0"/>
          <w:highlight w:val="none"/>
          <w:lang w:val="en-US" w:eastAsia="zh-CN" w:bidi="ar"/>
          <w14:textFill>
            <w14:solidFill>
              <w14:schemeClr w14:val="tx1"/>
            </w14:solidFill>
          </w14:textFill>
        </w:rPr>
        <w:t>颗粒物、</w:t>
      </w:r>
      <w:r>
        <w:rPr>
          <w:rFonts w:hint="eastAsia"/>
          <w:color w:val="000000" w:themeColor="text1"/>
          <w:highlight w:val="none"/>
          <w:lang w:val="en-US" w:eastAsia="zh-CN"/>
          <w14:textFill>
            <w14:solidFill>
              <w14:schemeClr w14:val="tx1"/>
            </w14:solidFill>
          </w14:textFill>
        </w:rPr>
        <w:t>VOCs</w:t>
      </w:r>
      <w:r>
        <w:rPr>
          <w:rFonts w:hint="eastAsia" w:ascii="宋体" w:hAnsi="宋体" w:cs="宋体"/>
          <w:color w:val="000000" w:themeColor="text1"/>
          <w:kern w:val="0"/>
          <w:highlight w:val="none"/>
          <w:lang w:bidi="ar"/>
          <w14:textFill>
            <w14:solidFill>
              <w14:schemeClr w14:val="tx1"/>
            </w14:solidFill>
          </w14:textFill>
        </w:rPr>
        <w:t>。</w:t>
      </w:r>
    </w:p>
    <w:p w14:paraId="233B640D">
      <w:pPr>
        <w:pStyle w:val="4"/>
        <w:bidi w:val="0"/>
        <w:rPr>
          <w:color w:val="000000" w:themeColor="text1"/>
          <w:highlight w:val="none"/>
          <w14:textFill>
            <w14:solidFill>
              <w14:schemeClr w14:val="tx1"/>
            </w14:solidFill>
          </w14:textFill>
        </w:rPr>
      </w:pPr>
      <w:bookmarkStart w:id="686" w:name="_Toc10106"/>
      <w:r>
        <w:rPr>
          <w:rFonts w:hint="eastAsia"/>
          <w:color w:val="000000" w:themeColor="text1"/>
          <w:highlight w:val="none"/>
          <w:lang w:val="en-US" w:eastAsia="zh-CN"/>
          <w14:textFill>
            <w14:solidFill>
              <w14:schemeClr w14:val="tx1"/>
            </w14:solidFill>
          </w14:textFill>
        </w:rPr>
        <w:t>3.8</w:t>
      </w:r>
      <w:r>
        <w:rPr>
          <w:rFonts w:hint="eastAsia"/>
          <w:color w:val="000000" w:themeColor="text1"/>
          <w:highlight w:val="none"/>
          <w14:textFill>
            <w14:solidFill>
              <w14:schemeClr w14:val="tx1"/>
            </w14:solidFill>
          </w14:textFill>
        </w:rPr>
        <w:t>.2总量指标建议</w:t>
      </w:r>
      <w:bookmarkEnd w:id="686"/>
    </w:p>
    <w:p w14:paraId="3EE6DE0A">
      <w:pPr>
        <w:ind w:firstLine="480"/>
        <w:rPr>
          <w:color w:val="000000" w:themeColor="text1"/>
          <w:highlight w:val="none"/>
          <w14:textFill>
            <w14:solidFill>
              <w14:schemeClr w14:val="tx1"/>
            </w14:solidFill>
          </w14:textFill>
        </w:rPr>
      </w:pPr>
      <w:bookmarkStart w:id="687" w:name="OLE_LINK32"/>
      <w:r>
        <w:rPr>
          <w:rFonts w:hint="eastAsia"/>
          <w:color w:val="000000" w:themeColor="text1"/>
          <w:highlight w:val="none"/>
          <w14:textFill>
            <w14:solidFill>
              <w14:schemeClr w14:val="tx1"/>
            </w14:solidFill>
          </w14:textFill>
        </w:rPr>
        <w:t>项目</w:t>
      </w:r>
      <w:r>
        <w:rPr>
          <w:rFonts w:hint="eastAsia"/>
          <w:color w:val="000000" w:themeColor="text1"/>
          <w:highlight w:val="none"/>
          <w:lang w:val="en-US" w:eastAsia="zh-CN"/>
          <w14:textFill>
            <w14:solidFill>
              <w14:schemeClr w14:val="tx1"/>
            </w14:solidFill>
          </w14:textFill>
        </w:rPr>
        <w:t>VOCs</w:t>
      </w:r>
      <w:r>
        <w:rPr>
          <w:rFonts w:hint="eastAsia"/>
          <w:color w:val="000000" w:themeColor="text1"/>
          <w:highlight w:val="none"/>
          <w14:textFill>
            <w14:solidFill>
              <w14:schemeClr w14:val="tx1"/>
            </w14:solidFill>
          </w14:textFill>
        </w:rPr>
        <w:t>排放总量为0.</w:t>
      </w:r>
      <w:r>
        <w:rPr>
          <w:rFonts w:hint="eastAsia"/>
          <w:color w:val="000000" w:themeColor="text1"/>
          <w:highlight w:val="none"/>
          <w:lang w:val="en-US" w:eastAsia="zh-CN"/>
          <w14:textFill>
            <w14:solidFill>
              <w14:schemeClr w14:val="tx1"/>
            </w14:solidFill>
          </w14:textFill>
        </w:rPr>
        <w:t>22</w:t>
      </w:r>
      <w:r>
        <w:rPr>
          <w:rFonts w:hint="eastAsia"/>
          <w:color w:val="000000" w:themeColor="text1"/>
          <w:highlight w:val="none"/>
          <w14:textFill>
            <w14:solidFill>
              <w14:schemeClr w14:val="tx1"/>
            </w14:solidFill>
          </w14:textFill>
        </w:rPr>
        <w:t>t/a</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颗粒物排放量为</w:t>
      </w:r>
      <w:r>
        <w:rPr>
          <w:rFonts w:hint="default"/>
          <w:color w:val="000000" w:themeColor="text1"/>
          <w:highlight w:val="none"/>
          <w:lang w:val="en-US" w:eastAsia="zh-CN"/>
          <w14:textFill>
            <w14:solidFill>
              <w14:schemeClr w14:val="tx1"/>
            </w14:solidFill>
          </w14:textFill>
        </w:rPr>
        <w:t>0.21</w:t>
      </w:r>
      <w:r>
        <w:rPr>
          <w:rFonts w:hint="eastAsia"/>
          <w:color w:val="000000" w:themeColor="text1"/>
          <w:highlight w:val="none"/>
          <w:lang w:val="en-US" w:eastAsia="zh-CN"/>
          <w14:textFill>
            <w14:solidFill>
              <w14:schemeClr w14:val="tx1"/>
            </w14:solidFill>
          </w14:textFill>
        </w:rPr>
        <w:t>t/a</w:t>
      </w:r>
      <w:r>
        <w:rPr>
          <w:rFonts w:hint="eastAsia"/>
          <w:color w:val="000000" w:themeColor="text1"/>
          <w:highlight w:val="none"/>
          <w14:textFill>
            <w14:solidFill>
              <w14:schemeClr w14:val="tx1"/>
            </w14:solidFill>
          </w14:textFill>
        </w:rPr>
        <w:t>。</w:t>
      </w:r>
      <w:bookmarkEnd w:id="687"/>
      <w:r>
        <w:rPr>
          <w:rFonts w:hint="eastAsia"/>
          <w:color w:val="000000" w:themeColor="text1"/>
          <w:highlight w:val="none"/>
          <w14:textFill>
            <w14:solidFill>
              <w14:schemeClr w14:val="tx1"/>
            </w14:solidFill>
          </w14:textFill>
        </w:rPr>
        <w:t>项目所在区域为环境空气质量不达标区，根据《关于加强重点行业建设项目区域消减措施监督管理的通知》（环办环评〔</w:t>
      </w:r>
      <w:r>
        <w:rPr>
          <w:color w:val="000000" w:themeColor="text1"/>
          <w:highlight w:val="none"/>
          <w14:textFill>
            <w14:solidFill>
              <w14:schemeClr w14:val="tx1"/>
            </w14:solidFill>
          </w14:textFill>
        </w:rPr>
        <w:t>2020</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36</w:t>
      </w:r>
      <w:r>
        <w:rPr>
          <w:rFonts w:hint="eastAsia"/>
          <w:color w:val="000000" w:themeColor="text1"/>
          <w:highlight w:val="none"/>
          <w14:textFill>
            <w14:solidFill>
              <w14:schemeClr w14:val="tx1"/>
            </w14:solidFill>
          </w14:textFill>
        </w:rPr>
        <w:t>号）等有关要求，</w:t>
      </w:r>
      <w:bookmarkStart w:id="688" w:name="OLE_LINK33"/>
      <w:bookmarkStart w:id="689" w:name="OLE_LINK34"/>
      <w:r>
        <w:rPr>
          <w:rFonts w:hint="eastAsia"/>
          <w:color w:val="000000" w:themeColor="text1"/>
          <w:highlight w:val="none"/>
          <w14:textFill>
            <w14:solidFill>
              <w14:schemeClr w14:val="tx1"/>
            </w14:solidFill>
          </w14:textFill>
        </w:rPr>
        <w:t>为减缓建设项目对区域环境空气质量影响，主要污染物</w:t>
      </w:r>
      <w:r>
        <w:rPr>
          <w:rFonts w:hint="eastAsia"/>
          <w:color w:val="000000" w:themeColor="text1"/>
          <w:highlight w:val="none"/>
          <w:lang w:val="en-US" w:eastAsia="zh-CN"/>
          <w14:textFill>
            <w14:solidFill>
              <w14:schemeClr w14:val="tx1"/>
            </w14:solidFill>
          </w14:textFill>
        </w:rPr>
        <w:t>VOCs、颗粒物</w:t>
      </w:r>
      <w:r>
        <w:rPr>
          <w:rFonts w:hint="eastAsia"/>
          <w:color w:val="000000" w:themeColor="text1"/>
          <w:highlight w:val="none"/>
          <w14:textFill>
            <w14:solidFill>
              <w14:schemeClr w14:val="tx1"/>
            </w14:solidFill>
          </w14:textFill>
        </w:rPr>
        <w:t>实行区域倍量削减，替代指标为</w:t>
      </w:r>
      <w:r>
        <w:rPr>
          <w:rFonts w:hint="eastAsia"/>
          <w:color w:val="000000" w:themeColor="text1"/>
          <w:highlight w:val="none"/>
          <w:lang w:val="en-US" w:eastAsia="zh-CN"/>
          <w14:textFill>
            <w14:solidFill>
              <w14:schemeClr w14:val="tx1"/>
            </w14:solidFill>
          </w14:textFill>
        </w:rPr>
        <w:t>VOCs</w:t>
      </w: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44</w:t>
      </w:r>
      <w:r>
        <w:rPr>
          <w:rFonts w:hint="eastAsia"/>
          <w:color w:val="000000" w:themeColor="text1"/>
          <w:highlight w:val="none"/>
          <w14:textFill>
            <w14:solidFill>
              <w14:schemeClr w14:val="tx1"/>
            </w14:solidFill>
          </w14:textFill>
        </w:rPr>
        <w:t>t/a</w:t>
      </w:r>
      <w:bookmarkEnd w:id="688"/>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颗粒物0.42t/a，</w:t>
      </w:r>
      <w:r>
        <w:rPr>
          <w:rFonts w:hint="eastAsia"/>
          <w:color w:val="000000" w:themeColor="text1"/>
          <w:highlight w:val="none"/>
          <w14:textFill>
            <w14:solidFill>
              <w14:schemeClr w14:val="tx1"/>
            </w14:solidFill>
          </w14:textFill>
        </w:rPr>
        <w:t>建设单位应向生态环境主管部门申请总量控制指标。</w:t>
      </w:r>
    </w:p>
    <w:bookmarkEnd w:id="689"/>
    <w:p w14:paraId="771BF7EC">
      <w:pPr>
        <w:pStyle w:val="3"/>
        <w:rPr>
          <w:color w:val="000000" w:themeColor="text1"/>
          <w:highlight w:val="none"/>
          <w:lang w:val="en-US"/>
          <w14:textFill>
            <w14:solidFill>
              <w14:schemeClr w14:val="tx1"/>
            </w14:solidFill>
          </w14:textFill>
        </w:rPr>
      </w:pPr>
      <w:bookmarkStart w:id="690" w:name="_Toc926"/>
      <w:bookmarkStart w:id="691" w:name="_Toc16743"/>
      <w:bookmarkStart w:id="692" w:name="_Toc27226"/>
      <w:bookmarkStart w:id="693" w:name="_Toc24960"/>
      <w:bookmarkStart w:id="694" w:name="_Toc15930"/>
      <w:bookmarkStart w:id="695" w:name="_Toc12568"/>
      <w:bookmarkStart w:id="696" w:name="_Toc9177"/>
      <w:bookmarkStart w:id="697" w:name="_Toc23622"/>
      <w:bookmarkStart w:id="698" w:name="_Toc15870"/>
      <w:r>
        <w:rPr>
          <w:rFonts w:hint="eastAsia"/>
          <w:color w:val="000000" w:themeColor="text1"/>
          <w:highlight w:val="none"/>
          <w:lang w:val="en-US" w:eastAsia="zh-CN"/>
          <w14:textFill>
            <w14:solidFill>
              <w14:schemeClr w14:val="tx1"/>
            </w14:solidFill>
          </w14:textFill>
        </w:rPr>
        <w:t>3.9</w:t>
      </w:r>
      <w:r>
        <w:rPr>
          <w:rFonts w:hint="eastAsia"/>
          <w:color w:val="000000" w:themeColor="text1"/>
          <w:highlight w:val="none"/>
          <w:lang w:val="en-US"/>
          <w14:textFill>
            <w14:solidFill>
              <w14:schemeClr w14:val="tx1"/>
            </w14:solidFill>
          </w14:textFill>
        </w:rPr>
        <w:t>碳排放分析</w:t>
      </w:r>
      <w:bookmarkEnd w:id="690"/>
      <w:bookmarkEnd w:id="691"/>
      <w:bookmarkEnd w:id="692"/>
      <w:bookmarkEnd w:id="693"/>
      <w:bookmarkEnd w:id="694"/>
      <w:bookmarkEnd w:id="695"/>
      <w:bookmarkEnd w:id="696"/>
      <w:bookmarkEnd w:id="697"/>
      <w:bookmarkEnd w:id="698"/>
    </w:p>
    <w:p w14:paraId="069159F8">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气候变化是当前世界面临的最严峻挑战之一。积极应对气候变化是我国实现可持续发展的内在要求，是加强生态文明建设、实现美丽中国目标的重要抓手，是我国</w:t>
      </w:r>
      <w:r>
        <w:rPr>
          <w:rFonts w:hint="eastAsia"/>
          <w:color w:val="000000" w:themeColor="text1"/>
          <w:highlight w:val="none"/>
          <w:lang w:eastAsia="zh-CN"/>
          <w14:textFill>
            <w14:solidFill>
              <w14:schemeClr w14:val="tx1"/>
            </w14:solidFill>
          </w14:textFill>
        </w:rPr>
        <w:t>履行</w:t>
      </w:r>
      <w:r>
        <w:rPr>
          <w:rFonts w:hint="eastAsia"/>
          <w:color w:val="000000" w:themeColor="text1"/>
          <w:highlight w:val="none"/>
          <w14:textFill>
            <w14:solidFill>
              <w14:schemeClr w14:val="tx1"/>
            </w14:solidFill>
          </w14:textFill>
        </w:rPr>
        <w:t>大国责任、推动构建人类命运共同体的重大历史担当。</w:t>
      </w:r>
      <w:r>
        <w:rPr>
          <w:color w:val="000000" w:themeColor="text1"/>
          <w:highlight w:val="none"/>
          <w14:textFill>
            <w14:solidFill>
              <w14:schemeClr w14:val="tx1"/>
            </w14:solidFill>
          </w14:textFill>
        </w:rPr>
        <w:t>2021</w:t>
      </w:r>
      <w:r>
        <w:rPr>
          <w:rFonts w:hint="eastAsia"/>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30</w:t>
      </w:r>
      <w:r>
        <w:rPr>
          <w:rFonts w:hint="eastAsia"/>
          <w:color w:val="000000" w:themeColor="text1"/>
          <w:highlight w:val="none"/>
          <w14:textFill>
            <w14:solidFill>
              <w14:schemeClr w14:val="tx1"/>
            </w14:solidFill>
          </w14:textFill>
        </w:rPr>
        <w:t>日，生态环境部发布了《关于加强高耗能、高排放项目生态环境源头防控的指导意见》，要求新建、改建、扩建</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两高</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项目，应满足碳排放达峰目标和相关规划环评要求，将碳排放影响评价纳入环境影响评价体系。</w:t>
      </w:r>
    </w:p>
    <w:p w14:paraId="6582C81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本项目在核算</w:t>
      </w:r>
      <w:r>
        <w:rPr>
          <w:color w:val="000000" w:themeColor="text1"/>
          <w:highlight w:val="none"/>
          <w14:textFill>
            <w14:solidFill>
              <w14:schemeClr w14:val="tx1"/>
            </w14:solidFill>
          </w14:textFill>
        </w:rPr>
        <w: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排放量的基础上，结合项目具体特点，积极探索一条绿色、低碳可持续发展路径，减缓气候变化带来的不利影响。为贯彻落实中央和生态环境部</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碳达峰、碳中和</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相关决策部署和文件精神，充分发挥环境影响评价的源头防控、过程管理中的基础性作用，推进</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两高</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行业减污降碳协同控制，</w:t>
      </w:r>
      <w:r>
        <w:rPr>
          <w:rFonts w:hint="eastAsia"/>
          <w:color w:val="000000" w:themeColor="text1"/>
          <w:highlight w:val="none"/>
          <w:lang w:eastAsia="zh-CN"/>
          <w14:textFill>
            <w14:solidFill>
              <w14:schemeClr w14:val="tx1"/>
            </w14:solidFill>
          </w14:textFill>
        </w:rPr>
        <w:t>本次</w:t>
      </w:r>
      <w:r>
        <w:rPr>
          <w:rFonts w:hint="eastAsia"/>
          <w:color w:val="000000" w:themeColor="text1"/>
          <w:highlight w:val="none"/>
          <w14:textFill>
            <w14:solidFill>
              <w14:schemeClr w14:val="tx1"/>
            </w14:solidFill>
          </w14:textFill>
        </w:rPr>
        <w:t>评价按照相关政策及文件要求，计算本项目实施后全厂碳排放量及碳排放强度，提出项目碳减排建议，并分析整合项目减污降碳措施可行性及碳排放水平。</w:t>
      </w:r>
    </w:p>
    <w:p w14:paraId="112F86C4">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3.9</w:t>
      </w:r>
      <w:r>
        <w:rPr>
          <w:rFonts w:hint="eastAsia"/>
          <w:color w:val="000000" w:themeColor="text1"/>
          <w:highlight w:val="none"/>
          <w14:textFill>
            <w14:solidFill>
              <w14:schemeClr w14:val="tx1"/>
            </w14:solidFill>
          </w14:textFill>
        </w:rPr>
        <w:t>.1碳排放源分析</w:t>
      </w:r>
    </w:p>
    <w:p w14:paraId="7538A68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本项目为</w:t>
      </w:r>
      <w:r>
        <w:rPr>
          <w:rFonts w:hint="eastAsia"/>
          <w:color w:val="000000" w:themeColor="text1"/>
          <w:highlight w:val="none"/>
          <w:lang w:val="en-US" w:eastAsia="zh-CN"/>
          <w14:textFill>
            <w14:solidFill>
              <w14:schemeClr w14:val="tx1"/>
            </w14:solidFill>
          </w14:textFill>
        </w:rPr>
        <w:t>化工</w:t>
      </w:r>
      <w:r>
        <w:rPr>
          <w:rFonts w:hint="eastAsia"/>
          <w:color w:val="000000" w:themeColor="text1"/>
          <w:highlight w:val="none"/>
          <w14:textFill>
            <w14:solidFill>
              <w14:schemeClr w14:val="tx1"/>
            </w14:solidFill>
          </w14:textFill>
        </w:rPr>
        <w:t>项目，因此本报告参照国家发展改革委办公厅关于印发第三批10个行业企业温室气体核算方法与报告指南（试行）的通知（发改办气候〔2015〕1722号）中</w:t>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"https://www.ndrc.gov.cn/xxgk/zcfb/tz/201511/W020190905506438889540.pdf" \t "https://www.ndrc.gov.cn/xxgk/zcfb/tz/201511/_blank"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《工业其他行业企业温室气体排放核算方法与报告指南（试行）》</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t xml:space="preserve">进行温室气体排放核算。 </w:t>
      </w:r>
    </w:p>
    <w:p w14:paraId="1D8E98F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温室气体排放总量等于核算边界内所有燃料燃烧排放量、过程排放量、废水处理排放量、购入电力及热力产生的排放量之和，扣除输出的电力及热力产生的排放量，按式（</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）计算：</w:t>
      </w:r>
    </w:p>
    <w:p w14:paraId="4595904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E=E</w:t>
      </w:r>
      <w:r>
        <w:rPr>
          <w:rFonts w:hint="eastAsia"/>
          <w:color w:val="000000" w:themeColor="text1"/>
          <w:highlight w:val="none"/>
          <w:vertAlign w:val="subscript"/>
          <w14:textFill>
            <w14:solidFill>
              <w14:schemeClr w14:val="tx1"/>
            </w14:solidFill>
          </w14:textFill>
        </w:rPr>
        <w:t>燃烧</w:t>
      </w:r>
      <w:r>
        <w:rPr>
          <w:color w:val="000000" w:themeColor="text1"/>
          <w:highlight w:val="none"/>
          <w14:textFill>
            <w14:solidFill>
              <w14:schemeClr w14:val="tx1"/>
            </w14:solidFill>
          </w14:textFill>
        </w:rPr>
        <w:t>+ E</w:t>
      </w:r>
      <w:r>
        <w:rPr>
          <w:rFonts w:hint="eastAsia"/>
          <w:color w:val="000000" w:themeColor="text1"/>
          <w:highlight w:val="none"/>
          <w:vertAlign w:val="subscript"/>
          <w14:textFill>
            <w14:solidFill>
              <w14:schemeClr w14:val="tx1"/>
            </w14:solidFill>
          </w14:textFill>
        </w:rPr>
        <w:t>过程</w:t>
      </w: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废水</w:t>
      </w: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购入电</w:t>
      </w: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购入热</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输出电</w:t>
      </w: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输出热</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 </w:t>
      </w:r>
    </w:p>
    <w:p w14:paraId="6E819FB3">
      <w:pPr>
        <w:ind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式中：</w:t>
      </w:r>
    </w:p>
    <w:p w14:paraId="1C897C29">
      <w:pPr>
        <w:ind w:firstLine="720" w:firstLineChars="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——报告主体温室气体排放总量，单位为吨二氧化碳当量（</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 xml:space="preserve">）； </w:t>
      </w:r>
    </w:p>
    <w:p w14:paraId="0D354ED9">
      <w:pPr>
        <w:ind w:firstLine="720" w:firstLineChars="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燃烧</w:t>
      </w:r>
      <w:r>
        <w:rPr>
          <w:rFonts w:hint="eastAsia"/>
          <w:color w:val="000000" w:themeColor="text1"/>
          <w:highlight w:val="none"/>
          <w14:textFill>
            <w14:solidFill>
              <w14:schemeClr w14:val="tx1"/>
            </w14:solidFill>
          </w14:textFill>
        </w:rPr>
        <w:t>——报告主体燃料燃烧二氧化碳排放量，单位为吨二氧化碳（</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w:t>
      </w:r>
    </w:p>
    <w:p w14:paraId="1B4EE762">
      <w:pPr>
        <w:ind w:firstLine="720" w:firstLineChars="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过程</w:t>
      </w:r>
      <w:r>
        <w:rPr>
          <w:rFonts w:hint="eastAsia"/>
          <w:color w:val="000000" w:themeColor="text1"/>
          <w:highlight w:val="none"/>
          <w14:textFill>
            <w14:solidFill>
              <w14:schemeClr w14:val="tx1"/>
            </w14:solidFill>
          </w14:textFill>
        </w:rPr>
        <w:t>——报告主体过程二氧化碳排放量，单位为吨二氧化碳（</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 xml:space="preserve">）； </w:t>
      </w:r>
    </w:p>
    <w:p w14:paraId="65CDD52F">
      <w:pPr>
        <w:ind w:firstLine="720" w:firstLineChars="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废水</w:t>
      </w:r>
      <w:r>
        <w:rPr>
          <w:rFonts w:hint="eastAsia"/>
          <w:color w:val="000000" w:themeColor="text1"/>
          <w:highlight w:val="none"/>
          <w14:textFill>
            <w14:solidFill>
              <w14:schemeClr w14:val="tx1"/>
            </w14:solidFill>
          </w14:textFill>
        </w:rPr>
        <w:t>——报告主体废水处理温室气体排放量，单位为吨二氧化碳当量（</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 xml:space="preserve">）； </w:t>
      </w:r>
    </w:p>
    <w:p w14:paraId="771347E8">
      <w:pPr>
        <w:ind w:firstLine="720" w:firstLineChars="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购入电</w:t>
      </w:r>
      <w:r>
        <w:rPr>
          <w:rFonts w:hint="eastAsia"/>
          <w:color w:val="000000" w:themeColor="text1"/>
          <w:highlight w:val="none"/>
          <w14:textFill>
            <w14:solidFill>
              <w14:schemeClr w14:val="tx1"/>
            </w14:solidFill>
          </w14:textFill>
        </w:rPr>
        <w:t>——报告主体购入电力对应的二氧化碳排放量，单位为吨二氧化碳（</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 xml:space="preserve">）； </w:t>
      </w:r>
    </w:p>
    <w:p w14:paraId="43C4CF6A">
      <w:pPr>
        <w:ind w:firstLine="720" w:firstLineChars="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购入热</w:t>
      </w:r>
      <w:r>
        <w:rPr>
          <w:rFonts w:hint="eastAsia"/>
          <w:color w:val="000000" w:themeColor="text1"/>
          <w:highlight w:val="none"/>
          <w14:textFill>
            <w14:solidFill>
              <w14:schemeClr w14:val="tx1"/>
            </w14:solidFill>
          </w14:textFill>
        </w:rPr>
        <w:t>——报告主体购入热力对应的二氧化碳排放量，单位为吨二氧化碳（</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 xml:space="preserve">）； </w:t>
      </w:r>
    </w:p>
    <w:p w14:paraId="32CD7F25">
      <w:pPr>
        <w:ind w:firstLine="720" w:firstLineChars="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输出电</w:t>
      </w:r>
      <w:r>
        <w:rPr>
          <w:rFonts w:hint="eastAsia"/>
          <w:color w:val="000000" w:themeColor="text1"/>
          <w:highlight w:val="none"/>
          <w14:textFill>
            <w14:solidFill>
              <w14:schemeClr w14:val="tx1"/>
            </w14:solidFill>
          </w14:textFill>
        </w:rPr>
        <w:t>——报告主体输出电力对应的二氧化碳排放量，单位为吨二氧化碳（</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 xml:space="preserve">）； </w:t>
      </w:r>
    </w:p>
    <w:p w14:paraId="5861A0E5">
      <w:pPr>
        <w:ind w:firstLine="720" w:firstLineChars="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输出热</w:t>
      </w:r>
      <w:r>
        <w:rPr>
          <w:rFonts w:hint="eastAsia"/>
          <w:color w:val="000000" w:themeColor="text1"/>
          <w:highlight w:val="none"/>
          <w14:textFill>
            <w14:solidFill>
              <w14:schemeClr w14:val="tx1"/>
            </w14:solidFill>
          </w14:textFill>
        </w:rPr>
        <w:t>——报告主体输出热力对应的二氧化碳排放量，单位为吨二氧化碳（</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 xml:space="preserve">）。 </w:t>
      </w:r>
    </w:p>
    <w:p w14:paraId="4BC89D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本项目涉及的温室气体排放源主要为购入的电力对应的二氧化碳排放。本项目能源消耗见表</w:t>
      </w:r>
      <w:r>
        <w:rPr>
          <w:rFonts w:hint="eastAsia"/>
          <w:color w:val="000000" w:themeColor="text1"/>
          <w:highlight w:val="none"/>
          <w:lang w:val="en-US" w:eastAsia="zh-CN"/>
          <w14:textFill>
            <w14:solidFill>
              <w14:schemeClr w14:val="tx1"/>
            </w14:solidFill>
          </w14:textFill>
        </w:rPr>
        <w:t>3.9</w:t>
      </w:r>
      <w:r>
        <w:rPr>
          <w:rFonts w:hint="eastAsia"/>
          <w:color w:val="000000" w:themeColor="text1"/>
          <w:highlight w:val="none"/>
          <w14:textFill>
            <w14:solidFill>
              <w14:schemeClr w14:val="tx1"/>
            </w14:solidFill>
          </w14:textFill>
        </w:rPr>
        <w:t>.1-1。</w:t>
      </w:r>
    </w:p>
    <w:p w14:paraId="4E046935">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3.9</w:t>
      </w:r>
      <w:r>
        <w:rPr>
          <w:rFonts w:hint="eastAsia"/>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本项目能源消耗一览表</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534"/>
        <w:gridCol w:w="4537"/>
      </w:tblGrid>
      <w:tr w14:paraId="73789A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34" w:type="dxa"/>
            <w:tcBorders>
              <w:bottom w:val="single" w:color="auto" w:sz="12" w:space="0"/>
            </w:tcBorders>
            <w:noWrap w:val="0"/>
            <w:vAlign w:val="top"/>
          </w:tcPr>
          <w:p w14:paraId="1D26D633">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排放源类别</w:t>
            </w:r>
          </w:p>
        </w:tc>
        <w:tc>
          <w:tcPr>
            <w:tcW w:w="4537" w:type="dxa"/>
            <w:tcBorders>
              <w:bottom w:val="single" w:color="auto" w:sz="12" w:space="0"/>
            </w:tcBorders>
            <w:noWrap w:val="0"/>
            <w:vAlign w:val="top"/>
          </w:tcPr>
          <w:p w14:paraId="3D8C0257">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消耗量</w:t>
            </w:r>
          </w:p>
        </w:tc>
      </w:tr>
      <w:tr w14:paraId="2D7C8C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34" w:type="dxa"/>
            <w:tcBorders>
              <w:top w:val="single" w:color="auto" w:sz="12" w:space="0"/>
            </w:tcBorders>
            <w:noWrap w:val="0"/>
            <w:vAlign w:val="top"/>
          </w:tcPr>
          <w:p w14:paraId="7807B54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外购电力</w:t>
            </w:r>
          </w:p>
        </w:tc>
        <w:tc>
          <w:tcPr>
            <w:tcW w:w="4537" w:type="dxa"/>
            <w:tcBorders>
              <w:top w:val="single" w:color="auto" w:sz="12" w:space="0"/>
            </w:tcBorders>
            <w:noWrap w:val="0"/>
            <w:vAlign w:val="top"/>
          </w:tcPr>
          <w:p w14:paraId="43B8B158">
            <w:pPr>
              <w:pStyle w:val="2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5.0172</w:t>
            </w:r>
            <w:r>
              <w:rPr>
                <w:rFonts w:hint="eastAsia"/>
                <w:color w:val="000000" w:themeColor="text1"/>
                <w:highlight w:val="none"/>
                <w14:textFill>
                  <w14:solidFill>
                    <w14:schemeClr w14:val="tx1"/>
                  </w14:solidFill>
                </w14:textFill>
              </w:rPr>
              <w:t>万kW·h</w:t>
            </w:r>
          </w:p>
        </w:tc>
      </w:tr>
    </w:tbl>
    <w:p w14:paraId="591632DB">
      <w:pPr>
        <w:pStyle w:val="4"/>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3.9</w:t>
      </w:r>
      <w:r>
        <w:rPr>
          <w:rFonts w:hint="eastAsia"/>
          <w:color w:val="000000" w:themeColor="text1"/>
          <w:highlight w:val="none"/>
          <w14:textFill>
            <w14:solidFill>
              <w14:schemeClr w14:val="tx1"/>
            </w14:solidFill>
          </w14:textFill>
        </w:rPr>
        <w:t xml:space="preserve">.1碳排放源强核算 </w:t>
      </w:r>
    </w:p>
    <w:p w14:paraId="18DF58A9">
      <w:pP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本项目涉及的温室气体排放源主要为购入的电力对应的二氧化碳排放</w:t>
      </w:r>
      <w:r>
        <w:rPr>
          <w:rFonts w:hint="eastAsia"/>
          <w:color w:val="000000" w:themeColor="text1"/>
          <w:highlight w:val="none"/>
          <w:lang w:eastAsia="zh-CN"/>
          <w14:textFill>
            <w14:solidFill>
              <w14:schemeClr w14:val="tx1"/>
            </w14:solidFill>
          </w14:textFill>
        </w:rPr>
        <w:t>。</w:t>
      </w:r>
    </w:p>
    <w:p w14:paraId="15062209">
      <w:pPr>
        <w:ind w:firstLine="480"/>
        <w:outlineLvl w:val="1"/>
        <w:rPr>
          <w:color w:val="000000" w:themeColor="text1"/>
          <w:highlight w:val="none"/>
          <w14:textFill>
            <w14:solidFill>
              <w14:schemeClr w14:val="tx1"/>
            </w14:solidFill>
          </w14:textFill>
        </w:rPr>
      </w:pPr>
      <w:bookmarkStart w:id="699" w:name="_Toc27425"/>
      <w:bookmarkStart w:id="700" w:name="_Toc20558"/>
      <w:bookmarkStart w:id="701" w:name="_Toc8073"/>
      <w:bookmarkStart w:id="702" w:name="_Toc6547"/>
      <w:bookmarkStart w:id="703" w:name="_Toc13201"/>
      <w:r>
        <w:rPr>
          <w:rFonts w:hint="eastAsia"/>
          <w:color w:val="000000" w:themeColor="text1"/>
          <w:highlight w:val="none"/>
          <w14:textFill>
            <w14:solidFill>
              <w14:schemeClr w14:val="tx1"/>
            </w14:solidFill>
          </w14:textFill>
        </w:rPr>
        <w:t>（1）计算公式</w:t>
      </w:r>
      <w:bookmarkEnd w:id="699"/>
      <w:bookmarkEnd w:id="700"/>
      <w:bookmarkEnd w:id="701"/>
      <w:bookmarkEnd w:id="702"/>
      <w:bookmarkEnd w:id="703"/>
    </w:p>
    <w:p w14:paraId="5881EB2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购入的电力所对应的电力生产环节产生的二氧化碳排放量，按式（</w:t>
      </w:r>
      <w:r>
        <w:rPr>
          <w:color w:val="000000" w:themeColor="text1"/>
          <w:highlight w:val="none"/>
          <w14:textFill>
            <w14:solidFill>
              <w14:schemeClr w14:val="tx1"/>
            </w14:solidFill>
          </w14:textFill>
        </w:rPr>
        <w:t>11</w:t>
      </w:r>
      <w:r>
        <w:rPr>
          <w:rFonts w:hint="eastAsia"/>
          <w:color w:val="000000" w:themeColor="text1"/>
          <w:highlight w:val="none"/>
          <w14:textFill>
            <w14:solidFill>
              <w14:schemeClr w14:val="tx1"/>
            </w14:solidFill>
          </w14:textFill>
        </w:rPr>
        <w:t>）计算：</w:t>
      </w:r>
    </w:p>
    <w:p w14:paraId="313A2B0D">
      <w:pPr>
        <w:ind w:firstLine="480"/>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2453005" cy="267335"/>
            <wp:effectExtent l="0" t="0" r="10795" b="1206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22"/>
                    <a:stretch>
                      <a:fillRect/>
                    </a:stretch>
                  </pic:blipFill>
                  <pic:spPr>
                    <a:xfrm>
                      <a:off x="0" y="0"/>
                      <a:ext cx="2453005" cy="267335"/>
                    </a:xfrm>
                    <a:prstGeom prst="rect">
                      <a:avLst/>
                    </a:prstGeom>
                    <a:noFill/>
                    <a:ln>
                      <a:noFill/>
                    </a:ln>
                  </pic:spPr>
                </pic:pic>
              </a:graphicData>
            </a:graphic>
          </wp:inline>
        </w:drawing>
      </w:r>
    </w:p>
    <w:p w14:paraId="74779B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式中：</w:t>
      </w:r>
    </w:p>
    <w:p w14:paraId="2FA08D30">
      <w:pPr>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购入电</w:t>
      </w:r>
      <w:r>
        <w:rPr>
          <w:rFonts w:hint="eastAsia"/>
          <w:color w:val="000000" w:themeColor="text1"/>
          <w:highlight w:val="none"/>
          <w14:textFill>
            <w14:solidFill>
              <w14:schemeClr w14:val="tx1"/>
            </w14:solidFill>
          </w14:textFill>
        </w:rPr>
        <w:t>——购入电力所产生的二氧化碳排放量，单位为吨二氧化碳（</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 xml:space="preserve">）； </w:t>
      </w:r>
    </w:p>
    <w:p w14:paraId="7E8824A4">
      <w:pPr>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AD</w:t>
      </w:r>
      <w:r>
        <w:rPr>
          <w:rFonts w:hint="eastAsia"/>
          <w:color w:val="000000" w:themeColor="text1"/>
          <w:highlight w:val="none"/>
          <w:vertAlign w:val="subscript"/>
          <w14:textFill>
            <w14:solidFill>
              <w14:schemeClr w14:val="tx1"/>
            </w14:solidFill>
          </w14:textFill>
        </w:rPr>
        <w:t>购入电</w:t>
      </w:r>
      <w:r>
        <w:rPr>
          <w:rFonts w:hint="eastAsia"/>
          <w:color w:val="000000" w:themeColor="text1"/>
          <w:highlight w:val="none"/>
          <w14:textFill>
            <w14:solidFill>
              <w14:schemeClr w14:val="tx1"/>
            </w14:solidFill>
          </w14:textFill>
        </w:rPr>
        <w:t>——核算期内购入的电量，单位为兆瓦时（</w:t>
      </w:r>
      <w:r>
        <w:rPr>
          <w:color w:val="000000" w:themeColor="text1"/>
          <w:highlight w:val="none"/>
          <w14:textFill>
            <w14:solidFill>
              <w14:schemeClr w14:val="tx1"/>
            </w14:solidFill>
          </w14:textFill>
        </w:rPr>
        <w:t>MWh</w:t>
      </w:r>
      <w:r>
        <w:rPr>
          <w:rFonts w:hint="eastAsia"/>
          <w:color w:val="000000" w:themeColor="text1"/>
          <w:highlight w:val="none"/>
          <w14:textFill>
            <w14:solidFill>
              <w14:schemeClr w14:val="tx1"/>
            </w14:solidFill>
          </w14:textFill>
        </w:rPr>
        <w:t xml:space="preserve">）； </w:t>
      </w:r>
    </w:p>
    <w:p w14:paraId="16C05651">
      <w:pPr>
        <w:ind w:firstLine="960" w:firstLineChars="4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EF</w:t>
      </w:r>
      <w:r>
        <w:rPr>
          <w:rFonts w:hint="eastAsia"/>
          <w:color w:val="000000" w:themeColor="text1"/>
          <w:highlight w:val="none"/>
          <w:vertAlign w:val="subscript"/>
          <w14:textFill>
            <w14:solidFill>
              <w14:schemeClr w14:val="tx1"/>
            </w14:solidFill>
          </w14:textFill>
        </w:rPr>
        <w:t>电力</w:t>
      </w:r>
      <w:r>
        <w:rPr>
          <w:rFonts w:hint="eastAsia"/>
          <w:color w:val="000000" w:themeColor="text1"/>
          <w:highlight w:val="none"/>
          <w14:textFill>
            <w14:solidFill>
              <w14:schemeClr w14:val="tx1"/>
            </w14:solidFill>
          </w14:textFill>
        </w:rPr>
        <w:t>——电力的二氧化碳排放因子，单位为吨二氧化碳每兆瓦时（</w:t>
      </w:r>
      <w:r>
        <w:rPr>
          <w:color w:val="000000" w:themeColor="text1"/>
          <w:highlight w:val="none"/>
          <w14:textFill>
            <w14:solidFill>
              <w14:schemeClr w14:val="tx1"/>
            </w14:solidFill>
          </w14:textFill>
        </w:rPr>
        <w:t>tCO</w:t>
      </w:r>
      <w:r>
        <w:rPr>
          <w:color w:val="000000" w:themeColor="text1"/>
          <w:highlight w:val="none"/>
          <w:vertAlign w:val="superscript"/>
          <w14:textFill>
            <w14:solidFill>
              <w14:schemeClr w14:val="tx1"/>
            </w14:solidFill>
          </w14:textFill>
        </w:rPr>
        <w:t>2</w:t>
      </w:r>
      <w:r>
        <w:rPr>
          <w:color w:val="000000" w:themeColor="text1"/>
          <w:highlight w:val="none"/>
          <w14:textFill>
            <w14:solidFill>
              <w14:schemeClr w14:val="tx1"/>
            </w14:solidFill>
          </w14:textFill>
        </w:rPr>
        <w:t>/MWh</w:t>
      </w:r>
      <w:r>
        <w:rPr>
          <w:rFonts w:hint="eastAsia"/>
          <w:color w:val="000000" w:themeColor="text1"/>
          <w:highlight w:val="none"/>
          <w14:textFill>
            <w14:solidFill>
              <w14:schemeClr w14:val="tx1"/>
            </w14:solidFill>
          </w14:textFill>
        </w:rPr>
        <w:t xml:space="preserve">）。 </w:t>
      </w:r>
    </w:p>
    <w:p w14:paraId="0CADD3CB">
      <w:pPr>
        <w:ind w:firstLine="480"/>
        <w:outlineLvl w:val="1"/>
        <w:rPr>
          <w:color w:val="000000" w:themeColor="text1"/>
          <w:highlight w:val="none"/>
          <w14:textFill>
            <w14:solidFill>
              <w14:schemeClr w14:val="tx1"/>
            </w14:solidFill>
          </w14:textFill>
        </w:rPr>
      </w:pPr>
      <w:bookmarkStart w:id="704" w:name="_Toc27365"/>
      <w:bookmarkStart w:id="705" w:name="_Toc1275"/>
      <w:bookmarkStart w:id="706" w:name="_Toc25927"/>
      <w:bookmarkStart w:id="707" w:name="_Toc16486"/>
      <w:bookmarkStart w:id="708" w:name="_Toc13588"/>
      <w:r>
        <w:rPr>
          <w:rFonts w:hint="eastAsia"/>
          <w:color w:val="000000" w:themeColor="text1"/>
          <w:highlight w:val="none"/>
          <w14:textFill>
            <w14:solidFill>
              <w14:schemeClr w14:val="tx1"/>
            </w14:solidFill>
          </w14:textFill>
        </w:rPr>
        <w:t>（2）排放因子获取</w:t>
      </w:r>
      <w:bookmarkEnd w:id="704"/>
      <w:bookmarkEnd w:id="705"/>
      <w:bookmarkEnd w:id="706"/>
      <w:bookmarkEnd w:id="707"/>
      <w:bookmarkEnd w:id="708"/>
      <w:r>
        <w:rPr>
          <w:rFonts w:hint="eastAsia"/>
          <w:color w:val="000000" w:themeColor="text1"/>
          <w:highlight w:val="none"/>
          <w14:textFill>
            <w14:solidFill>
              <w14:schemeClr w14:val="tx1"/>
            </w14:solidFill>
          </w14:textFill>
        </w:rPr>
        <w:t xml:space="preserve"> </w:t>
      </w:r>
    </w:p>
    <w:p w14:paraId="297157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电力排放因子采用国家主管部门公布的电网排放因子，选用国家主管部门最近年份公布的相应区域电网排放因子，为</w:t>
      </w:r>
      <w:r>
        <w:rPr>
          <w:color w:val="000000" w:themeColor="text1"/>
          <w:highlight w:val="none"/>
          <w14:textFill>
            <w14:solidFill>
              <w14:schemeClr w14:val="tx1"/>
            </w14:solidFill>
          </w14:textFill>
        </w:rPr>
        <w:t>0.</w:t>
      </w:r>
      <w:r>
        <w:rPr>
          <w:rFonts w:hint="eastAsia"/>
          <w:color w:val="000000" w:themeColor="text1"/>
          <w:highlight w:val="none"/>
          <w14:textFill>
            <w14:solidFill>
              <w14:schemeClr w14:val="tx1"/>
            </w14:solidFill>
          </w14:textFill>
        </w:rPr>
        <w:t>5703</w:t>
      </w: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/MWh</w:t>
      </w:r>
      <w:r>
        <w:rPr>
          <w:rFonts w:hint="eastAsia"/>
          <w:color w:val="000000" w:themeColor="text1"/>
          <w:highlight w:val="none"/>
          <w14:textFill>
            <w14:solidFill>
              <w14:schemeClr w14:val="tx1"/>
            </w14:solidFill>
          </w14:textFill>
        </w:rPr>
        <w:t xml:space="preserve">。 </w:t>
      </w:r>
    </w:p>
    <w:p w14:paraId="216B9064">
      <w:pPr>
        <w:ind w:firstLine="480"/>
        <w:outlineLvl w:val="1"/>
        <w:rPr>
          <w:color w:val="000000" w:themeColor="text1"/>
          <w:highlight w:val="none"/>
          <w14:textFill>
            <w14:solidFill>
              <w14:schemeClr w14:val="tx1"/>
            </w14:solidFill>
          </w14:textFill>
        </w:rPr>
      </w:pPr>
      <w:bookmarkStart w:id="709" w:name="_Toc30863"/>
      <w:bookmarkStart w:id="710" w:name="_Toc15521"/>
      <w:bookmarkStart w:id="711" w:name="_Toc3585"/>
      <w:bookmarkStart w:id="712" w:name="_Toc23466"/>
      <w:bookmarkStart w:id="713" w:name="_Toc22046"/>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）计算结果</w:t>
      </w:r>
      <w:bookmarkEnd w:id="709"/>
      <w:bookmarkEnd w:id="710"/>
      <w:bookmarkEnd w:id="711"/>
      <w:bookmarkEnd w:id="712"/>
      <w:bookmarkEnd w:id="713"/>
      <w:r>
        <w:rPr>
          <w:rFonts w:hint="eastAsia"/>
          <w:color w:val="000000" w:themeColor="text1"/>
          <w:highlight w:val="none"/>
          <w14:textFill>
            <w14:solidFill>
              <w14:schemeClr w14:val="tx1"/>
            </w14:solidFill>
          </w14:textFill>
        </w:rPr>
        <w:t xml:space="preserve"> </w:t>
      </w:r>
    </w:p>
    <w:p w14:paraId="6A8F404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本项目购入的电力的排放量计算结果见表</w:t>
      </w:r>
      <w:r>
        <w:rPr>
          <w:rFonts w:hint="eastAsia"/>
          <w:color w:val="000000" w:themeColor="text1"/>
          <w:highlight w:val="none"/>
          <w:lang w:val="en-US" w:eastAsia="zh-CN"/>
          <w14:textFill>
            <w14:solidFill>
              <w14:schemeClr w14:val="tx1"/>
            </w14:solidFill>
          </w14:textFill>
        </w:rPr>
        <w:t>3.9</w:t>
      </w: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 xml:space="preserve">。 </w:t>
      </w:r>
    </w:p>
    <w:p w14:paraId="1C6C9EB5">
      <w:pPr>
        <w:pStyle w:val="2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3.9</w:t>
      </w: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 xml:space="preserve">    本项目购入的电力、热力的排放情况一览表</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49"/>
        <w:gridCol w:w="2656"/>
        <w:gridCol w:w="2514"/>
        <w:gridCol w:w="1952"/>
      </w:tblGrid>
      <w:tr w14:paraId="2E106F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vMerge w:val="restart"/>
            <w:noWrap w:val="0"/>
            <w:vAlign w:val="center"/>
          </w:tcPr>
          <w:p w14:paraId="466D3284">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因子</w:t>
            </w:r>
          </w:p>
        </w:tc>
        <w:tc>
          <w:tcPr>
            <w:tcW w:w="975" w:type="dxa"/>
            <w:noWrap w:val="0"/>
            <w:vAlign w:val="center"/>
          </w:tcPr>
          <w:p w14:paraId="6314A1CA">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AD</w:t>
            </w:r>
            <w:r>
              <w:rPr>
                <w:rFonts w:hint="eastAsia"/>
                <w:color w:val="000000" w:themeColor="text1"/>
                <w:highlight w:val="none"/>
                <w:vertAlign w:val="subscript"/>
                <w14:textFill>
                  <w14:solidFill>
                    <w14:schemeClr w14:val="tx1"/>
                  </w14:solidFill>
                </w14:textFill>
              </w:rPr>
              <w:t>购入电</w:t>
            </w:r>
          </w:p>
        </w:tc>
        <w:tc>
          <w:tcPr>
            <w:tcW w:w="1256" w:type="dxa"/>
            <w:noWrap w:val="0"/>
            <w:vAlign w:val="center"/>
          </w:tcPr>
          <w:p w14:paraId="2F78F154">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EF</w:t>
            </w:r>
            <w:r>
              <w:rPr>
                <w:rFonts w:hint="eastAsia"/>
                <w:color w:val="000000" w:themeColor="text1"/>
                <w:highlight w:val="none"/>
                <w:vertAlign w:val="subscript"/>
                <w14:textFill>
                  <w14:solidFill>
                    <w14:schemeClr w14:val="tx1"/>
                  </w14:solidFill>
                </w14:textFill>
              </w:rPr>
              <w:t>电力</w:t>
            </w:r>
          </w:p>
        </w:tc>
        <w:tc>
          <w:tcPr>
            <w:tcW w:w="975" w:type="dxa"/>
            <w:noWrap w:val="0"/>
            <w:vAlign w:val="center"/>
          </w:tcPr>
          <w:p w14:paraId="20C70861">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vertAlign w:val="subscript"/>
                <w14:textFill>
                  <w14:solidFill>
                    <w14:schemeClr w14:val="tx1"/>
                  </w14:solidFill>
                </w14:textFill>
              </w:rPr>
              <w:t>购入电</w:t>
            </w:r>
          </w:p>
        </w:tc>
      </w:tr>
      <w:tr w14:paraId="35767B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vMerge w:val="continue"/>
            <w:tcBorders>
              <w:bottom w:val="single" w:color="auto" w:sz="12" w:space="0"/>
            </w:tcBorders>
            <w:noWrap w:val="0"/>
            <w:vAlign w:val="center"/>
          </w:tcPr>
          <w:p w14:paraId="15676519">
            <w:pPr>
              <w:pStyle w:val="26"/>
              <w:rPr>
                <w:rFonts w:hint="eastAsia"/>
                <w:color w:val="000000" w:themeColor="text1"/>
                <w:highlight w:val="none"/>
                <w14:textFill>
                  <w14:solidFill>
                    <w14:schemeClr w14:val="tx1"/>
                  </w14:solidFill>
                </w14:textFill>
              </w:rPr>
            </w:pPr>
          </w:p>
        </w:tc>
        <w:tc>
          <w:tcPr>
            <w:tcW w:w="975" w:type="dxa"/>
            <w:tcBorders>
              <w:bottom w:val="single" w:color="auto" w:sz="12" w:space="0"/>
            </w:tcBorders>
            <w:noWrap w:val="0"/>
            <w:vAlign w:val="center"/>
          </w:tcPr>
          <w:p w14:paraId="74FC0253">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MWh</w:t>
            </w:r>
          </w:p>
        </w:tc>
        <w:tc>
          <w:tcPr>
            <w:tcW w:w="1256" w:type="dxa"/>
            <w:tcBorders>
              <w:bottom w:val="single" w:color="auto" w:sz="12" w:space="0"/>
            </w:tcBorders>
            <w:noWrap w:val="0"/>
            <w:vAlign w:val="center"/>
          </w:tcPr>
          <w:p w14:paraId="1946E6D8">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/MWh</w:t>
            </w:r>
          </w:p>
        </w:tc>
        <w:tc>
          <w:tcPr>
            <w:tcW w:w="975" w:type="dxa"/>
            <w:tcBorders>
              <w:bottom w:val="single" w:color="auto" w:sz="12" w:space="0"/>
            </w:tcBorders>
            <w:noWrap w:val="0"/>
            <w:vAlign w:val="center"/>
          </w:tcPr>
          <w:p w14:paraId="27B19BA9">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tCO</w:t>
            </w:r>
            <w:r>
              <w:rPr>
                <w:color w:val="000000" w:themeColor="text1"/>
                <w:highlight w:val="none"/>
                <w:vertAlign w:val="subscript"/>
                <w14:textFill>
                  <w14:solidFill>
                    <w14:schemeClr w14:val="tx1"/>
                  </w14:solidFill>
                </w14:textFill>
              </w:rPr>
              <w:t>2</w:t>
            </w:r>
          </w:p>
        </w:tc>
      </w:tr>
      <w:tr w14:paraId="0F64C2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12" w:space="0"/>
            </w:tcBorders>
            <w:noWrap w:val="0"/>
            <w:vAlign w:val="center"/>
          </w:tcPr>
          <w:p w14:paraId="7546518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数值</w:t>
            </w:r>
          </w:p>
        </w:tc>
        <w:tc>
          <w:tcPr>
            <w:tcW w:w="975" w:type="dxa"/>
            <w:tcBorders>
              <w:top w:val="single" w:color="auto" w:sz="12" w:space="0"/>
            </w:tcBorders>
            <w:noWrap w:val="0"/>
            <w:vAlign w:val="center"/>
          </w:tcPr>
          <w:p w14:paraId="013FF070">
            <w:pPr>
              <w:pStyle w:val="26"/>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5.0172×10</w:t>
            </w:r>
            <w:r>
              <w:rPr>
                <w:rFonts w:hint="eastAsia"/>
                <w:color w:val="000000" w:themeColor="text1"/>
                <w:highlight w:val="none"/>
                <w:vertAlign w:val="superscript"/>
                <w:lang w:val="en-US" w:eastAsia="zh-CN"/>
                <w14:textFill>
                  <w14:solidFill>
                    <w14:schemeClr w14:val="tx1"/>
                  </w14:solidFill>
                </w14:textFill>
              </w:rPr>
              <w:t>-2</w:t>
            </w:r>
          </w:p>
        </w:tc>
        <w:tc>
          <w:tcPr>
            <w:tcW w:w="1256" w:type="dxa"/>
            <w:tcBorders>
              <w:top w:val="single" w:color="auto" w:sz="12" w:space="0"/>
            </w:tcBorders>
            <w:noWrap w:val="0"/>
            <w:vAlign w:val="center"/>
          </w:tcPr>
          <w:p w14:paraId="2CD91E0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14:textFill>
                  <w14:solidFill>
                    <w14:schemeClr w14:val="tx1"/>
                  </w14:solidFill>
                </w14:textFill>
              </w:rPr>
              <w:t>5703</w:t>
            </w:r>
          </w:p>
        </w:tc>
        <w:tc>
          <w:tcPr>
            <w:tcW w:w="975" w:type="dxa"/>
            <w:tcBorders>
              <w:top w:val="single" w:color="auto" w:sz="12" w:space="0"/>
            </w:tcBorders>
            <w:noWrap w:val="0"/>
            <w:vAlign w:val="center"/>
          </w:tcPr>
          <w:p w14:paraId="42ECCFFC">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0.03</w:t>
            </w:r>
          </w:p>
        </w:tc>
      </w:tr>
    </w:tbl>
    <w:p w14:paraId="61BF9C25">
      <w:pPr>
        <w:pStyle w:val="5"/>
        <w:rPr>
          <w:color w:val="000000" w:themeColor="text1"/>
          <w:highlight w:val="none"/>
          <w14:textFill>
            <w14:solidFill>
              <w14:schemeClr w14:val="tx1"/>
            </w14:solidFill>
          </w14:textFill>
        </w:rPr>
      </w:pPr>
      <w:r>
        <w:rPr>
          <w:rStyle w:val="28"/>
          <w:rFonts w:hint="eastAsia"/>
          <w:b/>
          <w:bCs/>
          <w:color w:val="000000" w:themeColor="text1"/>
          <w:highlight w:val="none"/>
          <w:lang w:val="en-US" w:eastAsia="zh-CN"/>
          <w14:textFill>
            <w14:solidFill>
              <w14:schemeClr w14:val="tx1"/>
            </w14:solidFill>
          </w14:textFill>
        </w:rPr>
        <w:t>3.9.2</w:t>
      </w:r>
      <w:r>
        <w:rPr>
          <w:rStyle w:val="28"/>
          <w:rFonts w:hint="eastAsia"/>
          <w:b/>
          <w:bCs/>
          <w:color w:val="000000" w:themeColor="text1"/>
          <w:highlight w:val="none"/>
          <w14:textFill>
            <w14:solidFill>
              <w14:schemeClr w14:val="tx1"/>
            </w14:solidFill>
          </w14:textFill>
        </w:rPr>
        <w:t>碳排放量汇总</w:t>
      </w:r>
      <w:r>
        <w:rPr>
          <w:rFonts w:hint="eastAsia"/>
          <w:color w:val="000000" w:themeColor="text1"/>
          <w:highlight w:val="none"/>
          <w14:textFill>
            <w14:solidFill>
              <w14:schemeClr w14:val="tx1"/>
            </w14:solidFill>
          </w14:textFill>
        </w:rPr>
        <w:t xml:space="preserve"> </w:t>
      </w:r>
    </w:p>
    <w:p w14:paraId="15467A6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根据上述计算，本项目碳排放量为</w:t>
      </w:r>
      <w:r>
        <w:rPr>
          <w:rFonts w:hint="eastAsia"/>
          <w:color w:val="000000" w:themeColor="text1"/>
          <w:highlight w:val="none"/>
          <w:lang w:val="en-US" w:eastAsia="zh-CN"/>
          <w14:textFill>
            <w14:solidFill>
              <w14:schemeClr w14:val="tx1"/>
            </w14:solidFill>
          </w14:textFill>
        </w:rPr>
        <w:t>0.03</w:t>
      </w:r>
      <w:r>
        <w:rPr>
          <w:rFonts w:hint="eastAsia"/>
          <w:color w:val="000000" w:themeColor="text1"/>
          <w:highlight w:val="none"/>
          <w14:textFill>
            <w14:solidFill>
              <w14:schemeClr w14:val="tx1"/>
            </w14:solidFill>
          </w14:textFill>
        </w:rPr>
        <w:t>t/a。</w:t>
      </w:r>
    </w:p>
    <w:p w14:paraId="7F93BCF7">
      <w:pPr>
        <w:pStyle w:val="4"/>
        <w:rPr>
          <w:color w:val="000000" w:themeColor="text1"/>
          <w:highlight w:val="none"/>
          <w14:textFill>
            <w14:solidFill>
              <w14:schemeClr w14:val="tx1"/>
            </w14:solidFill>
          </w14:textFill>
        </w:rPr>
      </w:pPr>
      <w:bookmarkStart w:id="714" w:name="_Toc1610"/>
      <w:r>
        <w:rPr>
          <w:rStyle w:val="28"/>
          <w:rFonts w:hint="eastAsia"/>
          <w:b/>
          <w:bCs/>
          <w:color w:val="000000" w:themeColor="text1"/>
          <w:highlight w:val="none"/>
          <w:lang w:val="en-US" w:eastAsia="zh-CN"/>
          <w14:textFill>
            <w14:solidFill>
              <w14:schemeClr w14:val="tx1"/>
            </w14:solidFill>
          </w14:textFill>
        </w:rPr>
        <w:t>3.9.3</w:t>
      </w:r>
      <w:r>
        <w:rPr>
          <w:rFonts w:hint="eastAsia"/>
          <w:color w:val="000000" w:themeColor="text1"/>
          <w:highlight w:val="none"/>
          <w14:textFill>
            <w14:solidFill>
              <w14:schemeClr w14:val="tx1"/>
            </w14:solidFill>
          </w14:textFill>
        </w:rPr>
        <w:t>碳减排措施</w:t>
      </w:r>
    </w:p>
    <w:p w14:paraId="6F3964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本项目从</w:t>
      </w:r>
      <w:r>
        <w:rPr>
          <w:rFonts w:hint="eastAsia"/>
          <w:color w:val="000000" w:themeColor="text1"/>
          <w:highlight w:val="none"/>
          <w:lang w:val="en-US" w:eastAsia="zh-CN"/>
          <w14:textFill>
            <w14:solidFill>
              <w14:schemeClr w14:val="tx1"/>
            </w14:solidFill>
          </w14:textFill>
        </w:rPr>
        <w:t>协同降碳、</w:t>
      </w:r>
      <w:r>
        <w:rPr>
          <w:rFonts w:hint="eastAsia"/>
          <w:color w:val="000000" w:themeColor="text1"/>
          <w:highlight w:val="none"/>
          <w14:textFill>
            <w14:solidFill>
              <w14:schemeClr w14:val="tx1"/>
            </w14:solidFill>
          </w14:textFill>
        </w:rPr>
        <w:t xml:space="preserve">厂内外运输、工艺技术、节能设备和能源及碳排放管理等方面均采取了一系列减污降碳措施，具体如下。 </w:t>
      </w:r>
    </w:p>
    <w:p w14:paraId="396546B3">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3.9.3</w:t>
      </w: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协同降碳</w:t>
      </w:r>
    </w:p>
    <w:p w14:paraId="41D8704E">
      <w:pPr>
        <w:bidi w:val="0"/>
        <w:outlineLvl w:val="1"/>
        <w:rPr>
          <w:rFonts w:hint="default"/>
          <w:color w:val="000000" w:themeColor="text1"/>
          <w:highlight w:val="none"/>
          <w:lang w:val="en-US" w:eastAsia="zh-CN"/>
          <w14:textFill>
            <w14:solidFill>
              <w14:schemeClr w14:val="tx1"/>
            </w14:solidFill>
          </w14:textFill>
        </w:rPr>
      </w:pPr>
      <w:bookmarkStart w:id="715" w:name="_Toc21924"/>
      <w:bookmarkStart w:id="716" w:name="_Toc14465"/>
      <w:bookmarkStart w:id="717" w:name="_Toc7573"/>
      <w:bookmarkStart w:id="718" w:name="_Toc6127"/>
      <w:bookmarkStart w:id="719" w:name="_Toc13960"/>
      <w:r>
        <w:rPr>
          <w:rFonts w:hint="eastAsia"/>
          <w:color w:val="000000" w:themeColor="text1"/>
          <w:highlight w:val="none"/>
          <w:lang w:val="en-US" w:eastAsia="zh-CN"/>
          <w14:textFill>
            <w14:solidFill>
              <w14:schemeClr w14:val="tx1"/>
            </w14:solidFill>
          </w14:textFill>
        </w:rPr>
        <w:t>（1）绿色工艺</w:t>
      </w:r>
      <w:bookmarkEnd w:id="715"/>
      <w:bookmarkEnd w:id="716"/>
      <w:bookmarkEnd w:id="717"/>
      <w:bookmarkEnd w:id="718"/>
      <w:bookmarkEnd w:id="719"/>
    </w:p>
    <w:p w14:paraId="30A02BCB">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参照《高耗能行业重点领域节能降碳改造升级实施指南（</w:t>
      </w:r>
      <w:r>
        <w:rPr>
          <w:rFonts w:hint="default"/>
          <w:color w:val="000000" w:themeColor="text1"/>
          <w:highlight w:val="none"/>
          <w:lang w:val="en-US" w:eastAsia="zh-CN"/>
          <w14:textFill>
            <w14:solidFill>
              <w14:schemeClr w14:val="tx1"/>
            </w14:solidFill>
          </w14:textFill>
        </w:rPr>
        <w:t xml:space="preserve">2022 </w:t>
      </w:r>
      <w:r>
        <w:rPr>
          <w:rFonts w:hint="eastAsia"/>
          <w:color w:val="000000" w:themeColor="text1"/>
          <w:highlight w:val="none"/>
          <w:lang w:val="en-US" w:eastAsia="zh-CN"/>
          <w14:textFill>
            <w14:solidFill>
              <w14:schemeClr w14:val="tx1"/>
            </w14:solidFill>
          </w14:textFill>
        </w:rPr>
        <w:t xml:space="preserve">年版）》节能降碳改造升级实施指南，采用智能优化技术，实现能效优化；采用先进控制技术，实现卡边控制。 </w:t>
      </w:r>
    </w:p>
    <w:p w14:paraId="6D751E4D">
      <w:pPr>
        <w:bidi w:val="0"/>
        <w:outlineLvl w:val="1"/>
        <w:rPr>
          <w:color w:val="000000" w:themeColor="text1"/>
          <w:highlight w:val="none"/>
          <w14:textFill>
            <w14:solidFill>
              <w14:schemeClr w14:val="tx1"/>
            </w14:solidFill>
          </w14:textFill>
        </w:rPr>
      </w:pPr>
      <w:bookmarkStart w:id="720" w:name="_Toc3023"/>
      <w:bookmarkStart w:id="721" w:name="_Toc26134"/>
      <w:bookmarkStart w:id="722" w:name="_Toc24316"/>
      <w:bookmarkStart w:id="723" w:name="_Toc25415"/>
      <w:bookmarkStart w:id="724" w:name="_Toc2589"/>
      <w:r>
        <w:rPr>
          <w:rFonts w:hint="eastAsia"/>
          <w:color w:val="000000" w:themeColor="text1"/>
          <w:highlight w:val="none"/>
          <w:lang w:val="en-US" w:eastAsia="zh-CN"/>
          <w14:textFill>
            <w14:solidFill>
              <w14:schemeClr w14:val="tx1"/>
            </w14:solidFill>
          </w14:textFill>
        </w:rPr>
        <w:t>（2）优化设备采购方案</w:t>
      </w:r>
      <w:bookmarkEnd w:id="720"/>
      <w:bookmarkEnd w:id="721"/>
      <w:bookmarkEnd w:id="722"/>
      <w:bookmarkEnd w:id="723"/>
      <w:bookmarkEnd w:id="724"/>
      <w:r>
        <w:rPr>
          <w:rFonts w:hint="eastAsia"/>
          <w:color w:val="000000" w:themeColor="text1"/>
          <w:highlight w:val="none"/>
          <w:lang w:val="en-US" w:eastAsia="zh-CN"/>
          <w14:textFill>
            <w14:solidFill>
              <w14:schemeClr w14:val="tx1"/>
            </w14:solidFill>
          </w14:textFill>
        </w:rPr>
        <w:t xml:space="preserve"> </w:t>
      </w:r>
    </w:p>
    <w:p w14:paraId="6AD5A2C4">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①本项目通过购入效率高、能耗少、成本低的先进设备，使全厂单位生产总值温室气体排放量及单位产品温室气体排放量下降。 </w:t>
      </w:r>
    </w:p>
    <w:p w14:paraId="0D7BD00A">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②按《用能单位能源计量器具配备和管理通则》（</w:t>
      </w:r>
      <w:r>
        <w:rPr>
          <w:rFonts w:hint="default"/>
          <w:color w:val="000000" w:themeColor="text1"/>
          <w:highlight w:val="none"/>
          <w:lang w:val="en-US" w:eastAsia="zh-CN"/>
          <w14:textFill>
            <w14:solidFill>
              <w14:schemeClr w14:val="tx1"/>
            </w14:solidFill>
          </w14:textFill>
        </w:rPr>
        <w:t>GB17167-20</w:t>
      </w:r>
      <w:r>
        <w:rPr>
          <w:rFonts w:hint="eastAsia"/>
          <w:color w:val="000000" w:themeColor="text1"/>
          <w:highlight w:val="none"/>
          <w:lang w:val="en-US" w:eastAsia="zh-CN"/>
          <w14:textFill>
            <w14:solidFill>
              <w14:schemeClr w14:val="tx1"/>
            </w14:solidFill>
          </w14:textFill>
        </w:rPr>
        <w:t xml:space="preserve">25）的要求，实行各生产线、工段耗能专人管理，建立合理奖罚制度，并严格执行，确保节能降耗工作落到实处。 </w:t>
      </w:r>
    </w:p>
    <w:p w14:paraId="3ACEB620">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3.9.3</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 xml:space="preserve">厂内运输减污降碳措施 </w:t>
      </w:r>
    </w:p>
    <w:p w14:paraId="24AEC6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项目在总图布置时，根据工艺生产的需要，按照工艺流向布置，物料顺行，合理分配运输量，减少物流，减少折返、迂回以及货物的重复装卸和搬运，减少厂内运输货物周转量，缩短运输距离，从而减少厂区内运输车辆、非道路移动机械等移动设备燃烧产生的</w:t>
      </w:r>
      <w:r>
        <w:rPr>
          <w:color w:val="000000" w:themeColor="text1"/>
          <w:highlight w:val="none"/>
          <w14:textFill>
            <w14:solidFill>
              <w14:schemeClr w14:val="tx1"/>
            </w14:solidFill>
          </w14:textFill>
        </w:rPr>
        <w: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 xml:space="preserve">排放量。 </w:t>
      </w:r>
    </w:p>
    <w:p w14:paraId="6960DF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）工艺设备和建构筑物合理布局，水泵房、变配电设施等均设置在负荷中心，减少电力等能源输送损耗，减少电力隐含的</w:t>
      </w:r>
      <w:r>
        <w:rPr>
          <w:color w:val="000000" w:themeColor="text1"/>
          <w:highlight w:val="none"/>
          <w14:textFill>
            <w14:solidFill>
              <w14:schemeClr w14:val="tx1"/>
            </w14:solidFill>
          </w14:textFill>
        </w:rPr>
        <w:t>CO</w:t>
      </w:r>
      <w:r>
        <w:rPr>
          <w:color w:val="000000" w:themeColor="text1"/>
          <w:highlight w:val="none"/>
          <w:vertAlign w:val="subscript"/>
          <w14:textFill>
            <w14:solidFill>
              <w14:schemeClr w14:val="tx1"/>
            </w14:solidFill>
          </w14:textFill>
        </w:rPr>
        <w:t>2</w:t>
      </w:r>
      <w:r>
        <w:rPr>
          <w:rFonts w:hint="eastAsia"/>
          <w:color w:val="000000" w:themeColor="text1"/>
          <w:highlight w:val="none"/>
          <w14:textFill>
            <w14:solidFill>
              <w14:schemeClr w14:val="tx1"/>
            </w14:solidFill>
          </w14:textFill>
        </w:rPr>
        <w:t xml:space="preserve">排放量。 </w:t>
      </w:r>
    </w:p>
    <w:p w14:paraId="529CBC80">
      <w:pPr>
        <w:pStyle w:val="5"/>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3.9.3</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电气设施减污降碳措施</w:t>
      </w:r>
    </w:p>
    <w:p w14:paraId="5B225DD9">
      <w:pPr>
        <w:widowControl/>
        <w:ind w:firstLine="480"/>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本项目在电气设备设施上采用了多种节能措施，从而间接减少了电力隐含</w:t>
      </w:r>
      <w:r>
        <w:rPr>
          <w:color w:val="000000" w:themeColor="text1"/>
          <w:kern w:val="0"/>
          <w:highlight w:val="none"/>
          <w:lang w:bidi="ar"/>
          <w14:textFill>
            <w14:solidFill>
              <w14:schemeClr w14:val="tx1"/>
            </w14:solidFill>
          </w14:textFill>
        </w:rPr>
        <w:t>CO</w:t>
      </w:r>
      <w:r>
        <w:rPr>
          <w:color w:val="000000" w:themeColor="text1"/>
          <w:kern w:val="0"/>
          <w:sz w:val="15"/>
          <w:szCs w:val="15"/>
          <w:highlight w:val="none"/>
          <w:lang w:bidi="ar"/>
          <w14:textFill>
            <w14:solidFill>
              <w14:schemeClr w14:val="tx1"/>
            </w14:solidFill>
          </w14:textFill>
        </w:rPr>
        <w:t>2</w:t>
      </w:r>
      <w:r>
        <w:rPr>
          <w:rFonts w:hint="eastAsia" w:ascii="宋体" w:hAnsi="宋体" w:cs="宋体"/>
          <w:color w:val="000000" w:themeColor="text1"/>
          <w:kern w:val="0"/>
          <w:highlight w:val="none"/>
          <w:lang w:bidi="ar"/>
          <w14:textFill>
            <w14:solidFill>
              <w14:schemeClr w14:val="tx1"/>
            </w14:solidFill>
          </w14:textFill>
        </w:rPr>
        <w:t>排放量。具体措施主要有：</w:t>
      </w:r>
    </w:p>
    <w:p w14:paraId="2B126266">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）根据项目用电性质、用电容量等选择合理的供电电压和供电方式，有效减少电能损耗。</w:t>
      </w:r>
    </w:p>
    <w:p w14:paraId="784391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）选用高功率因数电气设备。采用无功功率补偿，为减少线路损失，设计采用高低压同时补偿的方式，补偿后功率因数达</w:t>
      </w:r>
      <w:r>
        <w:rPr>
          <w:color w:val="000000" w:themeColor="text1"/>
          <w:highlight w:val="none"/>
          <w14:textFill>
            <w14:solidFill>
              <w14:schemeClr w14:val="tx1"/>
            </w14:solidFill>
          </w14:textFill>
        </w:rPr>
        <w:t>0.95</w:t>
      </w:r>
      <w:r>
        <w:rPr>
          <w:rFonts w:hint="eastAsia"/>
          <w:color w:val="000000" w:themeColor="text1"/>
          <w:highlight w:val="none"/>
          <w14:textFill>
            <w14:solidFill>
              <w14:schemeClr w14:val="tx1"/>
            </w14:solidFill>
          </w14:textFill>
        </w:rPr>
        <w:t xml:space="preserve">以上。低压设置自动无功补偿电容器装置，高压采用高压并联电容器进行功率因数补偿，补偿后使功率因数在装置负荷正常运行时提高，有效减少无功损耗，从而减少电能损耗，实现节能运行。 </w:t>
      </w:r>
    </w:p>
    <w:p w14:paraId="4CF29D9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）选用节能型干式变压器，能效等级为</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级，具有低损耗（空载和负载损耗相对较低）、维护方便等显著特点。 </w:t>
      </w:r>
    </w:p>
    <w:p w14:paraId="15C11D4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）各种电力设备均选用能效等级为</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级的节能产品</w:t>
      </w:r>
      <w:r>
        <w:rPr>
          <w:rFonts w:hint="eastAsia"/>
          <w:color w:val="000000" w:themeColor="text1"/>
          <w:highlight w:val="none"/>
          <w:lang w:eastAsia="zh-CN"/>
          <w14:textFill>
            <w14:solidFill>
              <w14:schemeClr w14:val="tx1"/>
            </w14:solidFill>
          </w14:textFill>
        </w:rPr>
        <w:t>，与</w:t>
      </w:r>
      <w:r>
        <w:rPr>
          <w:rFonts w:hint="eastAsia"/>
          <w:color w:val="000000" w:themeColor="text1"/>
          <w:highlight w:val="none"/>
          <w14:textFill>
            <w14:solidFill>
              <w14:schemeClr w14:val="tx1"/>
            </w14:solidFill>
          </w14:textFill>
        </w:rPr>
        <w:t xml:space="preserve">实际功率和负荷相适应，达到降低能耗，提高工作效率的作用。 </w:t>
      </w:r>
    </w:p>
    <w:p w14:paraId="28585C7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）负载变化较大的风机、泵类采用变频器调速控制，进一步降低能耗。</w:t>
      </w:r>
    </w:p>
    <w:p w14:paraId="1952A8F0">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3.9.3</w:t>
      </w:r>
      <w:r>
        <w:rPr>
          <w:rFonts w:hint="eastAsia"/>
          <w:color w:val="000000" w:themeColor="text1"/>
          <w:highlight w:val="none"/>
          <w14:textFill>
            <w14:solidFill>
              <w14:schemeClr w14:val="tx1"/>
            </w14:solidFill>
          </w14:textFill>
        </w:rPr>
        <w:t>.4减污降碳管理措施</w:t>
      </w:r>
    </w:p>
    <w:p w14:paraId="7D624359">
      <w:pPr>
        <w:bidi w:val="0"/>
        <w:rPr>
          <w:color w:val="000000" w:themeColor="text1"/>
          <w:highlight w:val="none"/>
          <w14:textFill>
            <w14:solidFill>
              <w14:schemeClr w14:val="tx1"/>
            </w14:solidFill>
          </w14:textFill>
        </w:rPr>
      </w:pPr>
      <w:bookmarkStart w:id="725" w:name="heading_1"/>
      <w:r>
        <w:rPr>
          <w:color w:val="000000" w:themeColor="text1"/>
          <w:highlight w:val="none"/>
          <w14:textFill>
            <w14:solidFill>
              <w14:schemeClr w14:val="tx1"/>
            </w14:solidFill>
          </w14:textFill>
        </w:rPr>
        <w:t>（1）能源及碳排放管理制度</w:t>
      </w:r>
      <w:bookmarkEnd w:id="725"/>
    </w:p>
    <w:p w14:paraId="7D0D5661">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为混凝土助剂专用化学品生产项目，生产过程无燃煤工序，主要消耗能源为电能、少量蒸汽及自来水，碳排放源简单、可控。为规范项目日常用能及碳排放管控，企业建立三级能源及碳排放管理体系，实行公司、部门、班组三级网格化管理模式。企业配套制定完善的能源及碳排放管理制度，对电力、用水等能源的购入、使用、设备能耗管控、生产节能操作等环节作出细化规定，结合本项目间歇式助剂生产工艺特点，杜绝设备空转、无效能耗浪费，从管理制度层面实现能源高效利用、碳排放精细化管控。</w:t>
      </w:r>
    </w:p>
    <w:p w14:paraId="48D3512B">
      <w:pPr>
        <w:bidi w:val="0"/>
        <w:rPr>
          <w:color w:val="000000" w:themeColor="text1"/>
          <w:highlight w:val="none"/>
          <w14:textFill>
            <w14:solidFill>
              <w14:schemeClr w14:val="tx1"/>
            </w14:solidFill>
          </w14:textFill>
        </w:rPr>
      </w:pPr>
      <w:bookmarkStart w:id="726" w:name="heading_2"/>
      <w:r>
        <w:rPr>
          <w:color w:val="000000" w:themeColor="text1"/>
          <w:highlight w:val="none"/>
          <w14:textFill>
            <w14:solidFill>
              <w14:schemeClr w14:val="tx1"/>
            </w14:solidFill>
          </w14:textFill>
        </w:rPr>
        <w:t>（2）能源计量管理</w:t>
      </w:r>
      <w:bookmarkEnd w:id="726"/>
    </w:p>
    <w:p w14:paraId="5F0E7C6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结合本项目生产用能特点，企业建立完善的能源计量管控体系，严格落实《计量管理制度》。针对厂区生产用电、生活用电、生产用水等关键用能节点，分类配套安装合规计量器具，实现各类能源消耗分项、分级计量。</w:t>
      </w:r>
    </w:p>
    <w:p w14:paraId="243F95C5">
      <w:pPr>
        <w:bidi w:val="0"/>
        <w:rPr>
          <w:color w:val="000000" w:themeColor="text1"/>
          <w:highlight w:val="none"/>
          <w14:textFill>
            <w14:solidFill>
              <w14:schemeClr w14:val="tx1"/>
            </w14:solidFill>
          </w14:textFill>
        </w:rPr>
      </w:pPr>
      <w:bookmarkStart w:id="727" w:name="heading_3"/>
      <w:r>
        <w:rPr>
          <w:color w:val="000000" w:themeColor="text1"/>
          <w:highlight w:val="none"/>
          <w14:textFill>
            <w14:solidFill>
              <w14:schemeClr w14:val="tx1"/>
            </w14:solidFill>
          </w14:textFill>
        </w:rPr>
        <w:t>（3）能源统计管理</w:t>
      </w:r>
      <w:bookmarkEnd w:id="727"/>
    </w:p>
    <w:p w14:paraId="6D995B68">
      <w:pPr>
        <w:bidi w:val="0"/>
        <w:rPr>
          <w:rFonts w:hint="eastAsia"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企业建立常态化能源统计与能耗分析机制，由专职管理人员负责每日、每月能耗数据统计汇总，建立完善的能耗统计台账及能源消耗平衡表。结合本项目速凝剂、硫酸铝、减水剂生产线的生产工况，制定科学合理的产品单耗定额，将能耗指标纳入生产考核。定期开展能耗数据分析、节能潜力排查，针对生产设备启停、生产间歇、设备运维等环节优化用能方案</w:t>
      </w:r>
      <w:r>
        <w:rPr>
          <w:rFonts w:hint="eastAsia"/>
          <w:color w:val="000000" w:themeColor="text1"/>
          <w:highlight w:val="none"/>
          <w:lang w:eastAsia="zh-CN"/>
          <w14:textFill>
            <w14:solidFill>
              <w14:schemeClr w14:val="tx1"/>
            </w14:solidFill>
          </w14:textFill>
        </w:rPr>
        <w:t>。</w:t>
      </w:r>
    </w:p>
    <w:p w14:paraId="0F105F3B">
      <w:pPr>
        <w:pStyle w:val="5"/>
        <w:bidi w:val="0"/>
        <w:rPr>
          <w:color w:val="000000" w:themeColor="text1"/>
          <w:highlight w:val="none"/>
          <w14:textFill>
            <w14:solidFill>
              <w14:schemeClr w14:val="tx1"/>
            </w14:solidFill>
          </w14:textFill>
        </w:rPr>
      </w:pPr>
      <w:bookmarkStart w:id="728" w:name="heading_4"/>
      <w:r>
        <w:rPr>
          <w:color w:val="000000" w:themeColor="text1"/>
          <w:highlight w:val="none"/>
          <w14:textFill>
            <w14:solidFill>
              <w14:schemeClr w14:val="tx1"/>
            </w14:solidFill>
          </w14:textFill>
        </w:rPr>
        <w:t>3.9.3.5 减污降碳措施小结</w:t>
      </w:r>
      <w:bookmarkEnd w:id="728"/>
    </w:p>
    <w:p w14:paraId="0D56F65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为混凝土外加剂生产项目，无煤炭、重油等化石燃料燃烧工序，核心碳排放来源于生产用电消耗及厂区运输能耗。项目从工艺选型、设备配置、节能管控、污染物减排等多维度落实减污降碳措施：工艺方面选用成熟先进的常温合成工艺，无需高温煅烧，大幅降低生产能耗及碳排放；设备方面全部选用高效节能反应釜、机泵、输送设备，杜绝高耗能落后设备；生产管理方面建立完善的能耗计量、统计、考核制度，常态化开展节能管控；污染治理方面配套完善的废气、废水、固废治理设施，实现污染物稳定达标排放，同步实现减污协同降碳。结合清洁生产分析结果，本项目能耗指标、产排污指标均处于区域同行业先进水平，减污降碳措施针对性强、落地性高、经济技术可行。</w:t>
      </w:r>
    </w:p>
    <w:p w14:paraId="1BB4E4E4">
      <w:pPr>
        <w:pStyle w:val="4"/>
        <w:bidi w:val="0"/>
        <w:rPr>
          <w:color w:val="000000" w:themeColor="text1"/>
          <w:highlight w:val="none"/>
          <w14:textFill>
            <w14:solidFill>
              <w14:schemeClr w14:val="tx1"/>
            </w14:solidFill>
          </w14:textFill>
        </w:rPr>
      </w:pPr>
      <w:bookmarkStart w:id="729" w:name="heading_5"/>
      <w:r>
        <w:rPr>
          <w:color w:val="000000" w:themeColor="text1"/>
          <w:highlight w:val="none"/>
          <w14:textFill>
            <w14:solidFill>
              <w14:schemeClr w14:val="tx1"/>
            </w14:solidFill>
          </w14:textFill>
        </w:rPr>
        <w:t>3.9.4 碳排放管理与监测计划</w:t>
      </w:r>
      <w:bookmarkEnd w:id="729"/>
    </w:p>
    <w:p w14:paraId="4227064E">
      <w:pPr>
        <w:pStyle w:val="5"/>
        <w:bidi w:val="0"/>
        <w:rPr>
          <w:color w:val="000000" w:themeColor="text1"/>
          <w:highlight w:val="none"/>
          <w14:textFill>
            <w14:solidFill>
              <w14:schemeClr w14:val="tx1"/>
            </w14:solidFill>
          </w14:textFill>
        </w:rPr>
      </w:pPr>
      <w:bookmarkStart w:id="730" w:name="heading_6"/>
      <w:r>
        <w:rPr>
          <w:color w:val="000000" w:themeColor="text1"/>
          <w:highlight w:val="none"/>
          <w14:textFill>
            <w14:solidFill>
              <w14:schemeClr w14:val="tx1"/>
            </w14:solidFill>
          </w14:textFill>
        </w:rPr>
        <w:t>3.9.4.1 碳排放监测计划</w:t>
      </w:r>
      <w:bookmarkEnd w:id="730"/>
    </w:p>
    <w:p w14:paraId="3EEA5D57">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结合本项目碳排放特征（无工艺CO₂排放、无化石燃料燃烧排放，碳排放主要为间接排放），企业制定针对性的温室气体监测与管控计划。重点监测内容为厂区用电量、用水量、原辅材料运输及厂内车辆燃油消耗等碳排放关键活动水平数据。本项目无工艺废气CO₂有组织排放，无需开展烟气CO₂在线监测，仅需通过能耗统计核算间接碳排放，监测方案贴合项目实际、科学合理。</w:t>
      </w:r>
    </w:p>
    <w:p w14:paraId="4CED7B1D">
      <w:pPr>
        <w:pStyle w:val="5"/>
        <w:bidi w:val="0"/>
        <w:rPr>
          <w:color w:val="000000" w:themeColor="text1"/>
          <w:highlight w:val="none"/>
          <w14:textFill>
            <w14:solidFill>
              <w14:schemeClr w14:val="tx1"/>
            </w14:solidFill>
          </w14:textFill>
        </w:rPr>
      </w:pPr>
      <w:bookmarkStart w:id="731" w:name="heading_7"/>
      <w:r>
        <w:rPr>
          <w:color w:val="000000" w:themeColor="text1"/>
          <w:highlight w:val="none"/>
          <w14:textFill>
            <w14:solidFill>
              <w14:schemeClr w14:val="tx1"/>
            </w14:solidFill>
          </w14:textFill>
        </w:rPr>
        <w:t>3.9.4.2 碳排放管理</w:t>
      </w:r>
      <w:bookmarkEnd w:id="731"/>
    </w:p>
    <w:p w14:paraId="04043B90">
      <w:pPr>
        <w:bidi w:val="0"/>
        <w:rPr>
          <w:color w:val="000000" w:themeColor="text1"/>
          <w:highlight w:val="none"/>
          <w14:textFill>
            <w14:solidFill>
              <w14:schemeClr w14:val="tx1"/>
            </w14:solidFill>
          </w14:textFill>
        </w:rPr>
      </w:pPr>
      <w:bookmarkStart w:id="732" w:name="heading_8"/>
      <w:r>
        <w:rPr>
          <w:color w:val="000000" w:themeColor="text1"/>
          <w:highlight w:val="none"/>
          <w14:textFill>
            <w14:solidFill>
              <w14:schemeClr w14:val="tx1"/>
            </w14:solidFill>
          </w14:textFill>
        </w:rPr>
        <w:t>（1）报告管理</w:t>
      </w:r>
      <w:bookmarkEnd w:id="732"/>
    </w:p>
    <w:p w14:paraId="5A644214">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依托全年能耗统计台账、生产运营数据，每年规范编制企业碳排放核算报告，严格落实内部校核、审核流程，确保核算结果真实准确。报告格式及核算方法严格遵循国家及地方化工行业碳排放核算指南要求，完成企业内部审核盖章后，按主管部门要求按时上报，企业同步留存归档，实现碳排放核算、报告、归档全流程规范化管理。</w:t>
      </w:r>
    </w:p>
    <w:p w14:paraId="673F9E02">
      <w:pPr>
        <w:bidi w:val="0"/>
        <w:rPr>
          <w:color w:val="000000" w:themeColor="text1"/>
          <w:highlight w:val="none"/>
          <w14:textFill>
            <w14:solidFill>
              <w14:schemeClr w14:val="tx1"/>
            </w14:solidFill>
          </w14:textFill>
        </w:rPr>
      </w:pPr>
      <w:bookmarkStart w:id="733" w:name="heading_9"/>
      <w:r>
        <w:rPr>
          <w:color w:val="000000" w:themeColor="text1"/>
          <w:highlight w:val="none"/>
          <w14:textFill>
            <w14:solidFill>
              <w14:schemeClr w14:val="tx1"/>
            </w14:solidFill>
          </w14:textFill>
        </w:rPr>
        <w:t>（2）信息公开</w:t>
      </w:r>
      <w:bookmarkEnd w:id="733"/>
    </w:p>
    <w:p w14:paraId="67F8BA4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严格落实生态环境部门碳排放信息公开相关要求，如实公开项目能耗消耗、碳排放水平、节能改造、污染物减排等相关信息。主动接受环保部门及社会监督，结合企业发展规划，逐步完善低碳信息披露体系，持续提升企业低碳运营管理水平。</w:t>
      </w:r>
    </w:p>
    <w:p w14:paraId="7B5B5471">
      <w:pPr>
        <w:bidi w:val="0"/>
        <w:rPr>
          <w:color w:val="000000" w:themeColor="text1"/>
          <w:highlight w:val="none"/>
          <w14:textFill>
            <w14:solidFill>
              <w14:schemeClr w14:val="tx1"/>
            </w14:solidFill>
          </w14:textFill>
        </w:rPr>
      </w:pPr>
      <w:bookmarkStart w:id="734" w:name="heading_10"/>
      <w:r>
        <w:rPr>
          <w:color w:val="000000" w:themeColor="text1"/>
          <w:highlight w:val="none"/>
          <w14:textFill>
            <w14:solidFill>
              <w14:schemeClr w14:val="tx1"/>
            </w14:solidFill>
          </w14:textFill>
        </w:rPr>
        <w:t>（3）碳强度考核</w:t>
      </w:r>
      <w:bookmarkEnd w:id="734"/>
    </w:p>
    <w:p w14:paraId="3B51C376">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结合本项目助剂生产工艺及能耗特点，建立适配的碳管理制度及碳强度考核机制。明确各岗位节能、低碳管控职责，将产品单位能耗、碳排放强度指标纳入车间及班组绩效考核。通过常态化岗前培训、技能交底，提升员工节能低碳生产意识，规范生产操作流程，杜绝设备空转、能源浪费等低效生产行为，通过精细化管理持续降低产品单位碳排放强度。</w:t>
      </w:r>
    </w:p>
    <w:p w14:paraId="536BA16F">
      <w:pPr>
        <w:bidi w:val="0"/>
        <w:rPr>
          <w:color w:val="000000" w:themeColor="text1"/>
          <w:highlight w:val="none"/>
          <w14:textFill>
            <w14:solidFill>
              <w14:schemeClr w14:val="tx1"/>
            </w14:solidFill>
          </w14:textFill>
        </w:rPr>
      </w:pPr>
      <w:bookmarkStart w:id="735" w:name="heading_11"/>
      <w:r>
        <w:rPr>
          <w:color w:val="000000" w:themeColor="text1"/>
          <w:highlight w:val="none"/>
          <w14:textFill>
            <w14:solidFill>
              <w14:schemeClr w14:val="tx1"/>
            </w14:solidFill>
          </w14:textFill>
        </w:rPr>
        <w:t>（4）碳市场交易</w:t>
      </w:r>
      <w:bookmarkEnd w:id="735"/>
    </w:p>
    <w:p w14:paraId="75B6B94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为新型建材助剂生产项目，不属于全国碳排放权交易市场重点管控的火电、钢铁、化工控排重点行业，现阶段不强制纳入碳市场交易。企业主动践行低碳发展理念，通过优化生产工艺、选用节能设备、强化能耗管控、提升生产效率等方式，持续降低单位产品碳排放强度，预留碳减排余量，为后续区域碳减排管控、碳市场扩容交易做好储备，助力企业低碳可持续发展。</w:t>
      </w:r>
    </w:p>
    <w:p w14:paraId="3058EFF4">
      <w:pPr>
        <w:pStyle w:val="4"/>
        <w:bidi w:val="0"/>
        <w:rPr>
          <w:color w:val="000000" w:themeColor="text1"/>
          <w:highlight w:val="none"/>
          <w14:textFill>
            <w14:solidFill>
              <w14:schemeClr w14:val="tx1"/>
            </w14:solidFill>
          </w14:textFill>
        </w:rPr>
      </w:pPr>
      <w:bookmarkStart w:id="736" w:name="heading_12"/>
      <w:r>
        <w:rPr>
          <w:color w:val="000000" w:themeColor="text1"/>
          <w:highlight w:val="none"/>
          <w14:textFill>
            <w14:solidFill>
              <w14:schemeClr w14:val="tx1"/>
            </w14:solidFill>
          </w14:textFill>
        </w:rPr>
        <w:t>3.9.</w:t>
      </w:r>
      <w:bookmarkEnd w:id="736"/>
      <w:bookmarkStart w:id="737" w:name="heading_14"/>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碳排放评价结论</w:t>
      </w:r>
      <w:bookmarkEnd w:id="737"/>
    </w:p>
    <w:p w14:paraId="069FC880">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属于混凝土外加剂生产项目，生产工艺为常温物理混合、常温合成工艺，无化石燃料燃烧工序、无工艺直接CO₂排放，项目碳排放以生产用电、蒸汽消耗等间接碳排放为主，碳排放源简单、可控、污染小。项目建设符合国家及自治区减污降碳、绿色低碳发展相关政策要求，项目通过选用先进节能生产工艺、高效节能设备、自动化控制系统，从源头降低生产能耗；通过建立完善的能源计量、统计、考核及碳排放管理制度，实现全过程低碳精细化管控；配套完善的污染治理设施，实现各类污染物稳定达标排放，达成“减污”与“降碳”协同增效。</w:t>
      </w:r>
    </w:p>
    <w:p w14:paraId="69B5B3C0">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根据能耗及产能核算结果，本项目单位产品碳排放强度较低，优于区域同行业平均水平，清洁生产水平达到国内</w:t>
      </w:r>
      <w:r>
        <w:rPr>
          <w:rFonts w:hint="eastAsia"/>
          <w:color w:val="000000" w:themeColor="text1"/>
          <w:highlight w:val="none"/>
          <w:lang w:val="en-US" w:eastAsia="zh-CN"/>
          <w14:textFill>
            <w14:solidFill>
              <w14:schemeClr w14:val="tx1"/>
            </w14:solidFill>
          </w14:textFill>
        </w:rPr>
        <w:t>一般水平</w:t>
      </w:r>
      <w:r>
        <w:rPr>
          <w:color w:val="000000" w:themeColor="text1"/>
          <w:highlight w:val="none"/>
          <w14:textFill>
            <w14:solidFill>
              <w14:schemeClr w14:val="tx1"/>
            </w14:solidFill>
          </w14:textFill>
        </w:rPr>
        <w:t>。项目采取的各项减污降碳措施针对性强、经济技术可行，可有效控制项目生产运营期碳排放增量，不会对区域碳减排目标造成不利影响，项目碳排放管控整体可行。</w:t>
      </w:r>
    </w:p>
    <w:p w14:paraId="2724B74A">
      <w:pPr>
        <w:pStyle w:val="3"/>
        <w:rPr>
          <w:color w:val="000000" w:themeColor="text1"/>
          <w:highlight w:val="none"/>
          <w14:textFill>
            <w14:solidFill>
              <w14:schemeClr w14:val="tx1"/>
            </w14:solidFill>
          </w14:textFill>
        </w:rPr>
      </w:pPr>
      <w:bookmarkStart w:id="738" w:name="_Toc22566"/>
      <w:bookmarkStart w:id="739" w:name="_Toc22839"/>
      <w:bookmarkStart w:id="740" w:name="_Toc22177"/>
      <w:bookmarkStart w:id="741" w:name="_Toc15356"/>
      <w:bookmarkStart w:id="742" w:name="_Toc14941"/>
      <w:bookmarkStart w:id="743" w:name="_Toc23676"/>
      <w:bookmarkStart w:id="744" w:name="_Toc32081"/>
      <w:bookmarkStart w:id="745" w:name="_Toc8195"/>
      <w:bookmarkStart w:id="746" w:name="_Toc24177"/>
      <w:r>
        <w:rPr>
          <w:rFonts w:hint="eastAsia"/>
          <w:color w:val="000000" w:themeColor="text1"/>
          <w:highlight w:val="none"/>
          <w:lang w:val="en-US" w:eastAsia="zh-CN"/>
          <w14:textFill>
            <w14:solidFill>
              <w14:schemeClr w14:val="tx1"/>
            </w14:solidFill>
          </w14:textFill>
        </w:rPr>
        <w:t>3.10</w:t>
      </w:r>
      <w:r>
        <w:rPr>
          <w:color w:val="000000" w:themeColor="text1"/>
          <w:highlight w:val="none"/>
          <w:lang w:val="en-US"/>
          <w14:textFill>
            <w14:solidFill>
              <w14:schemeClr w14:val="tx1"/>
            </w14:solidFill>
          </w14:textFill>
        </w:rPr>
        <w:t>清洁生产</w:t>
      </w:r>
      <w:bookmarkEnd w:id="714"/>
      <w:bookmarkEnd w:id="738"/>
      <w:bookmarkEnd w:id="739"/>
      <w:bookmarkEnd w:id="740"/>
      <w:bookmarkEnd w:id="741"/>
      <w:bookmarkEnd w:id="742"/>
      <w:bookmarkEnd w:id="743"/>
      <w:bookmarkEnd w:id="744"/>
      <w:bookmarkEnd w:id="745"/>
      <w:bookmarkEnd w:id="746"/>
    </w:p>
    <w:p w14:paraId="7CDEEBC6">
      <w:pPr>
        <w:pStyle w:val="4"/>
        <w:rPr>
          <w:color w:val="000000" w:themeColor="text1"/>
          <w:highlight w:val="none"/>
          <w14:textFill>
            <w14:solidFill>
              <w14:schemeClr w14:val="tx1"/>
            </w14:solidFill>
          </w14:textFill>
        </w:rPr>
      </w:pPr>
      <w:bookmarkStart w:id="747" w:name="_Toc24486"/>
      <w:r>
        <w:rPr>
          <w:rFonts w:hint="eastAsia"/>
          <w:color w:val="000000" w:themeColor="text1"/>
          <w:highlight w:val="none"/>
          <w:lang w:val="en-US" w:eastAsia="zh-CN"/>
          <w14:textFill>
            <w14:solidFill>
              <w14:schemeClr w14:val="tx1"/>
            </w14:solidFill>
          </w14:textFill>
        </w:rPr>
        <w:t>3.10</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清洁生产概述</w:t>
      </w:r>
      <w:bookmarkEnd w:id="747"/>
    </w:p>
    <w:p w14:paraId="222B49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清洁生产是将污染预防的战略持续应用于生产过程、产品和服务中，以减少人类的风险。概括地说，清洁生产是一种新的污染防治策略，它是将整体预防的环境战略持续应用于生产过程，产品和服务中，以提高生态效率和减少人类环境的风险，清洁生产的实质就是在生产过程中坚持采用新工艺，新技术，综合利用原材料和能源，最大限度</w:t>
      </w:r>
      <w:r>
        <w:rPr>
          <w:rFonts w:hint="eastAsia"/>
          <w:color w:val="000000" w:themeColor="text1"/>
          <w:highlight w:val="none"/>
          <w:lang w:eastAsia="zh-CN"/>
          <w14:textFill>
            <w14:solidFill>
              <w14:schemeClr w14:val="tx1"/>
            </w14:solidFill>
          </w14:textFill>
        </w:rPr>
        <w:t>地</w:t>
      </w:r>
      <w:r>
        <w:rPr>
          <w:rFonts w:hint="eastAsia"/>
          <w:color w:val="000000" w:themeColor="text1"/>
          <w:highlight w:val="none"/>
          <w14:textFill>
            <w14:solidFill>
              <w14:schemeClr w14:val="tx1"/>
            </w14:solidFill>
          </w14:textFill>
        </w:rPr>
        <w:t>把原料转化为产品，减少所有废弃物的数量和毒性，从而达到节能、降耗、减污、增效的目的，实现经济建设与环境保护的协调发展。因此，将清洁生产纳入环境影响评价制度后，环境影响评价制度会更加完善，在预防和控制污染方面能发挥更大的作用。</w:t>
      </w:r>
    </w:p>
    <w:p w14:paraId="76DE853F">
      <w:pPr>
        <w:pStyle w:val="4"/>
        <w:rPr>
          <w:color w:val="000000" w:themeColor="text1"/>
          <w:highlight w:val="none"/>
          <w14:textFill>
            <w14:solidFill>
              <w14:schemeClr w14:val="tx1"/>
            </w14:solidFill>
          </w14:textFill>
        </w:rPr>
      </w:pPr>
      <w:bookmarkStart w:id="748" w:name="_Toc23327"/>
      <w:r>
        <w:rPr>
          <w:rFonts w:hint="eastAsia"/>
          <w:color w:val="000000" w:themeColor="text1"/>
          <w:highlight w:val="none"/>
          <w:lang w:val="en-US" w:eastAsia="zh-CN"/>
          <w14:textFill>
            <w14:solidFill>
              <w14:schemeClr w14:val="tx1"/>
            </w14:solidFill>
          </w14:textFill>
        </w:rPr>
        <w:t>3.10</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清洁生产分析</w:t>
      </w:r>
      <w:bookmarkEnd w:id="748"/>
      <w:r>
        <w:rPr>
          <w:color w:val="000000" w:themeColor="text1"/>
          <w:highlight w:val="none"/>
          <w14:textFill>
            <w14:solidFill>
              <w14:schemeClr w14:val="tx1"/>
            </w14:solidFill>
          </w14:textFill>
        </w:rPr>
        <w:t xml:space="preserve"> </w:t>
      </w:r>
    </w:p>
    <w:p w14:paraId="29C231D2">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清洁生产分析是对建设项目的技术先进性和环境友好性进行综合评价。其目的要求将综合预防污染的环境策略持续应用于生产过程和产品中，提高企业的经济效率，减少生产活动对人类环境的污染，更好</w:t>
      </w:r>
      <w:r>
        <w:rPr>
          <w:rFonts w:hint="eastAsia"/>
          <w:color w:val="000000" w:themeColor="text1"/>
          <w:highlight w:val="none"/>
          <w:lang w:eastAsia="zh-CN"/>
          <w14:textFill>
            <w14:solidFill>
              <w14:schemeClr w14:val="tx1"/>
            </w14:solidFill>
          </w14:textFill>
        </w:rPr>
        <w:t>地</w:t>
      </w:r>
      <w:r>
        <w:rPr>
          <w:rFonts w:hint="eastAsia"/>
          <w:color w:val="000000" w:themeColor="text1"/>
          <w:highlight w:val="none"/>
          <w14:textFill>
            <w14:solidFill>
              <w14:schemeClr w14:val="tx1"/>
            </w14:solidFill>
          </w14:textFill>
        </w:rPr>
        <w:t>保护环境。清洁生产要求在生产过程中最大限度地利用资源和能源，通过循环利用、重复使用，使原材料最大限度</w:t>
      </w:r>
      <w:r>
        <w:rPr>
          <w:rFonts w:hint="eastAsia"/>
          <w:color w:val="000000" w:themeColor="text1"/>
          <w:highlight w:val="none"/>
          <w:lang w:eastAsia="zh-CN"/>
          <w14:textFill>
            <w14:solidFill>
              <w14:schemeClr w14:val="tx1"/>
            </w14:solidFill>
          </w14:textFill>
        </w:rPr>
        <w:t>地</w:t>
      </w:r>
      <w:r>
        <w:rPr>
          <w:rFonts w:hint="eastAsia"/>
          <w:color w:val="000000" w:themeColor="text1"/>
          <w:highlight w:val="none"/>
          <w14:textFill>
            <w14:solidFill>
              <w14:schemeClr w14:val="tx1"/>
            </w14:solidFill>
          </w14:textFill>
        </w:rPr>
        <w:t xml:space="preserve">转换为产品。将节约能源、降低原材料消耗、减少污染物的产生量和排放量贯穿于生产的全过程中。 </w:t>
      </w:r>
    </w:p>
    <w:p w14:paraId="6799B47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清洁生产的实质是使用清洁的原料和能源；采用先进的无害的生产工艺、技术与装备；采取清洁生产过程；生产出清洁的产品四个主要方面。它要求从生产的源头及全过程实行控制，对必须排放的污染物采用先进可靠的处理技术，消除或减少污染物的产生和排放，确保污染物达标排放和总量控制要求，以最小的投入获得最大的产出，实现建设项目经济、社会和环境的协调统一。本项目目前国内无相关清洁生产水平评价标准，也无行业相关指标统计参数，因此本次评价通过定性分析，对项目的清洁生产水平进行分析说明。</w:t>
      </w:r>
    </w:p>
    <w:p w14:paraId="716A36A6">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3.10.2.1</w:t>
      </w:r>
      <w:r>
        <w:rPr>
          <w:rFonts w:hint="default"/>
          <w:color w:val="000000" w:themeColor="text1"/>
          <w:highlight w:val="none"/>
          <w:lang w:val="en-US" w:eastAsia="zh-CN"/>
          <w14:textFill>
            <w14:solidFill>
              <w14:schemeClr w14:val="tx1"/>
            </w14:solidFill>
          </w14:textFill>
        </w:rPr>
        <w:t>工艺技术先进性</w:t>
      </w:r>
    </w:p>
    <w:p w14:paraId="1D431DFE">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减水剂合成方法大体上有可聚合单体直接共聚、聚合后功能化法和原位聚合与接枝等几种。</w:t>
      </w:r>
    </w:p>
    <w:p w14:paraId="0D2AC92C">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可聚合单体直接共聚</w:t>
      </w:r>
    </w:p>
    <w:p w14:paraId="3022CA29">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这种合成方法一般是先制备具有聚合活性的侧链大单体</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通常为甲氧基聚乙二醇甲基丙烯酸酯</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然后将一定配合比的单体混合在一起直接采用溶液聚合而得成品。这种合成工艺要合成大单体，中间分离纯化过程比较</w:t>
      </w:r>
      <w:r>
        <w:rPr>
          <w:rFonts w:hint="eastAsia"/>
          <w:color w:val="000000" w:themeColor="text1"/>
          <w:highlight w:val="none"/>
          <w:lang w:val="en-US" w:eastAsia="zh-CN"/>
          <w14:textFill>
            <w14:solidFill>
              <w14:schemeClr w14:val="tx1"/>
            </w14:solidFill>
          </w14:textFill>
        </w:rPr>
        <w:t>繁琐</w:t>
      </w:r>
      <w:r>
        <w:rPr>
          <w:rFonts w:hint="default"/>
          <w:color w:val="000000" w:themeColor="text1"/>
          <w:highlight w:val="none"/>
          <w:lang w:val="en-US" w:eastAsia="zh-CN"/>
          <w14:textFill>
            <w14:solidFill>
              <w14:schemeClr w14:val="tx1"/>
            </w14:solidFill>
          </w14:textFill>
        </w:rPr>
        <w:t>，成本较高。</w:t>
      </w:r>
    </w:p>
    <w:p w14:paraId="3CDCF2B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聚合后功能化法</w:t>
      </w:r>
    </w:p>
    <w:p w14:paraId="5DF2E201">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该方法主要是利用现有的聚合物进行改性，一般是采用已知分子量的羧酸，在化剂的作用下与聚醚在较高温度下通过酯化反应进行接枝。但这种方法也存在很大的问题</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现成的羧酸产品种类和规格有限，调整其组成和分子量比较困难</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羧酸和聚醚的相容性不好，酯化实际操作困难</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另外，随着酯化的不断进行，水分不断逸出，会出现相分离。</w:t>
      </w:r>
    </w:p>
    <w:p w14:paraId="41C5730F">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原位聚合与接枝该方法主要是为了克服聚合后功能化法的缺点而开发的，以聚醚作为羧酸类不饱和单体的反应介质。该反应集聚合与酯化于一体，可以避免羧酸与</w:t>
      </w:r>
      <w:r>
        <w:rPr>
          <w:rFonts w:hint="eastAsia"/>
          <w:color w:val="000000" w:themeColor="text1"/>
          <w:highlight w:val="none"/>
          <w:lang w:val="en-US" w:eastAsia="zh-CN"/>
          <w14:textFill>
            <w14:solidFill>
              <w14:schemeClr w14:val="tx1"/>
            </w14:solidFill>
          </w14:textFill>
        </w:rPr>
        <w:t>聚合</w:t>
      </w:r>
      <w:r>
        <w:rPr>
          <w:rFonts w:hint="default"/>
          <w:color w:val="000000" w:themeColor="text1"/>
          <w:highlight w:val="none"/>
          <w:lang w:val="en-US" w:eastAsia="zh-CN"/>
          <w14:textFill>
            <w14:solidFill>
              <w14:schemeClr w14:val="tx1"/>
            </w14:solidFill>
          </w14:textFill>
        </w:rPr>
        <w:t>相容性不好的问题。这种方法工艺简单，生产成本较低。</w:t>
      </w:r>
    </w:p>
    <w:p w14:paraId="5FDD2941">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拟建项目采用原位聚合与接枝法合成羧酸减水剂的工艺路线，采用的合成工艺为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原料聚醚与丙烯酸进行聚合反应，再经复配即得一定含固量的减水剂</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速凝剂采用行业成熟工艺进行制备</w:t>
      </w:r>
    </w:p>
    <w:p w14:paraId="0C938AAE">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3.10.2.2</w:t>
      </w:r>
      <w:r>
        <w:rPr>
          <w:rFonts w:hint="default"/>
          <w:color w:val="000000" w:themeColor="text1"/>
          <w:highlight w:val="none"/>
          <w:lang w:val="en-US" w:eastAsia="zh-CN"/>
          <w14:textFill>
            <w14:solidFill>
              <w14:schemeClr w14:val="tx1"/>
            </w14:solidFill>
          </w14:textFill>
        </w:rPr>
        <w:t>生产设备先进性</w:t>
      </w:r>
    </w:p>
    <w:p w14:paraId="5343E37D">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w:t>
      </w:r>
      <w:r>
        <w:rPr>
          <w:rFonts w:hint="default"/>
          <w:color w:val="000000" w:themeColor="text1"/>
          <w:highlight w:val="none"/>
          <w:lang w:val="en-US" w:eastAsia="zh-CN"/>
          <w14:textFill>
            <w14:solidFill>
              <w14:schemeClr w14:val="tx1"/>
            </w14:solidFill>
          </w14:textFill>
        </w:rPr>
        <w:t>设备主要选用先进成熟产品，符合国家及行业相关标准、规范和制造厂的标准、规定。设计选用的机泵要求其性能稳定、运行可靠、高效节能、密封性能良好，且能长时期连续运转的成熟定型产品，对于不成熟未经鉴定的或者试制产品一律不予采用。拟建项目主要生产设备如反应釜采用定型设备，带有完善的计量系统，易于控制反应条件。</w:t>
      </w:r>
    </w:p>
    <w:p w14:paraId="1C4E05BF">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3.10.2.3</w:t>
      </w:r>
      <w:r>
        <w:rPr>
          <w:rFonts w:hint="default"/>
          <w:color w:val="000000" w:themeColor="text1"/>
          <w:highlight w:val="none"/>
          <w:lang w:val="en-US" w:eastAsia="zh-CN"/>
          <w14:textFill>
            <w14:solidFill>
              <w14:schemeClr w14:val="tx1"/>
            </w14:solidFill>
          </w14:textFill>
        </w:rPr>
        <w:t>原辅材料、产品清洁性</w:t>
      </w:r>
    </w:p>
    <w:p w14:paraId="0BDB2143">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拟建项目主要原料为聚醚大单体、丙烯酸、维生素C</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氢氧化钠、氟硅酸等，原辅材料中涉及有毒或腐蚀性物质，在正常的生产过程中，按照危险化学品储存、控制和管理要求对环境危害影响可接受。项目所需主要原料均属常见商品，市场供应丰富拟建项目原料均为国内采购，来源稳定，通过对原辅料的优化选择及生产工艺的优化选择，提高了产品的收率，从源头上削减各原辅料的用量，符合国家产业需要和清洁生产要求。</w:t>
      </w:r>
    </w:p>
    <w:p w14:paraId="3F4544F7">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3.10.2.4</w:t>
      </w:r>
      <w:r>
        <w:rPr>
          <w:rFonts w:hint="default"/>
          <w:color w:val="000000" w:themeColor="text1"/>
          <w:highlight w:val="none"/>
          <w:lang w:val="en-US" w:eastAsia="zh-CN"/>
          <w14:textFill>
            <w14:solidFill>
              <w14:schemeClr w14:val="tx1"/>
            </w14:solidFill>
          </w14:textFill>
        </w:rPr>
        <w:t>物耗、能耗及“三废”排放水平</w:t>
      </w:r>
    </w:p>
    <w:p w14:paraId="3E9609B2">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原材料消耗水平</w:t>
      </w:r>
    </w:p>
    <w:p w14:paraId="73F81998">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拟建项目各生产装置原辅材料消耗情况见表</w:t>
      </w:r>
      <w:r>
        <w:rPr>
          <w:rFonts w:hint="default" w:ascii="Times New Roman" w:hAnsi="Times New Roman" w:cs="Times New Roman"/>
          <w:color w:val="000000" w:themeColor="text1"/>
          <w:highlight w:val="none"/>
          <w14:textFill>
            <w14:solidFill>
              <w14:schemeClr w14:val="tx1"/>
            </w14:solidFill>
          </w14:textFill>
        </w:rPr>
        <w:t>3</w:t>
      </w:r>
      <w:r>
        <w:rPr>
          <w:rFonts w:hint="default" w:ascii="Times New Roman" w:hAnsi="Times New Roman" w:cs="Times New Roman"/>
          <w:color w:val="000000" w:themeColor="text1"/>
          <w:highlight w:val="none"/>
          <w:lang w:val="en-US"/>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3.3</w:t>
      </w:r>
      <w:r>
        <w:rPr>
          <w:rFonts w:hint="eastAsia" w:ascii="Times New Roman" w:hAnsi="Times New Roman" w:cs="Times New Roman"/>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。拟建项目采用先进的生产工艺路线，通过对有效成分的回收和循环套用，尽量减少原辅材料消耗。在项目运行过程中应通过强化生产过程中的自控水平、加强管理等一系列措施有效</w:t>
      </w:r>
      <w:r>
        <w:rPr>
          <w:rFonts w:hint="eastAsia"/>
          <w:color w:val="000000" w:themeColor="text1"/>
          <w:highlight w:val="none"/>
          <w:lang w:val="en-US" w:eastAsia="zh-CN"/>
          <w14:textFill>
            <w14:solidFill>
              <w14:schemeClr w14:val="tx1"/>
            </w14:solidFill>
          </w14:textFill>
        </w:rPr>
        <w:t>地</w:t>
      </w:r>
      <w:r>
        <w:rPr>
          <w:rFonts w:hint="default"/>
          <w:color w:val="000000" w:themeColor="text1"/>
          <w:highlight w:val="none"/>
          <w:lang w:val="en-US" w:eastAsia="zh-CN"/>
          <w14:textFill>
            <w14:solidFill>
              <w14:schemeClr w14:val="tx1"/>
            </w14:solidFill>
          </w14:textFill>
        </w:rPr>
        <w:t>降低了物耗，符合清洁生产要求。</w:t>
      </w:r>
    </w:p>
    <w:p w14:paraId="3372300A">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能源消耗水平</w:t>
      </w:r>
    </w:p>
    <w:p w14:paraId="3F93BA0F">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拟建项目工程采用的节能措施</w:t>
      </w:r>
      <w:r>
        <w:rPr>
          <w:rFonts w:hint="eastAsia"/>
          <w:color w:val="000000" w:themeColor="text1"/>
          <w:highlight w:val="none"/>
          <w:lang w:val="en-US" w:eastAsia="zh-CN"/>
          <w14:textFill>
            <w14:solidFill>
              <w14:schemeClr w14:val="tx1"/>
            </w14:solidFill>
          </w14:textFill>
        </w:rPr>
        <w:t>主要为，</w:t>
      </w:r>
      <w:r>
        <w:rPr>
          <w:rFonts w:hint="default"/>
          <w:color w:val="000000" w:themeColor="text1"/>
          <w:highlight w:val="none"/>
          <w:lang w:val="en-US" w:eastAsia="zh-CN"/>
          <w14:textFill>
            <w14:solidFill>
              <w14:schemeClr w14:val="tx1"/>
            </w14:solidFill>
          </w14:textFill>
        </w:rPr>
        <w:t>项目通过污水收集利用，大幅度减少了新鲜水的取用，提高了水的重复利用率</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电气设备采用国家推荐的节能型产品，主要电机加装变频调节，不仅进一步降低电能消耗，而且</w:t>
      </w:r>
      <w:r>
        <w:rPr>
          <w:rFonts w:hint="eastAsia"/>
          <w:color w:val="000000" w:themeColor="text1"/>
          <w:highlight w:val="none"/>
          <w:lang w:val="en-US" w:eastAsia="zh-CN"/>
          <w14:textFill>
            <w14:solidFill>
              <w14:schemeClr w14:val="tx1"/>
            </w14:solidFill>
          </w14:textFill>
        </w:rPr>
        <w:t>减少</w:t>
      </w:r>
      <w:r>
        <w:rPr>
          <w:rFonts w:hint="default"/>
          <w:color w:val="000000" w:themeColor="text1"/>
          <w:highlight w:val="none"/>
          <w:lang w:val="en-US" w:eastAsia="zh-CN"/>
          <w14:textFill>
            <w14:solidFill>
              <w14:schemeClr w14:val="tx1"/>
            </w14:solidFill>
          </w14:textFill>
        </w:rPr>
        <w:t>噪声。</w:t>
      </w:r>
    </w:p>
    <w:p w14:paraId="47DF44E2">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污染物产生水平</w:t>
      </w:r>
    </w:p>
    <w:p w14:paraId="42753303">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拟建项目生产装置废气能够实现达标排放。生活污水经处理达标后排入</w:t>
      </w:r>
      <w:r>
        <w:rPr>
          <w:rFonts w:hint="eastAsia"/>
          <w:color w:val="000000" w:themeColor="text1"/>
          <w:highlight w:val="none"/>
          <w:lang w:val="en-US" w:eastAsia="zh-CN"/>
          <w14:textFill>
            <w14:solidFill>
              <w14:schemeClr w14:val="tx1"/>
            </w14:solidFill>
          </w14:textFill>
        </w:rPr>
        <w:t>高新区海天污水处理厂</w:t>
      </w:r>
      <w:r>
        <w:rPr>
          <w:rFonts w:hint="default"/>
          <w:color w:val="000000" w:themeColor="text1"/>
          <w:highlight w:val="none"/>
          <w:lang w:val="en-US" w:eastAsia="zh-CN"/>
          <w14:textFill>
            <w14:solidFill>
              <w14:schemeClr w14:val="tx1"/>
            </w14:solidFill>
          </w14:textFill>
        </w:rPr>
        <w:t>，也能够实现达标排放。</w:t>
      </w:r>
    </w:p>
    <w:p w14:paraId="40EEDBC4">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总体而言，通过类比国内同类生产装置，拟建项目污染物产生情况基本处于同一水平，符合清洁生产要求。</w:t>
      </w:r>
    </w:p>
    <w:p w14:paraId="0D17FEE6">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3.10.3</w:t>
      </w:r>
      <w:r>
        <w:rPr>
          <w:rFonts w:hint="default"/>
          <w:color w:val="000000" w:themeColor="text1"/>
          <w:highlight w:val="none"/>
          <w:lang w:val="en-US" w:eastAsia="zh-CN"/>
          <w14:textFill>
            <w14:solidFill>
              <w14:schemeClr w14:val="tx1"/>
            </w14:solidFill>
          </w14:textFill>
        </w:rPr>
        <w:t>进一步实施清洁生产的途径</w:t>
      </w:r>
    </w:p>
    <w:p w14:paraId="65B9164F">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为进一步提高拟建项目清洁生产水平，评价提出如下建议</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加强设备的预修管理，杜绝设备事故排放</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提高操作工人的技术水平和责任心，及时对设备进行维护、保养、检修也是能够控制的。所有对环境可能产生重大影响的岗位的员工都应经过相应的培训，以</w:t>
      </w:r>
      <w:r>
        <w:rPr>
          <w:rFonts w:hint="eastAsia"/>
          <w:color w:val="000000" w:themeColor="text1"/>
          <w:highlight w:val="none"/>
          <w:lang w:val="en-US" w:eastAsia="zh-CN"/>
          <w14:textFill>
            <w14:solidFill>
              <w14:schemeClr w14:val="tx1"/>
            </w14:solidFill>
          </w14:textFill>
        </w:rPr>
        <w:t>增强</w:t>
      </w:r>
      <w:r>
        <w:rPr>
          <w:rFonts w:hint="default"/>
          <w:color w:val="000000" w:themeColor="text1"/>
          <w:highlight w:val="none"/>
          <w:lang w:val="en-US" w:eastAsia="zh-CN"/>
          <w14:textFill>
            <w14:solidFill>
              <w14:schemeClr w14:val="tx1"/>
            </w14:solidFill>
          </w14:textFill>
        </w:rPr>
        <w:t>员工的环境意识和工作能力，提高清洁生产水平</w:t>
      </w:r>
    </w:p>
    <w:p w14:paraId="22D0F03E">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3.10.4</w:t>
      </w:r>
      <w:r>
        <w:rPr>
          <w:rFonts w:hint="default"/>
          <w:color w:val="000000" w:themeColor="text1"/>
          <w:highlight w:val="none"/>
          <w:lang w:val="en-US" w:eastAsia="zh-CN"/>
          <w14:textFill>
            <w14:solidFill>
              <w14:schemeClr w14:val="tx1"/>
            </w14:solidFill>
          </w14:textFill>
        </w:rPr>
        <w:t>清洁生产小结</w:t>
      </w:r>
    </w:p>
    <w:p w14:paraId="6668F960">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综上所述，拟建项目所采用的工艺技术、设备先进、可靠，其能耗、水耗指标满足要求，项目的节能、环保措施可以得到很好落实，使得项目的节能、减排成为可能，能最大程度地把生产过程中产生的污染和残留降到最低水平。因此，拟建项目的清洁生产水平处于国内同行业</w:t>
      </w:r>
      <w:r>
        <w:rPr>
          <w:rFonts w:hint="eastAsia"/>
          <w:color w:val="000000" w:themeColor="text1"/>
          <w:highlight w:val="none"/>
          <w:lang w:val="en-US" w:eastAsia="zh-CN"/>
          <w14:textFill>
            <w14:solidFill>
              <w14:schemeClr w14:val="tx1"/>
            </w14:solidFill>
          </w14:textFill>
        </w:rPr>
        <w:t>一般</w:t>
      </w:r>
      <w:r>
        <w:rPr>
          <w:rFonts w:hint="default"/>
          <w:color w:val="000000" w:themeColor="text1"/>
          <w:highlight w:val="none"/>
          <w:lang w:val="en-US" w:eastAsia="zh-CN"/>
          <w14:textFill>
            <w14:solidFill>
              <w14:schemeClr w14:val="tx1"/>
            </w14:solidFill>
          </w14:textFill>
        </w:rPr>
        <w:t>水平。</w:t>
      </w:r>
    </w:p>
    <w:p w14:paraId="066854AC">
      <w:pPr>
        <w:numPr>
          <w:ilvl w:val="0"/>
          <w:numId w:val="0"/>
        </w:numPr>
        <w:bidi w:val="0"/>
        <w:rPr>
          <w:rFonts w:hint="default"/>
          <w:color w:val="000000" w:themeColor="text1"/>
          <w:highlight w:val="none"/>
          <w:lang w:val="en-US" w:eastAsia="zh-CN"/>
          <w14:textFill>
            <w14:solidFill>
              <w14:schemeClr w14:val="tx1"/>
            </w14:solidFill>
          </w14:textFill>
        </w:rPr>
      </w:pPr>
    </w:p>
    <w:p w14:paraId="5544AF12">
      <w:pPr>
        <w:numPr>
          <w:ilvl w:val="0"/>
          <w:numId w:val="0"/>
        </w:numPr>
        <w:bidi w:val="0"/>
        <w:rPr>
          <w:rFonts w:hint="default"/>
          <w:color w:val="000000" w:themeColor="text1"/>
          <w:highlight w:val="none"/>
          <w:lang w:val="en-US" w:eastAsia="zh-CN"/>
          <w14:textFill>
            <w14:solidFill>
              <w14:schemeClr w14:val="tx1"/>
            </w14:solidFill>
          </w14:textFill>
        </w:rPr>
      </w:pPr>
    </w:p>
    <w:p w14:paraId="250466EF">
      <w:pPr>
        <w:numPr>
          <w:ilvl w:val="0"/>
          <w:numId w:val="0"/>
        </w:numPr>
        <w:bidi w:val="0"/>
        <w:rPr>
          <w:rFonts w:hint="default"/>
          <w:color w:val="000000" w:themeColor="text1"/>
          <w:highlight w:val="none"/>
          <w:lang w:val="en-US" w:eastAsia="zh-CN"/>
          <w14:textFill>
            <w14:solidFill>
              <w14:schemeClr w14:val="tx1"/>
            </w14:solidFill>
          </w14:textFill>
        </w:rPr>
      </w:pPr>
    </w:p>
    <w:p w14:paraId="2D9632D5">
      <w:pPr>
        <w:numPr>
          <w:ilvl w:val="0"/>
          <w:numId w:val="0"/>
        </w:numPr>
        <w:bidi w:val="0"/>
        <w:rPr>
          <w:rFonts w:hint="default"/>
          <w:color w:val="000000" w:themeColor="text1"/>
          <w:highlight w:val="none"/>
          <w:lang w:val="en-US" w:eastAsia="zh-CN"/>
          <w14:textFill>
            <w14:solidFill>
              <w14:schemeClr w14:val="tx1"/>
            </w14:solidFill>
          </w14:textFill>
        </w:rPr>
      </w:pPr>
    </w:p>
    <w:p w14:paraId="11943FC0">
      <w:pPr>
        <w:numPr>
          <w:ilvl w:val="0"/>
          <w:numId w:val="0"/>
        </w:numPr>
        <w:bidi w:val="0"/>
        <w:rPr>
          <w:rFonts w:hint="default"/>
          <w:color w:val="000000" w:themeColor="text1"/>
          <w:highlight w:val="none"/>
          <w:lang w:val="en-US" w:eastAsia="zh-CN"/>
          <w14:textFill>
            <w14:solidFill>
              <w14:schemeClr w14:val="tx1"/>
            </w14:solidFill>
          </w14:textFill>
        </w:rPr>
      </w:pPr>
    </w:p>
    <w:p w14:paraId="2F89324D">
      <w:pPr>
        <w:numPr>
          <w:ilvl w:val="0"/>
          <w:numId w:val="0"/>
        </w:numPr>
        <w:bidi w:val="0"/>
        <w:rPr>
          <w:rFonts w:hint="default"/>
          <w:color w:val="000000" w:themeColor="text1"/>
          <w:highlight w:val="none"/>
          <w:lang w:val="en-US" w:eastAsia="zh-CN"/>
          <w14:textFill>
            <w14:solidFill>
              <w14:schemeClr w14:val="tx1"/>
            </w14:solidFill>
          </w14:textFill>
        </w:rPr>
      </w:pPr>
    </w:p>
    <w:p w14:paraId="42160E6E">
      <w:pPr>
        <w:numPr>
          <w:ilvl w:val="0"/>
          <w:numId w:val="0"/>
        </w:numPr>
        <w:bidi w:val="0"/>
        <w:rPr>
          <w:rFonts w:hint="default"/>
          <w:color w:val="000000" w:themeColor="text1"/>
          <w:highlight w:val="none"/>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FAE56BB">
      <w:pPr>
        <w:pStyle w:val="2"/>
        <w:bidi w:val="0"/>
        <w:rPr>
          <w:color w:val="000000" w:themeColor="text1"/>
          <w:highlight w:val="none"/>
          <w14:textFill>
            <w14:solidFill>
              <w14:schemeClr w14:val="tx1"/>
            </w14:solidFill>
          </w14:textFill>
        </w:rPr>
      </w:pPr>
      <w:bookmarkStart w:id="749" w:name="_Toc5290"/>
      <w:bookmarkStart w:id="750" w:name="_Toc489250672"/>
      <w:bookmarkStart w:id="751" w:name="_Toc13034"/>
      <w:bookmarkStart w:id="752" w:name="_Toc23757"/>
      <w:bookmarkStart w:id="753" w:name="_Toc29581"/>
      <w:bookmarkStart w:id="754" w:name="_Toc7686"/>
      <w:bookmarkStart w:id="755" w:name="_Toc16856"/>
      <w:bookmarkStart w:id="756" w:name="_Toc24353"/>
      <w:bookmarkStart w:id="757" w:name="_Toc17332"/>
      <w:bookmarkStart w:id="758" w:name="_Toc19127"/>
      <w:bookmarkStart w:id="759" w:name="_Toc4959"/>
      <w:bookmarkStart w:id="760" w:name="_Toc16129"/>
      <w:bookmarkStart w:id="761" w:name="_Toc20506"/>
      <w:bookmarkStart w:id="762" w:name="_Toc29620"/>
      <w:bookmarkStart w:id="763" w:name="_Toc19491"/>
      <w:bookmarkStart w:id="764" w:name="_Toc27275"/>
      <w:bookmarkStart w:id="765" w:name="_Toc29386"/>
      <w:bookmarkStart w:id="766" w:name="_Toc22575132"/>
      <w:bookmarkStart w:id="767" w:name="_Toc31621"/>
      <w:bookmarkStart w:id="768" w:name="_Toc17463"/>
      <w:bookmarkStart w:id="769" w:name="_Toc8353"/>
      <w:bookmarkStart w:id="770" w:name="_Toc11971"/>
      <w:bookmarkStart w:id="771" w:name="_Toc12002"/>
      <w:bookmarkStart w:id="772" w:name="_Toc661"/>
      <w:bookmarkStart w:id="773" w:name="_Toc16549"/>
      <w:bookmarkStart w:id="774" w:name="_Toc20693"/>
      <w:bookmarkStart w:id="775" w:name="_Toc29879"/>
      <w:bookmarkStart w:id="776" w:name="_Toc2558"/>
      <w:bookmarkStart w:id="777" w:name="_Toc10290"/>
      <w:bookmarkStart w:id="778" w:name="_Toc8400"/>
      <w:bookmarkStart w:id="779" w:name="_Toc11144"/>
      <w:bookmarkStart w:id="780" w:name="_Toc20650"/>
      <w:bookmarkStart w:id="781" w:name="_Toc2081"/>
      <w:bookmarkStart w:id="782" w:name="_Toc31823"/>
      <w:bookmarkStart w:id="783" w:name="_Toc13516"/>
      <w:bookmarkStart w:id="784" w:name="_Toc4981"/>
      <w:bookmarkStart w:id="785" w:name="_Toc23010"/>
      <w:bookmarkStart w:id="786" w:name="_Toc8684"/>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环境现状调查与评价</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14:paraId="036BF00B">
      <w:pPr>
        <w:pStyle w:val="3"/>
        <w:bidi w:val="0"/>
        <w:rPr>
          <w:color w:val="000000" w:themeColor="text1"/>
          <w:highlight w:val="none"/>
          <w14:textFill>
            <w14:solidFill>
              <w14:schemeClr w14:val="tx1"/>
            </w14:solidFill>
          </w14:textFill>
        </w:rPr>
      </w:pPr>
      <w:bookmarkStart w:id="787" w:name="_Toc23526"/>
      <w:bookmarkStart w:id="788" w:name="_Toc22575133"/>
      <w:bookmarkStart w:id="789" w:name="_Toc10003"/>
      <w:bookmarkStart w:id="790" w:name="_Toc26472"/>
      <w:bookmarkStart w:id="791" w:name="_Toc1752"/>
      <w:bookmarkStart w:id="792" w:name="_Toc25177"/>
      <w:bookmarkStart w:id="793" w:name="_Toc4572"/>
      <w:bookmarkStart w:id="794" w:name="_Toc23127"/>
      <w:bookmarkStart w:id="795" w:name="_Toc26265"/>
      <w:bookmarkStart w:id="796" w:name="_Toc11727"/>
      <w:bookmarkStart w:id="797" w:name="_Toc30412"/>
      <w:bookmarkStart w:id="798" w:name="_Toc20361"/>
      <w:bookmarkStart w:id="799" w:name="_Toc25939"/>
      <w:bookmarkStart w:id="800" w:name="_Toc25806"/>
      <w:bookmarkStart w:id="801" w:name="_Toc22108"/>
      <w:bookmarkStart w:id="802" w:name="_Toc13194"/>
      <w:bookmarkStart w:id="803" w:name="_Toc788"/>
      <w:bookmarkStart w:id="804" w:name="_Toc15364"/>
      <w:bookmarkStart w:id="805" w:name="_Toc25069"/>
      <w:bookmarkStart w:id="806" w:name="_Toc2736"/>
      <w:bookmarkStart w:id="807" w:name="_Toc3060"/>
      <w:bookmarkStart w:id="808" w:name="_Toc12896"/>
      <w:bookmarkStart w:id="809" w:name="_Toc18472"/>
      <w:bookmarkStart w:id="810" w:name="_Toc20687"/>
      <w:bookmarkStart w:id="811" w:name="_Toc1482"/>
      <w:bookmarkStart w:id="812" w:name="_Toc22571"/>
      <w:bookmarkStart w:id="813" w:name="_Toc13092"/>
      <w:bookmarkStart w:id="814" w:name="_Toc5802"/>
      <w:bookmarkStart w:id="815" w:name="_Toc11789"/>
      <w:bookmarkStart w:id="816" w:name="_Toc20461"/>
      <w:bookmarkStart w:id="817" w:name="_Toc30918"/>
      <w:bookmarkStart w:id="818" w:name="_Toc6884"/>
      <w:bookmarkStart w:id="819" w:name="_Toc6579"/>
      <w:bookmarkStart w:id="820" w:name="_Toc29249"/>
      <w:bookmarkStart w:id="821" w:name="_Toc2677"/>
      <w:bookmarkStart w:id="822" w:name="_Toc7771"/>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.1自然环境现状调查与评价</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41548033">
      <w:pPr>
        <w:pStyle w:val="4"/>
        <w:rPr>
          <w:color w:val="000000" w:themeColor="text1"/>
          <w:highlight w:val="none"/>
          <w14:textFill>
            <w14:solidFill>
              <w14:schemeClr w14:val="tx1"/>
            </w14:solidFill>
          </w14:textFill>
        </w:rPr>
      </w:pPr>
      <w:bookmarkStart w:id="823" w:name="_Toc8802"/>
      <w:bookmarkStart w:id="824" w:name="_Toc20554"/>
      <w:bookmarkStart w:id="825" w:name="_Toc2543"/>
      <w:bookmarkStart w:id="826" w:name="_Toc24616"/>
      <w:bookmarkStart w:id="827" w:name="_Toc10376"/>
      <w:bookmarkStart w:id="828" w:name="_Toc22066"/>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.1.1地理位置</w:t>
      </w:r>
      <w:bookmarkEnd w:id="823"/>
      <w:bookmarkEnd w:id="824"/>
      <w:bookmarkEnd w:id="825"/>
      <w:bookmarkEnd w:id="826"/>
      <w:bookmarkEnd w:id="827"/>
      <w:bookmarkEnd w:id="828"/>
    </w:p>
    <w:p w14:paraId="1538423C">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昌吉市隶属于昌吉回族自治州，位于天山北，</w:t>
      </w:r>
      <w:r>
        <w:rPr>
          <w:rFonts w:hint="eastAsia" w:cs="Times New Roman"/>
          <w:color w:val="000000" w:themeColor="text1"/>
          <w:highlight w:val="none"/>
          <w:lang w:eastAsia="zh-CN"/>
          <w14:textFill>
            <w14:solidFill>
              <w14:schemeClr w14:val="tx1"/>
            </w14:solidFill>
          </w14:textFill>
        </w:rPr>
        <w:t>准噶尔盆地</w:t>
      </w:r>
      <w:r>
        <w:rPr>
          <w:rFonts w:hint="default" w:ascii="Times New Roman" w:hAnsi="Times New Roman" w:cs="Times New Roman"/>
          <w:color w:val="000000" w:themeColor="text1"/>
          <w:highlight w:val="none"/>
          <w14:textFill>
            <w14:solidFill>
              <w14:schemeClr w14:val="tx1"/>
            </w14:solidFill>
          </w14:textFill>
        </w:rPr>
        <w:t>南缘，地处亚欧大陆腹地，东经86°24</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87°37</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，北纬43°06'~45°20'之间。南北长约260km，东西宽约 30km，总面积8215km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昌吉市</w:t>
      </w:r>
      <w:r>
        <w:rPr>
          <w:rFonts w:hint="default" w:ascii="Times New Roman" w:hAnsi="Times New Roman" w:cs="Times New Roman"/>
          <w:color w:val="000000" w:themeColor="text1"/>
          <w:highlight w:val="none"/>
          <w14:textFill>
            <w14:solidFill>
              <w14:schemeClr w14:val="tx1"/>
            </w14:solidFill>
          </w14:textFill>
        </w:rPr>
        <w:t>东隔头屯河与乌鲁木齐市相邻，距乌鲁木齐市35km，距乌鲁木齐国际机场18km，西以红沟为界与呼图壁县相邻南以天山山地的阿斯克达板山脊为界，与新疆巴音郭楞蒙古自治州和静县相接北和新疆塔城地区</w:t>
      </w:r>
      <w:r>
        <w:rPr>
          <w:rFonts w:hint="eastAsia" w:cs="Times New Roman"/>
          <w:color w:val="000000" w:themeColor="text1"/>
          <w:highlight w:val="none"/>
          <w:lang w:eastAsia="zh-CN"/>
          <w14:textFill>
            <w14:solidFill>
              <w14:schemeClr w14:val="tx1"/>
            </w14:solidFill>
          </w14:textFill>
        </w:rPr>
        <w:t>和布克赛尔蒙古自治县</w:t>
      </w:r>
      <w:r>
        <w:rPr>
          <w:rFonts w:hint="default" w:ascii="Times New Roman" w:hAnsi="Times New Roman" w:cs="Times New Roman"/>
          <w:color w:val="000000" w:themeColor="text1"/>
          <w:highlight w:val="none"/>
          <w14:textFill>
            <w14:solidFill>
              <w14:schemeClr w14:val="tx1"/>
            </w14:solidFill>
          </w14:textFill>
        </w:rPr>
        <w:t>、阿勒泰地区福海县接壤。312国道、第二座亚欧大陆桥和乌奎高速公路穿境而过</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交通运输便利</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是通向北疆各地的交通要道。</w:t>
      </w:r>
    </w:p>
    <w:p w14:paraId="2151CFC1">
      <w:p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昌吉高新技术产业开发区于2010年9月经国务院常务会议研究，批准为国家级高新区，远景规划面积126km</w:t>
      </w:r>
      <w:r>
        <w:rPr>
          <w:rFonts w:hint="eastAsia"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由建成区和新区组成，是新疆面积最大的开发区，其中</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昌吉高新区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建成区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位于昌吉市城区西南隅，与市区毗邻，北邻乌伊公路</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312 国道</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，南至乌奎高速公路和北疆铁路，规划面积25km</w:t>
      </w:r>
      <w:r>
        <w:rPr>
          <w:rFonts w:hint="eastAsia"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昌吉高新区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新区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行政界线东起乌伊公路</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G312国道乌鲁木齐至伊宁段</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49km处，西至洪沟</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昌吉市与呼图壁县行政界线</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，南距312国道以南1km处，北为S201省道。东西长12km，南北宽4.7km。昌吉高新区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新区</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距乌鲁木齐国际机场32km</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距昌吉火车站27km</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西距石河子100km</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总面积34km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w:t>
      </w:r>
    </w:p>
    <w:p w14:paraId="2F27FA9A">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 xml:space="preserve">.1.2 </w:t>
      </w:r>
      <w:r>
        <w:rPr>
          <w:rFonts w:hint="eastAsia"/>
          <w:color w:val="000000" w:themeColor="text1"/>
          <w:highlight w:val="none"/>
          <w14:textFill>
            <w14:solidFill>
              <w14:schemeClr w14:val="tx1"/>
            </w14:solidFill>
          </w14:textFill>
        </w:rPr>
        <w:t xml:space="preserve">地形地貌 </w:t>
      </w:r>
    </w:p>
    <w:p w14:paraId="7F81154E">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昌吉市位于天山东西复杂构造带，北缘之次级构造</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乌鲁木齐拗陷带内西北部与呼图壁隆起衔接，南邻北天山向斜褶皱带，新构造运动仅在市区以南的低山丘陵地带较为发育，市区大部分地带构造简单，地表和中部均无断裂通过昌吉市区平均</w:t>
      </w:r>
      <w:r>
        <w:rPr>
          <w:rFonts w:hint="eastAsia"/>
          <w:color w:val="000000" w:themeColor="text1"/>
          <w:highlight w:val="none"/>
          <w:lang w:eastAsia="zh-CN"/>
          <w14:textFill>
            <w14:solidFill>
              <w14:schemeClr w14:val="tx1"/>
            </w14:solidFill>
          </w14:textFill>
        </w:rPr>
        <w:t>海拔</w:t>
      </w:r>
      <w:r>
        <w:rPr>
          <w:rFonts w:hint="eastAsia"/>
          <w:color w:val="000000" w:themeColor="text1"/>
          <w:highlight w:val="none"/>
          <w14:textFill>
            <w14:solidFill>
              <w14:schemeClr w14:val="tx1"/>
            </w14:solidFill>
          </w14:textFill>
        </w:rPr>
        <w:t xml:space="preserve"> 560</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645m。</w:t>
      </w:r>
    </w:p>
    <w:p w14:paraId="0603C346">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昌吉市地貌类型大体分为南部山地、中部平原、北部沙漠三大部分，整个地势呈南高北低阶梯之势，南北高差4000多米。昌吉市城区位于头屯河和三屯河洪积冲积平原的中上部。地形特征为南高北低，西高东低，总体上由西南方向向东北方向倾斜。地形坡降在乌伊公路以南约为</w:t>
      </w:r>
      <w:r>
        <w:rPr>
          <w:rFonts w:hint="eastAsia"/>
          <w:color w:val="000000" w:themeColor="text1"/>
          <w:highlight w:val="none"/>
          <w:lang w:eastAsia="zh-CN"/>
          <w14:textFill>
            <w14:solidFill>
              <w14:schemeClr w14:val="tx1"/>
            </w14:solidFill>
          </w14:textFill>
        </w:rPr>
        <w:t>10%～13%</w:t>
      </w:r>
      <w:r>
        <w:rPr>
          <w:rFonts w:hint="eastAsia"/>
          <w:color w:val="000000" w:themeColor="text1"/>
          <w:highlight w:val="none"/>
          <w14:textFill>
            <w14:solidFill>
              <w14:schemeClr w14:val="tx1"/>
            </w14:solidFill>
          </w14:textFill>
        </w:rPr>
        <w:t>，在乌伊公路以北坡降为</w:t>
      </w:r>
      <w:r>
        <w:rPr>
          <w:rFonts w:hint="eastAsia"/>
          <w:color w:val="000000" w:themeColor="text1"/>
          <w:highlight w:val="none"/>
          <w:lang w:eastAsia="zh-CN"/>
          <w14:textFill>
            <w14:solidFill>
              <w14:schemeClr w14:val="tx1"/>
            </w14:solidFill>
          </w14:textFill>
        </w:rPr>
        <w:t>6%～9%</w:t>
      </w:r>
      <w:r>
        <w:rPr>
          <w:rFonts w:hint="eastAsia"/>
          <w:color w:val="000000" w:themeColor="text1"/>
          <w:highlight w:val="none"/>
          <w14:textFill>
            <w14:solidFill>
              <w14:schemeClr w14:val="tx1"/>
            </w14:solidFill>
          </w14:textFill>
        </w:rPr>
        <w:t>。市区北部一般为地势低洼的沼泽地形，市区地面平整无大的地形起伏。市区地形高程560</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650m，城区中心高程580m。</w:t>
      </w:r>
    </w:p>
    <w:p w14:paraId="2C1BC3F2">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项目所在区域</w:t>
      </w:r>
      <w:r>
        <w:rPr>
          <w:rFonts w:hint="eastAsia"/>
          <w:color w:val="000000" w:themeColor="text1"/>
          <w:highlight w:val="none"/>
          <w14:textFill>
            <w14:solidFill>
              <w14:schemeClr w14:val="tx1"/>
            </w14:solidFill>
          </w14:textFill>
        </w:rPr>
        <w:t>地形总体上呈南高北低走势，地形总体比较平缓，南侧地面标高最高为572m，北侧地面标高最低为534.27m，南北高程差37.73m，坡度基本小于2%。片区自西向东有</w:t>
      </w:r>
      <w:r>
        <w:rPr>
          <w:rFonts w:hint="eastAsia"/>
          <w:color w:val="000000" w:themeColor="text1"/>
          <w:highlight w:val="none"/>
          <w:lang w:eastAsia="zh-CN"/>
          <w14:textFill>
            <w14:solidFill>
              <w14:schemeClr w14:val="tx1"/>
            </w14:solidFill>
          </w14:textFill>
        </w:rPr>
        <w:t>三条</w:t>
      </w:r>
      <w:r>
        <w:rPr>
          <w:rFonts w:hint="eastAsia"/>
          <w:color w:val="000000" w:themeColor="text1"/>
          <w:highlight w:val="none"/>
          <w14:textFill>
            <w14:solidFill>
              <w14:schemeClr w14:val="tx1"/>
            </w14:solidFill>
          </w14:textFill>
        </w:rPr>
        <w:t>大的雨水冲沟</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最西端冲沟为昌吉市与呼图壁县行政界线</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。项目区所在地在大的地貌上属于山前冲洪积倾斜平原的下部，地形由南西微倾向北东，地面坡降12%，</w:t>
      </w:r>
      <w:r>
        <w:rPr>
          <w:rFonts w:hint="eastAsia"/>
          <w:color w:val="000000" w:themeColor="text1"/>
          <w:highlight w:val="none"/>
          <w:lang w:eastAsia="zh-CN"/>
          <w14:textFill>
            <w14:solidFill>
              <w14:schemeClr w14:val="tx1"/>
            </w14:solidFill>
          </w14:textFill>
        </w:rPr>
        <w:t>海拔</w:t>
      </w:r>
      <w:r>
        <w:rPr>
          <w:rFonts w:hint="eastAsia"/>
          <w:color w:val="000000" w:themeColor="text1"/>
          <w:highlight w:val="none"/>
          <w14:textFill>
            <w14:solidFill>
              <w14:schemeClr w14:val="tx1"/>
            </w14:solidFill>
          </w14:textFill>
        </w:rPr>
        <w:t>547</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553m，场地现为荒地，微地貌变化不大。区内地势较平坦、开阔，地表及地层结构简单稳定。</w:t>
      </w:r>
    </w:p>
    <w:p w14:paraId="610598EE">
      <w:pPr>
        <w:pStyle w:val="4"/>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.1.3工程地质</w:t>
      </w:r>
    </w:p>
    <w:p w14:paraId="30663AD7">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本项目拟建场地位于昌吉国家高新技术产业开发区，</w:t>
      </w:r>
      <w:r>
        <w:rPr>
          <w:rFonts w:hint="eastAsia"/>
          <w:color w:val="000000" w:themeColor="text1"/>
          <w:highlight w:val="none"/>
          <w:lang w:val="en-US" w:eastAsia="zh-CN"/>
          <w14:textFill>
            <w14:solidFill>
              <w14:schemeClr w14:val="tx1"/>
            </w14:solidFill>
          </w14:textFill>
        </w:rPr>
        <w:t>根据</w:t>
      </w:r>
      <w:r>
        <w:rPr>
          <w:rFonts w:hint="eastAsia"/>
          <w:color w:val="000000" w:themeColor="text1"/>
          <w:highlight w:val="none"/>
          <w14:textFill>
            <w14:solidFill>
              <w14:schemeClr w14:val="tx1"/>
            </w14:solidFill>
          </w14:textFill>
        </w:rPr>
        <w:t>项目岩土工程勘察报告，项目所在区域地貌单元属山前冲洪积扇中前缘，地形相对较平坦。据勘察结果，该场地地层由层粉土含多层中砂、圆砾透镜体，②层圆砾、③层中砂、④层粉土、⑤层中砂组成的有规律分布的互层状结构特征。拟建场地地层由上至下分述如下</w:t>
      </w:r>
      <w:r>
        <w:rPr>
          <w:rFonts w:hint="eastAsia"/>
          <w:color w:val="000000" w:themeColor="text1"/>
          <w:highlight w:val="none"/>
          <w:lang w:eastAsia="zh-CN"/>
          <w14:textFill>
            <w14:solidFill>
              <w14:schemeClr w14:val="tx1"/>
            </w14:solidFill>
          </w14:textFill>
        </w:rPr>
        <w:t>：</w:t>
      </w:r>
    </w:p>
    <w:p w14:paraId="7B83E506">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第①层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粉土，层厚 10.0</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18.5m，土黄色，干燥，稍密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中密，松散状。表层夹有植物根系，韧性低、干强度低，无光泽反应，摇振反应中等，局部夹有中砂、圆砾透镜体，其厚度20</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40cm，在该粉土层中分布有不连续的中砂及圆砾层，从分布高程来分析包括</w:t>
      </w:r>
      <w:r>
        <w:rPr>
          <w:rFonts w:hint="eastAsia"/>
          <w:color w:val="000000" w:themeColor="text1"/>
          <w:highlight w:val="none"/>
          <w:lang w:eastAsia="zh-CN"/>
          <w14:textFill>
            <w14:solidFill>
              <w14:schemeClr w14:val="tx1"/>
            </w14:solidFill>
          </w14:textFill>
        </w:rPr>
        <w:t>：</w:t>
      </w:r>
    </w:p>
    <w:p w14:paraId="26E6D5ED">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①-1层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灰黄色</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稍湿</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稍密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密实。层顶埋深一般在0.5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12.1m</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厚度0.5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7.8m，以透镜体形式分布，规律性较差。</w:t>
      </w:r>
    </w:p>
    <w:p w14:paraId="6AB6CBFF">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①-2层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圆砾，青灰色、灰褐色，稍湿，稍密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中密，粒径多在5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20mm</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约占55%，中粗砂充填，级配较好，局部含少量卵石。该圆砾层以透镜体形式分布，规律性较差。</w:t>
      </w:r>
    </w:p>
    <w:p w14:paraId="572996FF">
      <w:pPr>
        <w:numPr>
          <w:ilvl w:val="0"/>
          <w:numId w:val="0"/>
        </w:numPr>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第②层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圆砾，青灰色，中密，稍湿。粒径多在5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20mm，约占55%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主要成分以硅质岩、砂岩、凝灰岩为主，质地坚硬，多呈圆形、亚圆形，中粗砂充填，泥砂质、钙质胶结，级配较好，局部含少量卵石。层顶埋深14.3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18.5m</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该层最小厚度4.0m，平均厚度4.79m，该层在全场均有分布，层位稳定。</w:t>
      </w:r>
    </w:p>
    <w:p w14:paraId="2022F9A0">
      <w:pPr>
        <w:bidi w:val="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第③层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浅灰色</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稍湿</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泥砂质胶结。层顶埋深20.3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24.3m</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该层厚度 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4.1m，该层在重型设备主装置区钻孔均有揭露，分布层位基本稳定。</w:t>
      </w:r>
    </w:p>
    <w:p w14:paraId="087BFBA6">
      <w:pPr>
        <w:bidi w:val="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第④层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粉土，土黄色，稍湿，中密，短柱状。韧性低、干强度低，无光泽反应，摇振反应中等。该层厚度不大，层厚1.1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3.4m</w:t>
      </w:r>
      <w:r>
        <w:rPr>
          <w:rFonts w:hint="eastAsia"/>
          <w:color w:val="000000" w:themeColor="text1"/>
          <w:highlight w:val="none"/>
          <w:lang w:eastAsia="zh-CN"/>
          <w14:textFill>
            <w14:solidFill>
              <w14:schemeClr w14:val="tx1"/>
            </w14:solidFill>
          </w14:textFill>
        </w:rPr>
        <w:t>。</w:t>
      </w:r>
    </w:p>
    <w:p w14:paraId="59F6EACA">
      <w:pPr>
        <w:bidi w:val="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第⑤层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中砂，浅灰色，稍湿，中密，粒径多在0.25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0.5mm，约占58%。层顶埋深24.7</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27.6m，该层在全场均有分布，层位稳定。</w:t>
      </w:r>
    </w:p>
    <w:p w14:paraId="2BDEA1B1">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根据区域水文地质资料，建设项目场地地下水类型为第四系松散岩类孔隙潜水，地下水埋深大于40m，多年地下水位年变幅1.0</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3.0m，丰水期为每年4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6月，地下水类型主要为第四系松散岩类孔隙潜水，地下水对拟建项目基础无影响场地地基土为较均匀地基土，场地类别属I类场地，场地土类型为中软场地地段类别属于抗震一般地段。</w:t>
      </w:r>
    </w:p>
    <w:p w14:paraId="72410600">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根据《中国地震动参数区划图》</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GB 18306-2023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和</w:t>
      </w:r>
      <w:r>
        <w:rPr>
          <w:rFonts w:hint="eastAsia"/>
          <w:color w:val="000000" w:themeColor="text1"/>
          <w:highlight w:val="none"/>
          <w14:textFill>
            <w14:solidFill>
              <w14:schemeClr w14:val="tx1"/>
            </w14:solidFill>
          </w14:textFill>
        </w:rPr>
        <w:t>《建筑抗震设计规范》（GB</w:t>
      </w:r>
      <w:r>
        <w:rPr>
          <w:rFonts w:hint="eastAsia"/>
          <w:color w:val="000000" w:themeColor="text1"/>
          <w:highlight w:val="none"/>
          <w:lang w:val="en-US" w:eastAsia="zh-CN"/>
          <w14:textFill>
            <w14:solidFill>
              <w14:schemeClr w14:val="tx1"/>
            </w14:solidFill>
          </w14:textFill>
        </w:rPr>
        <w:t>/T</w:t>
      </w:r>
      <w:r>
        <w:rPr>
          <w:rFonts w:hint="eastAsia"/>
          <w:color w:val="000000" w:themeColor="text1"/>
          <w:highlight w:val="none"/>
          <w14:textFill>
            <w14:solidFill>
              <w14:schemeClr w14:val="tx1"/>
            </w14:solidFill>
          </w14:textFill>
        </w:rPr>
        <w:t>50011-2010）</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2026年版）</w:t>
      </w:r>
      <w:r>
        <w:rPr>
          <w:rFonts w:hint="eastAsia"/>
          <w:color w:val="000000" w:themeColor="text1"/>
          <w:highlight w:val="none"/>
          <w14:textFill>
            <w14:solidFill>
              <w14:schemeClr w14:val="tx1"/>
            </w14:solidFill>
          </w14:textFill>
        </w:rPr>
        <w:t>划分，场地抗震的基本参数为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地震设防烈度为</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度，设计基本地震加速度值为0.15g，特征周期为0.35s，标准冻土深度1.5m。根据拟建场区地震烈度和区域地壳稳定性分区和判别指标，确定拟建场地区域地壳稳定性属次不稳定区，属抗震一般地段，工程建设中等适宜，须加强抗震设计和工程措施，装置厂房与重要设备基础的建筑和结构设计应做好防震、抗震设计。</w:t>
      </w:r>
    </w:p>
    <w:p w14:paraId="0F7ADD19">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本项目场区地震设防烈度为</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度，设计基本地震加速度值为0.15g，特征周期为0.35s，标准冻土深度1.5m。</w:t>
      </w:r>
    </w:p>
    <w:p w14:paraId="00F51006">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.1.4</w:t>
      </w:r>
      <w:r>
        <w:rPr>
          <w:rFonts w:hint="eastAsia"/>
          <w:color w:val="000000" w:themeColor="text1"/>
          <w:highlight w:val="none"/>
          <w14:textFill>
            <w14:solidFill>
              <w14:schemeClr w14:val="tx1"/>
            </w14:solidFill>
          </w14:textFill>
        </w:rPr>
        <w:t xml:space="preserve">水文及水文地质 </w:t>
      </w:r>
    </w:p>
    <w:p w14:paraId="7521737B">
      <w:pPr>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1）地表水</w:t>
      </w:r>
    </w:p>
    <w:p w14:paraId="434AC09F">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昌吉市境内有大小冰川158条，面积60km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，水储总量19.8亿m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，为昌吉市的天然固体水库。发源于天山北麓高山冰川的三屯河、头屯河两条河流自南向北贯穿全市，年径流量5.46亿m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。建有三屯河水库和头屯河水库，库容分别为3500万m³和750万m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。头屯河、三屯河均属于季节性积雪融化补给和冰川融水补给为主，时空分配不均</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年变幅大</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汛期多在7~8月</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枯水期多在12~1月，两条河系汛期最大流量达61~81m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/s，枯水期流量仅为2~2.3m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/s。</w:t>
      </w:r>
    </w:p>
    <w:p w14:paraId="073766C8">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头屯河，故名昌吉河，</w:t>
      </w:r>
      <w:r>
        <w:rPr>
          <w:rFonts w:hint="eastAsia"/>
          <w:color w:val="000000" w:themeColor="text1"/>
          <w:highlight w:val="none"/>
          <w:lang w:eastAsia="zh-CN"/>
          <w14:textFill>
            <w14:solidFill>
              <w14:schemeClr w14:val="tx1"/>
            </w14:solidFill>
          </w14:textFill>
        </w:rPr>
        <w:t>是介于</w:t>
      </w:r>
      <w:r>
        <w:rPr>
          <w:rFonts w:hint="eastAsia"/>
          <w:color w:val="000000" w:themeColor="text1"/>
          <w:highlight w:val="none"/>
          <w14:textFill>
            <w14:solidFill>
              <w14:schemeClr w14:val="tx1"/>
            </w14:solidFill>
          </w14:textFill>
        </w:rPr>
        <w:t>昌吉和乌鲁木齐之间的一条河，发源于天格尔达坂的北麓，由位于高中山带的七大支流汇集而成，经过乔楞格尔、八一农学院林场、金涝坝、庙尔沟、硫磺沟，由西南向东北，穿过山涧，于哈地坡流出山口，穿过山前平原，流入西戈壁，全长179km，平均宽度244m，集水面积1562k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，流域面积2884km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，头屯河年均径流量2.34亿m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14:textFill>
            <w14:solidFill>
              <w14:schemeClr w14:val="tx1"/>
            </w14:solidFill>
          </w14:textFill>
        </w:rPr>
        <w:t>，最大径流量3.148亿m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14:textFill>
            <w14:solidFill>
              <w14:schemeClr w14:val="tx1"/>
            </w14:solidFill>
          </w14:textFill>
        </w:rPr>
        <w:t>(1996</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，最小补流量1.63亿m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14:textFill>
            <w14:solidFill>
              <w14:schemeClr w14:val="tx1"/>
            </w14:solidFill>
          </w14:textFill>
        </w:rPr>
        <w:t>(1974年</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，年平均流量7.42m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14:textFill>
            <w14:solidFill>
              <w14:schemeClr w14:val="tx1"/>
            </w14:solidFill>
          </w14:textFill>
        </w:rPr>
        <w:t>s，属老年期河床，水位标高为573.457m。</w:t>
      </w:r>
    </w:p>
    <w:p w14:paraId="3AE26527">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三屯河发源于天山支脉的天博格尔峰达山北坡，上游</w:t>
      </w:r>
      <w:r>
        <w:rPr>
          <w:rFonts w:hint="eastAsia"/>
          <w:color w:val="000000" w:themeColor="text1"/>
          <w:highlight w:val="none"/>
          <w:lang w:eastAsia="zh-CN"/>
          <w14:textFill>
            <w14:solidFill>
              <w14:schemeClr w14:val="tx1"/>
            </w14:solidFill>
          </w14:textFill>
        </w:rPr>
        <w:t>由</w:t>
      </w:r>
      <w:r>
        <w:rPr>
          <w:rFonts w:hint="eastAsia"/>
          <w:color w:val="000000" w:themeColor="text1"/>
          <w:highlight w:val="none"/>
          <w14:textFill>
            <w14:solidFill>
              <w14:schemeClr w14:val="tx1"/>
            </w14:solidFill>
          </w14:textFill>
        </w:rPr>
        <w:t>大小屯河组成，在努尔加牧业村附近汇合，由南向北汇入各山洞支流，形成三屯河的主流，流出山口后进入平原灌区。河长260km，多年平均径流量3.58x10</w:t>
      </w:r>
      <w:r>
        <w:rPr>
          <w:rFonts w:hint="eastAsia"/>
          <w:color w:val="000000" w:themeColor="text1"/>
          <w:highlight w:val="none"/>
          <w:vertAlign w:val="superscript"/>
          <w14:textFill>
            <w14:solidFill>
              <w14:schemeClr w14:val="tx1"/>
            </w14:solidFill>
          </w14:textFill>
        </w:rPr>
        <w:t>8</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，多年平均流速11.34m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/s</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流域汇水面积为1636km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，河流流量年际变化较大，洪枯悬殊，水量不稳，主要靠山区的降水和冰雪消融补给。</w:t>
      </w:r>
    </w:p>
    <w:p w14:paraId="4EC93C96">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根据《新疆昌吉工业高新区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水资源调查评价报告》高新区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 xml:space="preserve">内无地表水体。 </w:t>
      </w:r>
    </w:p>
    <w:p w14:paraId="0AE15026">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2）地下水</w:t>
      </w:r>
    </w:p>
    <w:p w14:paraId="752EC38F">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昌吉州境内地下水主要分布于平原区，类型属潜水和承压水，</w:t>
      </w:r>
      <w:r>
        <w:rPr>
          <w:rFonts w:hint="eastAsia"/>
          <w:color w:val="000000" w:themeColor="text1"/>
          <w:highlight w:val="none"/>
          <w:lang w:eastAsia="zh-CN"/>
          <w14:textFill>
            <w14:solidFill>
              <w14:schemeClr w14:val="tx1"/>
            </w14:solidFill>
          </w14:textFill>
        </w:rPr>
        <w:t>平</w:t>
      </w:r>
      <w:r>
        <w:rPr>
          <w:rFonts w:hint="eastAsia"/>
          <w:color w:val="000000" w:themeColor="text1"/>
          <w:highlight w:val="none"/>
          <w14:textFill>
            <w14:solidFill>
              <w14:schemeClr w14:val="tx1"/>
            </w14:solidFill>
          </w14:textFill>
        </w:rPr>
        <w:t>均资源量13.09</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10</w:t>
      </w:r>
      <w:r>
        <w:rPr>
          <w:rFonts w:hint="default" w:ascii="Times New Roman" w:hAnsi="Times New Roman" w:cs="Times New Roman"/>
          <w:color w:val="000000" w:themeColor="text1"/>
          <w:highlight w:val="none"/>
          <w:vertAlign w:val="superscript"/>
          <w14:textFill>
            <w14:solidFill>
              <w14:schemeClr w14:val="tx1"/>
            </w14:solidFill>
          </w14:textFill>
        </w:rPr>
        <w:t>8</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/a，开采量为10.60</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10</w:t>
      </w:r>
      <w:r>
        <w:rPr>
          <w:rFonts w:hint="default" w:ascii="Times New Roman" w:hAnsi="Times New Roman" w:cs="Times New Roman"/>
          <w:color w:val="000000" w:themeColor="text1"/>
          <w:highlight w:val="none"/>
          <w:vertAlign w:val="superscript"/>
          <w14:textFill>
            <w14:solidFill>
              <w14:schemeClr w14:val="tx1"/>
            </w14:solidFill>
          </w14:textFill>
        </w:rPr>
        <w:t>9</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/a，实际开采量8.62</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10</w:t>
      </w:r>
      <w:r>
        <w:rPr>
          <w:rFonts w:hint="eastAsia"/>
          <w:color w:val="000000" w:themeColor="text1"/>
          <w:highlight w:val="none"/>
          <w:vertAlign w:val="superscript"/>
          <w14:textFill>
            <w14:solidFill>
              <w14:schemeClr w14:val="tx1"/>
            </w14:solidFill>
          </w14:textFill>
        </w:rPr>
        <w:t>8</w:t>
      </w:r>
      <w:r>
        <w:rPr>
          <w:rFonts w:hint="default" w:ascii="Times New Roman" w:hAnsi="Times New Roman" w:cs="Times New Roman"/>
          <w:color w:val="000000" w:themeColor="text1"/>
          <w:highlight w:val="none"/>
          <w:vertAlign w:val="baseline"/>
          <w:lang w:val="en-US" w:eastAsia="zh-CN"/>
          <w14:textFill>
            <w14:solidFill>
              <w14:schemeClr w14:val="tx1"/>
            </w14:solidFill>
          </w14:textFill>
        </w:rPr>
        <w:t>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，其中</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农业利用率为81.17%，工业利用率为13.57%，生活利用率为4.72%，年平均地下水资源量与开采量的地域分布为西多东少，仅昌吉市、呼图壁、玛纳斯三县市就占全州的50%左右。地下水的补给，山区以降水、山谷雪水渗漏为补给源，平原以降雨、河道水渗入、渠道水渗入和山区地下水的侧向补给为补给源，沙漠以降雨、凝结水及平原区地下水的侧向补给为主。地下水总的径流规律是山区由南向北流，平原地下水以北偏西</w:t>
      </w:r>
      <w:r>
        <w:rPr>
          <w:rFonts w:hint="eastAsia"/>
          <w:color w:val="000000" w:themeColor="text1"/>
          <w:highlight w:val="none"/>
          <w:lang w:eastAsia="zh-CN"/>
          <w14:textFill>
            <w14:solidFill>
              <w14:schemeClr w14:val="tx1"/>
            </w14:solidFill>
          </w14:textFill>
        </w:rPr>
        <w:t>方向</w:t>
      </w:r>
      <w:r>
        <w:rPr>
          <w:rFonts w:hint="eastAsia"/>
          <w:color w:val="000000" w:themeColor="text1"/>
          <w:highlight w:val="none"/>
          <w14:textFill>
            <w14:solidFill>
              <w14:schemeClr w14:val="tx1"/>
            </w14:solidFill>
          </w14:textFill>
        </w:rPr>
        <w:t>流入沙漠，沙地下水以滞缓的速度向西北方向沙漠深处流动。</w:t>
      </w:r>
    </w:p>
    <w:p w14:paraId="53DC5676">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屯河冲洪积扇区自扇顶到扇缘水文地质分带规律很明显，地下水的埋藏及含水层分布有明显的纵向递变规律，山前隐伏断裂构造控制和影响着出山口后地下水的埋藏深度。地下潜水的埋深自扇顶向扇缘方向逐渐变浅</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含水层也由单一结构的大厚度结构松散的卵砾石、砂卵砾石潜水含水层过渡为多层结构中厚度结构较致密、含不连续亚砂土、亚粘土隔水地层的混合含水层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到冲洪积扇中下部，含水层厚度向扇缘方向继续变薄，隔水层增多，且结构致密、岩层连续，该处含水层以承压含水层为主。</w:t>
      </w:r>
    </w:p>
    <w:p w14:paraId="26C74E09">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内大厚度的第四纪堆积物，为地下水的贮存、运移提供了良好的空间，其中埋藏着丰富的孔隙潜水和承压水，其地下水的形成及埋藏分布规律，受控于该区地质构造，第四纪地层、地貌、岩性及气象水文条件。高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新区</w:t>
      </w:r>
      <w:r>
        <w:rPr>
          <w:rFonts w:hint="eastAsia"/>
          <w:color w:val="000000" w:themeColor="text1"/>
          <w:highlight w:val="none"/>
          <w:lang w:eastAsia="zh-CN"/>
          <w14:textFill>
            <w14:solidFill>
              <w14:schemeClr w14:val="tx1"/>
            </w14:solidFill>
          </w14:textFill>
        </w:rPr>
        <w:t>）坐落于</w:t>
      </w:r>
      <w:r>
        <w:rPr>
          <w:rFonts w:hint="eastAsia"/>
          <w:color w:val="000000" w:themeColor="text1"/>
          <w:highlight w:val="none"/>
          <w14:textFill>
            <w14:solidFill>
              <w14:schemeClr w14:val="tx1"/>
            </w14:solidFill>
          </w14:textFill>
        </w:rPr>
        <w:t>三屯河冲洪积扇中下部，为多层结构的混合水含水层。</w:t>
      </w:r>
    </w:p>
    <w:p w14:paraId="715DA559">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包气带岩土对污染物质吸附能力大小与岩石颗粒大小及比表面积有关，通常粘性土大于砂性土。根据《新疆昌吉工业高新区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水资源调查评价报告》，项目场区表层覆盖着10</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30m的具有大孔性的黄土状亚粘土，属I</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轻微</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级非自重湿陷性土，中间夹有小于1m的细砂带或细砂透镜体，黄土状亚粘土渗透系数约为0.04m/d，分布连续、稳定。项目场地包气带防污性能为中级。项目场地地下水含水层</w:t>
      </w:r>
      <w:r>
        <w:rPr>
          <w:rFonts w:hint="eastAsia"/>
          <w:color w:val="000000" w:themeColor="text1"/>
          <w:highlight w:val="none"/>
          <w:lang w:eastAsia="zh-CN"/>
          <w14:textFill>
            <w14:solidFill>
              <w14:schemeClr w14:val="tx1"/>
            </w14:solidFill>
          </w14:textFill>
        </w:rPr>
        <w:t>厚度</w:t>
      </w:r>
      <w:r>
        <w:rPr>
          <w:rFonts w:hint="eastAsia"/>
          <w:color w:val="000000" w:themeColor="text1"/>
          <w:highlight w:val="none"/>
          <w14:textFill>
            <w14:solidFill>
              <w14:schemeClr w14:val="tx1"/>
            </w14:solidFill>
          </w14:textFill>
        </w:rPr>
        <w:t>变薄，隔水层增多，且结构致密、岩层连续，项目所在区域为多层结构的混合水含水层，含水层以承压含水层为主。场区地下水埋深在26.4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27.8m之间，层间水力联系不是很密切。</w:t>
      </w:r>
    </w:p>
    <w:p w14:paraId="38479512">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据高新区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地下水等水位线图，高新区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内地下水流向为SW至NE方向，与高新区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新区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南边界基本垂直，区外地下水顺含水层通道沿地下水流向侧向补给区内地下水。区外地下水补给源及补给方式主要表现为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三屯河、呼图壁河水流经山前第四纪松散沉积物时大量渗漏，成为扇区地下水主要补给来源，其补给有以下三种方式</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一是侧向补给</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丘陵地带及三屯河、呼图壁河河床中出露中、下更新统半胶结冰水沉积砂岩、砂砾岩与砂质泥岩互层，砂岩、砂砾岩具有一定的透水性，当河水流经该区段时，大量渗漏形成孔隙裂隙水，再通过山前隐伏断裂从深部直接补给扇区地下水</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二是垂直补给</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从两河山区水库至渠首站之间，河流流经全新统松散的卵石砾石层，以垂直漏方式大量补给地下水</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三是渠系渗漏</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遍布山前倾斜平原的各级引水系统几乎将两河所有的河水引入各灌区，在引水过程中，渠系的渗漏也是扇区地下水的补给来源之一。</w:t>
      </w:r>
    </w:p>
    <w:p w14:paraId="1681EF9A">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本项目所在地地下水埋深大于15m，对本工程无影响。</w:t>
      </w:r>
    </w:p>
    <w:p w14:paraId="43D553B2">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 xml:space="preserve">.1.5 </w:t>
      </w:r>
      <w:r>
        <w:rPr>
          <w:rFonts w:hint="eastAsia"/>
          <w:color w:val="000000" w:themeColor="text1"/>
          <w:highlight w:val="none"/>
          <w14:textFill>
            <w14:solidFill>
              <w14:schemeClr w14:val="tx1"/>
            </w14:solidFill>
          </w14:textFill>
        </w:rPr>
        <w:t xml:space="preserve">气候与气象 </w:t>
      </w:r>
    </w:p>
    <w:p w14:paraId="3BD6EC0A">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昌吉市地处天山北麓平原地区，准噶尔盆地的南缘，为温带大陆性干旱气候。其主要特点是</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冬冷夏热，气温年较差、日较差大，春、秋温度变化剧烈。降水较少，年际变化不大。春、夏多大风，冬季多阴雾，低碎云天气，冻土深厚。主要气象参数</w:t>
      </w:r>
      <w:r>
        <w:rPr>
          <w:rFonts w:hint="eastAsia"/>
          <w:color w:val="000000" w:themeColor="text1"/>
          <w:highlight w:val="none"/>
          <w:lang w:eastAsia="zh-CN"/>
          <w14:textFill>
            <w14:solidFill>
              <w14:schemeClr w14:val="tx1"/>
            </w14:solidFill>
          </w14:textFill>
        </w:rPr>
        <w:t>：</w:t>
      </w:r>
    </w:p>
    <w:p w14:paraId="4FE0455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春季：通常在</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 xml:space="preserve">月下旬开春。升温迅速而不稳，天气多变，平均每月有一到两次强冷空气入侵，使气温变化幅度较大，降水增多。 </w:t>
      </w:r>
    </w:p>
    <w:p w14:paraId="40B8397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夏季：炎热干燥，空气湿度小，无闷热感，多阵性风雨天气，降水较多。 </w:t>
      </w:r>
    </w:p>
    <w:p w14:paraId="5044C95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秋季：秋高气爽，晴天日数最多。平均每月有一到两次强冷空气入侵，使得气温下降迅速。</w:t>
      </w:r>
    </w:p>
    <w:p w14:paraId="59F00EA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冬季：严寒而漫长，有稳定积雪，空气湿度明显加大。冬季上空多有逆温形成，平均风速为四季最小。 </w:t>
      </w:r>
    </w:p>
    <w:p w14:paraId="607E3CD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以下为</w:t>
      </w:r>
      <w:r>
        <w:rPr>
          <w:rFonts w:hint="eastAsia"/>
          <w:color w:val="000000" w:themeColor="text1"/>
          <w:highlight w:val="none"/>
          <w:lang w:val="en-US" w:eastAsia="zh-CN"/>
          <w14:textFill>
            <w14:solidFill>
              <w14:schemeClr w14:val="tx1"/>
            </w14:solidFill>
          </w14:textFill>
        </w:rPr>
        <w:t>昌吉市</w:t>
      </w:r>
      <w:r>
        <w:rPr>
          <w:rFonts w:hint="eastAsia"/>
          <w:color w:val="000000" w:themeColor="text1"/>
          <w:highlight w:val="none"/>
          <w14:textFill>
            <w14:solidFill>
              <w14:schemeClr w14:val="tx1"/>
            </w14:solidFill>
          </w14:textFill>
        </w:rPr>
        <w:t>气象站近</w:t>
      </w:r>
      <w:r>
        <w:rPr>
          <w:color w:val="000000" w:themeColor="text1"/>
          <w:highlight w:val="none"/>
          <w14:textFill>
            <w14:solidFill>
              <w14:schemeClr w14:val="tx1"/>
            </w14:solidFill>
          </w14:textFill>
        </w:rPr>
        <w:t>30</w:t>
      </w:r>
      <w:r>
        <w:rPr>
          <w:rFonts w:hint="eastAsia"/>
          <w:color w:val="000000" w:themeColor="text1"/>
          <w:highlight w:val="none"/>
          <w14:textFill>
            <w14:solidFill>
              <w14:schemeClr w14:val="tx1"/>
            </w14:solidFill>
          </w14:textFill>
        </w:rPr>
        <w:t xml:space="preserve">年主要气象参数如下： </w:t>
      </w:r>
    </w:p>
    <w:p w14:paraId="027C6CA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年平均气温：</w:t>
      </w:r>
      <w:r>
        <w:rPr>
          <w:color w:val="000000" w:themeColor="text1"/>
          <w:highlight w:val="none"/>
          <w14:textFill>
            <w14:solidFill>
              <w14:schemeClr w14:val="tx1"/>
            </w14:solidFill>
          </w14:textFill>
        </w:rPr>
        <w:t xml:space="preserve">7.4℃ </w:t>
      </w:r>
    </w:p>
    <w:p w14:paraId="3478E7A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年极端最高气温：</w:t>
      </w:r>
      <w:r>
        <w:rPr>
          <w:color w:val="000000" w:themeColor="text1"/>
          <w:highlight w:val="none"/>
          <w14:textFill>
            <w14:solidFill>
              <w14:schemeClr w14:val="tx1"/>
            </w14:solidFill>
          </w14:textFill>
        </w:rPr>
        <w:t>45℃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 xml:space="preserve">2006 </w:t>
      </w:r>
      <w:r>
        <w:rPr>
          <w:rFonts w:hint="eastAsia"/>
          <w:color w:val="000000" w:themeColor="text1"/>
          <w:highlight w:val="none"/>
          <w14:textFill>
            <w14:solidFill>
              <w14:schemeClr w14:val="tx1"/>
            </w14:solidFill>
          </w14:textFill>
        </w:rPr>
        <w:t xml:space="preserve">年 </w:t>
      </w:r>
      <w:r>
        <w:rPr>
          <w:color w:val="000000" w:themeColor="text1"/>
          <w:highlight w:val="none"/>
          <w14:textFill>
            <w14:solidFill>
              <w14:schemeClr w14:val="tx1"/>
            </w14:solidFill>
          </w14:textFill>
        </w:rPr>
        <w:t xml:space="preserve">07 </w:t>
      </w:r>
      <w:r>
        <w:rPr>
          <w:rFonts w:hint="eastAsia"/>
          <w:color w:val="000000" w:themeColor="text1"/>
          <w:highlight w:val="none"/>
          <w14:textFill>
            <w14:solidFill>
              <w14:schemeClr w14:val="tx1"/>
            </w14:solidFill>
          </w14:textFill>
        </w:rPr>
        <w:t xml:space="preserve">月 </w:t>
      </w:r>
      <w:r>
        <w:rPr>
          <w:color w:val="000000" w:themeColor="text1"/>
          <w:highlight w:val="none"/>
          <w14:textFill>
            <w14:solidFill>
              <w14:schemeClr w14:val="tx1"/>
            </w14:solidFill>
          </w14:textFill>
        </w:rPr>
        <w:t xml:space="preserve">31 </w:t>
      </w:r>
      <w:r>
        <w:rPr>
          <w:rFonts w:hint="eastAsia"/>
          <w:color w:val="000000" w:themeColor="text1"/>
          <w:highlight w:val="none"/>
          <w14:textFill>
            <w14:solidFill>
              <w14:schemeClr w14:val="tx1"/>
            </w14:solidFill>
          </w14:textFill>
        </w:rPr>
        <w:t xml:space="preserve">日） </w:t>
      </w:r>
    </w:p>
    <w:p w14:paraId="15CD26D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年极端最低气温：</w:t>
      </w:r>
      <w:r>
        <w:rPr>
          <w:color w:val="000000" w:themeColor="text1"/>
          <w:highlight w:val="none"/>
          <w14:textFill>
            <w14:solidFill>
              <w14:schemeClr w14:val="tx1"/>
            </w14:solidFill>
          </w14:textFill>
        </w:rPr>
        <w:t>-33℃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 xml:space="preserve">1984 </w:t>
      </w:r>
      <w:r>
        <w:rPr>
          <w:rFonts w:hint="eastAsia"/>
          <w:color w:val="000000" w:themeColor="text1"/>
          <w:highlight w:val="none"/>
          <w14:textFill>
            <w14:solidFill>
              <w14:schemeClr w14:val="tx1"/>
            </w14:solidFill>
          </w14:textFill>
        </w:rPr>
        <w:t xml:space="preserve">年 </w:t>
      </w:r>
      <w:r>
        <w:rPr>
          <w:color w:val="000000" w:themeColor="text1"/>
          <w:highlight w:val="none"/>
          <w14:textFill>
            <w14:solidFill>
              <w14:schemeClr w14:val="tx1"/>
            </w14:solidFill>
          </w14:textFill>
        </w:rPr>
        <w:t xml:space="preserve">12 </w:t>
      </w:r>
      <w:r>
        <w:rPr>
          <w:rFonts w:hint="eastAsia"/>
          <w:color w:val="000000" w:themeColor="text1"/>
          <w:highlight w:val="none"/>
          <w14:textFill>
            <w14:solidFill>
              <w14:schemeClr w14:val="tx1"/>
            </w14:solidFill>
          </w14:textFill>
        </w:rPr>
        <w:t xml:space="preserve">月 </w:t>
      </w:r>
      <w:r>
        <w:rPr>
          <w:color w:val="000000" w:themeColor="text1"/>
          <w:highlight w:val="none"/>
          <w14:textFill>
            <w14:solidFill>
              <w14:schemeClr w14:val="tx1"/>
            </w14:solidFill>
          </w14:textFill>
        </w:rPr>
        <w:t xml:space="preserve">25 </w:t>
      </w:r>
      <w:r>
        <w:rPr>
          <w:rFonts w:hint="eastAsia"/>
          <w:color w:val="000000" w:themeColor="text1"/>
          <w:highlight w:val="none"/>
          <w14:textFill>
            <w14:solidFill>
              <w14:schemeClr w14:val="tx1"/>
            </w14:solidFill>
          </w14:textFill>
        </w:rPr>
        <w:t xml:space="preserve">日） </w:t>
      </w:r>
    </w:p>
    <w:p w14:paraId="1AB71D2A">
      <w:pPr>
        <w:ind w:firstLine="48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平均年降水量</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 xml:space="preserve">191.0mm </w:t>
      </w:r>
    </w:p>
    <w:p w14:paraId="262B529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年最大降水量：</w:t>
      </w:r>
      <w:r>
        <w:rPr>
          <w:color w:val="000000" w:themeColor="text1"/>
          <w:highlight w:val="none"/>
          <w14:textFill>
            <w14:solidFill>
              <w14:schemeClr w14:val="tx1"/>
            </w14:solidFill>
          </w14:textFill>
        </w:rPr>
        <w:t>346.7mm</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 xml:space="preserve">2007 </w:t>
      </w:r>
      <w:r>
        <w:rPr>
          <w:rFonts w:hint="eastAsia"/>
          <w:color w:val="000000" w:themeColor="text1"/>
          <w:highlight w:val="none"/>
          <w14:textFill>
            <w14:solidFill>
              <w14:schemeClr w14:val="tx1"/>
            </w14:solidFill>
          </w14:textFill>
        </w:rPr>
        <w:t xml:space="preserve">年） </w:t>
      </w:r>
    </w:p>
    <w:p w14:paraId="5AE23D5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年平均蒸发量：</w:t>
      </w:r>
      <w:r>
        <w:rPr>
          <w:color w:val="000000" w:themeColor="text1"/>
          <w:highlight w:val="none"/>
          <w14:textFill>
            <w14:solidFill>
              <w14:schemeClr w14:val="tx1"/>
            </w14:solidFill>
          </w14:textFill>
        </w:rPr>
        <w:t xml:space="preserve">2046.7mm </w:t>
      </w:r>
    </w:p>
    <w:p w14:paraId="60ED429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年最大蒸发量：</w:t>
      </w:r>
      <w:r>
        <w:rPr>
          <w:color w:val="000000" w:themeColor="text1"/>
          <w:highlight w:val="none"/>
          <w14:textFill>
            <w14:solidFill>
              <w14:schemeClr w14:val="tx1"/>
            </w14:solidFill>
          </w14:textFill>
        </w:rPr>
        <w:t>2564.9mm</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 xml:space="preserve">1982 </w:t>
      </w:r>
      <w:r>
        <w:rPr>
          <w:rFonts w:hint="eastAsia"/>
          <w:color w:val="000000" w:themeColor="text1"/>
          <w:highlight w:val="none"/>
          <w14:textFill>
            <w14:solidFill>
              <w14:schemeClr w14:val="tx1"/>
            </w14:solidFill>
          </w14:textFill>
        </w:rPr>
        <w:t xml:space="preserve">年） </w:t>
      </w:r>
    </w:p>
    <w:p w14:paraId="1CA8304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年平均气压：</w:t>
      </w:r>
      <w:r>
        <w:rPr>
          <w:color w:val="000000" w:themeColor="text1"/>
          <w:highlight w:val="none"/>
          <w14:textFill>
            <w14:solidFill>
              <w14:schemeClr w14:val="tx1"/>
            </w14:solidFill>
          </w14:textFill>
        </w:rPr>
        <w:t xml:space="preserve">934.3HPa </w:t>
      </w:r>
    </w:p>
    <w:p w14:paraId="32EC26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年平均相对湿度：</w:t>
      </w:r>
      <w:r>
        <w:rPr>
          <w:color w:val="000000" w:themeColor="text1"/>
          <w:highlight w:val="none"/>
          <w14:textFill>
            <w14:solidFill>
              <w14:schemeClr w14:val="tx1"/>
            </w14:solidFill>
          </w14:textFill>
        </w:rPr>
        <w:t xml:space="preserve">58% </w:t>
      </w:r>
    </w:p>
    <w:p w14:paraId="3BB6E08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最大冻土厚度：</w:t>
      </w:r>
      <w:r>
        <w:rPr>
          <w:color w:val="000000" w:themeColor="text1"/>
          <w:highlight w:val="none"/>
          <w14:textFill>
            <w14:solidFill>
              <w14:schemeClr w14:val="tx1"/>
            </w14:solidFill>
          </w14:textFill>
        </w:rPr>
        <w:t>155cm</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2005</w:t>
      </w:r>
      <w:r>
        <w:rPr>
          <w:rFonts w:hint="eastAsia"/>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月出现</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 xml:space="preserve">次） </w:t>
      </w:r>
    </w:p>
    <w:p w14:paraId="0952340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年平均风速：</w:t>
      </w:r>
      <w:r>
        <w:rPr>
          <w:color w:val="000000" w:themeColor="text1"/>
          <w:highlight w:val="none"/>
          <w14:textFill>
            <w14:solidFill>
              <w14:schemeClr w14:val="tx1"/>
            </w14:solidFill>
          </w14:textFill>
        </w:rPr>
        <w:t xml:space="preserve">1.8m/s </w:t>
      </w:r>
    </w:p>
    <w:p w14:paraId="57E6F4CD">
      <w:pPr>
        <w:ind w:firstLine="480"/>
        <w:outlineLvl w:val="1"/>
        <w:rPr>
          <w:color w:val="000000" w:themeColor="text1"/>
          <w:highlight w:val="none"/>
          <w14:textFill>
            <w14:solidFill>
              <w14:schemeClr w14:val="tx1"/>
            </w14:solidFill>
          </w14:textFill>
        </w:rPr>
      </w:pPr>
      <w:bookmarkStart w:id="829" w:name="_Toc24668"/>
      <w:bookmarkStart w:id="830" w:name="_Toc27366"/>
      <w:bookmarkStart w:id="831" w:name="_Toc6244"/>
      <w:bookmarkStart w:id="832" w:name="_Toc25029"/>
      <w:bookmarkStart w:id="833" w:name="_Toc19751"/>
      <w:bookmarkStart w:id="834" w:name="_Toc24006"/>
      <w:r>
        <w:rPr>
          <w:rFonts w:hint="eastAsia"/>
          <w:color w:val="000000" w:themeColor="text1"/>
          <w:highlight w:val="none"/>
          <w14:textFill>
            <w14:solidFill>
              <w14:schemeClr w14:val="tx1"/>
            </w14:solidFill>
          </w14:textFill>
        </w:rPr>
        <w:t>年主导风向：西</w:t>
      </w:r>
      <w:r>
        <w:rPr>
          <w:rFonts w:hint="eastAsia"/>
          <w:color w:val="000000" w:themeColor="text1"/>
          <w:highlight w:val="none"/>
          <w:lang w:val="en-US" w:eastAsia="zh-CN"/>
          <w14:textFill>
            <w14:solidFill>
              <w14:schemeClr w14:val="tx1"/>
            </w14:solidFill>
          </w14:textFill>
        </w:rPr>
        <w:t>南</w:t>
      </w:r>
      <w:r>
        <w:rPr>
          <w:rFonts w:hint="eastAsia"/>
          <w:color w:val="000000" w:themeColor="text1"/>
          <w:highlight w:val="none"/>
          <w14:textFill>
            <w14:solidFill>
              <w14:schemeClr w14:val="tx1"/>
            </w14:solidFill>
          </w14:textFill>
        </w:rPr>
        <w:t>风（</w:t>
      </w:r>
      <w:r>
        <w:rPr>
          <w:color w:val="000000" w:themeColor="text1"/>
          <w:highlight w:val="none"/>
          <w14:textFill>
            <w14:solidFill>
              <w14:schemeClr w14:val="tx1"/>
            </w14:solidFill>
          </w14:textFill>
        </w:rPr>
        <w:t>W</w:t>
      </w:r>
      <w:r>
        <w:rPr>
          <w:rFonts w:hint="eastAsia"/>
          <w:color w:val="000000" w:themeColor="text1"/>
          <w:highlight w:val="none"/>
          <w:lang w:val="en-US" w:eastAsia="zh-CN"/>
          <w14:textFill>
            <w14:solidFill>
              <w14:schemeClr w14:val="tx1"/>
            </w14:solidFill>
          </w14:textFill>
        </w:rPr>
        <w:t>S</w:t>
      </w:r>
      <w:r>
        <w:rPr>
          <w:rFonts w:hint="eastAsia"/>
          <w:color w:val="000000" w:themeColor="text1"/>
          <w:highlight w:val="none"/>
          <w14:textFill>
            <w14:solidFill>
              <w14:schemeClr w14:val="tx1"/>
            </w14:solidFill>
          </w14:textFill>
        </w:rPr>
        <w:t>）</w:t>
      </w:r>
      <w:bookmarkEnd w:id="829"/>
      <w:bookmarkEnd w:id="830"/>
      <w:bookmarkEnd w:id="831"/>
      <w:bookmarkEnd w:id="832"/>
      <w:bookmarkEnd w:id="833"/>
      <w:bookmarkEnd w:id="834"/>
      <w:r>
        <w:rPr>
          <w:rFonts w:hint="eastAsia"/>
          <w:color w:val="000000" w:themeColor="text1"/>
          <w:highlight w:val="none"/>
          <w14:textFill>
            <w14:solidFill>
              <w14:schemeClr w14:val="tx1"/>
            </w14:solidFill>
          </w14:textFill>
        </w:rPr>
        <w:t xml:space="preserve"> </w:t>
      </w:r>
    </w:p>
    <w:p w14:paraId="51560D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年平均雷暴日数：</w:t>
      </w:r>
      <w:r>
        <w:rPr>
          <w:color w:val="000000" w:themeColor="text1"/>
          <w:highlight w:val="none"/>
          <w14:textFill>
            <w14:solidFill>
              <w14:schemeClr w14:val="tx1"/>
            </w14:solidFill>
          </w14:textFill>
        </w:rPr>
        <w:t xml:space="preserve">8.7d </w:t>
      </w:r>
    </w:p>
    <w:p w14:paraId="116258D2">
      <w:pPr>
        <w:ind w:firstLine="48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平均年</w:t>
      </w:r>
      <w:r>
        <w:rPr>
          <w:rFonts w:hint="eastAsia"/>
          <w:color w:val="000000" w:themeColor="text1"/>
          <w:highlight w:val="none"/>
          <w14:textFill>
            <w14:solidFill>
              <w14:schemeClr w14:val="tx1"/>
            </w14:solidFill>
          </w14:textFill>
        </w:rPr>
        <w:t>大风日数：</w:t>
      </w:r>
      <w:r>
        <w:rPr>
          <w:color w:val="000000" w:themeColor="text1"/>
          <w:highlight w:val="none"/>
          <w14:textFill>
            <w14:solidFill>
              <w14:schemeClr w14:val="tx1"/>
            </w14:solidFill>
          </w14:textFill>
        </w:rPr>
        <w:t xml:space="preserve">15.1d </w:t>
      </w:r>
    </w:p>
    <w:p w14:paraId="3421172B">
      <w:pPr>
        <w:pStyle w:val="3"/>
        <w:rPr>
          <w:color w:val="000000" w:themeColor="text1"/>
          <w:highlight w:val="none"/>
          <w14:textFill>
            <w14:solidFill>
              <w14:schemeClr w14:val="tx1"/>
            </w14:solidFill>
          </w14:textFill>
        </w:rPr>
      </w:pPr>
      <w:bookmarkStart w:id="835" w:name="_Toc26751"/>
      <w:bookmarkStart w:id="836" w:name="_Toc5356"/>
      <w:bookmarkStart w:id="837" w:name="_Toc27359"/>
      <w:bookmarkStart w:id="838" w:name="_Toc15380"/>
      <w:bookmarkStart w:id="839" w:name="_Toc4761"/>
      <w:bookmarkStart w:id="840" w:name="_Toc21216"/>
      <w:bookmarkStart w:id="841" w:name="_Toc3454"/>
      <w:bookmarkStart w:id="842" w:name="_Toc18972"/>
      <w:bookmarkStart w:id="843" w:name="_Toc2727"/>
      <w:bookmarkStart w:id="844" w:name="_Toc14747"/>
      <w:r>
        <w:rPr>
          <w:rFonts w:hint="eastAsia"/>
          <w:color w:val="000000" w:themeColor="text1"/>
          <w:highlight w:val="none"/>
          <w:lang w:val="en-US" w:eastAsia="zh-CN"/>
          <w14:textFill>
            <w14:solidFill>
              <w14:schemeClr w14:val="tx1"/>
            </w14:solidFill>
          </w14:textFill>
        </w:rPr>
        <w:t>4</w:t>
      </w:r>
      <w:r>
        <w:rPr>
          <w:color w:val="000000" w:themeColor="text1"/>
          <w:highlight w:val="none"/>
          <w:lang w:val="en-US"/>
          <w14:textFill>
            <w14:solidFill>
              <w14:schemeClr w14:val="tx1"/>
            </w14:solidFill>
          </w14:textFill>
        </w:rPr>
        <w:t>.2</w:t>
      </w:r>
      <w:r>
        <w:rPr>
          <w:rFonts w:hint="eastAsia"/>
          <w:color w:val="000000" w:themeColor="text1"/>
          <w:highlight w:val="none"/>
          <w:lang w:val="en-US"/>
          <w14:textFill>
            <w14:solidFill>
              <w14:schemeClr w14:val="tx1"/>
            </w14:solidFill>
          </w14:textFill>
        </w:rPr>
        <w:t>昌吉高新技术产业开发区</w:t>
      </w:r>
      <w:r>
        <w:rPr>
          <w:color w:val="000000" w:themeColor="text1"/>
          <w:highlight w:val="none"/>
          <w:lang w:val="en-US"/>
          <w14:textFill>
            <w14:solidFill>
              <w14:schemeClr w14:val="tx1"/>
            </w14:solidFill>
          </w14:textFill>
        </w:rPr>
        <w:t>概况</w:t>
      </w:r>
      <w:bookmarkEnd w:id="835"/>
      <w:bookmarkEnd w:id="836"/>
      <w:bookmarkEnd w:id="837"/>
      <w:bookmarkEnd w:id="838"/>
      <w:bookmarkEnd w:id="839"/>
      <w:bookmarkEnd w:id="840"/>
      <w:bookmarkEnd w:id="841"/>
      <w:bookmarkEnd w:id="842"/>
      <w:bookmarkEnd w:id="843"/>
      <w:bookmarkEnd w:id="844"/>
      <w:r>
        <w:rPr>
          <w:color w:val="000000" w:themeColor="text1"/>
          <w:highlight w:val="none"/>
          <w:lang w:val="en-US"/>
          <w14:textFill>
            <w14:solidFill>
              <w14:schemeClr w14:val="tx1"/>
            </w14:solidFill>
          </w14:textFill>
        </w:rPr>
        <w:t xml:space="preserve"> </w:t>
      </w:r>
    </w:p>
    <w:p w14:paraId="6F2336AC">
      <w:pPr>
        <w:pStyle w:val="4"/>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t>园区规划环评情况</w:t>
      </w:r>
    </w:p>
    <w:p w14:paraId="1B952402">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昌吉高新技术产业开发区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以下简称昌吉高新区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于2000年6月被新疆维吾尔自治区人民政府批准为省级高新区，2010年9月经国务院常务会议研究，批准为国家级高新区。</w:t>
      </w:r>
    </w:p>
    <w:p w14:paraId="734FBAC4">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2014年昌吉高新区委托新疆建筑设计研究院编制完成了《昌吉高新技术产业开发区总体规划</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》。本次规划分昌吉高新区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起步区、扩展区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规划和榆树沟镇区总体规划两部分，规划建设用地总面积71.87km</w:t>
      </w:r>
      <w:r>
        <w:rPr>
          <w:rFonts w:hint="eastAsia"/>
          <w:color w:val="000000" w:themeColor="text1"/>
          <w:highlight w:val="none"/>
          <w:vertAlign w:val="superscript"/>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，其中昌吉高新区规划建设用地面积51</w:t>
      </w:r>
      <w:r>
        <w:rPr>
          <w:rFonts w:hint="eastAsia"/>
          <w:color w:val="000000" w:themeColor="text1"/>
          <w:highlight w:val="none"/>
          <w:lang w:val="en-US" w:eastAsia="zh-CN"/>
          <w14:textFill>
            <w14:solidFill>
              <w14:schemeClr w14:val="tx1"/>
            </w14:solidFill>
          </w14:textFill>
        </w:rPr>
        <w:t>k</w:t>
      </w:r>
      <w:r>
        <w:rPr>
          <w:rFonts w:hint="default"/>
          <w:color w:val="000000" w:themeColor="text1"/>
          <w:highlight w:val="none"/>
          <w:lang w:val="en-US" w:eastAsia="zh-CN"/>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，生活服务配套区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榆树沟集镇区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规划建设用地面积20.87</w:t>
      </w:r>
      <w:r>
        <w:rPr>
          <w:rFonts w:hint="eastAsia"/>
          <w:color w:val="000000" w:themeColor="text1"/>
          <w:highlight w:val="none"/>
          <w:lang w:val="en-US" w:eastAsia="zh-CN"/>
          <w14:textFill>
            <w14:solidFill>
              <w14:schemeClr w14:val="tx1"/>
            </w14:solidFill>
          </w14:textFill>
        </w:rPr>
        <w:t>k</w:t>
      </w:r>
      <w:r>
        <w:rPr>
          <w:rFonts w:hint="default"/>
          <w:color w:val="000000" w:themeColor="text1"/>
          <w:highlight w:val="none"/>
          <w:lang w:val="en-US" w:eastAsia="zh-CN"/>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。扩区后规划范围东到榆树沟镇行政边界，西到与呼图壁边界，南到乌奎高</w:t>
      </w:r>
      <w:r>
        <w:rPr>
          <w:rFonts w:hint="eastAsia"/>
          <w:color w:val="000000" w:themeColor="text1"/>
          <w:highlight w:val="none"/>
          <w:lang w:val="en-US" w:eastAsia="zh-CN"/>
          <w14:textFill>
            <w14:solidFill>
              <w14:schemeClr w14:val="tx1"/>
            </w14:solidFill>
          </w14:textFill>
        </w:rPr>
        <w:t>速公</w:t>
      </w:r>
      <w:r>
        <w:rPr>
          <w:rFonts w:hint="default"/>
          <w:color w:val="000000" w:themeColor="text1"/>
          <w:highlight w:val="none"/>
          <w:lang w:val="en-US" w:eastAsia="zh-CN"/>
          <w14:textFill>
            <w14:solidFill>
              <w14:schemeClr w14:val="tx1"/>
            </w14:solidFill>
          </w14:textFill>
        </w:rPr>
        <w:t>路，北到S201省道和新材料产业园边界。扩区后昌吉高新区将构建以装备制造、生物制药、新材料、食品产业四大战略性新兴产业为主体</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以新一代信息技术为新的经济增长点、以低碳节能产业为特色，以教育培训、现代物流、总部经济、安防监控服务、科技金融为主的现代服务业为配套的现代化高新技术产业园区。</w:t>
      </w:r>
    </w:p>
    <w:p w14:paraId="3D77C95C">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2014年8月，昌吉高新区园区管理委员会委托新疆环境保护科学研究院开展《昌吉高新技术产业开发区总体规划</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环境影响报告书》编制工作，并于2015年3月取得原新疆维吾尔自治区环境保护厅审查意见</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新环函</w:t>
      </w:r>
      <w:r>
        <w:rPr>
          <w:rFonts w:hint="eastAsia" w:ascii="仿宋" w:hAnsi="仿宋" w:eastAsia="仿宋" w:cs="仿宋"/>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2015</w:t>
      </w:r>
      <w:r>
        <w:rPr>
          <w:rFonts w:hint="eastAsia" w:ascii="仿宋" w:hAnsi="仿宋" w:eastAsia="仿宋" w:cs="仿宋"/>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306号</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w:t>
      </w:r>
    </w:p>
    <w:p w14:paraId="2A259ED2">
      <w:pPr>
        <w:bidi w:val="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2021年，昌吉高新区委托编制了《</w:t>
      </w:r>
      <w:r>
        <w:rPr>
          <w:rFonts w:hint="default"/>
          <w:color w:val="000000" w:themeColor="text1"/>
          <w:highlight w:val="none"/>
          <w:lang w:val="en-US" w:eastAsia="zh-CN"/>
          <w14:textFill>
            <w14:solidFill>
              <w14:schemeClr w14:val="tx1"/>
            </w14:solidFill>
          </w14:textFill>
        </w:rPr>
        <w:t>昌吉高新技术产业开发区国土空间专项规划(2021-2035年)</w:t>
      </w:r>
      <w:r>
        <w:rPr>
          <w:rFonts w:hint="eastAsia"/>
          <w:color w:val="000000" w:themeColor="text1"/>
          <w:highlight w:val="none"/>
          <w:lang w:val="en-US" w:eastAsia="zh-CN"/>
          <w14:textFill>
            <w14:solidFill>
              <w14:schemeClr w14:val="tx1"/>
            </w14:solidFill>
          </w14:textFill>
        </w:rPr>
        <w:t>》，该</w:t>
      </w:r>
      <w:r>
        <w:rPr>
          <w:color w:val="000000" w:themeColor="text1"/>
          <w:highlight w:val="none"/>
          <w:lang w:val="en-US" w:eastAsia="zh-CN"/>
          <w14:textFill>
            <w14:solidFill>
              <w14:schemeClr w14:val="tx1"/>
            </w14:solidFill>
          </w14:textFill>
        </w:rPr>
        <w:t>规划</w:t>
      </w:r>
      <w:r>
        <w:rPr>
          <w:rFonts w:hint="eastAsia"/>
          <w:color w:val="000000" w:themeColor="text1"/>
          <w:highlight w:val="none"/>
          <w:lang w:val="en-US" w:eastAsia="zh-CN"/>
          <w14:textFill>
            <w14:solidFill>
              <w14:schemeClr w14:val="tx1"/>
            </w14:solidFill>
          </w14:textFill>
        </w:rPr>
        <w:t>作为</w:t>
      </w:r>
      <w:r>
        <w:rPr>
          <w:color w:val="000000" w:themeColor="text1"/>
          <w:highlight w:val="none"/>
          <w:lang w:val="en-US" w:eastAsia="zh-CN"/>
          <w14:textFill>
            <w14:solidFill>
              <w14:schemeClr w14:val="tx1"/>
            </w14:solidFill>
          </w14:textFill>
        </w:rPr>
        <w:t>昌吉高新技术产业开发区范围内国土空间开发保护在空间和时间上做出的总体安排和综合部署，指导各类开发建设活动、开展国土资源保护利用与修复、制定空间发展政策和实施国土空间用途管制的空间蓝图，编制详细规划的依据、相关专项规划的基础</w:t>
      </w:r>
      <w:r>
        <w:rPr>
          <w:rFonts w:hint="eastAsia"/>
          <w:color w:val="000000" w:themeColor="text1"/>
          <w:highlight w:val="none"/>
          <w:lang w:val="en-US" w:eastAsia="zh-CN"/>
          <w14:textFill>
            <w14:solidFill>
              <w14:schemeClr w14:val="tx1"/>
            </w14:solidFill>
          </w14:textFill>
        </w:rPr>
        <w:t>，是目前</w:t>
      </w:r>
      <w:r>
        <w:rPr>
          <w:rFonts w:hint="default"/>
          <w:color w:val="000000" w:themeColor="text1"/>
          <w:highlight w:val="none"/>
          <w:lang w:val="en-US" w:eastAsia="zh-CN"/>
          <w14:textFill>
            <w14:solidFill>
              <w14:schemeClr w14:val="tx1"/>
            </w14:solidFill>
          </w14:textFill>
        </w:rPr>
        <w:t>昌吉高新技术产业开发区</w:t>
      </w:r>
      <w:r>
        <w:rPr>
          <w:rFonts w:hint="eastAsia"/>
          <w:color w:val="000000" w:themeColor="text1"/>
          <w:highlight w:val="none"/>
          <w:lang w:val="en-US" w:eastAsia="zh-CN"/>
          <w14:textFill>
            <w14:solidFill>
              <w14:schemeClr w14:val="tx1"/>
            </w14:solidFill>
          </w14:textFill>
        </w:rPr>
        <w:t>现行的最新规划，该规划于2024年7月13日由新疆维吾尔自治区人民政府发布实施（新政函[2024]137号）暂未开展规划环评。</w:t>
      </w:r>
    </w:p>
    <w:p w14:paraId="188C4A40">
      <w:pPr>
        <w:pStyle w:val="4"/>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4.2.2规划期限及规划范围</w:t>
      </w:r>
    </w:p>
    <w:p w14:paraId="329369FE">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规划名称</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昌吉高新技术产业开发区国土空间专项规划(2021-2035年)</w:t>
      </w:r>
    </w:p>
    <w:p w14:paraId="607263AB">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规划期限</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规划期限为</w:t>
      </w:r>
      <w:r>
        <w:rPr>
          <w:rFonts w:hint="default"/>
          <w:color w:val="000000" w:themeColor="text1"/>
          <w:highlight w:val="none"/>
          <w:lang w:val="en-US" w:eastAsia="zh-CN"/>
          <w14:textFill>
            <w14:solidFill>
              <w14:schemeClr w14:val="tx1"/>
            </w14:solidFill>
          </w14:textFill>
        </w:rPr>
        <w:t>2021</w:t>
      </w:r>
      <w:r>
        <w:rPr>
          <w:color w:val="000000" w:themeColor="text1"/>
          <w:highlight w:val="none"/>
          <w:lang w:val="en-US" w:eastAsia="zh-CN"/>
          <w14:textFill>
            <w14:solidFill>
              <w14:schemeClr w14:val="tx1"/>
            </w14:solidFill>
          </w14:textFill>
        </w:rPr>
        <w:t>年至</w:t>
      </w:r>
      <w:r>
        <w:rPr>
          <w:rFonts w:hint="default"/>
          <w:color w:val="000000" w:themeColor="text1"/>
          <w:highlight w:val="none"/>
          <w:lang w:val="en-US" w:eastAsia="zh-CN"/>
          <w14:textFill>
            <w14:solidFill>
              <w14:schemeClr w14:val="tx1"/>
            </w14:solidFill>
          </w14:textFill>
        </w:rPr>
        <w:t>2035</w:t>
      </w:r>
      <w:r>
        <w:rPr>
          <w:color w:val="000000" w:themeColor="text1"/>
          <w:highlight w:val="none"/>
          <w:lang w:val="en-US" w:eastAsia="zh-CN"/>
          <w14:textFill>
            <w14:solidFill>
              <w14:schemeClr w14:val="tx1"/>
            </w14:solidFill>
          </w14:textFill>
        </w:rPr>
        <w:t>年，规划目标年至</w:t>
      </w:r>
      <w:r>
        <w:rPr>
          <w:rFonts w:hint="default"/>
          <w:color w:val="000000" w:themeColor="text1"/>
          <w:highlight w:val="none"/>
          <w:lang w:val="en-US" w:eastAsia="zh-CN"/>
          <w14:textFill>
            <w14:solidFill>
              <w14:schemeClr w14:val="tx1"/>
            </w14:solidFill>
          </w14:textFill>
        </w:rPr>
        <w:t>2035</w:t>
      </w:r>
      <w:r>
        <w:rPr>
          <w:color w:val="000000" w:themeColor="text1"/>
          <w:highlight w:val="none"/>
          <w:lang w:val="en-US" w:eastAsia="zh-CN"/>
          <w14:textFill>
            <w14:solidFill>
              <w14:schemeClr w14:val="tx1"/>
            </w14:solidFill>
          </w14:textFill>
        </w:rPr>
        <w:t>年</w:t>
      </w:r>
      <w:r>
        <w:rPr>
          <w:rFonts w:hint="default"/>
          <w:color w:val="000000" w:themeColor="text1"/>
          <w:highlight w:val="none"/>
          <w:lang w:val="en-US" w:eastAsia="zh-CN"/>
          <w14:textFill>
            <w14:solidFill>
              <w14:schemeClr w14:val="tx1"/>
            </w14:solidFill>
          </w14:textFill>
        </w:rPr>
        <w:t>。</w:t>
      </w:r>
    </w:p>
    <w:p w14:paraId="1C5AB7AE">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规划范围</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昌吉高新区规划范围东至榆树沟镇行政边界，西至昌吉市行政边界，南至</w:t>
      </w:r>
      <w:r>
        <w:rPr>
          <w:rFonts w:hint="default"/>
          <w:color w:val="000000" w:themeColor="text1"/>
          <w:highlight w:val="none"/>
          <w:lang w:val="en-US" w:eastAsia="zh-CN"/>
          <w14:textFill>
            <w14:solidFill>
              <w14:schemeClr w14:val="tx1"/>
            </w14:solidFill>
          </w14:textFill>
        </w:rPr>
        <w:t>G30</w:t>
      </w:r>
      <w:r>
        <w:rPr>
          <w:color w:val="000000" w:themeColor="text1"/>
          <w:highlight w:val="none"/>
          <w:lang w:val="en-US" w:eastAsia="zh-CN"/>
          <w14:textFill>
            <w14:solidFill>
              <w14:schemeClr w14:val="tx1"/>
            </w14:solidFill>
          </w14:textFill>
        </w:rPr>
        <w:t>乌奎高速</w:t>
      </w:r>
      <w:r>
        <w:rPr>
          <w:rFonts w:hint="default"/>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吉祥路</w:t>
      </w:r>
      <w:r>
        <w:rPr>
          <w:rFonts w:hint="default"/>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环城南路，北至省道</w:t>
      </w:r>
      <w:r>
        <w:rPr>
          <w:rFonts w:hint="default"/>
          <w:color w:val="000000" w:themeColor="text1"/>
          <w:highlight w:val="none"/>
          <w:lang w:val="en-US" w:eastAsia="zh-CN"/>
          <w14:textFill>
            <w14:solidFill>
              <w14:schemeClr w14:val="tx1"/>
            </w14:solidFill>
          </w14:textFill>
        </w:rPr>
        <w:t>S325-</w:t>
      </w:r>
      <w:r>
        <w:rPr>
          <w:color w:val="000000" w:themeColor="text1"/>
          <w:highlight w:val="none"/>
          <w:lang w:val="en-US" w:eastAsia="zh-CN"/>
          <w14:textFill>
            <w14:solidFill>
              <w14:schemeClr w14:val="tx1"/>
            </w14:solidFill>
          </w14:textFill>
        </w:rPr>
        <w:t>下移户村南缘，规划范围总面积约</w:t>
      </w:r>
      <w:r>
        <w:rPr>
          <w:rFonts w:hint="default"/>
          <w:color w:val="000000" w:themeColor="text1"/>
          <w:highlight w:val="none"/>
          <w:lang w:val="en-US" w:eastAsia="zh-CN"/>
          <w14:textFill>
            <w14:solidFill>
              <w14:schemeClr w14:val="tx1"/>
            </w14:solidFill>
          </w14:textFill>
        </w:rPr>
        <w:t>57.72</w:t>
      </w:r>
      <w:r>
        <w:rPr>
          <w:color w:val="000000" w:themeColor="text1"/>
          <w:highlight w:val="none"/>
          <w:lang w:val="en-US" w:eastAsia="zh-CN"/>
          <w14:textFill>
            <w14:solidFill>
              <w14:schemeClr w14:val="tx1"/>
            </w14:solidFill>
          </w14:textFill>
        </w:rPr>
        <w:t xml:space="preserve">平方千米。 </w:t>
      </w:r>
    </w:p>
    <w:p w14:paraId="2E74781C">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3</w:t>
      </w:r>
      <w:r>
        <w:rPr>
          <w:color w:val="000000" w:themeColor="text1"/>
          <w:highlight w:val="none"/>
          <w:lang w:val="en-US" w:eastAsia="zh-CN"/>
          <w14:textFill>
            <w14:solidFill>
              <w14:schemeClr w14:val="tx1"/>
            </w14:solidFill>
          </w14:textFill>
        </w:rPr>
        <w:t xml:space="preserve">产业空间布局 </w:t>
      </w:r>
    </w:p>
    <w:p w14:paraId="3BAAA5D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加强园区核心产业延链补链和改造升级，聚力发展新材料、装备制造、生物科技三大产业区，重点打造特变电工科技城与蓝山屯河科技城，培育壮大曙光园与高新文化中心，构建“三区两城、一园一心”的产业空间布局。</w:t>
      </w:r>
    </w:p>
    <w:p w14:paraId="08C5A7E9">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区：新材料产业区主要位于乌昌大道以南、吉祥路以西区域，谋划布局硅基新材料、铝基新材料、碳基新材料等功能组团，配套电商组团、仓储组团。装备制造产业区主要位于乌昌大道以北、吉祥路以西区域，推进电力装备、机械设备、医疗装备等组团建设，加快新能源汽车、光伏发电设备、风电设备等新能源关联产业发展。生物科技区主要位于光明路以东，省道</w:t>
      </w:r>
      <w:r>
        <w:rPr>
          <w:rFonts w:hint="default"/>
          <w:color w:val="000000" w:themeColor="text1"/>
          <w:highlight w:val="none"/>
          <w14:textFill>
            <w14:solidFill>
              <w14:schemeClr w14:val="tx1"/>
            </w14:solidFill>
          </w14:textFill>
        </w:rPr>
        <w:t xml:space="preserve">S325 </w:t>
      </w:r>
      <w:r>
        <w:rPr>
          <w:color w:val="000000" w:themeColor="text1"/>
          <w:highlight w:val="none"/>
          <w14:textFill>
            <w14:solidFill>
              <w14:schemeClr w14:val="tx1"/>
            </w14:solidFill>
          </w14:textFill>
        </w:rPr>
        <w:t>以南、环城南路以北区域，重点打造生物制造、生物能源、生物环保、生物医药等组团，开展生物科技关键技术集成与产业化示范。</w:t>
      </w:r>
    </w:p>
    <w:p w14:paraId="1995F651">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两城：特变电工科技城围绕输变电产业，加快推进装备制造产业发展。蓝山屯河科技城打造生物基原料、生物基新材料、下游制品研发生产基地，带动新材料产业区发展。</w:t>
      </w:r>
    </w:p>
    <w:p w14:paraId="4B07E019">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一园：曙光园以曙光村为依托，聚焦发展新型建材、绿色装配式建筑等领域，打造区镇一体化样板地区。</w:t>
      </w:r>
    </w:p>
    <w:p w14:paraId="55C145C6">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 xml:space="preserve">一心：管委会周边布局高等级公共服务、科创服务设施，助力高新区完成产业转型、产城融合升级。 </w:t>
      </w:r>
    </w:p>
    <w:p w14:paraId="729C3B93">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园区规划布局见图</w:t>
      </w: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.2-1.</w:t>
      </w:r>
    </w:p>
    <w:p w14:paraId="615CBA01">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4.2.4</w:t>
      </w:r>
      <w:r>
        <w:rPr>
          <w:rFonts w:hint="default"/>
          <w:color w:val="000000" w:themeColor="text1"/>
          <w:highlight w:val="none"/>
          <w:lang w:val="en-US" w:eastAsia="zh-CN"/>
          <w14:textFill>
            <w14:solidFill>
              <w14:schemeClr w14:val="tx1"/>
            </w14:solidFill>
          </w14:textFill>
        </w:rPr>
        <w:t>园区用地规划</w:t>
      </w:r>
    </w:p>
    <w:p w14:paraId="2F191C8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以土地集约节约、职住平衡为原则，推进“区镇一体化”建设，提高公共服务设施及绿化开放空间用地比例，优化昌吉高新区就业环境。统筹产业用地布局，聚集建设“园中园”，构建高品质产业发展平台。</w:t>
      </w:r>
    </w:p>
    <w:p w14:paraId="04C97E0C">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）居住用地</w:t>
      </w:r>
    </w:p>
    <w:p w14:paraId="3509018A">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居住用地面积</w:t>
      </w:r>
      <w:r>
        <w:rPr>
          <w:rFonts w:hint="default"/>
          <w:color w:val="000000" w:themeColor="text1"/>
          <w:highlight w:val="none"/>
          <w14:textFill>
            <w14:solidFill>
              <w14:schemeClr w14:val="tx1"/>
            </w14:solidFill>
          </w14:textFill>
        </w:rPr>
        <w:t>168.61</w:t>
      </w:r>
      <w:r>
        <w:rPr>
          <w:color w:val="000000" w:themeColor="text1"/>
          <w:highlight w:val="none"/>
          <w14:textFill>
            <w14:solidFill>
              <w14:schemeClr w14:val="tx1"/>
            </w14:solidFill>
          </w14:textFill>
        </w:rPr>
        <w:t>公顷，占开发边界建设用地的</w:t>
      </w:r>
      <w:r>
        <w:rPr>
          <w:rFonts w:hint="default"/>
          <w:color w:val="000000" w:themeColor="text1"/>
          <w:highlight w:val="none"/>
          <w14:textFill>
            <w14:solidFill>
              <w14:schemeClr w14:val="tx1"/>
            </w14:solidFill>
          </w14:textFill>
        </w:rPr>
        <w:t>4.61%</w:t>
      </w:r>
      <w:r>
        <w:rPr>
          <w:color w:val="000000" w:themeColor="text1"/>
          <w:highlight w:val="none"/>
          <w14:textFill>
            <w14:solidFill>
              <w14:schemeClr w14:val="tx1"/>
            </w14:solidFill>
          </w14:textFill>
        </w:rPr>
        <w:t>。</w:t>
      </w:r>
    </w:p>
    <w:p w14:paraId="65CFBE43">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）公共管理与公共服务用地</w:t>
      </w:r>
    </w:p>
    <w:p w14:paraId="536BD3C6">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公共管理与公共服务用地面积</w:t>
      </w:r>
      <w:r>
        <w:rPr>
          <w:rFonts w:hint="default"/>
          <w:color w:val="000000" w:themeColor="text1"/>
          <w:highlight w:val="none"/>
          <w14:textFill>
            <w14:solidFill>
              <w14:schemeClr w14:val="tx1"/>
            </w14:solidFill>
          </w14:textFill>
        </w:rPr>
        <w:t>143.13</w:t>
      </w:r>
      <w:r>
        <w:rPr>
          <w:color w:val="000000" w:themeColor="text1"/>
          <w:highlight w:val="none"/>
          <w14:textFill>
            <w14:solidFill>
              <w14:schemeClr w14:val="tx1"/>
            </w14:solidFill>
          </w14:textFill>
        </w:rPr>
        <w:t>公顷，占开发边界建设用地的</w:t>
      </w:r>
      <w:r>
        <w:rPr>
          <w:rFonts w:hint="default"/>
          <w:color w:val="000000" w:themeColor="text1"/>
          <w:highlight w:val="none"/>
          <w14:textFill>
            <w14:solidFill>
              <w14:schemeClr w14:val="tx1"/>
            </w14:solidFill>
          </w14:textFill>
        </w:rPr>
        <w:t>3.91%</w:t>
      </w:r>
      <w:r>
        <w:rPr>
          <w:color w:val="000000" w:themeColor="text1"/>
          <w:highlight w:val="none"/>
          <w14:textFill>
            <w14:solidFill>
              <w14:schemeClr w14:val="tx1"/>
            </w14:solidFill>
          </w14:textFill>
        </w:rPr>
        <w:t>。</w:t>
      </w:r>
    </w:p>
    <w:p w14:paraId="29B793C2">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）商业服务业用地</w:t>
      </w:r>
    </w:p>
    <w:p w14:paraId="353523B3">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商业服务业设施用地包括商业、商务金融、其他商业服务业用地等用地，用地面积</w:t>
      </w:r>
      <w:r>
        <w:rPr>
          <w:rFonts w:hint="default"/>
          <w:color w:val="000000" w:themeColor="text1"/>
          <w:highlight w:val="none"/>
          <w14:textFill>
            <w14:solidFill>
              <w14:schemeClr w14:val="tx1"/>
            </w14:solidFill>
          </w14:textFill>
        </w:rPr>
        <w:t>76.07</w:t>
      </w:r>
      <w:r>
        <w:rPr>
          <w:color w:val="000000" w:themeColor="text1"/>
          <w:highlight w:val="none"/>
          <w14:textFill>
            <w14:solidFill>
              <w14:schemeClr w14:val="tx1"/>
            </w14:solidFill>
          </w14:textFill>
        </w:rPr>
        <w:t>公顷，占开发边界建设用地的</w:t>
      </w:r>
      <w:r>
        <w:rPr>
          <w:rFonts w:hint="default"/>
          <w:color w:val="000000" w:themeColor="text1"/>
          <w:highlight w:val="none"/>
          <w14:textFill>
            <w14:solidFill>
              <w14:schemeClr w14:val="tx1"/>
            </w14:solidFill>
          </w14:textFill>
        </w:rPr>
        <w:t>2.08%</w:t>
      </w:r>
      <w:r>
        <w:rPr>
          <w:color w:val="000000" w:themeColor="text1"/>
          <w:highlight w:val="none"/>
          <w14:textFill>
            <w14:solidFill>
              <w14:schemeClr w14:val="tx1"/>
            </w14:solidFill>
          </w14:textFill>
        </w:rPr>
        <w:t>。</w:t>
      </w:r>
    </w:p>
    <w:p w14:paraId="03B53E4A">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）工矿用地</w:t>
      </w:r>
    </w:p>
    <w:p w14:paraId="34EE82D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工矿用地面积</w:t>
      </w:r>
      <w:r>
        <w:rPr>
          <w:rFonts w:hint="default"/>
          <w:color w:val="000000" w:themeColor="text1"/>
          <w:highlight w:val="none"/>
          <w14:textFill>
            <w14:solidFill>
              <w14:schemeClr w14:val="tx1"/>
            </w14:solidFill>
          </w14:textFill>
        </w:rPr>
        <w:t>1887.29</w:t>
      </w:r>
      <w:r>
        <w:rPr>
          <w:color w:val="000000" w:themeColor="text1"/>
          <w:highlight w:val="none"/>
          <w14:textFill>
            <w14:solidFill>
              <w14:schemeClr w14:val="tx1"/>
            </w14:solidFill>
          </w14:textFill>
        </w:rPr>
        <w:t>公顷，占开发边界建设用地的</w:t>
      </w:r>
      <w:r>
        <w:rPr>
          <w:rFonts w:hint="default"/>
          <w:color w:val="000000" w:themeColor="text1"/>
          <w:highlight w:val="none"/>
          <w14:textFill>
            <w14:solidFill>
              <w14:schemeClr w14:val="tx1"/>
            </w14:solidFill>
          </w14:textFill>
        </w:rPr>
        <w:t>51.57%</w:t>
      </w:r>
      <w:r>
        <w:rPr>
          <w:color w:val="000000" w:themeColor="text1"/>
          <w:highlight w:val="none"/>
          <w14:textFill>
            <w14:solidFill>
              <w14:schemeClr w14:val="tx1"/>
            </w14:solidFill>
          </w14:textFill>
        </w:rPr>
        <w:t>。</w:t>
      </w:r>
    </w:p>
    <w:p w14:paraId="5A99E5EC">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5</w:t>
      </w:r>
      <w:r>
        <w:rPr>
          <w:color w:val="000000" w:themeColor="text1"/>
          <w:highlight w:val="none"/>
          <w:lang w:val="en-US" w:eastAsia="zh-CN"/>
          <w14:textFill>
            <w14:solidFill>
              <w14:schemeClr w14:val="tx1"/>
            </w14:solidFill>
          </w14:textFill>
        </w:rPr>
        <w:t xml:space="preserve">）物流仓储用地 </w:t>
      </w:r>
    </w:p>
    <w:p w14:paraId="1D3F6C2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物流仓储用地面积</w:t>
      </w:r>
      <w:r>
        <w:rPr>
          <w:rFonts w:hint="default"/>
          <w:color w:val="000000" w:themeColor="text1"/>
          <w:highlight w:val="none"/>
          <w14:textFill>
            <w14:solidFill>
              <w14:schemeClr w14:val="tx1"/>
            </w14:solidFill>
          </w14:textFill>
        </w:rPr>
        <w:t>161.72</w:t>
      </w:r>
      <w:r>
        <w:rPr>
          <w:color w:val="000000" w:themeColor="text1"/>
          <w:highlight w:val="none"/>
          <w14:textFill>
            <w14:solidFill>
              <w14:schemeClr w14:val="tx1"/>
            </w14:solidFill>
          </w14:textFill>
        </w:rPr>
        <w:t>公顷，占开发边界建设用地的</w:t>
      </w:r>
      <w:r>
        <w:rPr>
          <w:rFonts w:hint="default"/>
          <w:color w:val="000000" w:themeColor="text1"/>
          <w:highlight w:val="none"/>
          <w14:textFill>
            <w14:solidFill>
              <w14:schemeClr w14:val="tx1"/>
            </w14:solidFill>
          </w14:textFill>
        </w:rPr>
        <w:t>4.42%</w:t>
      </w:r>
      <w:r>
        <w:rPr>
          <w:color w:val="000000" w:themeColor="text1"/>
          <w:highlight w:val="none"/>
          <w14:textFill>
            <w14:solidFill>
              <w14:schemeClr w14:val="tx1"/>
            </w14:solidFill>
          </w14:textFill>
        </w:rPr>
        <w:t>。</w:t>
      </w:r>
    </w:p>
    <w:p w14:paraId="02E5EDC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）交通运输用地</w:t>
      </w:r>
    </w:p>
    <w:p w14:paraId="32DBC3B1">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交通运输用地面积</w:t>
      </w:r>
      <w:r>
        <w:rPr>
          <w:rFonts w:hint="default"/>
          <w:color w:val="000000" w:themeColor="text1"/>
          <w:highlight w:val="none"/>
          <w14:textFill>
            <w14:solidFill>
              <w14:schemeClr w14:val="tx1"/>
            </w14:solidFill>
          </w14:textFill>
        </w:rPr>
        <w:t>649.90</w:t>
      </w:r>
      <w:r>
        <w:rPr>
          <w:color w:val="000000" w:themeColor="text1"/>
          <w:highlight w:val="none"/>
          <w14:textFill>
            <w14:solidFill>
              <w14:schemeClr w14:val="tx1"/>
            </w14:solidFill>
          </w14:textFill>
        </w:rPr>
        <w:t>公顷，占开发边界建设用地的</w:t>
      </w:r>
      <w:r>
        <w:rPr>
          <w:rFonts w:hint="default"/>
          <w:color w:val="000000" w:themeColor="text1"/>
          <w:highlight w:val="none"/>
          <w14:textFill>
            <w14:solidFill>
              <w14:schemeClr w14:val="tx1"/>
            </w14:solidFill>
          </w14:textFill>
        </w:rPr>
        <w:t>17.76%</w:t>
      </w:r>
      <w:r>
        <w:rPr>
          <w:color w:val="000000" w:themeColor="text1"/>
          <w:highlight w:val="none"/>
          <w14:textFill>
            <w14:solidFill>
              <w14:schemeClr w14:val="tx1"/>
            </w14:solidFill>
          </w14:textFill>
        </w:rPr>
        <w:t>。</w:t>
      </w:r>
    </w:p>
    <w:p w14:paraId="798F4A40">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）公用设施用地</w:t>
      </w:r>
    </w:p>
    <w:p w14:paraId="083C8901">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公用设施用地主要包括变电站、污水泵站、垃圾中转站、消防站等公用设施，用地面积</w:t>
      </w:r>
      <w:r>
        <w:rPr>
          <w:rFonts w:hint="default"/>
          <w:color w:val="000000" w:themeColor="text1"/>
          <w:highlight w:val="none"/>
          <w14:textFill>
            <w14:solidFill>
              <w14:schemeClr w14:val="tx1"/>
            </w14:solidFill>
          </w14:textFill>
        </w:rPr>
        <w:t>82.20</w:t>
      </w:r>
      <w:r>
        <w:rPr>
          <w:color w:val="000000" w:themeColor="text1"/>
          <w:highlight w:val="none"/>
          <w14:textFill>
            <w14:solidFill>
              <w14:schemeClr w14:val="tx1"/>
            </w14:solidFill>
          </w14:textFill>
        </w:rPr>
        <w:t>公顷，占开发边界建设用地的</w:t>
      </w:r>
      <w:r>
        <w:rPr>
          <w:rFonts w:hint="default"/>
          <w:color w:val="000000" w:themeColor="text1"/>
          <w:highlight w:val="none"/>
          <w14:textFill>
            <w14:solidFill>
              <w14:schemeClr w14:val="tx1"/>
            </w14:solidFill>
          </w14:textFill>
        </w:rPr>
        <w:t>2.25%</w:t>
      </w:r>
      <w:r>
        <w:rPr>
          <w:color w:val="000000" w:themeColor="text1"/>
          <w:highlight w:val="none"/>
          <w14:textFill>
            <w14:solidFill>
              <w14:schemeClr w14:val="tx1"/>
            </w14:solidFill>
          </w14:textFill>
        </w:rPr>
        <w:t>。</w:t>
      </w:r>
    </w:p>
    <w:p w14:paraId="28118E64">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t>）绿地与开敞空间用地</w:t>
      </w:r>
    </w:p>
    <w:p w14:paraId="1C159C92">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绿地与开敞空间用地面积</w:t>
      </w:r>
      <w:r>
        <w:rPr>
          <w:rFonts w:hint="default"/>
          <w:color w:val="000000" w:themeColor="text1"/>
          <w:highlight w:val="none"/>
          <w14:textFill>
            <w14:solidFill>
              <w14:schemeClr w14:val="tx1"/>
            </w14:solidFill>
          </w14:textFill>
        </w:rPr>
        <w:t>417.06</w:t>
      </w:r>
      <w:r>
        <w:rPr>
          <w:color w:val="000000" w:themeColor="text1"/>
          <w:highlight w:val="none"/>
          <w14:textFill>
            <w14:solidFill>
              <w14:schemeClr w14:val="tx1"/>
            </w14:solidFill>
          </w14:textFill>
        </w:rPr>
        <w:t>公顷，占开发边界建设用地的</w:t>
      </w:r>
      <w:r>
        <w:rPr>
          <w:rFonts w:hint="default"/>
          <w:color w:val="000000" w:themeColor="text1"/>
          <w:highlight w:val="none"/>
          <w14:textFill>
            <w14:solidFill>
              <w14:schemeClr w14:val="tx1"/>
            </w14:solidFill>
          </w14:textFill>
        </w:rPr>
        <w:t>11.40%</w:t>
      </w:r>
      <w:r>
        <w:rPr>
          <w:color w:val="000000" w:themeColor="text1"/>
          <w:highlight w:val="none"/>
          <w14:textFill>
            <w14:solidFill>
              <w14:schemeClr w14:val="tx1"/>
            </w14:solidFill>
          </w14:textFill>
        </w:rPr>
        <w:t>。</w:t>
      </w:r>
    </w:p>
    <w:p w14:paraId="47AED8A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t>）特殊用地</w:t>
      </w:r>
    </w:p>
    <w:p w14:paraId="33E9163E">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特殊用地面积</w:t>
      </w:r>
      <w:r>
        <w:rPr>
          <w:rFonts w:hint="default"/>
          <w:color w:val="000000" w:themeColor="text1"/>
          <w:highlight w:val="none"/>
          <w:lang w:val="en-US" w:eastAsia="zh-CN"/>
          <w14:textFill>
            <w14:solidFill>
              <w14:schemeClr w14:val="tx1"/>
            </w14:solidFill>
          </w14:textFill>
        </w:rPr>
        <w:t>73.70</w:t>
      </w:r>
      <w:r>
        <w:rPr>
          <w:color w:val="000000" w:themeColor="text1"/>
          <w:highlight w:val="none"/>
          <w:lang w:val="en-US" w:eastAsia="zh-CN"/>
          <w14:textFill>
            <w14:solidFill>
              <w14:schemeClr w14:val="tx1"/>
            </w14:solidFill>
          </w14:textFill>
        </w:rPr>
        <w:t>公顷，占开发边界建设用地的</w:t>
      </w:r>
      <w:r>
        <w:rPr>
          <w:rFonts w:hint="default"/>
          <w:color w:val="000000" w:themeColor="text1"/>
          <w:highlight w:val="none"/>
          <w:lang w:val="en-US" w:eastAsia="zh-CN"/>
          <w14:textFill>
            <w14:solidFill>
              <w14:schemeClr w14:val="tx1"/>
            </w14:solidFill>
          </w14:textFill>
        </w:rPr>
        <w:t>2.00%</w:t>
      </w:r>
      <w:r>
        <w:rPr>
          <w:color w:val="000000" w:themeColor="text1"/>
          <w:highlight w:val="none"/>
          <w:lang w:val="en-US" w:eastAsia="zh-CN"/>
          <w14:textFill>
            <w14:solidFill>
              <w14:schemeClr w14:val="tx1"/>
            </w14:solidFill>
          </w14:textFill>
        </w:rPr>
        <w:t xml:space="preserve">。 </w:t>
      </w:r>
    </w:p>
    <w:p w14:paraId="306938FE">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园区土地利用规划见图</w:t>
      </w: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.2-2。</w:t>
      </w:r>
    </w:p>
    <w:p w14:paraId="1D99F2F8">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 xml:space="preserve">园区基础设施现状及规划 </w:t>
      </w:r>
    </w:p>
    <w:p w14:paraId="42510776">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4.2.5.1</w:t>
      </w:r>
      <w:r>
        <w:rPr>
          <w:rFonts w:hint="default"/>
          <w:color w:val="000000" w:themeColor="text1"/>
          <w:highlight w:val="none"/>
          <w:lang w:val="en-US" w:eastAsia="zh-CN"/>
          <w14:textFill>
            <w14:solidFill>
              <w14:schemeClr w14:val="tx1"/>
            </w14:solidFill>
          </w14:textFill>
        </w:rPr>
        <w:t>给水</w:t>
      </w:r>
    </w:p>
    <w:p w14:paraId="126863C9">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昌吉高新区供水主要为自来水厂，昌吉高新区自来水厂于 2008年8月开工建设，设计规模为3万m</w:t>
      </w:r>
      <w:r>
        <w:rPr>
          <w:rFonts w:hint="eastAsia"/>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/d，于2009年6月投入使用。2013年昌吉高新区自来水厂进行了扩建，供水能力达到5万m</w:t>
      </w:r>
      <w:r>
        <w:rPr>
          <w:rFonts w:hint="default"/>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/d。</w:t>
      </w:r>
    </w:p>
    <w:p w14:paraId="253A4F81">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昌吉高新区自来水厂有1500m</w:t>
      </w:r>
      <w:r>
        <w:rPr>
          <w:rFonts w:hint="default"/>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清水池2座，10000m</w:t>
      </w:r>
      <w:r>
        <w:rPr>
          <w:rFonts w:hint="default"/>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清水池2座，水厂担负着园区320家企业、4个小区</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60住户及附近2个村委会的生产、生活的供水保障工作，满足园区用水需求。</w:t>
      </w:r>
    </w:p>
    <w:p w14:paraId="277550BC">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昌吉高新区目前供水管网东至榆军路，西至经七路，南至创新大道，北至S201线。水厂设供水运行调度中心一座，化验室一座，供水水质符合国家标准合格率达100%。</w:t>
      </w:r>
    </w:p>
    <w:p w14:paraId="21DDEA8A">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本项目生产、生活用水由园区供水管网提供，厂区已接入园区供水管网</w:t>
      </w:r>
    </w:p>
    <w:p w14:paraId="20782BEC">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4.2.5.2</w:t>
      </w:r>
      <w:r>
        <w:rPr>
          <w:rFonts w:hint="default"/>
          <w:color w:val="000000" w:themeColor="text1"/>
          <w:highlight w:val="none"/>
          <w:lang w:val="en-US" w:eastAsia="zh-CN"/>
          <w14:textFill>
            <w14:solidFill>
              <w14:schemeClr w14:val="tx1"/>
            </w14:solidFill>
          </w14:textFill>
        </w:rPr>
        <w:t>排水</w:t>
      </w:r>
    </w:p>
    <w:p w14:paraId="13065812">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昌吉国家高新技术产业开发区污水处理厂位于昌吉高新技术产业开发区西北角，201省道以南，昌吉国家高新技术产业开发区污水处理厂由新疆高新海天水务有限公司建设运营。2018年该污水处理厂进行了提标改造，提标改造后污水处理厂工艺为污水→粗格栅及污水提升泵站→细格栅及曝气沉砂池→MBR池→二沉池一芬顿氧化池一絮凝沉淀池一纤维转盘滤池一紫外消毒渠→出水，污水处理厂出水水质</w:t>
      </w:r>
      <w:r>
        <w:rPr>
          <w:rFonts w:hint="eastAsia"/>
          <w:color w:val="000000" w:themeColor="text1"/>
          <w:highlight w:val="none"/>
          <w:lang w:val="en-US" w:eastAsia="zh-CN"/>
          <w14:textFill>
            <w14:solidFill>
              <w14:schemeClr w14:val="tx1"/>
            </w14:solidFill>
          </w14:textFill>
        </w:rPr>
        <w:t>达到</w:t>
      </w:r>
      <w:r>
        <w:rPr>
          <w:rFonts w:hint="default"/>
          <w:color w:val="000000" w:themeColor="text1"/>
          <w:highlight w:val="none"/>
          <w:lang w:val="en-US" w:eastAsia="zh-CN"/>
          <w14:textFill>
            <w14:solidFill>
              <w14:schemeClr w14:val="tx1"/>
            </w14:solidFill>
          </w14:textFill>
        </w:rPr>
        <w:t>《城镇污水处理厂污染物排放标准》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GB18918-2002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中的一级A标准，夏季尾水排入污水处理厂西侧的高新区生态灌溉项目蓄水池中，用于高新区工业冷却水、绿化、洗车、浇洒道路、景观用水，冬季尾水排入园区中水库。</w:t>
      </w:r>
    </w:p>
    <w:p w14:paraId="12E8A6FB">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昌吉高新技术产业开发区要求工业企业等排污者向园区污水集中处理设施排放污水在没有行业及地方水污染物排放标准时，执行《污水综合排放标准》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GB8978-1996</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表4中三级标准，同时参照《污水排入城市下水道水质标准》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CJ343-2010)B级</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在有行业及地方水污染物排放标准</w:t>
      </w:r>
      <w:r>
        <w:rPr>
          <w:rFonts w:hint="eastAsia"/>
          <w:color w:val="000000" w:themeColor="text1"/>
          <w:highlight w:val="none"/>
          <w:lang w:val="en-US" w:eastAsia="zh-CN"/>
          <w14:textFill>
            <w14:solidFill>
              <w14:schemeClr w14:val="tx1"/>
            </w14:solidFill>
          </w14:textFill>
        </w:rPr>
        <w:t>时</w:t>
      </w:r>
      <w:r>
        <w:rPr>
          <w:rFonts w:hint="default"/>
          <w:color w:val="000000" w:themeColor="text1"/>
          <w:highlight w:val="none"/>
          <w:lang w:val="en-US" w:eastAsia="zh-CN"/>
          <w14:textFill>
            <w14:solidFill>
              <w14:schemeClr w14:val="tx1"/>
            </w14:solidFill>
          </w14:textFill>
        </w:rPr>
        <w:t>应优先执行行业及地方标准。根据《城镇污水处理厂污染物排放标准》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GB18918-2002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，园区集中式污水处理厂出水，配套有再生水处理设施，出水需满足再生水回用标准的，执行一级A标准，根据再生水回用用途，再生水执行《城市污水再生利用城市杂用水水质》</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GB/T18920-2002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、《城市污水再生利用工业用水水源》</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GB/T19923-2005</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等。</w:t>
      </w:r>
    </w:p>
    <w:p w14:paraId="01B365B1">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本项目产生</w:t>
      </w:r>
      <w:r>
        <w:rPr>
          <w:rFonts w:hint="eastAsia"/>
          <w:color w:val="000000" w:themeColor="text1"/>
          <w:highlight w:val="none"/>
          <w:lang w:val="en-US" w:eastAsia="zh-CN"/>
          <w14:textFill>
            <w14:solidFill>
              <w14:schemeClr w14:val="tx1"/>
            </w14:solidFill>
          </w14:textFill>
        </w:rPr>
        <w:t>生活污水</w:t>
      </w:r>
      <w:r>
        <w:rPr>
          <w:rFonts w:hint="default"/>
          <w:color w:val="000000" w:themeColor="text1"/>
          <w:highlight w:val="none"/>
          <w:lang w:val="en-US" w:eastAsia="zh-CN"/>
          <w14:textFill>
            <w14:solidFill>
              <w14:schemeClr w14:val="tx1"/>
            </w14:solidFill>
          </w14:textFill>
        </w:rPr>
        <w:t>排入园区污水管网，进入园区污水处理厂进一步处理。</w:t>
      </w:r>
    </w:p>
    <w:p w14:paraId="789CE3C1">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4.2.5.3</w:t>
      </w:r>
      <w:r>
        <w:rPr>
          <w:rFonts w:hint="default"/>
          <w:color w:val="000000" w:themeColor="text1"/>
          <w:highlight w:val="none"/>
          <w:lang w:val="en-US" w:eastAsia="zh-CN"/>
          <w14:textFill>
            <w14:solidFill>
              <w14:schemeClr w14:val="tx1"/>
            </w14:solidFill>
          </w14:textFill>
        </w:rPr>
        <w:t>供电</w:t>
      </w:r>
    </w:p>
    <w:p w14:paraId="16A58B97">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昌吉高新区内有昌吉明德110kV双回路变电站一座，榆树沟3</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kV双回路变电站一座</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有两路220kV出现穿越园区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110/35kV区内线路</w:t>
      </w:r>
      <w:r>
        <w:rPr>
          <w:rFonts w:hint="eastAsia"/>
          <w:color w:val="000000" w:themeColor="text1"/>
          <w:highlight w:val="none"/>
          <w:lang w:val="en-US" w:eastAsia="zh-CN"/>
          <w14:textFill>
            <w14:solidFill>
              <w14:schemeClr w14:val="tx1"/>
            </w14:solidFill>
          </w14:textFill>
        </w:rPr>
        <w:t>长</w:t>
      </w:r>
      <w:r>
        <w:rPr>
          <w:rFonts w:hint="default"/>
          <w:color w:val="000000" w:themeColor="text1"/>
          <w:highlight w:val="none"/>
          <w:lang w:val="en-US" w:eastAsia="zh-CN"/>
          <w14:textFill>
            <w14:solidFill>
              <w14:schemeClr w14:val="tx1"/>
            </w14:solidFill>
          </w14:textFill>
        </w:rPr>
        <w:t>10.5km</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10kV出线6路，线路长度35km。</w:t>
      </w:r>
    </w:p>
    <w:p w14:paraId="0295903D">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根据现场调查，园区</w:t>
      </w:r>
      <w:r>
        <w:rPr>
          <w:rFonts w:hint="eastAsia"/>
          <w:color w:val="000000" w:themeColor="text1"/>
          <w:highlight w:val="none"/>
          <w:lang w:val="en-US" w:eastAsia="zh-CN"/>
          <w14:textFill>
            <w14:solidFill>
              <w14:schemeClr w14:val="tx1"/>
            </w14:solidFill>
          </w14:textFill>
        </w:rPr>
        <w:t>电网</w:t>
      </w:r>
      <w:r>
        <w:rPr>
          <w:rFonts w:hint="default"/>
          <w:color w:val="000000" w:themeColor="text1"/>
          <w:highlight w:val="none"/>
          <w:lang w:val="en-US" w:eastAsia="zh-CN"/>
          <w14:textFill>
            <w14:solidFill>
              <w14:schemeClr w14:val="tx1"/>
            </w14:solidFill>
          </w14:textFill>
        </w:rPr>
        <w:t>供应，</w:t>
      </w:r>
      <w:r>
        <w:rPr>
          <w:rFonts w:hint="eastAsia"/>
          <w:color w:val="000000" w:themeColor="text1"/>
          <w:highlight w:val="none"/>
          <w:lang w:val="en-US" w:eastAsia="zh-CN"/>
          <w14:textFill>
            <w14:solidFill>
              <w14:schemeClr w14:val="tx1"/>
            </w14:solidFill>
          </w14:textFill>
        </w:rPr>
        <w:t>本项目用电从厂区南侧现有380KV变压器接入，</w:t>
      </w:r>
      <w:r>
        <w:rPr>
          <w:rFonts w:hint="default"/>
          <w:color w:val="000000" w:themeColor="text1"/>
          <w:highlight w:val="none"/>
          <w:lang w:val="en-US" w:eastAsia="zh-CN"/>
          <w14:textFill>
            <w14:solidFill>
              <w14:schemeClr w14:val="tx1"/>
            </w14:solidFill>
          </w14:textFill>
        </w:rPr>
        <w:t>能满足本项目的用电需要。</w:t>
      </w:r>
    </w:p>
    <w:p w14:paraId="1D739B3C">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4.2.5.4</w:t>
      </w:r>
      <w:r>
        <w:rPr>
          <w:rFonts w:hint="default"/>
          <w:color w:val="000000" w:themeColor="text1"/>
          <w:highlight w:val="none"/>
          <w:lang w:val="en-US" w:eastAsia="zh-CN"/>
          <w14:textFill>
            <w14:solidFill>
              <w14:schemeClr w14:val="tx1"/>
            </w14:solidFill>
          </w14:textFill>
        </w:rPr>
        <w:t>燃气供应</w:t>
      </w:r>
    </w:p>
    <w:p w14:paraId="6A993EA2">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昌吉高新区内地下天然气储量丰富，新疆石油管理局呼图壁气田的五口彩旗经及</w:t>
      </w:r>
      <w:r>
        <w:rPr>
          <w:rFonts w:hint="eastAsia"/>
          <w:color w:val="000000" w:themeColor="text1"/>
          <w:highlight w:val="none"/>
          <w:lang w:val="en-US" w:eastAsia="zh-CN"/>
          <w14:textFill>
            <w14:solidFill>
              <w14:schemeClr w14:val="tx1"/>
            </w14:solidFill>
          </w14:textFill>
        </w:rPr>
        <w:t>集输</w:t>
      </w:r>
      <w:r>
        <w:rPr>
          <w:rFonts w:hint="default"/>
          <w:color w:val="000000" w:themeColor="text1"/>
          <w:highlight w:val="none"/>
          <w:lang w:val="en-US" w:eastAsia="zh-CN"/>
          <w14:textFill>
            <w14:solidFill>
              <w14:schemeClr w14:val="tx1"/>
            </w14:solidFill>
          </w14:textFill>
        </w:rPr>
        <w:t>管道位于园区内西北侧，集输管道管径DN8</w:t>
      </w:r>
      <w:r>
        <w:rPr>
          <w:rFonts w:hint="eastAsia"/>
          <w:color w:val="000000" w:themeColor="text1"/>
          <w:highlight w:val="none"/>
          <w:lang w:val="en-US" w:eastAsia="zh-CN"/>
          <w14:textFill>
            <w14:solidFill>
              <w14:schemeClr w14:val="tx1"/>
            </w14:solidFill>
          </w14:textFill>
        </w:rPr>
        <w:t>0</w:t>
      </w:r>
      <w:r>
        <w:rPr>
          <w:rFonts w:hint="default"/>
          <w:color w:val="000000" w:themeColor="text1"/>
          <w:highlight w:val="none"/>
          <w:lang w:val="en-US" w:eastAsia="zh-CN"/>
          <w14:textFill>
            <w14:solidFill>
              <w14:schemeClr w14:val="tx1"/>
            </w14:solidFill>
          </w14:textFill>
        </w:rPr>
        <w:t>，平均埋深1.5m，以1.4MPa~1.5MPa的稳定压力供气，集输管向西至</w:t>
      </w:r>
      <w:r>
        <w:rPr>
          <w:rFonts w:hint="eastAsia"/>
          <w:color w:val="000000" w:themeColor="text1"/>
          <w:highlight w:val="none"/>
          <w:lang w:val="en-US" w:eastAsia="zh-CN"/>
          <w14:textFill>
            <w14:solidFill>
              <w14:schemeClr w14:val="tx1"/>
            </w14:solidFill>
          </w14:textFill>
        </w:rPr>
        <w:t>呼图壁</w:t>
      </w:r>
      <w:r>
        <w:rPr>
          <w:rFonts w:hint="default"/>
          <w:color w:val="000000" w:themeColor="text1"/>
          <w:highlight w:val="none"/>
          <w:lang w:val="en-US" w:eastAsia="zh-CN"/>
          <w14:textFill>
            <w14:solidFill>
              <w14:schemeClr w14:val="tx1"/>
            </w14:solidFill>
          </w14:textFill>
        </w:rPr>
        <w:t>整理站。</w:t>
      </w:r>
    </w:p>
    <w:p w14:paraId="638FD622">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园区内气源为新疆油田油气储运分公司706站，供气方式采用管道输送。现状压力管网等级</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高压管网18~22MPa，次高压管网12~14MPa，中压管网3.5~4MPa，低压管网3~5kPa</w:t>
      </w:r>
      <w:r>
        <w:rPr>
          <w:rFonts w:hint="eastAsia"/>
          <w:color w:val="000000" w:themeColor="text1"/>
          <w:highlight w:val="none"/>
          <w:lang w:val="en-US" w:eastAsia="zh-CN"/>
          <w14:textFill>
            <w14:solidFill>
              <w14:schemeClr w14:val="tx1"/>
            </w14:solidFill>
          </w14:textFill>
        </w:rPr>
        <w:t>。</w:t>
      </w:r>
    </w:p>
    <w:p w14:paraId="6963B5A5">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4.2.5.5</w:t>
      </w:r>
      <w:r>
        <w:rPr>
          <w:rFonts w:hint="default"/>
          <w:color w:val="000000" w:themeColor="text1"/>
          <w:highlight w:val="none"/>
          <w:lang w:val="en-US" w:eastAsia="zh-CN"/>
          <w14:textFill>
            <w14:solidFill>
              <w14:schemeClr w14:val="tx1"/>
            </w14:solidFill>
          </w14:textFill>
        </w:rPr>
        <w:t>供热</w:t>
      </w:r>
    </w:p>
    <w:p w14:paraId="2F532E35">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本项目生产用</w:t>
      </w:r>
      <w:r>
        <w:rPr>
          <w:rFonts w:hint="eastAsia"/>
          <w:color w:val="000000" w:themeColor="text1"/>
          <w:highlight w:val="none"/>
          <w:lang w:val="en-US" w:eastAsia="zh-CN"/>
          <w14:textFill>
            <w14:solidFill>
              <w14:schemeClr w14:val="tx1"/>
            </w14:solidFill>
          </w14:textFill>
        </w:rPr>
        <w:t>热采用电加热，项目冬季不生产，值班人员采用电采暖。</w:t>
      </w:r>
    </w:p>
    <w:p w14:paraId="331F838C">
      <w:pPr>
        <w:pStyle w:val="3"/>
        <w:rPr>
          <w:color w:val="000000" w:themeColor="text1"/>
          <w:highlight w:val="none"/>
          <w14:textFill>
            <w14:solidFill>
              <w14:schemeClr w14:val="tx1"/>
            </w14:solidFill>
          </w14:textFill>
        </w:rPr>
      </w:pPr>
      <w:bookmarkStart w:id="845" w:name="_Toc6493"/>
      <w:bookmarkStart w:id="846" w:name="_Toc29316"/>
      <w:bookmarkStart w:id="847" w:name="_Toc5439"/>
      <w:bookmarkStart w:id="848" w:name="_Toc8395"/>
      <w:bookmarkStart w:id="849" w:name="_Toc2362"/>
      <w:bookmarkStart w:id="850" w:name="_Toc29059"/>
      <w:bookmarkStart w:id="851" w:name="_Toc14878"/>
      <w:bookmarkStart w:id="852" w:name="_Toc8397"/>
      <w:bookmarkStart w:id="853" w:name="_Toc8448"/>
      <w:bookmarkStart w:id="854" w:name="_Toc21099"/>
      <w:r>
        <w:rPr>
          <w:rFonts w:hint="eastAsia"/>
          <w:color w:val="000000" w:themeColor="text1"/>
          <w:highlight w:val="none"/>
          <w:lang w:val="en-US" w:eastAsia="zh-CN"/>
          <w14:textFill>
            <w14:solidFill>
              <w14:schemeClr w14:val="tx1"/>
            </w14:solidFill>
          </w14:textFill>
        </w:rPr>
        <w:t>4</w:t>
      </w:r>
      <w:r>
        <w:rPr>
          <w:color w:val="000000" w:themeColor="text1"/>
          <w:highlight w:val="none"/>
          <w:lang w:val="en-US"/>
          <w14:textFill>
            <w14:solidFill>
              <w14:schemeClr w14:val="tx1"/>
            </w14:solidFill>
          </w14:textFill>
        </w:rPr>
        <w:t>.3环境质量现状调查与评价</w:t>
      </w:r>
      <w:bookmarkEnd w:id="845"/>
      <w:bookmarkEnd w:id="846"/>
      <w:bookmarkEnd w:id="847"/>
      <w:bookmarkEnd w:id="848"/>
      <w:bookmarkEnd w:id="849"/>
      <w:bookmarkEnd w:id="850"/>
      <w:bookmarkEnd w:id="851"/>
      <w:bookmarkEnd w:id="852"/>
      <w:bookmarkEnd w:id="853"/>
      <w:bookmarkEnd w:id="854"/>
      <w:r>
        <w:rPr>
          <w:color w:val="000000" w:themeColor="text1"/>
          <w:highlight w:val="none"/>
          <w:lang w:val="en-US"/>
          <w14:textFill>
            <w14:solidFill>
              <w14:schemeClr w14:val="tx1"/>
            </w14:solidFill>
          </w14:textFill>
        </w:rPr>
        <w:t xml:space="preserve"> </w:t>
      </w:r>
    </w:p>
    <w:p w14:paraId="7C758AB5">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 xml:space="preserve">.3.1 </w:t>
      </w:r>
      <w:r>
        <w:rPr>
          <w:rFonts w:hint="eastAsia"/>
          <w:color w:val="000000" w:themeColor="text1"/>
          <w:highlight w:val="none"/>
          <w14:textFill>
            <w14:solidFill>
              <w14:schemeClr w14:val="tx1"/>
            </w14:solidFill>
          </w14:textFill>
        </w:rPr>
        <w:t xml:space="preserve">大气环境质量现状调查与评价 </w:t>
      </w:r>
    </w:p>
    <w:p w14:paraId="3D5C19F2">
      <w:pPr>
        <w:pStyle w:val="5"/>
        <w:rPr>
          <w:color w:val="000000" w:themeColor="text1"/>
          <w:highlight w:val="none"/>
          <w14:textFill>
            <w14:solidFill>
              <w14:schemeClr w14:val="tx1"/>
            </w14:solidFill>
          </w14:textFill>
        </w:rPr>
      </w:pPr>
      <w:bookmarkStart w:id="855" w:name="_Toc16438"/>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.3.1.1环境空气质量基本因子调查</w:t>
      </w:r>
      <w:bookmarkEnd w:id="855"/>
    </w:p>
    <w:p w14:paraId="10BAE148">
      <w:pPr>
        <w:ind w:firstLine="480"/>
        <w:jc w:val="left"/>
        <w:rPr>
          <w:rFonts w:hint="default" w:eastAsia="宋体"/>
          <w:color w:val="000000" w:themeColor="text1"/>
          <w:kern w:val="0"/>
          <w:highlight w:val="none"/>
          <w:lang w:val="en-US" w:eastAsia="zh-CN"/>
          <w14:textFill>
            <w14:solidFill>
              <w14:schemeClr w14:val="tx1"/>
            </w14:solidFill>
          </w14:textFill>
        </w:rPr>
      </w:pPr>
      <w:bookmarkStart w:id="856" w:name="_Toc20015"/>
      <w:bookmarkStart w:id="857" w:name="_Toc8945"/>
      <w:r>
        <w:rPr>
          <w:rFonts w:hint="eastAsia"/>
          <w:color w:val="000000" w:themeColor="text1"/>
          <w:kern w:val="0"/>
          <w:highlight w:val="none"/>
          <w:lang w:eastAsia="zh-CN"/>
          <w14:textFill>
            <w14:solidFill>
              <w14:schemeClr w14:val="tx1"/>
            </w14:solidFill>
          </w14:textFill>
        </w:rPr>
        <w:t>（</w:t>
      </w:r>
      <w:r>
        <w:rPr>
          <w:rFonts w:hint="eastAsia"/>
          <w:color w:val="000000" w:themeColor="text1"/>
          <w:kern w:val="0"/>
          <w:highlight w:val="none"/>
          <w:lang w:val="en-US" w:eastAsia="zh-CN"/>
          <w14:textFill>
            <w14:solidFill>
              <w14:schemeClr w14:val="tx1"/>
            </w14:solidFill>
          </w14:textFill>
        </w:rPr>
        <w:t>1）数据来源</w:t>
      </w:r>
    </w:p>
    <w:p w14:paraId="625220AD">
      <w:pPr>
        <w:ind w:firstLine="480"/>
        <w:jc w:val="left"/>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根据《环境影响评价技术导则</w:t>
      </w:r>
      <w:r>
        <w:rPr>
          <w:rFonts w:hint="eastAsia"/>
          <w:color w:val="000000" w:themeColor="text1"/>
          <w:kern w:val="0"/>
          <w:highlight w:val="none"/>
          <w14:textFill>
            <w14:solidFill>
              <w14:schemeClr w14:val="tx1"/>
            </w14:solidFill>
          </w14:textFill>
        </w:rPr>
        <w:t xml:space="preserve"> </w:t>
      </w:r>
      <w:r>
        <w:rPr>
          <w:color w:val="000000" w:themeColor="text1"/>
          <w:kern w:val="0"/>
          <w:highlight w:val="none"/>
          <w14:textFill>
            <w14:solidFill>
              <w14:schemeClr w14:val="tx1"/>
            </w14:solidFill>
          </w14:textFill>
        </w:rPr>
        <w:t>大气环境》（HJ2.2-2018）对环境质量现状数据的要求，</w:t>
      </w:r>
      <w:r>
        <w:rPr>
          <w:color w:val="000000" w:themeColor="text1"/>
          <w:spacing w:val="0"/>
          <w:w w:val="100"/>
          <w:sz w:val="24"/>
          <w:szCs w:val="24"/>
          <w:highlight w:val="none"/>
          <w14:textFill>
            <w14:solidFill>
              <w14:schemeClr w14:val="tx1"/>
            </w14:solidFill>
          </w14:textFill>
        </w:rPr>
        <w:t>本次评价选择</w:t>
      </w:r>
      <w:r>
        <w:rPr>
          <w:rFonts w:hint="eastAsia"/>
          <w:color w:val="000000" w:themeColor="text1"/>
          <w:spacing w:val="0"/>
          <w:w w:val="100"/>
          <w:sz w:val="24"/>
          <w:szCs w:val="24"/>
          <w:highlight w:val="none"/>
          <w:lang w:val="en-US" w:eastAsia="zh-CN"/>
          <w14:textFill>
            <w14:solidFill>
              <w14:schemeClr w14:val="tx1"/>
            </w14:solidFill>
          </w14:textFill>
        </w:rPr>
        <w:t>距本项目12.9km</w:t>
      </w:r>
      <w:r>
        <w:rPr>
          <w:rFonts w:hint="eastAsia"/>
          <w:color w:val="000000" w:themeColor="text1"/>
          <w:spacing w:val="0"/>
          <w:w w:val="100"/>
          <w:sz w:val="24"/>
          <w:szCs w:val="24"/>
          <w:highlight w:val="none"/>
          <w14:textFill>
            <w14:solidFill>
              <w14:schemeClr w14:val="tx1"/>
            </w14:solidFill>
          </w14:textFill>
        </w:rPr>
        <w:t>昌吉市</w:t>
      </w:r>
      <w:r>
        <w:rPr>
          <w:rFonts w:hint="eastAsia"/>
          <w:color w:val="000000" w:themeColor="text1"/>
          <w:spacing w:val="0"/>
          <w:w w:val="100"/>
          <w:sz w:val="24"/>
          <w:szCs w:val="24"/>
          <w:highlight w:val="none"/>
          <w:lang w:val="en-US" w:eastAsia="zh-CN"/>
          <w14:textFill>
            <w14:solidFill>
              <w14:schemeClr w14:val="tx1"/>
            </w14:solidFill>
          </w14:textFill>
        </w:rPr>
        <w:t>新区政务中心</w:t>
      </w:r>
      <w:r>
        <w:rPr>
          <w:rFonts w:hint="eastAsia"/>
          <w:color w:val="000000" w:themeColor="text1"/>
          <w:spacing w:val="0"/>
          <w:w w:val="100"/>
          <w:sz w:val="24"/>
          <w:szCs w:val="24"/>
          <w:highlight w:val="none"/>
          <w14:textFill>
            <w14:solidFill>
              <w14:schemeClr w14:val="tx1"/>
            </w14:solidFill>
          </w14:textFill>
        </w:rPr>
        <w:t>空气监测站点</w:t>
      </w:r>
      <w:r>
        <w:rPr>
          <w:rFonts w:hint="eastAsia"/>
          <w:color w:val="000000" w:themeColor="text1"/>
          <w:spacing w:val="0"/>
          <w:w w:val="100"/>
          <w:sz w:val="24"/>
          <w:szCs w:val="24"/>
          <w:highlight w:val="none"/>
          <w:lang w:val="en-US" w:eastAsia="zh-CN"/>
          <w14:textFill>
            <w14:solidFill>
              <w14:schemeClr w14:val="tx1"/>
            </w14:solidFill>
          </w14:textFill>
        </w:rPr>
        <w:t>2025</w:t>
      </w:r>
      <w:r>
        <w:rPr>
          <w:rFonts w:hint="eastAsia"/>
          <w:color w:val="000000" w:themeColor="text1"/>
          <w:spacing w:val="0"/>
          <w:w w:val="100"/>
          <w:sz w:val="24"/>
          <w:szCs w:val="24"/>
          <w:highlight w:val="none"/>
          <w14:textFill>
            <w14:solidFill>
              <w14:schemeClr w14:val="tx1"/>
            </w14:solidFill>
          </w14:textFill>
        </w:rPr>
        <w:t>年</w:t>
      </w:r>
      <w:r>
        <w:rPr>
          <w:color w:val="000000" w:themeColor="text1"/>
          <w:spacing w:val="0"/>
          <w:w w:val="100"/>
          <w:sz w:val="24"/>
          <w:szCs w:val="24"/>
          <w:highlight w:val="none"/>
          <w14:textFill>
            <w14:solidFill>
              <w14:schemeClr w14:val="tx1"/>
            </w14:solidFill>
          </w14:textFill>
        </w:rPr>
        <w:t>的监测数据，作为环境空气现状评价基本污染物SO</w:t>
      </w:r>
      <w:r>
        <w:rPr>
          <w:color w:val="000000" w:themeColor="text1"/>
          <w:spacing w:val="0"/>
          <w:w w:val="100"/>
          <w:sz w:val="24"/>
          <w:szCs w:val="24"/>
          <w:highlight w:val="none"/>
          <w:vertAlign w:val="subscript"/>
          <w14:textFill>
            <w14:solidFill>
              <w14:schemeClr w14:val="tx1"/>
            </w14:solidFill>
          </w14:textFill>
        </w:rPr>
        <w:t>2</w:t>
      </w:r>
      <w:r>
        <w:rPr>
          <w:color w:val="000000" w:themeColor="text1"/>
          <w:spacing w:val="0"/>
          <w:w w:val="100"/>
          <w:sz w:val="24"/>
          <w:szCs w:val="24"/>
          <w:highlight w:val="none"/>
          <w14:textFill>
            <w14:solidFill>
              <w14:schemeClr w14:val="tx1"/>
            </w14:solidFill>
          </w14:textFill>
        </w:rPr>
        <w:t>、NO</w:t>
      </w:r>
      <w:r>
        <w:rPr>
          <w:color w:val="000000" w:themeColor="text1"/>
          <w:spacing w:val="0"/>
          <w:w w:val="100"/>
          <w:sz w:val="24"/>
          <w:szCs w:val="24"/>
          <w:highlight w:val="none"/>
          <w:vertAlign w:val="subscript"/>
          <w14:textFill>
            <w14:solidFill>
              <w14:schemeClr w14:val="tx1"/>
            </w14:solidFill>
          </w14:textFill>
        </w:rPr>
        <w:t>2</w:t>
      </w:r>
      <w:r>
        <w:rPr>
          <w:color w:val="000000" w:themeColor="text1"/>
          <w:spacing w:val="0"/>
          <w:w w:val="100"/>
          <w:sz w:val="24"/>
          <w:szCs w:val="24"/>
          <w:highlight w:val="none"/>
          <w14:textFill>
            <w14:solidFill>
              <w14:schemeClr w14:val="tx1"/>
            </w14:solidFill>
          </w14:textFill>
        </w:rPr>
        <w:t>、PM</w:t>
      </w:r>
      <w:r>
        <w:rPr>
          <w:color w:val="000000" w:themeColor="text1"/>
          <w:spacing w:val="0"/>
          <w:w w:val="100"/>
          <w:sz w:val="24"/>
          <w:szCs w:val="24"/>
          <w:highlight w:val="none"/>
          <w:vertAlign w:val="subscript"/>
          <w14:textFill>
            <w14:solidFill>
              <w14:schemeClr w14:val="tx1"/>
            </w14:solidFill>
          </w14:textFill>
        </w:rPr>
        <w:t>10</w:t>
      </w:r>
      <w:r>
        <w:rPr>
          <w:color w:val="000000" w:themeColor="text1"/>
          <w:spacing w:val="0"/>
          <w:w w:val="100"/>
          <w:sz w:val="24"/>
          <w:szCs w:val="24"/>
          <w:highlight w:val="none"/>
          <w14:textFill>
            <w14:solidFill>
              <w14:schemeClr w14:val="tx1"/>
            </w14:solidFill>
          </w14:textFill>
        </w:rPr>
        <w:t>、PM</w:t>
      </w:r>
      <w:r>
        <w:rPr>
          <w:color w:val="000000" w:themeColor="text1"/>
          <w:spacing w:val="0"/>
          <w:w w:val="100"/>
          <w:sz w:val="24"/>
          <w:szCs w:val="24"/>
          <w:highlight w:val="none"/>
          <w:vertAlign w:val="subscript"/>
          <w14:textFill>
            <w14:solidFill>
              <w14:schemeClr w14:val="tx1"/>
            </w14:solidFill>
          </w14:textFill>
        </w:rPr>
        <w:t>2.5</w:t>
      </w:r>
      <w:r>
        <w:rPr>
          <w:color w:val="000000" w:themeColor="text1"/>
          <w:spacing w:val="0"/>
          <w:w w:val="100"/>
          <w:sz w:val="24"/>
          <w:szCs w:val="24"/>
          <w:highlight w:val="none"/>
          <w14:textFill>
            <w14:solidFill>
              <w14:schemeClr w14:val="tx1"/>
            </w14:solidFill>
          </w14:textFill>
        </w:rPr>
        <w:t>、CO和O</w:t>
      </w:r>
      <w:r>
        <w:rPr>
          <w:color w:val="000000" w:themeColor="text1"/>
          <w:spacing w:val="0"/>
          <w:w w:val="100"/>
          <w:sz w:val="24"/>
          <w:szCs w:val="24"/>
          <w:highlight w:val="none"/>
          <w:vertAlign w:val="subscript"/>
          <w14:textFill>
            <w14:solidFill>
              <w14:schemeClr w14:val="tx1"/>
            </w14:solidFill>
          </w14:textFill>
        </w:rPr>
        <w:t>3</w:t>
      </w:r>
      <w:r>
        <w:rPr>
          <w:color w:val="000000" w:themeColor="text1"/>
          <w:spacing w:val="0"/>
          <w:w w:val="100"/>
          <w:sz w:val="24"/>
          <w:szCs w:val="24"/>
          <w:highlight w:val="none"/>
          <w14:textFill>
            <w14:solidFill>
              <w14:schemeClr w14:val="tx1"/>
            </w14:solidFill>
          </w14:textFill>
        </w:rPr>
        <w:t>的数据来源。</w:t>
      </w:r>
      <w:r>
        <w:rPr>
          <w:rFonts w:hint="default" w:ascii="Times New Roman" w:hAnsi="Times New Roman" w:eastAsia="宋体" w:cs="Times New Roman"/>
          <w:color w:val="000000" w:themeColor="text1"/>
          <w:sz w:val="24"/>
          <w:szCs w:val="24"/>
          <w:highlight w:val="none"/>
          <w14:textFill>
            <w14:solidFill>
              <w14:schemeClr w14:val="tx1"/>
            </w14:solidFill>
          </w14:textFill>
        </w:rPr>
        <w:t>监测点位和项目所在区域地形、气象条件、环境特征、环境功能基本一致，引用数据能客观体现所在区域环境质量，项目引用环境质量资料基本可行</w:t>
      </w:r>
      <w:r>
        <w:rPr>
          <w:color w:val="000000" w:themeColor="text1"/>
          <w:kern w:val="0"/>
          <w:highlight w:val="none"/>
          <w14:textFill>
            <w14:solidFill>
              <w14:schemeClr w14:val="tx1"/>
            </w14:solidFill>
          </w14:textFill>
        </w:rPr>
        <w:t>。</w:t>
      </w:r>
    </w:p>
    <w:p w14:paraId="49E1CC2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（2）评价标准</w:t>
      </w:r>
    </w:p>
    <w:p w14:paraId="3682B72F">
      <w:pPr>
        <w:pStyle w:val="33"/>
        <w:keepNext w:val="0"/>
        <w:keepLines w:val="0"/>
        <w:pageBreakBefore w:val="0"/>
        <w:kinsoku/>
        <w:wordWrap/>
        <w:overflowPunct/>
        <w:topLinePunct w:val="0"/>
        <w:autoSpaceDE/>
        <w:autoSpaceDN/>
        <w:bidi w:val="0"/>
        <w:adjustRightInd/>
        <w:snapToGrid/>
        <w:spacing w:line="360" w:lineRule="auto"/>
        <w:ind w:firstLine="480"/>
        <w:textAlignment w:val="auto"/>
        <w:rPr>
          <w:rFonts w:ascii="Times New Roman" w:hAnsi="Times New Roman" w:eastAsia="宋体" w:cs="Times New Roman"/>
          <w:color w:val="000000" w:themeColor="text1"/>
          <w:szCs w:val="32"/>
          <w:highlight w:val="none"/>
          <w14:textFill>
            <w14:solidFill>
              <w14:schemeClr w14:val="tx1"/>
            </w14:solidFill>
          </w14:textFill>
        </w:rPr>
      </w:pPr>
      <w:r>
        <w:rPr>
          <w:rFonts w:ascii="Times New Roman" w:hAnsi="Times New Roman" w:eastAsia="宋体" w:cs="Times New Roman"/>
          <w:color w:val="000000" w:themeColor="text1"/>
          <w:szCs w:val="32"/>
          <w:highlight w:val="none"/>
          <w14:textFill>
            <w14:solidFill>
              <w14:schemeClr w14:val="tx1"/>
            </w14:solidFill>
          </w14:textFill>
        </w:rPr>
        <w:t>根据本项目所在区域的环境功能区划，</w:t>
      </w:r>
      <w:r>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基本污染物SO</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、NO</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、PM</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14:textFill>
            <w14:solidFill>
              <w14:schemeClr w14:val="tx1"/>
            </w14:solidFill>
          </w14:textFill>
        </w:rPr>
        <w:t>10</w:t>
      </w:r>
      <w:r>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、PM</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14:textFill>
            <w14:solidFill>
              <w14:schemeClr w14:val="tx1"/>
            </w14:solidFill>
          </w14:textFill>
        </w:rPr>
        <w:t>2.5</w:t>
      </w:r>
      <w:r>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t>、CO、O</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14:textFill>
            <w14:solidFill>
              <w14:schemeClr w14:val="tx1"/>
            </w14:solidFill>
          </w14:textFill>
        </w:rPr>
        <w:t>3</w:t>
      </w:r>
      <w:r>
        <w:rPr>
          <w:rFonts w:ascii="Times New Roman" w:hAnsi="Times New Roman" w:eastAsia="宋体" w:cs="Times New Roman"/>
          <w:color w:val="000000" w:themeColor="text1"/>
          <w:szCs w:val="32"/>
          <w:highlight w:val="none"/>
          <w14:textFill>
            <w14:solidFill>
              <w14:schemeClr w14:val="tx1"/>
            </w14:solidFill>
          </w14:textFill>
        </w:rPr>
        <w:t>执行</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浓度限值要求</w:t>
      </w:r>
      <w:r>
        <w:rPr>
          <w:rFonts w:ascii="Times New Roman" w:hAnsi="Times New Roman" w:eastAsia="宋体" w:cs="Times New Roman"/>
          <w:color w:val="000000" w:themeColor="text1"/>
          <w:szCs w:val="32"/>
          <w:highlight w:val="none"/>
          <w14:textFill>
            <w14:solidFill>
              <w14:schemeClr w14:val="tx1"/>
            </w14:solidFill>
          </w14:textFill>
        </w:rPr>
        <w:t>。</w:t>
      </w:r>
    </w:p>
    <w:p w14:paraId="1D6C8E3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（3）评价方法</w:t>
      </w:r>
    </w:p>
    <w:p w14:paraId="29F36D0A">
      <w:pPr>
        <w:pStyle w:val="33"/>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color w:val="000000" w:themeColor="text1"/>
          <w:szCs w:val="32"/>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基本污染物按照《环境空气质量评价技术规范》</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HJ663-20</w:t>
      </w:r>
      <w:r>
        <w:rPr>
          <w:rFonts w:hint="eastAsia" w:eastAsia="宋体" w:cs="Times New Roman"/>
          <w:color w:val="000000" w:themeColor="text1"/>
          <w:highlight w:val="none"/>
          <w:lang w:val="en-US" w:eastAsia="zh-CN"/>
          <w14:textFill>
            <w14:solidFill>
              <w14:schemeClr w14:val="tx1"/>
            </w14:solidFill>
          </w14:textFill>
        </w:rPr>
        <w:t>26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中各评价项目的年评价指标进行判定。年评价指标中的年均浓度和相应百分位数24h平均或8h平均质量浓度满足《环境空气质量标准》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浓度限值要求的即为达标。</w:t>
      </w:r>
      <w:r>
        <w:rPr>
          <w:rFonts w:hint="eastAsia" w:ascii="Times New Roman" w:hAnsi="Times New Roman" w:eastAsia="宋体" w:cs="Times New Roman"/>
          <w:color w:val="000000" w:themeColor="text1"/>
          <w:szCs w:val="32"/>
          <w:highlight w:val="none"/>
          <w14:textFill>
            <w14:solidFill>
              <w14:schemeClr w14:val="tx1"/>
            </w14:solidFill>
          </w14:textFill>
        </w:rPr>
        <w:t>对于超标的污染物，计算其超标倍数和超标率。</w:t>
      </w:r>
    </w:p>
    <w:p w14:paraId="18C094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计算公式</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w:t>
      </w:r>
    </w:p>
    <w:p w14:paraId="489C66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center"/>
        <w:textAlignment w:val="auto"/>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P</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bidi="ar-SA"/>
          <w14:textFill>
            <w14:solidFill>
              <w14:schemeClr w14:val="tx1"/>
            </w14:solidFill>
          </w14:textFill>
        </w:rPr>
        <w:t>i</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=C</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bidi="ar-SA"/>
          <w14:textFill>
            <w14:solidFill>
              <w14:schemeClr w14:val="tx1"/>
            </w14:solidFill>
          </w14:textFill>
        </w:rPr>
        <w:t>i</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/C</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bidi="ar-SA"/>
          <w14:textFill>
            <w14:solidFill>
              <w14:schemeClr w14:val="tx1"/>
            </w14:solidFill>
          </w14:textFill>
        </w:rPr>
        <w:t>oi</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×100%</w:t>
      </w:r>
    </w:p>
    <w:p w14:paraId="4A252D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720" w:firstLineChars="300"/>
        <w:jc w:val="both"/>
        <w:textAlignment w:val="auto"/>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其中：P</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bidi="ar-SA"/>
          <w14:textFill>
            <w14:solidFill>
              <w14:schemeClr w14:val="tx1"/>
            </w14:solidFill>
          </w14:textFill>
        </w:rPr>
        <w:t>i</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污染物i的地面空气质量浓度占标率，%；</w:t>
      </w:r>
    </w:p>
    <w:p w14:paraId="4419F4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1440" w:firstLineChars="600"/>
        <w:jc w:val="both"/>
        <w:textAlignment w:val="auto"/>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C</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bidi="ar-SA"/>
          <w14:textFill>
            <w14:solidFill>
              <w14:schemeClr w14:val="tx1"/>
            </w14:solidFill>
          </w14:textFill>
        </w:rPr>
        <w:t>i</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基本污染物i的地面空气质量浓度，</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mg/m</w:t>
      </w:r>
      <w:r>
        <w:rPr>
          <w:rFonts w:hint="eastAsia" w:cs="Times New Roman"/>
          <w:b w:val="0"/>
          <w:bCs w:val="0"/>
          <w:color w:val="000000" w:themeColor="text1"/>
          <w:ker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 xml:space="preserve">； </w:t>
      </w:r>
    </w:p>
    <w:p w14:paraId="442334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1440" w:firstLineChars="600"/>
        <w:jc w:val="both"/>
        <w:textAlignment w:val="auto"/>
        <w:rPr>
          <w:rFonts w:hint="eastAsia" w:ascii="Times New Roman" w:hAnsi="Times New Roman" w:eastAsia="宋体" w:cs="宋体"/>
          <w:color w:val="000000" w:themeColor="text1"/>
          <w:kern w:val="2"/>
          <w:sz w:val="24"/>
          <w:szCs w:val="32"/>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C</w:t>
      </w:r>
      <w:r>
        <w:rPr>
          <w:rFonts w:hint="eastAsia" w:ascii="Times New Roman" w:hAnsi="Times New Roman" w:eastAsia="宋体" w:cs="Times New Roman"/>
          <w:b w:val="0"/>
          <w:bCs w:val="0"/>
          <w:color w:val="000000" w:themeColor="text1"/>
          <w:kern w:val="0"/>
          <w:sz w:val="24"/>
          <w:szCs w:val="24"/>
          <w:highlight w:val="none"/>
          <w:vertAlign w:val="subscript"/>
          <w:lang w:val="en-US" w:eastAsia="zh-CN" w:bidi="ar-SA"/>
          <w14:textFill>
            <w14:solidFill>
              <w14:schemeClr w14:val="tx1"/>
            </w14:solidFill>
          </w14:textFill>
        </w:rPr>
        <w:t>o</w:t>
      </w:r>
      <w:r>
        <w:rPr>
          <w:rFonts w:hint="default" w:ascii="Times New Roman" w:hAnsi="Times New Roman" w:eastAsia="宋体" w:cs="Times New Roman"/>
          <w:b w:val="0"/>
          <w:bCs w:val="0"/>
          <w:color w:val="000000" w:themeColor="text1"/>
          <w:kern w:val="0"/>
          <w:sz w:val="24"/>
          <w:szCs w:val="24"/>
          <w:highlight w:val="none"/>
          <w:vertAlign w:val="subscript"/>
          <w:lang w:val="en-US" w:eastAsia="zh-CN" w:bidi="ar-SA"/>
          <w14:textFill>
            <w14:solidFill>
              <w14:schemeClr w14:val="tx1"/>
            </w14:solidFill>
          </w14:textFill>
        </w:rPr>
        <w:t>i</w:t>
      </w:r>
      <w:r>
        <w:rPr>
          <w:rFonts w:hint="eastAsia"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基本污染物i的环境空气质量浓度标准，</w:t>
      </w:r>
      <w:r>
        <w:rPr>
          <w:rFonts w:hint="eastAsia" w:cs="Times New Roman"/>
          <w:b w:val="0"/>
          <w:bCs w:val="0"/>
          <w:color w:val="000000" w:themeColor="text1"/>
          <w:kern w:val="0"/>
          <w:sz w:val="24"/>
          <w:szCs w:val="24"/>
          <w:highlight w:val="none"/>
          <w:lang w:val="en-US" w:eastAsia="zh-CN" w:bidi="ar-SA"/>
          <w14:textFill>
            <w14:solidFill>
              <w14:schemeClr w14:val="tx1"/>
            </w14:solidFill>
          </w14:textFill>
        </w:rPr>
        <w:t>mg/m</w:t>
      </w:r>
      <w:r>
        <w:rPr>
          <w:rFonts w:hint="eastAsia" w:cs="Times New Roman"/>
          <w:b w:val="0"/>
          <w:bCs w:val="0"/>
          <w:color w:val="000000" w:themeColor="text1"/>
          <w:ker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t>。</w:t>
      </w:r>
    </w:p>
    <w:p w14:paraId="0BC2F18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（4）评价结果</w:t>
      </w:r>
    </w:p>
    <w:p w14:paraId="1073A9A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本项目评价标准执行</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，达标判定结果见表</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4.3.1</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1</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w:t>
      </w:r>
    </w:p>
    <w:p w14:paraId="26F37B04">
      <w:pPr>
        <w:spacing w:line="240" w:lineRule="auto"/>
        <w:ind w:firstLine="422" w:firstLineChars="200"/>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表4.3.1-1  </w:t>
      </w:r>
      <w:r>
        <w:rPr>
          <w:rFonts w:hint="eastAsia"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ascii="Times New Roman" w:hAnsi="Times New Roman" w:eastAsia="宋体" w:cs="Times New Roman"/>
          <w:b/>
          <w:bCs/>
          <w:color w:val="000000" w:themeColor="text1"/>
          <w:sz w:val="21"/>
          <w:szCs w:val="21"/>
          <w:highlight w:val="none"/>
          <w14:textFill>
            <w14:solidFill>
              <w14:schemeClr w14:val="tx1"/>
            </w14:solidFill>
          </w14:textFill>
        </w:rPr>
        <w:t>大气环境质量及评价结果一览表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332"/>
        <w:gridCol w:w="2820"/>
        <w:gridCol w:w="1190"/>
        <w:gridCol w:w="1260"/>
        <w:gridCol w:w="1190"/>
        <w:gridCol w:w="1279"/>
      </w:tblGrid>
      <w:tr w14:paraId="66723C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1332" w:type="dxa"/>
            <w:tcBorders>
              <w:bottom w:val="single" w:color="000000" w:sz="12" w:space="0"/>
            </w:tcBorders>
            <w:noWrap w:val="0"/>
            <w:vAlign w:val="center"/>
          </w:tcPr>
          <w:p w14:paraId="4420FB98">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评价因子</w:t>
            </w:r>
          </w:p>
        </w:tc>
        <w:tc>
          <w:tcPr>
            <w:tcW w:w="2820" w:type="dxa"/>
            <w:tcBorders>
              <w:bottom w:val="single" w:color="000000" w:sz="12" w:space="0"/>
            </w:tcBorders>
            <w:noWrap w:val="0"/>
            <w:vAlign w:val="center"/>
          </w:tcPr>
          <w:p w14:paraId="22A08D39">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评价指标</w:t>
            </w:r>
          </w:p>
        </w:tc>
        <w:tc>
          <w:tcPr>
            <w:tcW w:w="1190" w:type="dxa"/>
            <w:tcBorders>
              <w:bottom w:val="single" w:color="000000" w:sz="12" w:space="0"/>
            </w:tcBorders>
            <w:noWrap w:val="0"/>
            <w:vAlign w:val="center"/>
          </w:tcPr>
          <w:p w14:paraId="30A7B34A">
            <w:pPr>
              <w:pStyle w:val="26"/>
              <w:bidi w:val="0"/>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评价标准（</w:t>
            </w:r>
            <w:r>
              <w:rPr>
                <w:b/>
                <w:bCs/>
                <w:color w:val="000000" w:themeColor="text1"/>
                <w:highlight w:val="none"/>
                <w14:textFill>
                  <w14:solidFill>
                    <w14:schemeClr w14:val="tx1"/>
                  </w14:solidFill>
                </w14:textFill>
              </w:rPr>
              <w:t>μg/m</w:t>
            </w:r>
            <w:r>
              <w:rPr>
                <w:b/>
                <w:bCs/>
                <w:color w:val="000000" w:themeColor="text1"/>
                <w:highlight w:val="none"/>
                <w:vertAlign w:val="superscript"/>
                <w14:textFill>
                  <w14:solidFill>
                    <w14:schemeClr w14:val="tx1"/>
                  </w14:solidFill>
                </w14:textFill>
              </w:rPr>
              <w:t>3</w:t>
            </w:r>
            <w:r>
              <w:rPr>
                <w:rFonts w:hint="eastAsia"/>
                <w:b/>
                <w:bCs/>
                <w:color w:val="000000" w:themeColor="text1"/>
                <w:highlight w:val="none"/>
                <w:lang w:eastAsia="zh-CN"/>
                <w14:textFill>
                  <w14:solidFill>
                    <w14:schemeClr w14:val="tx1"/>
                  </w14:solidFill>
                </w14:textFill>
              </w:rPr>
              <w:t>）</w:t>
            </w:r>
          </w:p>
        </w:tc>
        <w:tc>
          <w:tcPr>
            <w:tcW w:w="1260" w:type="dxa"/>
            <w:tcBorders>
              <w:bottom w:val="single" w:color="000000" w:sz="12" w:space="0"/>
            </w:tcBorders>
            <w:noWrap w:val="0"/>
            <w:vAlign w:val="center"/>
          </w:tcPr>
          <w:p w14:paraId="72B9D68E">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现状浓度（</w:t>
            </w:r>
            <w:r>
              <w:rPr>
                <w:b/>
                <w:bCs/>
                <w:color w:val="000000" w:themeColor="text1"/>
                <w:highlight w:val="none"/>
                <w14:textFill>
                  <w14:solidFill>
                    <w14:schemeClr w14:val="tx1"/>
                  </w14:solidFill>
                </w14:textFill>
              </w:rPr>
              <w:t>μg/m</w:t>
            </w:r>
            <w:r>
              <w:rPr>
                <w:b/>
                <w:bCs/>
                <w:color w:val="000000" w:themeColor="text1"/>
                <w:highlight w:val="none"/>
                <w:vertAlign w:val="superscript"/>
                <w14:textFill>
                  <w14:solidFill>
                    <w14:schemeClr w14:val="tx1"/>
                  </w14:solidFill>
                </w14:textFill>
              </w:rPr>
              <w:t>3</w:t>
            </w:r>
            <w:r>
              <w:rPr>
                <w:rFonts w:hint="eastAsia"/>
                <w:b/>
                <w:bCs/>
                <w:color w:val="000000" w:themeColor="text1"/>
                <w:highlight w:val="none"/>
                <w:lang w:eastAsia="zh-CN"/>
                <w14:textFill>
                  <w14:solidFill>
                    <w14:schemeClr w14:val="tx1"/>
                  </w14:solidFill>
                </w14:textFill>
              </w:rPr>
              <w:t>）</w:t>
            </w:r>
          </w:p>
        </w:tc>
        <w:tc>
          <w:tcPr>
            <w:tcW w:w="1190" w:type="dxa"/>
            <w:tcBorders>
              <w:bottom w:val="single" w:color="000000" w:sz="12" w:space="0"/>
            </w:tcBorders>
            <w:noWrap w:val="0"/>
            <w:vAlign w:val="center"/>
          </w:tcPr>
          <w:p w14:paraId="1F6DF3D3">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占标率</w:t>
            </w:r>
            <w:r>
              <w:rPr>
                <w:rFonts w:hint="eastAsia"/>
                <w:b/>
                <w:bCs/>
                <w:color w:val="000000" w:themeColor="text1"/>
                <w:highlight w:val="none"/>
                <w:lang w:val="en-US" w:eastAsia="zh-CN"/>
                <w14:textFill>
                  <w14:solidFill>
                    <w14:schemeClr w14:val="tx1"/>
                  </w14:solidFill>
                </w14:textFill>
              </w:rPr>
              <w:t>（</w:t>
            </w:r>
            <w:r>
              <w:rPr>
                <w:rFonts w:hint="default"/>
                <w:b/>
                <w:bCs/>
                <w:color w:val="000000" w:themeColor="text1"/>
                <w:highlight w:val="none"/>
                <w:lang w:val="en-US" w:eastAsia="zh-CN"/>
                <w14:textFill>
                  <w14:solidFill>
                    <w14:schemeClr w14:val="tx1"/>
                  </w14:solidFill>
                </w14:textFill>
              </w:rPr>
              <w:t>%</w:t>
            </w:r>
            <w:r>
              <w:rPr>
                <w:rFonts w:hint="eastAsia"/>
                <w:b/>
                <w:bCs/>
                <w:color w:val="000000" w:themeColor="text1"/>
                <w:highlight w:val="none"/>
                <w:lang w:val="en-US" w:eastAsia="zh-CN"/>
                <w14:textFill>
                  <w14:solidFill>
                    <w14:schemeClr w14:val="tx1"/>
                  </w14:solidFill>
                </w14:textFill>
              </w:rPr>
              <w:t>）</w:t>
            </w:r>
          </w:p>
        </w:tc>
        <w:tc>
          <w:tcPr>
            <w:tcW w:w="1279" w:type="dxa"/>
            <w:tcBorders>
              <w:bottom w:val="single" w:color="000000" w:sz="12" w:space="0"/>
            </w:tcBorders>
            <w:noWrap w:val="0"/>
            <w:vAlign w:val="center"/>
          </w:tcPr>
          <w:p w14:paraId="460DE3D8">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达标情况</w:t>
            </w:r>
          </w:p>
        </w:tc>
      </w:tr>
      <w:tr w14:paraId="7243ACC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0" w:hRule="atLeast"/>
          <w:jc w:val="center"/>
        </w:trPr>
        <w:tc>
          <w:tcPr>
            <w:tcW w:w="1332" w:type="dxa"/>
            <w:tcBorders>
              <w:top w:val="single" w:color="000000" w:sz="12" w:space="0"/>
              <w:tl2br w:val="nil"/>
              <w:tr2bl w:val="nil"/>
            </w:tcBorders>
            <w:noWrap w:val="0"/>
            <w:vAlign w:val="center"/>
          </w:tcPr>
          <w:p w14:paraId="4FDD3BEB">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SO</w:t>
            </w:r>
            <w:r>
              <w:rPr>
                <w:rFonts w:hint="eastAsia"/>
                <w:color w:val="000000" w:themeColor="text1"/>
                <w:highlight w:val="none"/>
                <w:vertAlign w:val="subscript"/>
                <w:lang w:val="en-US" w:eastAsia="zh-CN"/>
                <w14:textFill>
                  <w14:solidFill>
                    <w14:schemeClr w14:val="tx1"/>
                  </w14:solidFill>
                </w14:textFill>
              </w:rPr>
              <w:t>2</w:t>
            </w:r>
          </w:p>
        </w:tc>
        <w:tc>
          <w:tcPr>
            <w:tcW w:w="2820" w:type="dxa"/>
            <w:tcBorders>
              <w:top w:val="single" w:color="000000" w:sz="12" w:space="0"/>
              <w:tl2br w:val="nil"/>
              <w:tr2bl w:val="nil"/>
            </w:tcBorders>
            <w:noWrap w:val="0"/>
            <w:vAlign w:val="center"/>
          </w:tcPr>
          <w:p w14:paraId="3D5F5536">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年平均</w:t>
            </w:r>
          </w:p>
        </w:tc>
        <w:tc>
          <w:tcPr>
            <w:tcW w:w="1190" w:type="dxa"/>
            <w:tcBorders>
              <w:top w:val="single" w:color="000000" w:sz="12" w:space="0"/>
              <w:tl2br w:val="nil"/>
              <w:tr2bl w:val="nil"/>
            </w:tcBorders>
            <w:noWrap w:val="0"/>
            <w:vAlign w:val="center"/>
          </w:tcPr>
          <w:p w14:paraId="524A7DCC">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60</w:t>
            </w:r>
          </w:p>
        </w:tc>
        <w:tc>
          <w:tcPr>
            <w:tcW w:w="1260" w:type="dxa"/>
            <w:tcBorders>
              <w:top w:val="single" w:color="000000" w:sz="12" w:space="0"/>
              <w:tl2br w:val="nil"/>
              <w:tr2bl w:val="nil"/>
            </w:tcBorders>
            <w:noWrap w:val="0"/>
            <w:vAlign w:val="center"/>
          </w:tcPr>
          <w:p w14:paraId="57CA7643">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w:t>
            </w:r>
          </w:p>
        </w:tc>
        <w:tc>
          <w:tcPr>
            <w:tcW w:w="1190" w:type="dxa"/>
            <w:tcBorders>
              <w:top w:val="single" w:color="000000" w:sz="12" w:space="0"/>
              <w:tl2br w:val="nil"/>
              <w:tr2bl w:val="nil"/>
            </w:tcBorders>
            <w:noWrap w:val="0"/>
            <w:vAlign w:val="center"/>
          </w:tcPr>
          <w:p w14:paraId="0F2E5452">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11.7</w:t>
            </w:r>
          </w:p>
        </w:tc>
        <w:tc>
          <w:tcPr>
            <w:tcW w:w="1279" w:type="dxa"/>
            <w:tcBorders>
              <w:top w:val="single" w:color="000000" w:sz="12" w:space="0"/>
              <w:tl2br w:val="nil"/>
              <w:tr2bl w:val="nil"/>
            </w:tcBorders>
            <w:noWrap w:val="0"/>
            <w:vAlign w:val="center"/>
          </w:tcPr>
          <w:p w14:paraId="4E589CA2">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达标</w:t>
            </w:r>
          </w:p>
        </w:tc>
      </w:tr>
      <w:tr w14:paraId="256683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0" w:hRule="atLeast"/>
          <w:jc w:val="center"/>
        </w:trPr>
        <w:tc>
          <w:tcPr>
            <w:tcW w:w="1332" w:type="dxa"/>
            <w:tcBorders>
              <w:tl2br w:val="nil"/>
              <w:tr2bl w:val="nil"/>
            </w:tcBorders>
            <w:noWrap w:val="0"/>
            <w:vAlign w:val="center"/>
          </w:tcPr>
          <w:p w14:paraId="65904039">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NO</w:t>
            </w:r>
            <w:r>
              <w:rPr>
                <w:rFonts w:hint="eastAsia"/>
                <w:color w:val="000000" w:themeColor="text1"/>
                <w:highlight w:val="none"/>
                <w:vertAlign w:val="subscript"/>
                <w:lang w:val="en-US" w:eastAsia="zh-CN"/>
                <w14:textFill>
                  <w14:solidFill>
                    <w14:schemeClr w14:val="tx1"/>
                  </w14:solidFill>
                </w14:textFill>
              </w:rPr>
              <w:t>2</w:t>
            </w:r>
          </w:p>
        </w:tc>
        <w:tc>
          <w:tcPr>
            <w:tcW w:w="2820" w:type="dxa"/>
            <w:tcBorders>
              <w:tl2br w:val="nil"/>
              <w:tr2bl w:val="nil"/>
            </w:tcBorders>
            <w:noWrap w:val="0"/>
            <w:vAlign w:val="center"/>
          </w:tcPr>
          <w:p w14:paraId="555CC881">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年平均</w:t>
            </w:r>
          </w:p>
        </w:tc>
        <w:tc>
          <w:tcPr>
            <w:tcW w:w="1190" w:type="dxa"/>
            <w:tcBorders>
              <w:tl2br w:val="nil"/>
              <w:tr2bl w:val="nil"/>
            </w:tcBorders>
            <w:noWrap w:val="0"/>
            <w:vAlign w:val="center"/>
          </w:tcPr>
          <w:p w14:paraId="05A56921">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40</w:t>
            </w:r>
          </w:p>
        </w:tc>
        <w:tc>
          <w:tcPr>
            <w:tcW w:w="1260" w:type="dxa"/>
            <w:tcBorders>
              <w:tl2br w:val="nil"/>
              <w:tr2bl w:val="nil"/>
            </w:tcBorders>
            <w:noWrap w:val="0"/>
            <w:vAlign w:val="center"/>
          </w:tcPr>
          <w:p w14:paraId="6226FE06">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25</w:t>
            </w:r>
          </w:p>
        </w:tc>
        <w:tc>
          <w:tcPr>
            <w:tcW w:w="1190" w:type="dxa"/>
            <w:tcBorders>
              <w:tl2br w:val="nil"/>
              <w:tr2bl w:val="nil"/>
            </w:tcBorders>
            <w:noWrap w:val="0"/>
            <w:vAlign w:val="center"/>
          </w:tcPr>
          <w:p w14:paraId="5AFBB59C">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62.5</w:t>
            </w:r>
          </w:p>
        </w:tc>
        <w:tc>
          <w:tcPr>
            <w:tcW w:w="1279" w:type="dxa"/>
            <w:tcBorders>
              <w:tl2br w:val="nil"/>
              <w:tr2bl w:val="nil"/>
            </w:tcBorders>
            <w:noWrap w:val="0"/>
            <w:vAlign w:val="center"/>
          </w:tcPr>
          <w:p w14:paraId="1555A831">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达标</w:t>
            </w:r>
          </w:p>
        </w:tc>
      </w:tr>
      <w:tr w14:paraId="2F60976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0" w:hRule="atLeast"/>
          <w:jc w:val="center"/>
        </w:trPr>
        <w:tc>
          <w:tcPr>
            <w:tcW w:w="1332" w:type="dxa"/>
            <w:tcBorders>
              <w:tl2br w:val="nil"/>
              <w:tr2bl w:val="nil"/>
            </w:tcBorders>
            <w:noWrap w:val="0"/>
            <w:vAlign w:val="center"/>
          </w:tcPr>
          <w:p w14:paraId="4AAB59BB">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PM</w:t>
            </w:r>
            <w:r>
              <w:rPr>
                <w:rFonts w:hint="eastAsia"/>
                <w:color w:val="000000" w:themeColor="text1"/>
                <w:highlight w:val="none"/>
                <w:vertAlign w:val="subscript"/>
                <w:lang w:val="en-US" w:eastAsia="zh-CN"/>
                <w14:textFill>
                  <w14:solidFill>
                    <w14:schemeClr w14:val="tx1"/>
                  </w14:solidFill>
                </w14:textFill>
              </w:rPr>
              <w:t>10</w:t>
            </w:r>
          </w:p>
        </w:tc>
        <w:tc>
          <w:tcPr>
            <w:tcW w:w="2820" w:type="dxa"/>
            <w:tcBorders>
              <w:tl2br w:val="nil"/>
              <w:tr2bl w:val="nil"/>
            </w:tcBorders>
            <w:noWrap w:val="0"/>
            <w:vAlign w:val="center"/>
          </w:tcPr>
          <w:p w14:paraId="36E6E832">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年平均</w:t>
            </w:r>
          </w:p>
        </w:tc>
        <w:tc>
          <w:tcPr>
            <w:tcW w:w="1190" w:type="dxa"/>
            <w:tcBorders>
              <w:tl2br w:val="nil"/>
              <w:tr2bl w:val="nil"/>
            </w:tcBorders>
            <w:noWrap w:val="0"/>
            <w:vAlign w:val="center"/>
          </w:tcPr>
          <w:p w14:paraId="40E191EE">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60</w:t>
            </w:r>
          </w:p>
        </w:tc>
        <w:tc>
          <w:tcPr>
            <w:tcW w:w="1260" w:type="dxa"/>
            <w:tcBorders>
              <w:tl2br w:val="nil"/>
              <w:tr2bl w:val="nil"/>
            </w:tcBorders>
            <w:noWrap w:val="0"/>
            <w:vAlign w:val="center"/>
          </w:tcPr>
          <w:p w14:paraId="47D9AE22">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67</w:t>
            </w:r>
          </w:p>
        </w:tc>
        <w:tc>
          <w:tcPr>
            <w:tcW w:w="1190" w:type="dxa"/>
            <w:tcBorders>
              <w:tl2br w:val="nil"/>
              <w:tr2bl w:val="nil"/>
            </w:tcBorders>
            <w:noWrap w:val="0"/>
            <w:vAlign w:val="center"/>
          </w:tcPr>
          <w:p w14:paraId="0EBACF60">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111.7</w:t>
            </w:r>
          </w:p>
        </w:tc>
        <w:tc>
          <w:tcPr>
            <w:tcW w:w="1279" w:type="dxa"/>
            <w:tcBorders>
              <w:tl2br w:val="nil"/>
              <w:tr2bl w:val="nil"/>
            </w:tcBorders>
            <w:noWrap w:val="0"/>
            <w:vAlign w:val="center"/>
          </w:tcPr>
          <w:p w14:paraId="17328351">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不达标</w:t>
            </w:r>
          </w:p>
        </w:tc>
      </w:tr>
      <w:tr w14:paraId="0E8802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0" w:hRule="atLeast"/>
          <w:jc w:val="center"/>
        </w:trPr>
        <w:tc>
          <w:tcPr>
            <w:tcW w:w="1332" w:type="dxa"/>
            <w:tcBorders>
              <w:tl2br w:val="nil"/>
              <w:tr2bl w:val="nil"/>
            </w:tcBorders>
            <w:noWrap w:val="0"/>
            <w:vAlign w:val="center"/>
          </w:tcPr>
          <w:p w14:paraId="18B24F9C">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PM</w:t>
            </w:r>
            <w:r>
              <w:rPr>
                <w:rFonts w:hint="eastAsia"/>
                <w:color w:val="000000" w:themeColor="text1"/>
                <w:highlight w:val="none"/>
                <w:vertAlign w:val="subscript"/>
                <w:lang w:val="en-US" w:eastAsia="zh-CN"/>
                <w14:textFill>
                  <w14:solidFill>
                    <w14:schemeClr w14:val="tx1"/>
                  </w14:solidFill>
                </w14:textFill>
              </w:rPr>
              <w:t>2.5</w:t>
            </w:r>
          </w:p>
        </w:tc>
        <w:tc>
          <w:tcPr>
            <w:tcW w:w="2820" w:type="dxa"/>
            <w:tcBorders>
              <w:tl2br w:val="nil"/>
              <w:tr2bl w:val="nil"/>
            </w:tcBorders>
            <w:noWrap w:val="0"/>
            <w:vAlign w:val="center"/>
          </w:tcPr>
          <w:p w14:paraId="4758C56D">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年平均</w:t>
            </w:r>
          </w:p>
        </w:tc>
        <w:tc>
          <w:tcPr>
            <w:tcW w:w="1190" w:type="dxa"/>
            <w:tcBorders>
              <w:tl2br w:val="nil"/>
              <w:tr2bl w:val="nil"/>
            </w:tcBorders>
            <w:noWrap w:val="0"/>
            <w:vAlign w:val="center"/>
          </w:tcPr>
          <w:p w14:paraId="088E7389">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30</w:t>
            </w:r>
          </w:p>
        </w:tc>
        <w:tc>
          <w:tcPr>
            <w:tcW w:w="1260" w:type="dxa"/>
            <w:tcBorders>
              <w:tl2br w:val="nil"/>
              <w:tr2bl w:val="nil"/>
            </w:tcBorders>
            <w:noWrap w:val="0"/>
            <w:vAlign w:val="center"/>
          </w:tcPr>
          <w:p w14:paraId="4F376C0A">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37</w:t>
            </w:r>
          </w:p>
        </w:tc>
        <w:tc>
          <w:tcPr>
            <w:tcW w:w="1190" w:type="dxa"/>
            <w:tcBorders>
              <w:tl2br w:val="nil"/>
              <w:tr2bl w:val="nil"/>
            </w:tcBorders>
            <w:noWrap w:val="0"/>
            <w:vAlign w:val="center"/>
          </w:tcPr>
          <w:p w14:paraId="499D050A">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123.3</w:t>
            </w:r>
          </w:p>
        </w:tc>
        <w:tc>
          <w:tcPr>
            <w:tcW w:w="1279" w:type="dxa"/>
            <w:tcBorders>
              <w:tl2br w:val="nil"/>
              <w:tr2bl w:val="nil"/>
            </w:tcBorders>
            <w:noWrap w:val="0"/>
            <w:vAlign w:val="center"/>
          </w:tcPr>
          <w:p w14:paraId="4BF59442">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不达标</w:t>
            </w:r>
          </w:p>
        </w:tc>
      </w:tr>
      <w:tr w14:paraId="6A87B1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0" w:hRule="atLeast"/>
          <w:jc w:val="center"/>
        </w:trPr>
        <w:tc>
          <w:tcPr>
            <w:tcW w:w="1332" w:type="dxa"/>
            <w:tcBorders>
              <w:tl2br w:val="nil"/>
              <w:tr2bl w:val="nil"/>
            </w:tcBorders>
            <w:noWrap w:val="0"/>
            <w:vAlign w:val="center"/>
          </w:tcPr>
          <w:p w14:paraId="6232FA3A">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CO</w:t>
            </w:r>
          </w:p>
        </w:tc>
        <w:tc>
          <w:tcPr>
            <w:tcW w:w="2820" w:type="dxa"/>
            <w:tcBorders>
              <w:tl2br w:val="nil"/>
              <w:tr2bl w:val="nil"/>
            </w:tcBorders>
            <w:noWrap w:val="0"/>
            <w:vAlign w:val="center"/>
          </w:tcPr>
          <w:p w14:paraId="4DCE91B3">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24小时平均第95百分位数</w:t>
            </w:r>
          </w:p>
        </w:tc>
        <w:tc>
          <w:tcPr>
            <w:tcW w:w="1190" w:type="dxa"/>
            <w:tcBorders>
              <w:tl2br w:val="nil"/>
              <w:tr2bl w:val="nil"/>
            </w:tcBorders>
            <w:noWrap w:val="0"/>
            <w:vAlign w:val="center"/>
          </w:tcPr>
          <w:p w14:paraId="276F8D26">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4000</w:t>
            </w:r>
          </w:p>
        </w:tc>
        <w:tc>
          <w:tcPr>
            <w:tcW w:w="1260" w:type="dxa"/>
            <w:tcBorders>
              <w:tl2br w:val="nil"/>
              <w:tr2bl w:val="nil"/>
            </w:tcBorders>
            <w:noWrap w:val="0"/>
            <w:vAlign w:val="center"/>
          </w:tcPr>
          <w:p w14:paraId="2D7CECE6">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r>
              <w:rPr>
                <w:rFonts w:hint="eastAsia"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00</w:t>
            </w:r>
          </w:p>
        </w:tc>
        <w:tc>
          <w:tcPr>
            <w:tcW w:w="1190" w:type="dxa"/>
            <w:tcBorders>
              <w:tl2br w:val="nil"/>
              <w:tr2bl w:val="nil"/>
            </w:tcBorders>
            <w:noWrap w:val="0"/>
            <w:vAlign w:val="center"/>
          </w:tcPr>
          <w:p w14:paraId="5AD0F4A9">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40</w:t>
            </w:r>
          </w:p>
        </w:tc>
        <w:tc>
          <w:tcPr>
            <w:tcW w:w="1279" w:type="dxa"/>
            <w:tcBorders>
              <w:tl2br w:val="nil"/>
              <w:tr2bl w:val="nil"/>
            </w:tcBorders>
            <w:noWrap w:val="0"/>
            <w:vAlign w:val="center"/>
          </w:tcPr>
          <w:p w14:paraId="253EC26D">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达标</w:t>
            </w:r>
          </w:p>
        </w:tc>
      </w:tr>
      <w:tr w14:paraId="5FC129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332" w:type="dxa"/>
            <w:tcBorders>
              <w:tl2br w:val="nil"/>
              <w:tr2bl w:val="nil"/>
            </w:tcBorders>
            <w:noWrap w:val="0"/>
            <w:vAlign w:val="center"/>
          </w:tcPr>
          <w:p w14:paraId="26CD31A4">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O</w:t>
            </w:r>
            <w:r>
              <w:rPr>
                <w:rFonts w:hint="eastAsia"/>
                <w:color w:val="000000" w:themeColor="text1"/>
                <w:highlight w:val="none"/>
                <w:vertAlign w:val="subscript"/>
                <w:lang w:val="en-US" w:eastAsia="zh-CN"/>
                <w14:textFill>
                  <w14:solidFill>
                    <w14:schemeClr w14:val="tx1"/>
                  </w14:solidFill>
                </w14:textFill>
              </w:rPr>
              <w:t>3</w:t>
            </w:r>
          </w:p>
        </w:tc>
        <w:tc>
          <w:tcPr>
            <w:tcW w:w="2820" w:type="dxa"/>
            <w:tcBorders>
              <w:tl2br w:val="nil"/>
              <w:tr2bl w:val="nil"/>
            </w:tcBorders>
            <w:noWrap w:val="0"/>
            <w:vAlign w:val="center"/>
          </w:tcPr>
          <w:p w14:paraId="68857FA9">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日最大8小时平均第90百分位数</w:t>
            </w:r>
          </w:p>
        </w:tc>
        <w:tc>
          <w:tcPr>
            <w:tcW w:w="1190" w:type="dxa"/>
            <w:tcBorders>
              <w:tl2br w:val="nil"/>
              <w:tr2bl w:val="nil"/>
            </w:tcBorders>
            <w:noWrap w:val="0"/>
            <w:vAlign w:val="center"/>
          </w:tcPr>
          <w:p w14:paraId="279A2227">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160</w:t>
            </w:r>
          </w:p>
        </w:tc>
        <w:tc>
          <w:tcPr>
            <w:tcW w:w="1260" w:type="dxa"/>
            <w:tcBorders>
              <w:tl2br w:val="nil"/>
              <w:tr2bl w:val="nil"/>
            </w:tcBorders>
            <w:noWrap w:val="0"/>
            <w:vAlign w:val="center"/>
          </w:tcPr>
          <w:p w14:paraId="2967F216">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13</w:t>
            </w:r>
            <w:r>
              <w:rPr>
                <w:rFonts w:hint="eastAsia" w:cs="Times New Roman"/>
                <w:color w:val="000000" w:themeColor="text1"/>
                <w:highlight w:val="none"/>
                <w:lang w:val="en-US" w:eastAsia="zh-CN"/>
                <w14:textFill>
                  <w14:solidFill>
                    <w14:schemeClr w14:val="tx1"/>
                  </w14:solidFill>
                </w14:textFill>
              </w:rPr>
              <w:t>1</w:t>
            </w:r>
          </w:p>
        </w:tc>
        <w:tc>
          <w:tcPr>
            <w:tcW w:w="1190" w:type="dxa"/>
            <w:tcBorders>
              <w:tl2br w:val="nil"/>
              <w:tr2bl w:val="nil"/>
            </w:tcBorders>
            <w:noWrap w:val="0"/>
            <w:vAlign w:val="center"/>
          </w:tcPr>
          <w:p w14:paraId="58B82146">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81.9</w:t>
            </w:r>
          </w:p>
        </w:tc>
        <w:tc>
          <w:tcPr>
            <w:tcW w:w="1279" w:type="dxa"/>
            <w:tcBorders>
              <w:tl2br w:val="nil"/>
              <w:tr2bl w:val="nil"/>
            </w:tcBorders>
            <w:noWrap w:val="0"/>
            <w:vAlign w:val="center"/>
          </w:tcPr>
          <w:p w14:paraId="4CFFE71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达标</w:t>
            </w:r>
          </w:p>
        </w:tc>
      </w:tr>
    </w:tbl>
    <w:p w14:paraId="3583A8B9">
      <w:pPr>
        <w:ind w:firstLine="480"/>
        <w:rPr>
          <w:rFonts w:hint="eastAsia" w:eastAsia="宋体"/>
          <w:color w:val="000000" w:themeColor="text1"/>
          <w:kern w:val="0"/>
          <w:highlight w:val="none"/>
          <w:lang w:eastAsia="zh-CN"/>
          <w14:textFill>
            <w14:solidFill>
              <w14:schemeClr w14:val="tx1"/>
            </w14:solidFill>
          </w14:textFill>
        </w:rPr>
      </w:pPr>
      <w:r>
        <w:rPr>
          <w:color w:val="000000" w:themeColor="text1"/>
          <w:kern w:val="0"/>
          <w:highlight w:val="none"/>
          <w14:textFill>
            <w14:solidFill>
              <w14:schemeClr w14:val="tx1"/>
            </w14:solidFill>
          </w14:textFill>
        </w:rPr>
        <w:t>根据表</w:t>
      </w:r>
      <w:r>
        <w:rPr>
          <w:rFonts w:hint="eastAsia"/>
          <w:color w:val="000000" w:themeColor="text1"/>
          <w:kern w:val="0"/>
          <w:highlight w:val="none"/>
          <w:lang w:val="en-US" w:eastAsia="zh-CN"/>
          <w14:textFill>
            <w14:solidFill>
              <w14:schemeClr w14:val="tx1"/>
            </w14:solidFill>
          </w14:textFill>
        </w:rPr>
        <w:t>4</w:t>
      </w:r>
      <w:r>
        <w:rPr>
          <w:rFonts w:hint="eastAsia"/>
          <w:color w:val="000000" w:themeColor="text1"/>
          <w:kern w:val="0"/>
          <w:highlight w:val="none"/>
          <w14:textFill>
            <w14:solidFill>
              <w14:schemeClr w14:val="tx1"/>
            </w14:solidFill>
          </w14:textFill>
        </w:rPr>
        <w:t>.3.1</w:t>
      </w:r>
      <w:r>
        <w:rPr>
          <w:rFonts w:hint="eastAsia"/>
          <w:color w:val="000000" w:themeColor="text1"/>
          <w:kern w:val="0"/>
          <w:highlight w:val="none"/>
          <w:lang w:val="en-US" w:eastAsia="zh-CN"/>
          <w14:textFill>
            <w14:solidFill>
              <w14:schemeClr w14:val="tx1"/>
            </w14:solidFill>
          </w14:textFill>
        </w:rPr>
        <w:t>-</w:t>
      </w:r>
      <w:r>
        <w:rPr>
          <w:rFonts w:hint="eastAsia"/>
          <w:color w:val="000000" w:themeColor="text1"/>
          <w:kern w:val="0"/>
          <w:highlight w:val="none"/>
          <w14:textFill>
            <w14:solidFill>
              <w14:schemeClr w14:val="tx1"/>
            </w14:solidFill>
          </w14:textFill>
        </w:rPr>
        <w:t>1</w:t>
      </w:r>
      <w:r>
        <w:rPr>
          <w:color w:val="000000" w:themeColor="text1"/>
          <w:kern w:val="0"/>
          <w:highlight w:val="none"/>
          <w14:textFill>
            <w14:solidFill>
              <w14:schemeClr w14:val="tx1"/>
            </w14:solidFill>
          </w14:textFill>
        </w:rPr>
        <w:t>对基本污染物的年评价指标分析结果，20</w:t>
      </w:r>
      <w:r>
        <w:rPr>
          <w:rFonts w:hint="eastAsia"/>
          <w:color w:val="000000" w:themeColor="text1"/>
          <w:kern w:val="0"/>
          <w:highlight w:val="none"/>
          <w14:textFill>
            <w14:solidFill>
              <w14:schemeClr w14:val="tx1"/>
            </w14:solidFill>
          </w14:textFill>
        </w:rPr>
        <w:t>2</w:t>
      </w:r>
      <w:r>
        <w:rPr>
          <w:rFonts w:hint="eastAsia"/>
          <w:color w:val="000000" w:themeColor="text1"/>
          <w:kern w:val="0"/>
          <w:highlight w:val="none"/>
          <w:lang w:val="en-US" w:eastAsia="zh-CN"/>
          <w14:textFill>
            <w14:solidFill>
              <w14:schemeClr w14:val="tx1"/>
            </w14:solidFill>
          </w14:textFill>
        </w:rPr>
        <w:t>5</w:t>
      </w:r>
      <w:r>
        <w:rPr>
          <w:color w:val="000000" w:themeColor="text1"/>
          <w:kern w:val="0"/>
          <w:highlight w:val="none"/>
          <w14:textFill>
            <w14:solidFill>
              <w14:schemeClr w14:val="tx1"/>
            </w14:solidFill>
          </w14:textFill>
        </w:rPr>
        <w:t>年</w:t>
      </w:r>
      <w:r>
        <w:rPr>
          <w:rFonts w:hint="eastAsia"/>
          <w:color w:val="000000" w:themeColor="text1"/>
          <w:kern w:val="0"/>
          <w:highlight w:val="none"/>
          <w:lang w:val="en-US" w:eastAsia="zh-CN"/>
          <w14:textFill>
            <w14:solidFill>
              <w14:schemeClr w14:val="tx1"/>
            </w14:solidFill>
          </w14:textFill>
        </w:rPr>
        <w:t>昌吉市</w:t>
      </w:r>
      <w:r>
        <w:rPr>
          <w:color w:val="000000" w:themeColor="text1"/>
          <w:kern w:val="0"/>
          <w:highlight w:val="none"/>
          <w14:textFill>
            <w14:solidFill>
              <w14:schemeClr w14:val="tx1"/>
            </w14:solidFill>
          </w14:textFill>
        </w:rPr>
        <w:t>基本污染物的评价指标中</w:t>
      </w:r>
      <w:r>
        <w:rPr>
          <w:rFonts w:hint="eastAsia"/>
          <w:color w:val="000000" w:themeColor="text1"/>
          <w:kern w:val="0"/>
          <w:highlight w:val="none"/>
          <w14:textFill>
            <w14:solidFill>
              <w14:schemeClr w14:val="tx1"/>
            </w14:solidFill>
          </w14:textFill>
        </w:rPr>
        <w:t>SO</w:t>
      </w:r>
      <w:r>
        <w:rPr>
          <w:rFonts w:hint="eastAsia"/>
          <w:color w:val="000000" w:themeColor="text1"/>
          <w:kern w:val="0"/>
          <w:highlight w:val="none"/>
          <w:vertAlign w:val="subscript"/>
          <w14:textFill>
            <w14:solidFill>
              <w14:schemeClr w14:val="tx1"/>
            </w14:solidFill>
          </w14:textFill>
        </w:rPr>
        <w:t>2</w:t>
      </w:r>
      <w:r>
        <w:rPr>
          <w:rFonts w:hint="eastAsia"/>
          <w:color w:val="000000" w:themeColor="text1"/>
          <w:kern w:val="0"/>
          <w:highlight w:val="none"/>
          <w14:textFill>
            <w14:solidFill>
              <w14:schemeClr w14:val="tx1"/>
            </w14:solidFill>
          </w14:textFill>
        </w:rPr>
        <w:t>、NO</w:t>
      </w:r>
      <w:r>
        <w:rPr>
          <w:rFonts w:hint="eastAsia"/>
          <w:color w:val="000000" w:themeColor="text1"/>
          <w:kern w:val="0"/>
          <w:highlight w:val="none"/>
          <w:vertAlign w:val="subscript"/>
          <w14:textFill>
            <w14:solidFill>
              <w14:schemeClr w14:val="tx1"/>
            </w14:solidFill>
          </w14:textFill>
        </w:rPr>
        <w:t>2</w:t>
      </w:r>
      <w:r>
        <w:rPr>
          <w:rFonts w:hint="eastAsia"/>
          <w:color w:val="000000" w:themeColor="text1"/>
          <w:kern w:val="0"/>
          <w:highlight w:val="none"/>
          <w14:textFill>
            <w14:solidFill>
              <w14:schemeClr w14:val="tx1"/>
            </w14:solidFill>
          </w14:textFill>
        </w:rPr>
        <w:t>、PM</w:t>
      </w:r>
      <w:r>
        <w:rPr>
          <w:rFonts w:hint="eastAsia"/>
          <w:color w:val="000000" w:themeColor="text1"/>
          <w:kern w:val="0"/>
          <w:highlight w:val="none"/>
          <w:vertAlign w:val="subscript"/>
          <w14:textFill>
            <w14:solidFill>
              <w14:schemeClr w14:val="tx1"/>
            </w14:solidFill>
          </w14:textFill>
        </w:rPr>
        <w:t>10</w:t>
      </w:r>
      <w:r>
        <w:rPr>
          <w:rFonts w:hint="eastAsia"/>
          <w:color w:val="000000" w:themeColor="text1"/>
          <w:kern w:val="0"/>
          <w:highlight w:val="none"/>
          <w14:textFill>
            <w14:solidFill>
              <w14:schemeClr w14:val="tx1"/>
            </w14:solidFill>
          </w14:textFill>
        </w:rPr>
        <w:t>、PM</w:t>
      </w:r>
      <w:r>
        <w:rPr>
          <w:rFonts w:hint="eastAsia"/>
          <w:color w:val="000000" w:themeColor="text1"/>
          <w:kern w:val="0"/>
          <w:highlight w:val="none"/>
          <w:vertAlign w:val="subscript"/>
          <w14:textFill>
            <w14:solidFill>
              <w14:schemeClr w14:val="tx1"/>
            </w14:solidFill>
          </w14:textFill>
        </w:rPr>
        <w:t>2</w:t>
      </w:r>
      <w:r>
        <w:rPr>
          <w:color w:val="000000" w:themeColor="text1"/>
          <w:kern w:val="0"/>
          <w:highlight w:val="none"/>
          <w:vertAlign w:val="subscript"/>
          <w14:textFill>
            <w14:solidFill>
              <w14:schemeClr w14:val="tx1"/>
            </w14:solidFill>
          </w14:textFill>
        </w:rPr>
        <w:t>.5</w:t>
      </w:r>
      <w:r>
        <w:rPr>
          <w:rFonts w:hint="eastAsia"/>
          <w:color w:val="000000" w:themeColor="text1"/>
          <w:kern w:val="0"/>
          <w:highlight w:val="none"/>
          <w14:textFill>
            <w14:solidFill>
              <w14:schemeClr w14:val="tx1"/>
            </w14:solidFill>
          </w14:textFill>
        </w:rPr>
        <w:t>年均浓度分别为</w:t>
      </w:r>
      <w:r>
        <w:rPr>
          <w:rFonts w:hint="eastAsia"/>
          <w:color w:val="000000" w:themeColor="text1"/>
          <w:kern w:val="0"/>
          <w:highlight w:val="none"/>
          <w:lang w:val="en-US" w:eastAsia="zh-CN"/>
          <w14:textFill>
            <w14:solidFill>
              <w14:schemeClr w14:val="tx1"/>
            </w14:solidFill>
          </w14:textFill>
        </w:rPr>
        <w:t>7</w:t>
      </w:r>
      <w:r>
        <w:rPr>
          <w:color w:val="000000" w:themeColor="text1"/>
          <w:kern w:val="0"/>
          <w:highlight w:val="none"/>
          <w14:textFill>
            <w14:solidFill>
              <w14:schemeClr w14:val="tx1"/>
            </w14:solidFill>
          </w14:textFill>
        </w:rPr>
        <w:t>µg/m</w:t>
      </w:r>
      <w:r>
        <w:rPr>
          <w:rFonts w:hint="eastAsia"/>
          <w:color w:val="000000" w:themeColor="text1"/>
          <w:kern w:val="0"/>
          <w:highlight w:val="none"/>
          <w:vertAlign w:val="superscript"/>
          <w14:textFill>
            <w14:solidFill>
              <w14:schemeClr w14:val="tx1"/>
            </w14:solidFill>
          </w14:textFill>
        </w:rPr>
        <w:t>3</w:t>
      </w:r>
      <w:r>
        <w:rPr>
          <w:rFonts w:hint="eastAsia"/>
          <w:color w:val="000000" w:themeColor="text1"/>
          <w:kern w:val="0"/>
          <w:highlight w:val="none"/>
          <w14:textFill>
            <w14:solidFill>
              <w14:schemeClr w14:val="tx1"/>
            </w14:solidFill>
          </w14:textFill>
        </w:rPr>
        <w:t>、</w:t>
      </w:r>
      <w:r>
        <w:rPr>
          <w:rFonts w:hint="eastAsia"/>
          <w:color w:val="000000" w:themeColor="text1"/>
          <w:kern w:val="0"/>
          <w:highlight w:val="none"/>
          <w:lang w:val="en-US" w:eastAsia="zh-CN"/>
          <w14:textFill>
            <w14:solidFill>
              <w14:schemeClr w14:val="tx1"/>
            </w14:solidFill>
          </w14:textFill>
        </w:rPr>
        <w:t>25</w:t>
      </w:r>
      <w:r>
        <w:rPr>
          <w:color w:val="000000" w:themeColor="text1"/>
          <w:kern w:val="0"/>
          <w:highlight w:val="none"/>
          <w14:textFill>
            <w14:solidFill>
              <w14:schemeClr w14:val="tx1"/>
            </w14:solidFill>
          </w14:textFill>
        </w:rPr>
        <w:t>µg/m</w:t>
      </w:r>
      <w:r>
        <w:rPr>
          <w:rFonts w:hint="eastAsia"/>
          <w:color w:val="000000" w:themeColor="text1"/>
          <w:kern w:val="0"/>
          <w:highlight w:val="none"/>
          <w:vertAlign w:val="superscript"/>
          <w14:textFill>
            <w14:solidFill>
              <w14:schemeClr w14:val="tx1"/>
            </w14:solidFill>
          </w14:textFill>
        </w:rPr>
        <w:t>3</w:t>
      </w:r>
      <w:r>
        <w:rPr>
          <w:rFonts w:hint="eastAsia"/>
          <w:color w:val="000000" w:themeColor="text1"/>
          <w:kern w:val="0"/>
          <w:highlight w:val="none"/>
          <w14:textFill>
            <w14:solidFill>
              <w14:schemeClr w14:val="tx1"/>
            </w14:solidFill>
          </w14:textFill>
        </w:rPr>
        <w:t>、</w:t>
      </w:r>
      <w:r>
        <w:rPr>
          <w:rFonts w:hint="eastAsia"/>
          <w:color w:val="000000" w:themeColor="text1"/>
          <w:kern w:val="0"/>
          <w:highlight w:val="none"/>
          <w:lang w:val="en-US" w:eastAsia="zh-CN"/>
          <w14:textFill>
            <w14:solidFill>
              <w14:schemeClr w14:val="tx1"/>
            </w14:solidFill>
          </w14:textFill>
        </w:rPr>
        <w:t>67</w:t>
      </w:r>
      <w:r>
        <w:rPr>
          <w:color w:val="000000" w:themeColor="text1"/>
          <w:kern w:val="0"/>
          <w:highlight w:val="none"/>
          <w14:textFill>
            <w14:solidFill>
              <w14:schemeClr w14:val="tx1"/>
            </w14:solidFill>
          </w14:textFill>
        </w:rPr>
        <w:t>µg/m</w:t>
      </w:r>
      <w:r>
        <w:rPr>
          <w:rFonts w:hint="eastAsia"/>
          <w:color w:val="000000" w:themeColor="text1"/>
          <w:kern w:val="0"/>
          <w:highlight w:val="none"/>
          <w:vertAlign w:val="superscript"/>
          <w14:textFill>
            <w14:solidFill>
              <w14:schemeClr w14:val="tx1"/>
            </w14:solidFill>
          </w14:textFill>
        </w:rPr>
        <w:t>3</w:t>
      </w:r>
      <w:r>
        <w:rPr>
          <w:rFonts w:hint="eastAsia"/>
          <w:color w:val="000000" w:themeColor="text1"/>
          <w:kern w:val="0"/>
          <w:highlight w:val="none"/>
          <w14:textFill>
            <w14:solidFill>
              <w14:schemeClr w14:val="tx1"/>
            </w14:solidFill>
          </w14:textFill>
        </w:rPr>
        <w:t>、</w:t>
      </w:r>
      <w:r>
        <w:rPr>
          <w:rFonts w:hint="eastAsia"/>
          <w:color w:val="000000" w:themeColor="text1"/>
          <w:kern w:val="0"/>
          <w:highlight w:val="none"/>
          <w:lang w:val="en-US" w:eastAsia="zh-CN"/>
          <w14:textFill>
            <w14:solidFill>
              <w14:schemeClr w14:val="tx1"/>
            </w14:solidFill>
          </w14:textFill>
        </w:rPr>
        <w:t>37</w:t>
      </w:r>
      <w:r>
        <w:rPr>
          <w:color w:val="000000" w:themeColor="text1"/>
          <w:kern w:val="0"/>
          <w:highlight w:val="none"/>
          <w14:textFill>
            <w14:solidFill>
              <w14:schemeClr w14:val="tx1"/>
            </w14:solidFill>
          </w14:textFill>
        </w:rPr>
        <w:t>µg/m</w:t>
      </w:r>
      <w:r>
        <w:rPr>
          <w:rFonts w:hint="eastAsia"/>
          <w:color w:val="000000" w:themeColor="text1"/>
          <w:kern w:val="0"/>
          <w:highlight w:val="none"/>
          <w:vertAlign w:val="superscript"/>
          <w14:textFill>
            <w14:solidFill>
              <w14:schemeClr w14:val="tx1"/>
            </w14:solidFill>
          </w14:textFill>
        </w:rPr>
        <w:t>3</w:t>
      </w:r>
      <w:r>
        <w:rPr>
          <w:rFonts w:hint="eastAsia"/>
          <w:color w:val="000000" w:themeColor="text1"/>
          <w:kern w:val="0"/>
          <w:highlight w:val="none"/>
          <w14:textFill>
            <w14:solidFill>
              <w14:schemeClr w14:val="tx1"/>
            </w14:solidFill>
          </w14:textFill>
        </w:rPr>
        <w:t xml:space="preserve">，CO </w:t>
      </w:r>
      <w:r>
        <w:rPr>
          <w:color w:val="000000" w:themeColor="text1"/>
          <w:kern w:val="0"/>
          <w:highlight w:val="none"/>
          <w14:textFill>
            <w14:solidFill>
              <w14:schemeClr w14:val="tx1"/>
            </w14:solidFill>
          </w14:textFill>
        </w:rPr>
        <w:t>24小时平均第95百分位数</w:t>
      </w:r>
      <w:r>
        <w:rPr>
          <w:rFonts w:hint="eastAsia"/>
          <w:color w:val="000000" w:themeColor="text1"/>
          <w:kern w:val="0"/>
          <w:highlight w:val="none"/>
          <w14:textFill>
            <w14:solidFill>
              <w14:schemeClr w14:val="tx1"/>
            </w14:solidFill>
          </w14:textFill>
        </w:rPr>
        <w:t>为1.</w:t>
      </w:r>
      <w:r>
        <w:rPr>
          <w:rFonts w:hint="eastAsia"/>
          <w:color w:val="000000" w:themeColor="text1"/>
          <w:kern w:val="0"/>
          <w:highlight w:val="none"/>
          <w:lang w:val="en-US" w:eastAsia="zh-CN"/>
          <w14:textFill>
            <w14:solidFill>
              <w14:schemeClr w14:val="tx1"/>
            </w14:solidFill>
          </w14:textFill>
        </w:rPr>
        <w:t>6</w:t>
      </w:r>
      <w:r>
        <w:rPr>
          <w:rFonts w:hint="eastAsia"/>
          <w:color w:val="000000" w:themeColor="text1"/>
          <w:kern w:val="0"/>
          <w:highlight w:val="none"/>
          <w14:textFill>
            <w14:solidFill>
              <w14:schemeClr w14:val="tx1"/>
            </w14:solidFill>
          </w14:textFill>
        </w:rPr>
        <w:t>m</w:t>
      </w:r>
      <w:r>
        <w:rPr>
          <w:color w:val="000000" w:themeColor="text1"/>
          <w:kern w:val="0"/>
          <w:highlight w:val="none"/>
          <w14:textFill>
            <w14:solidFill>
              <w14:schemeClr w14:val="tx1"/>
            </w14:solidFill>
          </w14:textFill>
        </w:rPr>
        <w:t>g/m</w:t>
      </w:r>
      <w:r>
        <w:rPr>
          <w:rFonts w:hint="eastAsia"/>
          <w:color w:val="000000" w:themeColor="text1"/>
          <w:kern w:val="0"/>
          <w:highlight w:val="none"/>
          <w:vertAlign w:val="superscript"/>
          <w14:textFill>
            <w14:solidFill>
              <w14:schemeClr w14:val="tx1"/>
            </w14:solidFill>
          </w14:textFill>
        </w:rPr>
        <w:t>3</w:t>
      </w:r>
      <w:r>
        <w:rPr>
          <w:rFonts w:hint="eastAsia"/>
          <w:color w:val="000000" w:themeColor="text1"/>
          <w:kern w:val="0"/>
          <w:highlight w:val="none"/>
          <w14:textFill>
            <w14:solidFill>
              <w14:schemeClr w14:val="tx1"/>
            </w14:solidFill>
          </w14:textFill>
        </w:rPr>
        <w:t>，O</w:t>
      </w:r>
      <w:r>
        <w:rPr>
          <w:rFonts w:hint="eastAsia"/>
          <w:color w:val="000000" w:themeColor="text1"/>
          <w:kern w:val="0"/>
          <w:highlight w:val="none"/>
          <w:vertAlign w:val="subscript"/>
          <w14:textFill>
            <w14:solidFill>
              <w14:schemeClr w14:val="tx1"/>
            </w14:solidFill>
          </w14:textFill>
        </w:rPr>
        <w:t>3</w:t>
      </w:r>
      <w:r>
        <w:rPr>
          <w:color w:val="000000" w:themeColor="text1"/>
          <w:kern w:val="0"/>
          <w:highlight w:val="none"/>
          <w14:textFill>
            <w14:solidFill>
              <w14:schemeClr w14:val="tx1"/>
            </w14:solidFill>
          </w14:textFill>
        </w:rPr>
        <w:t>8小时平均第90百分位数</w:t>
      </w:r>
      <w:r>
        <w:rPr>
          <w:rFonts w:hint="eastAsia"/>
          <w:color w:val="000000" w:themeColor="text1"/>
          <w:kern w:val="0"/>
          <w:highlight w:val="none"/>
          <w14:textFill>
            <w14:solidFill>
              <w14:schemeClr w14:val="tx1"/>
            </w14:solidFill>
          </w14:textFill>
        </w:rPr>
        <w:t>为1</w:t>
      </w:r>
      <w:r>
        <w:rPr>
          <w:rFonts w:hint="eastAsia"/>
          <w:color w:val="000000" w:themeColor="text1"/>
          <w:kern w:val="0"/>
          <w:highlight w:val="none"/>
          <w:lang w:val="en-US" w:eastAsia="zh-CN"/>
          <w14:textFill>
            <w14:solidFill>
              <w14:schemeClr w14:val="tx1"/>
            </w14:solidFill>
          </w14:textFill>
        </w:rPr>
        <w:t>31</w:t>
      </w:r>
      <w:r>
        <w:rPr>
          <w:color w:val="000000" w:themeColor="text1"/>
          <w:kern w:val="0"/>
          <w:highlight w:val="none"/>
          <w14:textFill>
            <w14:solidFill>
              <w14:schemeClr w14:val="tx1"/>
            </w14:solidFill>
          </w14:textFill>
        </w:rPr>
        <w:t>µg/m</w:t>
      </w:r>
      <w:r>
        <w:rPr>
          <w:rFonts w:hint="eastAsia"/>
          <w:color w:val="000000" w:themeColor="text1"/>
          <w:kern w:val="0"/>
          <w:highlight w:val="none"/>
          <w:vertAlign w:val="superscript"/>
          <w14:textFill>
            <w14:solidFill>
              <w14:schemeClr w14:val="tx1"/>
            </w14:solidFill>
          </w14:textFill>
        </w:rPr>
        <w:t>3</w:t>
      </w:r>
      <w:r>
        <w:rPr>
          <w:rFonts w:hint="eastAsia"/>
          <w:color w:val="000000" w:themeColor="text1"/>
          <w:kern w:val="0"/>
          <w:highlight w:val="none"/>
          <w14:textFill>
            <w14:solidFill>
              <w14:schemeClr w14:val="tx1"/>
            </w14:solidFill>
          </w14:textFill>
        </w:rPr>
        <w:t>。其中SO</w:t>
      </w:r>
      <w:r>
        <w:rPr>
          <w:rFonts w:hint="eastAsia"/>
          <w:color w:val="000000" w:themeColor="text1"/>
          <w:kern w:val="0"/>
          <w:highlight w:val="none"/>
          <w:vertAlign w:val="subscript"/>
          <w14:textFill>
            <w14:solidFill>
              <w14:schemeClr w14:val="tx1"/>
            </w14:solidFill>
          </w14:textFill>
        </w:rPr>
        <w:t>2</w:t>
      </w:r>
      <w:r>
        <w:rPr>
          <w:rFonts w:hint="eastAsia"/>
          <w:color w:val="000000" w:themeColor="text1"/>
          <w:kern w:val="0"/>
          <w:highlight w:val="none"/>
          <w14:textFill>
            <w14:solidFill>
              <w14:schemeClr w14:val="tx1"/>
            </w14:solidFill>
          </w14:textFill>
        </w:rPr>
        <w:t>、NO</w:t>
      </w:r>
      <w:r>
        <w:rPr>
          <w:rFonts w:hint="eastAsia"/>
          <w:color w:val="000000" w:themeColor="text1"/>
          <w:kern w:val="0"/>
          <w:highlight w:val="none"/>
          <w:vertAlign w:val="subscript"/>
          <w14:textFill>
            <w14:solidFill>
              <w14:schemeClr w14:val="tx1"/>
            </w14:solidFill>
          </w14:textFill>
        </w:rPr>
        <w:t>2</w:t>
      </w:r>
      <w:r>
        <w:rPr>
          <w:rFonts w:hint="eastAsia"/>
          <w:color w:val="000000" w:themeColor="text1"/>
          <w:kern w:val="0"/>
          <w:highlight w:val="none"/>
          <w14:textFill>
            <w14:solidFill>
              <w14:schemeClr w14:val="tx1"/>
            </w14:solidFill>
          </w14:textFill>
        </w:rPr>
        <w:t>、CO和O</w:t>
      </w:r>
      <w:r>
        <w:rPr>
          <w:rFonts w:hint="eastAsia"/>
          <w:color w:val="000000" w:themeColor="text1"/>
          <w:kern w:val="0"/>
          <w:highlight w:val="none"/>
          <w:vertAlign w:val="subscript"/>
          <w14:textFill>
            <w14:solidFill>
              <w14:schemeClr w14:val="tx1"/>
            </w14:solidFill>
          </w14:textFill>
        </w:rPr>
        <w:t>3</w:t>
      </w:r>
      <w:r>
        <w:rPr>
          <w:rFonts w:hint="eastAsia"/>
          <w:color w:val="000000" w:themeColor="text1"/>
          <w:kern w:val="0"/>
          <w:highlight w:val="none"/>
          <w14:textFill>
            <w14:solidFill>
              <w14:schemeClr w14:val="tx1"/>
            </w14:solidFill>
          </w14:textFill>
        </w:rPr>
        <w:t>指标均</w:t>
      </w:r>
      <w:r>
        <w:rPr>
          <w:rFonts w:hint="eastAsia"/>
          <w:color w:val="000000" w:themeColor="text1"/>
          <w:kern w:val="0"/>
          <w:highlight w:val="none"/>
          <w:lang w:val="en-US" w:eastAsia="zh-CN"/>
          <w14:textFill>
            <w14:solidFill>
              <w14:schemeClr w14:val="tx1"/>
            </w14:solidFill>
          </w14:textFill>
        </w:rPr>
        <w:t>满足</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w:t>
      </w:r>
      <w:r>
        <w:rPr>
          <w:rFonts w:hint="eastAsia"/>
          <w:color w:val="000000" w:themeColor="text1"/>
          <w:kern w:val="0"/>
          <w:highlight w:val="none"/>
          <w14:textFill>
            <w14:solidFill>
              <w14:schemeClr w14:val="tx1"/>
            </w14:solidFill>
          </w14:textFill>
        </w:rPr>
        <w:t>，PM</w:t>
      </w:r>
      <w:r>
        <w:rPr>
          <w:rFonts w:hint="eastAsia"/>
          <w:color w:val="000000" w:themeColor="text1"/>
          <w:kern w:val="0"/>
          <w:highlight w:val="none"/>
          <w:vertAlign w:val="subscript"/>
          <w14:textFill>
            <w14:solidFill>
              <w14:schemeClr w14:val="tx1"/>
            </w14:solidFill>
          </w14:textFill>
        </w:rPr>
        <w:t>10</w:t>
      </w:r>
      <w:r>
        <w:rPr>
          <w:color w:val="000000" w:themeColor="text1"/>
          <w:kern w:val="0"/>
          <w:highlight w:val="none"/>
          <w14:textFill>
            <w14:solidFill>
              <w14:schemeClr w14:val="tx1"/>
            </w14:solidFill>
          </w14:textFill>
        </w:rPr>
        <w:t>和</w:t>
      </w:r>
      <w:r>
        <w:rPr>
          <w:rFonts w:hint="eastAsia"/>
          <w:color w:val="000000" w:themeColor="text1"/>
          <w:kern w:val="0"/>
          <w:highlight w:val="none"/>
          <w14:textFill>
            <w14:solidFill>
              <w14:schemeClr w14:val="tx1"/>
            </w14:solidFill>
          </w14:textFill>
        </w:rPr>
        <w:t>PM</w:t>
      </w:r>
      <w:r>
        <w:rPr>
          <w:rFonts w:hint="eastAsia"/>
          <w:color w:val="000000" w:themeColor="text1"/>
          <w:kern w:val="0"/>
          <w:highlight w:val="none"/>
          <w:vertAlign w:val="subscript"/>
          <w14:textFill>
            <w14:solidFill>
              <w14:schemeClr w14:val="tx1"/>
            </w14:solidFill>
          </w14:textFill>
        </w:rPr>
        <w:t>2</w:t>
      </w:r>
      <w:r>
        <w:rPr>
          <w:color w:val="000000" w:themeColor="text1"/>
          <w:kern w:val="0"/>
          <w:highlight w:val="none"/>
          <w:vertAlign w:val="subscript"/>
          <w14:textFill>
            <w14:solidFill>
              <w14:schemeClr w14:val="tx1"/>
            </w14:solidFill>
          </w14:textFill>
        </w:rPr>
        <w:t>.5</w:t>
      </w:r>
      <w:r>
        <w:rPr>
          <w:rFonts w:hint="eastAsia"/>
          <w:color w:val="000000" w:themeColor="text1"/>
          <w:kern w:val="0"/>
          <w:highlight w:val="none"/>
          <w14:textFill>
            <w14:solidFill>
              <w14:schemeClr w14:val="tx1"/>
            </w14:solidFill>
          </w14:textFill>
        </w:rPr>
        <w:t>指标</w:t>
      </w:r>
      <w:r>
        <w:rPr>
          <w:color w:val="000000" w:themeColor="text1"/>
          <w:kern w:val="0"/>
          <w:highlight w:val="none"/>
          <w14:textFill>
            <w14:solidFill>
              <w14:schemeClr w14:val="tx1"/>
            </w14:solidFill>
          </w14:textFill>
        </w:rPr>
        <w:t>不能满足</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eastAsia="宋体" w:cs="Times New Roman"/>
          <w:color w:val="000000" w:themeColor="text1"/>
          <w:highlight w:val="none"/>
          <w:lang w:val="en-US" w:eastAsia="zh-CN"/>
          <w14:textFill>
            <w14:solidFill>
              <w14:schemeClr w14:val="tx1"/>
            </w14:solidFill>
          </w14:textFill>
        </w:rPr>
        <w:t>过渡阶段二级</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浓度限值</w:t>
      </w:r>
      <w:r>
        <w:rPr>
          <w:color w:val="000000" w:themeColor="text1"/>
          <w:kern w:val="0"/>
          <w:highlight w:val="none"/>
          <w14:textFill>
            <w14:solidFill>
              <w14:schemeClr w14:val="tx1"/>
            </w14:solidFill>
          </w14:textFill>
        </w:rPr>
        <w:t>要求，</w:t>
      </w:r>
      <w:r>
        <w:rPr>
          <w:rFonts w:hint="eastAsia"/>
          <w:color w:val="000000" w:themeColor="text1"/>
          <w:kern w:val="0"/>
          <w:highlight w:val="none"/>
          <w14:textFill>
            <w14:solidFill>
              <w14:schemeClr w14:val="tx1"/>
            </w14:solidFill>
          </w14:textFill>
        </w:rPr>
        <w:t>因此判定</w:t>
      </w:r>
      <w:r>
        <w:rPr>
          <w:color w:val="000000" w:themeColor="text1"/>
          <w:kern w:val="0"/>
          <w:highlight w:val="none"/>
          <w14:textFill>
            <w14:solidFill>
              <w14:schemeClr w14:val="tx1"/>
            </w14:solidFill>
          </w14:textFill>
        </w:rPr>
        <w:t>本项目所在区域为</w:t>
      </w:r>
      <w:r>
        <w:rPr>
          <w:rFonts w:hint="eastAsia"/>
          <w:color w:val="000000" w:themeColor="text1"/>
          <w:kern w:val="0"/>
          <w:highlight w:val="none"/>
          <w14:textFill>
            <w14:solidFill>
              <w14:schemeClr w14:val="tx1"/>
            </w14:solidFill>
          </w14:textFill>
        </w:rPr>
        <w:t>空气质量不达标区</w:t>
      </w:r>
      <w:r>
        <w:rPr>
          <w:rFonts w:hint="eastAsia"/>
          <w:color w:val="000000" w:themeColor="text1"/>
          <w:kern w:val="0"/>
          <w:highlight w:val="none"/>
          <w:lang w:eastAsia="zh-CN"/>
          <w14:textFill>
            <w14:solidFill>
              <w14:schemeClr w14:val="tx1"/>
            </w14:solidFill>
          </w14:textFill>
        </w:rPr>
        <w:t>。</w:t>
      </w:r>
    </w:p>
    <w:p w14:paraId="1668AC99">
      <w:pPr>
        <w:pStyle w:val="5"/>
        <w:rPr>
          <w:color w:val="000000" w:themeColor="text1"/>
          <w:highlight w:val="none"/>
          <w14:textFill>
            <w14:solidFill>
              <w14:schemeClr w14:val="tx1"/>
            </w14:solidFill>
          </w14:textFill>
        </w:rPr>
      </w:pPr>
      <w:bookmarkStart w:id="858" w:name="_Toc21511"/>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.1.2特征污染物环境质量现状</w:t>
      </w:r>
      <w:bookmarkEnd w:id="858"/>
    </w:p>
    <w:p w14:paraId="1840558B">
      <w:pPr>
        <w:bidi w:val="0"/>
        <w:rPr>
          <w:rFonts w:hint="default"/>
          <w:color w:val="000000" w:themeColor="text1"/>
          <w:highlight w:val="none"/>
          <w:lang w:val="en-US"/>
          <w14:textFill>
            <w14:solidFill>
              <w14:schemeClr w14:val="tx1"/>
            </w14:solidFill>
          </w14:textFill>
        </w:rPr>
      </w:pPr>
      <w:r>
        <w:rPr>
          <w:color w:val="000000" w:themeColor="text1"/>
          <w:highlight w:val="none"/>
          <w14:textFill>
            <w14:solidFill>
              <w14:schemeClr w14:val="tx1"/>
            </w14:solidFill>
          </w14:textFill>
        </w:rPr>
        <w:t>针对本项目</w:t>
      </w:r>
      <w:r>
        <w:rPr>
          <w:rFonts w:hint="eastAsia"/>
          <w:color w:val="000000" w:themeColor="text1"/>
          <w:highlight w:val="none"/>
          <w14:textFill>
            <w14:solidFill>
              <w14:schemeClr w14:val="tx1"/>
            </w14:solidFill>
          </w14:textFill>
        </w:rPr>
        <w:t>特征污染物TSP、</w:t>
      </w:r>
      <w:r>
        <w:rPr>
          <w:color w:val="000000" w:themeColor="text1"/>
          <w:highlight w:val="none"/>
          <w14:textFill>
            <w14:solidFill>
              <w14:schemeClr w14:val="tx1"/>
            </w14:solidFill>
          </w14:textFill>
        </w:rPr>
        <w:t>氟化物</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硫酸雾、非甲烷总烃</w:t>
      </w:r>
      <w:r>
        <w:rPr>
          <w:color w:val="000000" w:themeColor="text1"/>
          <w:highlight w:val="none"/>
          <w14:textFill>
            <w14:solidFill>
              <w14:schemeClr w14:val="tx1"/>
            </w14:solidFill>
          </w14:textFill>
        </w:rPr>
        <w:t>，本次评价</w:t>
      </w:r>
      <w:r>
        <w:rPr>
          <w:rFonts w:hint="eastAsia"/>
          <w:color w:val="000000" w:themeColor="text1"/>
          <w:highlight w:val="none"/>
          <w14:textFill>
            <w14:solidFill>
              <w14:schemeClr w14:val="tx1"/>
            </w14:solidFill>
          </w14:textFill>
        </w:rPr>
        <w:t>中特征污染物TSP</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氟化物</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硫酸雾</w:t>
      </w:r>
      <w:r>
        <w:rPr>
          <w:rFonts w:hint="eastAsia"/>
          <w:color w:val="000000" w:themeColor="text1"/>
          <w:highlight w:val="none"/>
          <w14:textFill>
            <w14:solidFill>
              <w14:schemeClr w14:val="tx1"/>
            </w14:solidFill>
          </w14:textFill>
        </w:rPr>
        <w:t>委托</w:t>
      </w:r>
      <w:r>
        <w:rPr>
          <w:rFonts w:hint="eastAsia"/>
          <w:color w:val="000000" w:themeColor="text1"/>
          <w:highlight w:val="none"/>
          <w:lang w:val="en-US" w:eastAsia="zh-CN"/>
          <w14:textFill>
            <w14:solidFill>
              <w14:schemeClr w14:val="tx1"/>
            </w14:solidFill>
          </w14:textFill>
        </w:rPr>
        <w:t>新疆科霖检测技术服务有限公司</w:t>
      </w:r>
      <w:r>
        <w:rPr>
          <w:rFonts w:hint="eastAsia"/>
          <w:color w:val="000000" w:themeColor="text1"/>
          <w:highlight w:val="none"/>
          <w14:textFill>
            <w14:solidFill>
              <w14:schemeClr w14:val="tx1"/>
            </w14:solidFill>
          </w14:textFill>
        </w:rPr>
        <w:t>于202</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月2</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日</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日对本项目进行现状监测，</w:t>
      </w:r>
      <w:r>
        <w:rPr>
          <w:color w:val="000000" w:themeColor="text1"/>
          <w:highlight w:val="none"/>
          <w14:textFill>
            <w14:solidFill>
              <w14:schemeClr w14:val="tx1"/>
            </w14:solidFill>
          </w14:textFill>
        </w:rPr>
        <w:t>在项目区</w:t>
      </w:r>
      <w:r>
        <w:rPr>
          <w:rFonts w:hint="eastAsia"/>
          <w:color w:val="000000" w:themeColor="text1"/>
          <w:highlight w:val="none"/>
          <w:lang w:val="en-US" w:eastAsia="zh-CN"/>
          <w14:textFill>
            <w14:solidFill>
              <w14:schemeClr w14:val="tx1"/>
            </w14:solidFill>
          </w14:textFill>
        </w:rPr>
        <w:t>、项目区西侧上移户村、项目区东侧广东户村各布设了1个监测点，监测布点图见4.3-1。非甲烷总烃引用《</w:t>
      </w:r>
      <w:r>
        <w:rPr>
          <w:color w:val="000000" w:themeColor="text1"/>
          <w:highlight w:val="none"/>
          <w14:textFill>
            <w14:solidFill>
              <w14:schemeClr w14:val="tx1"/>
            </w14:solidFill>
          </w14:textFill>
        </w:rPr>
        <w:t>呼东1井天然气回收项目环境影响报告书</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中的监测数据，监测点位于项目下风向4.4km处，监测时间为</w:t>
      </w:r>
      <w:r>
        <w:rPr>
          <w:color w:val="000000" w:themeColor="text1"/>
          <w:highlight w:val="none"/>
          <w14:textFill>
            <w14:solidFill>
              <w14:schemeClr w14:val="tx1"/>
            </w14:solidFill>
          </w14:textFill>
        </w:rPr>
        <w:t>为2026年1月19日～1月25日</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监测单位</w:t>
      </w:r>
      <w:r>
        <w:rPr>
          <w:rFonts w:hint="eastAsia"/>
          <w:color w:val="000000" w:themeColor="text1"/>
          <w:highlight w:val="none"/>
          <w:lang w:val="en-US" w:eastAsia="zh-CN"/>
          <w14:textFill>
            <w14:solidFill>
              <w14:schemeClr w14:val="tx1"/>
            </w14:solidFill>
          </w14:textFill>
        </w:rPr>
        <w:t>为</w:t>
      </w:r>
      <w:r>
        <w:rPr>
          <w:color w:val="000000" w:themeColor="text1"/>
          <w:highlight w:val="none"/>
          <w14:textFill>
            <w14:solidFill>
              <w14:schemeClr w14:val="tx1"/>
            </w14:solidFill>
          </w14:textFill>
        </w:rPr>
        <w:t>新疆正天华能环境工程技术有限公司</w:t>
      </w:r>
      <w:r>
        <w:rPr>
          <w:rFonts w:hint="eastAsia"/>
          <w:color w:val="000000" w:themeColor="text1"/>
          <w:highlight w:val="none"/>
          <w:lang w:val="en-US" w:eastAsia="zh-CN"/>
          <w14:textFill>
            <w14:solidFill>
              <w14:schemeClr w14:val="tx1"/>
            </w14:solidFill>
          </w14:textFill>
        </w:rPr>
        <w:t>。</w:t>
      </w:r>
    </w:p>
    <w:p w14:paraId="71227904">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监测因子：</w:t>
      </w:r>
      <w:r>
        <w:rPr>
          <w:rFonts w:hint="eastAsia"/>
          <w:color w:val="000000" w:themeColor="text1"/>
          <w:highlight w:val="none"/>
          <w14:textFill>
            <w14:solidFill>
              <w14:schemeClr w14:val="tx1"/>
            </w14:solidFill>
          </w14:textFill>
        </w:rPr>
        <w:t>TSP、</w:t>
      </w:r>
      <w:r>
        <w:rPr>
          <w:color w:val="000000" w:themeColor="text1"/>
          <w:highlight w:val="none"/>
          <w14:textFill>
            <w14:solidFill>
              <w14:schemeClr w14:val="tx1"/>
            </w14:solidFill>
          </w14:textFill>
        </w:rPr>
        <w:t>氟化物</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硫酸雾、非甲烷总烃</w:t>
      </w:r>
      <w:r>
        <w:rPr>
          <w:rFonts w:hint="eastAsia"/>
          <w:color w:val="000000" w:themeColor="text1"/>
          <w:highlight w:val="none"/>
          <w14:textFill>
            <w14:solidFill>
              <w14:schemeClr w14:val="tx1"/>
            </w14:solidFill>
          </w14:textFill>
        </w:rPr>
        <w:t>；</w:t>
      </w:r>
    </w:p>
    <w:p w14:paraId="5618D05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监测频率：连续监测7天；</w:t>
      </w:r>
    </w:p>
    <w:p w14:paraId="02E4D23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）环境空气现状评价方法</w:t>
      </w:r>
    </w:p>
    <w:p w14:paraId="1096CAD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根据《环境影响评价技术导则—大气环境》，可通过计算污染物的占标率对其进行现状评价，具体的计算公式如下：</w:t>
      </w:r>
    </w:p>
    <w:p w14:paraId="5A731BB0">
      <w:pPr>
        <w:ind w:firstLine="480"/>
        <w:jc w:val="center"/>
        <w:rPr>
          <w:color w:val="000000" w:themeColor="text1"/>
          <w:highlight w:val="none"/>
          <w14:textFill>
            <w14:solidFill>
              <w14:schemeClr w14:val="tx1"/>
            </w14:solidFill>
          </w14:textFill>
        </w:rPr>
      </w:pPr>
      <w:r>
        <w:rPr>
          <w:i/>
          <w:color w:val="000000" w:themeColor="text1"/>
          <w:highlight w:val="none"/>
          <w14:textFill>
            <w14:solidFill>
              <w14:schemeClr w14:val="tx1"/>
            </w14:solidFill>
          </w14:textFill>
        </w:rPr>
        <w:t>P</w:t>
      </w:r>
      <w:r>
        <w:rPr>
          <w:i/>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w:t>
      </w:r>
      <w:r>
        <w:rPr>
          <w:i/>
          <w:color w:val="000000" w:themeColor="text1"/>
          <w:highlight w:val="none"/>
          <w14:textFill>
            <w14:solidFill>
              <w14:schemeClr w14:val="tx1"/>
            </w14:solidFill>
          </w14:textFill>
        </w:rPr>
        <w:t>C</w:t>
      </w:r>
      <w:r>
        <w:rPr>
          <w:i/>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w:t>
      </w:r>
      <w:r>
        <w:rPr>
          <w:i/>
          <w:color w:val="000000" w:themeColor="text1"/>
          <w:highlight w:val="none"/>
          <w14:textFill>
            <w14:solidFill>
              <w14:schemeClr w14:val="tx1"/>
            </w14:solidFill>
          </w14:textFill>
        </w:rPr>
        <w:t>C</w:t>
      </w:r>
      <w:r>
        <w:rPr>
          <w:i/>
          <w:color w:val="000000" w:themeColor="text1"/>
          <w:highlight w:val="none"/>
          <w:vertAlign w:val="subscript"/>
          <w14:textFill>
            <w14:solidFill>
              <w14:schemeClr w14:val="tx1"/>
            </w14:solidFill>
          </w14:textFill>
        </w:rPr>
        <w:t>0i</w:t>
      </w:r>
      <w:r>
        <w:rPr>
          <w:color w:val="000000" w:themeColor="text1"/>
          <w:highlight w:val="none"/>
          <w14:textFill>
            <w14:solidFill>
              <w14:schemeClr w14:val="tx1"/>
            </w14:solidFill>
          </w14:textFill>
        </w:rPr>
        <w:t>×100%</w:t>
      </w:r>
    </w:p>
    <w:p w14:paraId="21D9C19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式中：</w:t>
      </w:r>
      <w:r>
        <w:rPr>
          <w:i/>
          <w:color w:val="000000" w:themeColor="text1"/>
          <w:highlight w:val="none"/>
          <w14:textFill>
            <w14:solidFill>
              <w14:schemeClr w14:val="tx1"/>
            </w14:solidFill>
          </w14:textFill>
        </w:rPr>
        <w:t>P</w:t>
      </w:r>
      <w:r>
        <w:rPr>
          <w:i/>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——第</w:t>
      </w:r>
      <w:r>
        <w:rPr>
          <w:i/>
          <w:color w:val="000000" w:themeColor="text1"/>
          <w:highlight w:val="none"/>
          <w14:textFill>
            <w14:solidFill>
              <w14:schemeClr w14:val="tx1"/>
            </w14:solidFill>
          </w14:textFill>
        </w:rPr>
        <w:t>i</w:t>
      </w:r>
      <w:r>
        <w:rPr>
          <w:color w:val="000000" w:themeColor="text1"/>
          <w:highlight w:val="none"/>
          <w14:textFill>
            <w14:solidFill>
              <w14:schemeClr w14:val="tx1"/>
            </w14:solidFill>
          </w14:textFill>
        </w:rPr>
        <w:t>个污染物的地面浓度占标率，%；</w:t>
      </w:r>
    </w:p>
    <w:p w14:paraId="43426F7D">
      <w:pPr>
        <w:ind w:firstLine="1200" w:firstLineChars="500"/>
        <w:rPr>
          <w:color w:val="000000" w:themeColor="text1"/>
          <w:highlight w:val="none"/>
          <w14:textFill>
            <w14:solidFill>
              <w14:schemeClr w14:val="tx1"/>
            </w14:solidFill>
          </w14:textFill>
        </w:rPr>
      </w:pPr>
      <w:r>
        <w:rPr>
          <w:i/>
          <w:color w:val="000000" w:themeColor="text1"/>
          <w:highlight w:val="none"/>
          <w14:textFill>
            <w14:solidFill>
              <w14:schemeClr w14:val="tx1"/>
            </w14:solidFill>
          </w14:textFill>
        </w:rPr>
        <w:t>C</w:t>
      </w:r>
      <w:r>
        <w:rPr>
          <w:i/>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——第i个污染物的实测浓度</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g/</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p>
    <w:p w14:paraId="2C6BC3C3">
      <w:pPr>
        <w:ind w:firstLine="1200" w:firstLineChars="500"/>
        <w:rPr>
          <w:b/>
          <w:color w:val="000000" w:themeColor="text1"/>
          <w:highlight w:val="none"/>
          <w14:textFill>
            <w14:solidFill>
              <w14:schemeClr w14:val="tx1"/>
            </w14:solidFill>
          </w14:textFill>
        </w:rPr>
      </w:pPr>
      <w:r>
        <w:rPr>
          <w:i/>
          <w:color w:val="000000" w:themeColor="text1"/>
          <w:highlight w:val="none"/>
          <w14:textFill>
            <w14:solidFill>
              <w14:schemeClr w14:val="tx1"/>
            </w14:solidFill>
          </w14:textFill>
        </w:rPr>
        <w:t>C</w:t>
      </w:r>
      <w:r>
        <w:rPr>
          <w:i/>
          <w:color w:val="000000" w:themeColor="text1"/>
          <w:highlight w:val="none"/>
          <w:vertAlign w:val="subscript"/>
          <w14:textFill>
            <w14:solidFill>
              <w14:schemeClr w14:val="tx1"/>
            </w14:solidFill>
          </w14:textFill>
        </w:rPr>
        <w:t>0i</w:t>
      </w:r>
      <w:r>
        <w:rPr>
          <w:color w:val="000000" w:themeColor="text1"/>
          <w:highlight w:val="none"/>
          <w14:textFill>
            <w14:solidFill>
              <w14:schemeClr w14:val="tx1"/>
            </w14:solidFill>
          </w14:textFill>
        </w:rPr>
        <w:t>——第i个污染物的环境空气质量标准</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g/</w:t>
      </w:r>
      <w:r>
        <w:rPr>
          <w:rFonts w:hint="eastAsia"/>
          <w:color w:val="000000" w:themeColor="text1"/>
          <w:highlight w:val="none"/>
          <w14:textFill>
            <w14:solidFill>
              <w14:schemeClr w14:val="tx1"/>
            </w14:solidFill>
          </w14:textFill>
        </w:rPr>
        <w:t>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p>
    <w:p w14:paraId="1E9E8A8A">
      <w:pPr>
        <w:ind w:firstLine="480"/>
        <w:rPr>
          <w:color w:val="000000" w:themeColor="text1"/>
          <w:highlight w:val="none"/>
          <w14:textFill>
            <w14:solidFill>
              <w14:schemeClr w14:val="tx1"/>
            </w14:solidFill>
          </w14:textFill>
        </w:rPr>
      </w:pPr>
      <w:bookmarkStart w:id="859" w:name="_Toc6046"/>
      <w:bookmarkStart w:id="860" w:name="_Toc3372"/>
      <w:bookmarkStart w:id="861" w:name="_Toc7993"/>
      <w:bookmarkStart w:id="862" w:name="_Toc10370"/>
      <w:bookmarkStart w:id="863" w:name="_Toc1181"/>
      <w:bookmarkStart w:id="864" w:name="_Toc22691"/>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执行标准</w:t>
      </w:r>
      <w:bookmarkEnd w:id="859"/>
      <w:bookmarkEnd w:id="860"/>
      <w:bookmarkEnd w:id="861"/>
      <w:bookmarkEnd w:id="862"/>
      <w:bookmarkEnd w:id="863"/>
      <w:bookmarkEnd w:id="864"/>
    </w:p>
    <w:p w14:paraId="5CBAC26C">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TSP</w:t>
      </w:r>
      <w:r>
        <w:rPr>
          <w:color w:val="000000" w:themeColor="text1"/>
          <w:highlight w:val="none"/>
          <w14:textFill>
            <w14:solidFill>
              <w14:schemeClr w14:val="tx1"/>
            </w14:solidFill>
          </w14:textFill>
        </w:rPr>
        <w:t>执行</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中的二级标准限值</w:t>
      </w:r>
      <w:r>
        <w:rPr>
          <w:rFonts w:hint="eastAsia"/>
          <w:color w:val="000000" w:themeColor="text1"/>
          <w:highlight w:val="none"/>
          <w:lang w:eastAsia="zh-CN"/>
          <w14:textFill>
            <w14:solidFill>
              <w14:schemeClr w14:val="tx1"/>
            </w14:solidFill>
          </w14:textFill>
        </w:rPr>
        <w:t>，</w:t>
      </w:r>
      <w:r>
        <w:rPr>
          <w:bCs/>
          <w:color w:val="000000" w:themeColor="text1"/>
          <w:highlight w:val="none"/>
          <w14:textFill>
            <w14:solidFill>
              <w14:schemeClr w14:val="tx1"/>
            </w14:solidFill>
          </w14:textFill>
        </w:rPr>
        <w:t>氟化物</w:t>
      </w:r>
      <w:r>
        <w:rPr>
          <w:color w:val="000000" w:themeColor="text1"/>
          <w:highlight w:val="none"/>
          <w14:textFill>
            <w14:solidFill>
              <w14:schemeClr w14:val="tx1"/>
            </w14:solidFill>
          </w14:textFill>
        </w:rPr>
        <w:t>执行</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中的</w:t>
      </w:r>
      <w:r>
        <w:rPr>
          <w:rFonts w:hint="eastAsia"/>
          <w:color w:val="000000" w:themeColor="text1"/>
          <w:highlight w:val="none"/>
          <w:lang w:val="en-US" w:eastAsia="zh-CN"/>
          <w14:textFill>
            <w14:solidFill>
              <w14:schemeClr w14:val="tx1"/>
            </w14:solidFill>
          </w14:textFill>
        </w:rPr>
        <w:t>参考浓度</w:t>
      </w:r>
      <w:r>
        <w:rPr>
          <w:rFonts w:hint="eastAsia"/>
          <w:color w:val="000000" w:themeColor="text1"/>
          <w:highlight w:val="none"/>
          <w14:textFill>
            <w14:solidFill>
              <w14:schemeClr w14:val="tx1"/>
            </w14:solidFill>
          </w14:textFill>
        </w:rPr>
        <w:t>限值</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硫酸雾</w:t>
      </w:r>
      <w:r>
        <w:rPr>
          <w:rFonts w:hint="eastAsia"/>
          <w:color w:val="000000" w:themeColor="text1"/>
          <w:highlight w:val="none"/>
          <w:vertAlign w:val="baseline"/>
          <w:lang w:val="en-US" w:eastAsia="zh-CN"/>
          <w14:textFill>
            <w14:solidFill>
              <w14:schemeClr w14:val="tx1"/>
            </w14:solidFill>
          </w14:textFill>
        </w:rPr>
        <w:t>执行《环境影响评价技术导则 大气环境》（HJ2.2-2018）附录D中的浓度限值，</w:t>
      </w:r>
      <w:r>
        <w:rPr>
          <w:rFonts w:hint="eastAsia"/>
          <w:color w:val="000000" w:themeColor="text1"/>
          <w:highlight w:val="none"/>
          <w:lang w:val="en-US" w:eastAsia="zh-CN"/>
          <w14:textFill>
            <w14:solidFill>
              <w14:schemeClr w14:val="tx1"/>
            </w14:solidFill>
          </w14:textFill>
        </w:rPr>
        <w:t>非甲烷总烃执行《大气污染物综合排放标准详解》中的限值要求</w:t>
      </w:r>
      <w:r>
        <w:rPr>
          <w:rFonts w:hint="eastAsia"/>
          <w:color w:val="000000" w:themeColor="text1"/>
          <w:highlight w:val="none"/>
          <w14:textFill>
            <w14:solidFill>
              <w14:schemeClr w14:val="tx1"/>
            </w14:solidFill>
          </w14:textFill>
        </w:rPr>
        <w:t>。</w:t>
      </w:r>
    </w:p>
    <w:p w14:paraId="333B5F06">
      <w:pPr>
        <w:ind w:firstLine="480"/>
        <w:rPr>
          <w:color w:val="000000" w:themeColor="text1"/>
          <w:highlight w:val="none"/>
          <w14:textFill>
            <w14:solidFill>
              <w14:schemeClr w14:val="tx1"/>
            </w14:solidFill>
          </w14:textFill>
        </w:rPr>
      </w:pPr>
      <w:bookmarkStart w:id="865" w:name="_Toc16793"/>
      <w:bookmarkStart w:id="866" w:name="_Toc23216"/>
      <w:bookmarkStart w:id="867" w:name="_Toc30959"/>
      <w:bookmarkStart w:id="868" w:name="_Toc25060"/>
      <w:bookmarkStart w:id="869" w:name="_Toc23268"/>
      <w:bookmarkStart w:id="870" w:name="_Toc17562"/>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）评价结果及分析</w:t>
      </w:r>
      <w:bookmarkEnd w:id="865"/>
      <w:bookmarkEnd w:id="866"/>
      <w:bookmarkEnd w:id="867"/>
      <w:bookmarkEnd w:id="868"/>
      <w:bookmarkEnd w:id="869"/>
      <w:bookmarkEnd w:id="870"/>
    </w:p>
    <w:p w14:paraId="12985DC7">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项目特征污染物监测与评价结果见表4.3.1-2。</w:t>
      </w:r>
    </w:p>
    <w:p w14:paraId="077C1C06">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特征污染物</w:t>
      </w:r>
      <w:r>
        <w:rPr>
          <w:color w:val="000000" w:themeColor="text1"/>
          <w:highlight w:val="none"/>
          <w14:textFill>
            <w14:solidFill>
              <w14:schemeClr w14:val="tx1"/>
            </w14:solidFill>
          </w14:textFill>
        </w:rPr>
        <w:t>监测与评价结果表</w:t>
      </w:r>
    </w:p>
    <w:tbl>
      <w:tblPr>
        <w:tblStyle w:val="20"/>
        <w:tblW w:w="508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388"/>
        <w:gridCol w:w="1447"/>
        <w:gridCol w:w="1937"/>
        <w:gridCol w:w="1188"/>
        <w:gridCol w:w="1173"/>
        <w:gridCol w:w="1313"/>
      </w:tblGrid>
      <w:tr w14:paraId="002329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tcBorders>
              <w:bottom w:val="single" w:color="auto" w:sz="12" w:space="0"/>
            </w:tcBorders>
            <w:noWrap w:val="0"/>
            <w:vAlign w:val="center"/>
          </w:tcPr>
          <w:p w14:paraId="6D9C31E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监测点位</w:t>
            </w:r>
          </w:p>
        </w:tc>
        <w:tc>
          <w:tcPr>
            <w:tcW w:w="856" w:type="pct"/>
            <w:tcBorders>
              <w:bottom w:val="single" w:color="auto" w:sz="12" w:space="0"/>
            </w:tcBorders>
            <w:noWrap w:val="0"/>
            <w:vAlign w:val="center"/>
          </w:tcPr>
          <w:p w14:paraId="2492CFD9">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监测项目</w:t>
            </w:r>
          </w:p>
        </w:tc>
        <w:tc>
          <w:tcPr>
            <w:tcW w:w="1146" w:type="pct"/>
            <w:tcBorders>
              <w:bottom w:val="single" w:color="auto" w:sz="12" w:space="0"/>
            </w:tcBorders>
            <w:noWrap w:val="0"/>
            <w:vAlign w:val="center"/>
          </w:tcPr>
          <w:p w14:paraId="32E40B43">
            <w:pPr>
              <w:pStyle w:val="26"/>
              <w:rPr>
                <w:rFonts w:hint="eastAsia" w:eastAsia="宋体"/>
                <w:b/>
                <w:bCs/>
                <w:color w:val="000000" w:themeColor="text1"/>
                <w:highlight w:val="none"/>
                <w:lang w:eastAsia="zh-CN"/>
                <w14:textFill>
                  <w14:solidFill>
                    <w14:schemeClr w14:val="tx1"/>
                  </w14:solidFill>
                </w14:textFill>
              </w:rPr>
            </w:pPr>
            <w:r>
              <w:rPr>
                <w:b/>
                <w:bCs/>
                <w:color w:val="000000" w:themeColor="text1"/>
                <w:highlight w:val="none"/>
                <w14:textFill>
                  <w14:solidFill>
                    <w14:schemeClr w14:val="tx1"/>
                  </w14:solidFill>
                </w14:textFill>
              </w:rPr>
              <w:t>浓度范围（</w:t>
            </w:r>
            <w:r>
              <w:rPr>
                <w:rFonts w:eastAsia="楷体"/>
                <w:b/>
                <w:bCs/>
                <w:color w:val="000000" w:themeColor="text1"/>
                <w:kern w:val="2"/>
                <w:highlight w:val="none"/>
                <w14:textFill>
                  <w14:solidFill>
                    <w14:schemeClr w14:val="tx1"/>
                  </w14:solidFill>
                </w14:textFill>
              </w:rPr>
              <w:t>µ</w:t>
            </w:r>
            <w:r>
              <w:rPr>
                <w:b/>
                <w:bCs/>
                <w:color w:val="000000" w:themeColor="text1"/>
                <w:highlight w:val="none"/>
                <w14:textFill>
                  <w14:solidFill>
                    <w14:schemeClr w14:val="tx1"/>
                  </w14:solidFill>
                </w14:textFill>
              </w:rPr>
              <w:t>g/</w:t>
            </w:r>
            <w:r>
              <w:rPr>
                <w:rFonts w:hint="eastAsia"/>
                <w:b/>
                <w:bCs/>
                <w:color w:val="000000" w:themeColor="text1"/>
                <w:highlight w:val="none"/>
                <w14:textFill>
                  <w14:solidFill>
                    <w14:schemeClr w14:val="tx1"/>
                  </w14:solidFill>
                </w14:textFill>
              </w:rPr>
              <w:t>m</w:t>
            </w:r>
            <w:r>
              <w:rPr>
                <w:rFonts w:hint="eastAsia"/>
                <w:b/>
                <w:bCs/>
                <w:color w:val="000000" w:themeColor="text1"/>
                <w:highlight w:val="none"/>
                <w:vertAlign w:val="superscript"/>
                <w14:textFill>
                  <w14:solidFill>
                    <w14:schemeClr w14:val="tx1"/>
                  </w14:solidFill>
                </w14:textFill>
              </w:rPr>
              <w:t>3</w:t>
            </w:r>
            <w:r>
              <w:rPr>
                <w:b/>
                <w:bCs/>
                <w:color w:val="000000" w:themeColor="text1"/>
                <w:highlight w:val="none"/>
                <w14:textFill>
                  <w14:solidFill>
                    <w14:schemeClr w14:val="tx1"/>
                  </w14:solidFill>
                </w14:textFill>
              </w:rPr>
              <w:t>）</w:t>
            </w:r>
          </w:p>
        </w:tc>
        <w:tc>
          <w:tcPr>
            <w:tcW w:w="703" w:type="pct"/>
            <w:tcBorders>
              <w:bottom w:val="single" w:color="auto" w:sz="12" w:space="0"/>
            </w:tcBorders>
            <w:noWrap w:val="0"/>
            <w:vAlign w:val="center"/>
          </w:tcPr>
          <w:p w14:paraId="73B76D0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评价标准</w:t>
            </w:r>
          </w:p>
          <w:p w14:paraId="45E1903D">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w:t>
            </w:r>
            <w:r>
              <w:rPr>
                <w:rFonts w:eastAsia="楷体"/>
                <w:b/>
                <w:bCs/>
                <w:color w:val="000000" w:themeColor="text1"/>
                <w:kern w:val="2"/>
                <w:highlight w:val="none"/>
                <w14:textFill>
                  <w14:solidFill>
                    <w14:schemeClr w14:val="tx1"/>
                  </w14:solidFill>
                </w14:textFill>
              </w:rPr>
              <w:t>µ</w:t>
            </w:r>
            <w:r>
              <w:rPr>
                <w:b/>
                <w:bCs/>
                <w:color w:val="000000" w:themeColor="text1"/>
                <w:highlight w:val="none"/>
                <w14:textFill>
                  <w14:solidFill>
                    <w14:schemeClr w14:val="tx1"/>
                  </w14:solidFill>
                </w14:textFill>
              </w:rPr>
              <w:t>g/</w:t>
            </w:r>
            <w:r>
              <w:rPr>
                <w:rFonts w:hint="eastAsia"/>
                <w:b/>
                <w:bCs/>
                <w:color w:val="000000" w:themeColor="text1"/>
                <w:highlight w:val="none"/>
                <w14:textFill>
                  <w14:solidFill>
                    <w14:schemeClr w14:val="tx1"/>
                  </w14:solidFill>
                </w14:textFill>
              </w:rPr>
              <w:t>m</w:t>
            </w:r>
            <w:r>
              <w:rPr>
                <w:rFonts w:hint="eastAsia"/>
                <w:b/>
                <w:bCs/>
                <w:color w:val="000000" w:themeColor="text1"/>
                <w:highlight w:val="none"/>
                <w:vertAlign w:val="superscript"/>
                <w14:textFill>
                  <w14:solidFill>
                    <w14:schemeClr w14:val="tx1"/>
                  </w14:solidFill>
                </w14:textFill>
              </w:rPr>
              <w:t>3</w:t>
            </w:r>
            <w:r>
              <w:rPr>
                <w:rFonts w:hint="eastAsia"/>
                <w:b/>
                <w:bCs/>
                <w:color w:val="000000" w:themeColor="text1"/>
                <w:highlight w:val="none"/>
                <w:vertAlign w:val="superscript"/>
                <w:lang w:eastAsia="zh-CN"/>
                <w14:textFill>
                  <w14:solidFill>
                    <w14:schemeClr w14:val="tx1"/>
                  </w14:solidFill>
                </w14:textFill>
              </w:rPr>
              <w:t>)</w:t>
            </w:r>
          </w:p>
        </w:tc>
        <w:tc>
          <w:tcPr>
            <w:tcW w:w="694" w:type="pct"/>
            <w:tcBorders>
              <w:bottom w:val="single" w:color="auto" w:sz="12" w:space="0"/>
            </w:tcBorders>
            <w:noWrap w:val="0"/>
            <w:vAlign w:val="center"/>
          </w:tcPr>
          <w:p w14:paraId="45769EF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最大浓度占标率（%）</w:t>
            </w:r>
          </w:p>
        </w:tc>
        <w:tc>
          <w:tcPr>
            <w:tcW w:w="777" w:type="pct"/>
            <w:tcBorders>
              <w:bottom w:val="single" w:color="auto" w:sz="12" w:space="0"/>
            </w:tcBorders>
            <w:noWrap w:val="0"/>
            <w:vAlign w:val="center"/>
          </w:tcPr>
          <w:p w14:paraId="2432EB7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达标情况</w:t>
            </w:r>
          </w:p>
        </w:tc>
      </w:tr>
      <w:tr w14:paraId="570AD4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22" w:hRule="atLeast"/>
          <w:jc w:val="center"/>
        </w:trPr>
        <w:tc>
          <w:tcPr>
            <w:tcW w:w="821" w:type="pct"/>
            <w:vMerge w:val="restart"/>
            <w:tcBorders>
              <w:top w:val="single" w:color="auto" w:sz="12" w:space="0"/>
            </w:tcBorders>
            <w:noWrap w:val="0"/>
            <w:vAlign w:val="center"/>
          </w:tcPr>
          <w:p w14:paraId="3E26E88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项目区</w:t>
            </w:r>
          </w:p>
        </w:tc>
        <w:tc>
          <w:tcPr>
            <w:tcW w:w="856" w:type="pct"/>
            <w:tcBorders>
              <w:top w:val="single" w:color="auto" w:sz="12" w:space="0"/>
            </w:tcBorders>
            <w:noWrap w:val="0"/>
            <w:vAlign w:val="center"/>
          </w:tcPr>
          <w:p w14:paraId="15F0B8B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TSP</w:t>
            </w:r>
          </w:p>
        </w:tc>
        <w:tc>
          <w:tcPr>
            <w:tcW w:w="1146" w:type="pct"/>
            <w:tcBorders>
              <w:top w:val="single" w:color="auto" w:sz="12" w:space="0"/>
            </w:tcBorders>
            <w:noWrap w:val="0"/>
            <w:vAlign w:val="center"/>
          </w:tcPr>
          <w:p w14:paraId="03FCC5D8">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97~142</w:t>
            </w:r>
          </w:p>
        </w:tc>
        <w:tc>
          <w:tcPr>
            <w:tcW w:w="703" w:type="pct"/>
            <w:tcBorders>
              <w:top w:val="single" w:color="auto" w:sz="12" w:space="0"/>
            </w:tcBorders>
            <w:noWrap w:val="0"/>
            <w:vAlign w:val="center"/>
          </w:tcPr>
          <w:p w14:paraId="2B6520BB">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00</w:t>
            </w:r>
          </w:p>
        </w:tc>
        <w:tc>
          <w:tcPr>
            <w:tcW w:w="694" w:type="pct"/>
            <w:tcBorders>
              <w:top w:val="single" w:color="auto" w:sz="12" w:space="0"/>
            </w:tcBorders>
            <w:noWrap w:val="0"/>
            <w:vAlign w:val="center"/>
          </w:tcPr>
          <w:p w14:paraId="19364757">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47.33</w:t>
            </w:r>
          </w:p>
        </w:tc>
        <w:tc>
          <w:tcPr>
            <w:tcW w:w="777" w:type="pct"/>
            <w:tcBorders>
              <w:top w:val="single" w:color="auto" w:sz="12" w:space="0"/>
            </w:tcBorders>
            <w:noWrap w:val="0"/>
            <w:vAlign w:val="center"/>
          </w:tcPr>
          <w:p w14:paraId="4198DA5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5C2DA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vMerge w:val="continue"/>
            <w:noWrap w:val="0"/>
            <w:vAlign w:val="center"/>
          </w:tcPr>
          <w:p w14:paraId="18CC23E6">
            <w:pPr>
              <w:pStyle w:val="26"/>
              <w:rPr>
                <w:color w:val="000000" w:themeColor="text1"/>
                <w:highlight w:val="none"/>
                <w14:textFill>
                  <w14:solidFill>
                    <w14:schemeClr w14:val="tx1"/>
                  </w14:solidFill>
                </w14:textFill>
              </w:rPr>
            </w:pPr>
          </w:p>
        </w:tc>
        <w:tc>
          <w:tcPr>
            <w:tcW w:w="856" w:type="pct"/>
            <w:noWrap w:val="0"/>
            <w:vAlign w:val="center"/>
          </w:tcPr>
          <w:p w14:paraId="0F12C78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氟化物</w:t>
            </w:r>
          </w:p>
        </w:tc>
        <w:tc>
          <w:tcPr>
            <w:tcW w:w="1146" w:type="pct"/>
            <w:noWrap w:val="0"/>
            <w:vAlign w:val="center"/>
          </w:tcPr>
          <w:p w14:paraId="2C9C8D5B">
            <w:pPr>
              <w:pStyle w:val="26"/>
              <w:rPr>
                <w:rFonts w:hint="default" w:eastAsia="宋体"/>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c>
          <w:tcPr>
            <w:tcW w:w="703" w:type="pct"/>
            <w:noWrap w:val="0"/>
            <w:vAlign w:val="center"/>
          </w:tcPr>
          <w:p w14:paraId="696FC427">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20</w:t>
            </w:r>
            <w:r>
              <w:rPr>
                <w:rFonts w:hint="eastAsia"/>
                <w:color w:val="000000" w:themeColor="text1"/>
                <w:highlight w:val="none"/>
                <w:lang w:val="en-US" w:eastAsia="zh-CN"/>
                <w14:textFill>
                  <w14:solidFill>
                    <w14:schemeClr w14:val="tx1"/>
                  </w14:solidFill>
                </w14:textFill>
              </w:rPr>
              <w:t>0</w:t>
            </w:r>
          </w:p>
        </w:tc>
        <w:tc>
          <w:tcPr>
            <w:tcW w:w="694" w:type="pct"/>
            <w:noWrap w:val="0"/>
            <w:vAlign w:val="center"/>
          </w:tcPr>
          <w:p w14:paraId="6E54CD92">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777" w:type="pct"/>
            <w:noWrap w:val="0"/>
            <w:vAlign w:val="center"/>
          </w:tcPr>
          <w:p w14:paraId="16ABB4F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78700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vMerge w:val="continue"/>
            <w:noWrap w:val="0"/>
            <w:vAlign w:val="center"/>
          </w:tcPr>
          <w:p w14:paraId="023549EF">
            <w:pPr>
              <w:pStyle w:val="26"/>
              <w:rPr>
                <w:color w:val="000000" w:themeColor="text1"/>
                <w:highlight w:val="none"/>
                <w14:textFill>
                  <w14:solidFill>
                    <w14:schemeClr w14:val="tx1"/>
                  </w14:solidFill>
                </w14:textFill>
              </w:rPr>
            </w:pPr>
          </w:p>
        </w:tc>
        <w:tc>
          <w:tcPr>
            <w:tcW w:w="856" w:type="pct"/>
            <w:noWrap w:val="0"/>
            <w:vAlign w:val="center"/>
          </w:tcPr>
          <w:p w14:paraId="6F2D26CD">
            <w:pPr>
              <w:pStyle w:val="2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1146" w:type="pct"/>
            <w:noWrap w:val="0"/>
            <w:vAlign w:val="center"/>
          </w:tcPr>
          <w:p w14:paraId="4D3D4BDD">
            <w:pPr>
              <w:pStyle w:val="26"/>
              <w:rPr>
                <w:rFonts w:hint="default" w:eastAsia="楷体"/>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c>
          <w:tcPr>
            <w:tcW w:w="703" w:type="pct"/>
            <w:noWrap w:val="0"/>
            <w:vAlign w:val="center"/>
          </w:tcPr>
          <w:p w14:paraId="329339B5">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694" w:type="pct"/>
            <w:noWrap w:val="0"/>
            <w:vAlign w:val="center"/>
          </w:tcPr>
          <w:p w14:paraId="29DCEA48">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777" w:type="pct"/>
            <w:noWrap w:val="0"/>
            <w:vAlign w:val="center"/>
          </w:tcPr>
          <w:p w14:paraId="3EDBCD8F">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CF740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vMerge w:val="restart"/>
            <w:noWrap w:val="0"/>
            <w:vAlign w:val="center"/>
          </w:tcPr>
          <w:p w14:paraId="57DD2433">
            <w:pPr>
              <w:pStyle w:val="26"/>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上移户村</w:t>
            </w:r>
          </w:p>
        </w:tc>
        <w:tc>
          <w:tcPr>
            <w:tcW w:w="856" w:type="pct"/>
            <w:shd w:val="clear" w:color="auto" w:fill="auto"/>
            <w:noWrap w:val="0"/>
            <w:vAlign w:val="center"/>
          </w:tcPr>
          <w:p w14:paraId="6D94C3B1">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TSP</w:t>
            </w:r>
          </w:p>
        </w:tc>
        <w:tc>
          <w:tcPr>
            <w:tcW w:w="1146" w:type="pct"/>
            <w:noWrap w:val="0"/>
            <w:vAlign w:val="center"/>
          </w:tcPr>
          <w:p w14:paraId="2BF8DCD8">
            <w:pPr>
              <w:pStyle w:val="26"/>
              <w:rPr>
                <w:rFonts w:hint="eastAsia" w:eastAsia="楷体"/>
                <w:color w:val="000000" w:themeColor="text1"/>
                <w:kern w:val="2"/>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89~148</w:t>
            </w:r>
          </w:p>
        </w:tc>
        <w:tc>
          <w:tcPr>
            <w:tcW w:w="703" w:type="pct"/>
            <w:shd w:val="clear" w:color="auto" w:fill="auto"/>
            <w:noWrap w:val="0"/>
            <w:vAlign w:val="center"/>
          </w:tcPr>
          <w:p w14:paraId="6898EC5F">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00</w:t>
            </w:r>
          </w:p>
        </w:tc>
        <w:tc>
          <w:tcPr>
            <w:tcW w:w="694" w:type="pct"/>
            <w:noWrap w:val="0"/>
            <w:vAlign w:val="center"/>
          </w:tcPr>
          <w:p w14:paraId="4647D374">
            <w:pPr>
              <w:pStyle w:val="26"/>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49.33</w:t>
            </w:r>
          </w:p>
        </w:tc>
        <w:tc>
          <w:tcPr>
            <w:tcW w:w="777" w:type="pct"/>
            <w:noWrap w:val="0"/>
            <w:vAlign w:val="center"/>
          </w:tcPr>
          <w:p w14:paraId="7CE09D4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6D1AC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vMerge w:val="continue"/>
            <w:noWrap w:val="0"/>
            <w:vAlign w:val="center"/>
          </w:tcPr>
          <w:p w14:paraId="351B124B">
            <w:pPr>
              <w:pStyle w:val="26"/>
              <w:rPr>
                <w:color w:val="000000" w:themeColor="text1"/>
                <w:highlight w:val="none"/>
                <w14:textFill>
                  <w14:solidFill>
                    <w14:schemeClr w14:val="tx1"/>
                  </w14:solidFill>
                </w14:textFill>
              </w:rPr>
            </w:pPr>
          </w:p>
        </w:tc>
        <w:tc>
          <w:tcPr>
            <w:tcW w:w="856" w:type="pct"/>
            <w:shd w:val="clear" w:color="auto" w:fill="auto"/>
            <w:noWrap w:val="0"/>
            <w:vAlign w:val="center"/>
          </w:tcPr>
          <w:p w14:paraId="22F55104">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氟化物</w:t>
            </w:r>
          </w:p>
        </w:tc>
        <w:tc>
          <w:tcPr>
            <w:tcW w:w="1146" w:type="pct"/>
            <w:noWrap w:val="0"/>
            <w:vAlign w:val="center"/>
          </w:tcPr>
          <w:p w14:paraId="381622B2">
            <w:pPr>
              <w:pStyle w:val="26"/>
              <w:rPr>
                <w:rFonts w:hint="eastAsia" w:eastAsia="楷体"/>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c>
          <w:tcPr>
            <w:tcW w:w="703" w:type="pct"/>
            <w:shd w:val="clear" w:color="auto" w:fill="auto"/>
            <w:noWrap w:val="0"/>
            <w:vAlign w:val="center"/>
          </w:tcPr>
          <w:p w14:paraId="585BAF8F">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20</w:t>
            </w:r>
            <w:r>
              <w:rPr>
                <w:rFonts w:hint="eastAsia"/>
                <w:color w:val="000000" w:themeColor="text1"/>
                <w:highlight w:val="none"/>
                <w:lang w:val="en-US" w:eastAsia="zh-CN"/>
                <w14:textFill>
                  <w14:solidFill>
                    <w14:schemeClr w14:val="tx1"/>
                  </w14:solidFill>
                </w14:textFill>
              </w:rPr>
              <w:t>0</w:t>
            </w:r>
          </w:p>
        </w:tc>
        <w:tc>
          <w:tcPr>
            <w:tcW w:w="694" w:type="pct"/>
            <w:noWrap w:val="0"/>
            <w:vAlign w:val="center"/>
          </w:tcPr>
          <w:p w14:paraId="48112AA7">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777" w:type="pct"/>
            <w:noWrap w:val="0"/>
            <w:vAlign w:val="center"/>
          </w:tcPr>
          <w:p w14:paraId="57E1ABBB">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AFD0C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vMerge w:val="continue"/>
            <w:noWrap w:val="0"/>
            <w:vAlign w:val="center"/>
          </w:tcPr>
          <w:p w14:paraId="6C4E9D4F">
            <w:pPr>
              <w:pStyle w:val="26"/>
              <w:rPr>
                <w:color w:val="000000" w:themeColor="text1"/>
                <w:highlight w:val="none"/>
                <w14:textFill>
                  <w14:solidFill>
                    <w14:schemeClr w14:val="tx1"/>
                  </w14:solidFill>
                </w14:textFill>
              </w:rPr>
            </w:pPr>
          </w:p>
        </w:tc>
        <w:tc>
          <w:tcPr>
            <w:tcW w:w="856" w:type="pct"/>
            <w:shd w:val="clear" w:color="auto" w:fill="auto"/>
            <w:noWrap w:val="0"/>
            <w:vAlign w:val="center"/>
          </w:tcPr>
          <w:p w14:paraId="7A0ECC69">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1146" w:type="pct"/>
            <w:noWrap w:val="0"/>
            <w:vAlign w:val="center"/>
          </w:tcPr>
          <w:p w14:paraId="472DB5B8">
            <w:pPr>
              <w:pStyle w:val="26"/>
              <w:rPr>
                <w:rFonts w:hint="eastAsia" w:eastAsia="楷体"/>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c>
          <w:tcPr>
            <w:tcW w:w="703" w:type="pct"/>
            <w:shd w:val="clear" w:color="auto" w:fill="auto"/>
            <w:noWrap w:val="0"/>
            <w:vAlign w:val="center"/>
          </w:tcPr>
          <w:p w14:paraId="253778B0">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694" w:type="pct"/>
            <w:noWrap w:val="0"/>
            <w:vAlign w:val="center"/>
          </w:tcPr>
          <w:p w14:paraId="58A4286B">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777" w:type="pct"/>
            <w:noWrap w:val="0"/>
            <w:vAlign w:val="center"/>
          </w:tcPr>
          <w:p w14:paraId="09CBC4C4">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34DCC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vMerge w:val="restart"/>
            <w:noWrap w:val="0"/>
            <w:vAlign w:val="center"/>
          </w:tcPr>
          <w:p w14:paraId="59CA87D9">
            <w:pPr>
              <w:pStyle w:val="26"/>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广东户村</w:t>
            </w:r>
          </w:p>
        </w:tc>
        <w:tc>
          <w:tcPr>
            <w:tcW w:w="856" w:type="pct"/>
            <w:shd w:val="clear" w:color="auto" w:fill="auto"/>
            <w:noWrap w:val="0"/>
            <w:vAlign w:val="center"/>
          </w:tcPr>
          <w:p w14:paraId="68E6D942">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TSP</w:t>
            </w:r>
          </w:p>
        </w:tc>
        <w:tc>
          <w:tcPr>
            <w:tcW w:w="1146" w:type="pct"/>
            <w:noWrap w:val="0"/>
            <w:vAlign w:val="center"/>
          </w:tcPr>
          <w:p w14:paraId="742DE47A">
            <w:pPr>
              <w:pStyle w:val="26"/>
              <w:rPr>
                <w:rFonts w:hint="default" w:eastAsia="楷体"/>
                <w:color w:val="000000" w:themeColor="text1"/>
                <w:kern w:val="2"/>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103~150</w:t>
            </w:r>
          </w:p>
        </w:tc>
        <w:tc>
          <w:tcPr>
            <w:tcW w:w="703" w:type="pct"/>
            <w:shd w:val="clear" w:color="auto" w:fill="auto"/>
            <w:noWrap w:val="0"/>
            <w:vAlign w:val="center"/>
          </w:tcPr>
          <w:p w14:paraId="5848EDC4">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00</w:t>
            </w:r>
          </w:p>
        </w:tc>
        <w:tc>
          <w:tcPr>
            <w:tcW w:w="694" w:type="pct"/>
            <w:noWrap w:val="0"/>
            <w:vAlign w:val="center"/>
          </w:tcPr>
          <w:p w14:paraId="44FE3228">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w:t>
            </w:r>
          </w:p>
        </w:tc>
        <w:tc>
          <w:tcPr>
            <w:tcW w:w="777" w:type="pct"/>
            <w:noWrap w:val="0"/>
            <w:vAlign w:val="center"/>
          </w:tcPr>
          <w:p w14:paraId="0E81345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1B56A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vMerge w:val="continue"/>
            <w:noWrap w:val="0"/>
            <w:vAlign w:val="center"/>
          </w:tcPr>
          <w:p w14:paraId="6D6D06F0">
            <w:pPr>
              <w:pStyle w:val="26"/>
              <w:rPr>
                <w:color w:val="000000" w:themeColor="text1"/>
                <w:highlight w:val="none"/>
                <w14:textFill>
                  <w14:solidFill>
                    <w14:schemeClr w14:val="tx1"/>
                  </w14:solidFill>
                </w14:textFill>
              </w:rPr>
            </w:pPr>
          </w:p>
        </w:tc>
        <w:tc>
          <w:tcPr>
            <w:tcW w:w="856" w:type="pct"/>
            <w:shd w:val="clear" w:color="auto" w:fill="auto"/>
            <w:noWrap w:val="0"/>
            <w:vAlign w:val="center"/>
          </w:tcPr>
          <w:p w14:paraId="3A681AF0">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氟化物</w:t>
            </w:r>
          </w:p>
        </w:tc>
        <w:tc>
          <w:tcPr>
            <w:tcW w:w="1146" w:type="pct"/>
            <w:noWrap w:val="0"/>
            <w:vAlign w:val="center"/>
          </w:tcPr>
          <w:p w14:paraId="13046A03">
            <w:pPr>
              <w:pStyle w:val="26"/>
              <w:rPr>
                <w:rFonts w:hint="eastAsia" w:eastAsia="楷体"/>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c>
          <w:tcPr>
            <w:tcW w:w="703" w:type="pct"/>
            <w:shd w:val="clear" w:color="auto" w:fill="auto"/>
            <w:noWrap w:val="0"/>
            <w:vAlign w:val="center"/>
          </w:tcPr>
          <w:p w14:paraId="47AF7D4B">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20</w:t>
            </w:r>
            <w:r>
              <w:rPr>
                <w:rFonts w:hint="eastAsia"/>
                <w:color w:val="000000" w:themeColor="text1"/>
                <w:highlight w:val="none"/>
                <w:lang w:val="en-US" w:eastAsia="zh-CN"/>
                <w14:textFill>
                  <w14:solidFill>
                    <w14:schemeClr w14:val="tx1"/>
                  </w14:solidFill>
                </w14:textFill>
              </w:rPr>
              <w:t>0</w:t>
            </w:r>
          </w:p>
        </w:tc>
        <w:tc>
          <w:tcPr>
            <w:tcW w:w="694" w:type="pct"/>
            <w:noWrap w:val="0"/>
            <w:vAlign w:val="center"/>
          </w:tcPr>
          <w:p w14:paraId="00BA7F2A">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777" w:type="pct"/>
            <w:noWrap w:val="0"/>
            <w:vAlign w:val="center"/>
          </w:tcPr>
          <w:p w14:paraId="0512585D">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A55FE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vMerge w:val="continue"/>
            <w:noWrap w:val="0"/>
            <w:vAlign w:val="center"/>
          </w:tcPr>
          <w:p w14:paraId="660A05E0">
            <w:pPr>
              <w:pStyle w:val="26"/>
              <w:rPr>
                <w:color w:val="000000" w:themeColor="text1"/>
                <w:highlight w:val="none"/>
                <w14:textFill>
                  <w14:solidFill>
                    <w14:schemeClr w14:val="tx1"/>
                  </w14:solidFill>
                </w14:textFill>
              </w:rPr>
            </w:pPr>
          </w:p>
        </w:tc>
        <w:tc>
          <w:tcPr>
            <w:tcW w:w="856" w:type="pct"/>
            <w:shd w:val="clear" w:color="auto" w:fill="auto"/>
            <w:noWrap w:val="0"/>
            <w:vAlign w:val="center"/>
          </w:tcPr>
          <w:p w14:paraId="5E3A9841">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1146" w:type="pct"/>
            <w:noWrap w:val="0"/>
            <w:vAlign w:val="center"/>
          </w:tcPr>
          <w:p w14:paraId="268EC08C">
            <w:pPr>
              <w:pStyle w:val="26"/>
              <w:rPr>
                <w:rFonts w:hint="eastAsia" w:eastAsia="楷体"/>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c>
          <w:tcPr>
            <w:tcW w:w="703" w:type="pct"/>
            <w:shd w:val="clear" w:color="auto" w:fill="auto"/>
            <w:noWrap w:val="0"/>
            <w:vAlign w:val="center"/>
          </w:tcPr>
          <w:p w14:paraId="4A813016">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694" w:type="pct"/>
            <w:noWrap w:val="0"/>
            <w:vAlign w:val="center"/>
          </w:tcPr>
          <w:p w14:paraId="4AE3D72C">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777" w:type="pct"/>
            <w:noWrap w:val="0"/>
            <w:vAlign w:val="center"/>
          </w:tcPr>
          <w:p w14:paraId="24BA846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1ACDE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821" w:type="pct"/>
            <w:noWrap w:val="0"/>
            <w:vAlign w:val="center"/>
          </w:tcPr>
          <w:p w14:paraId="2A2AB4E3">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项目区</w:t>
            </w:r>
            <w:r>
              <w:rPr>
                <w:rFonts w:hint="eastAsia"/>
                <w:color w:val="000000" w:themeColor="text1"/>
                <w:highlight w:val="none"/>
                <w:lang w:val="en-US" w:eastAsia="zh-CN"/>
                <w14:textFill>
                  <w14:solidFill>
                    <w14:schemeClr w14:val="tx1"/>
                  </w14:solidFill>
                </w14:textFill>
              </w:rPr>
              <w:t>西侧4.4km处</w:t>
            </w:r>
          </w:p>
        </w:tc>
        <w:tc>
          <w:tcPr>
            <w:tcW w:w="856" w:type="pct"/>
            <w:shd w:val="clear" w:color="auto" w:fill="auto"/>
            <w:noWrap w:val="0"/>
            <w:vAlign w:val="center"/>
          </w:tcPr>
          <w:p w14:paraId="5A4FFDEF">
            <w:pPr>
              <w:pStyle w:val="26"/>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非甲烷总烃</w:t>
            </w:r>
          </w:p>
        </w:tc>
        <w:tc>
          <w:tcPr>
            <w:tcW w:w="1146" w:type="pct"/>
            <w:noWrap w:val="0"/>
            <w:vAlign w:val="center"/>
          </w:tcPr>
          <w:p w14:paraId="18893ACD">
            <w:pPr>
              <w:pStyle w:val="26"/>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610~680</w:t>
            </w:r>
          </w:p>
        </w:tc>
        <w:tc>
          <w:tcPr>
            <w:tcW w:w="703" w:type="pct"/>
            <w:shd w:val="clear" w:color="auto" w:fill="auto"/>
            <w:noWrap w:val="0"/>
            <w:vAlign w:val="center"/>
          </w:tcPr>
          <w:p w14:paraId="62D203A5">
            <w:pPr>
              <w:pStyle w:val="26"/>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2000</w:t>
            </w:r>
          </w:p>
        </w:tc>
        <w:tc>
          <w:tcPr>
            <w:tcW w:w="694" w:type="pct"/>
            <w:noWrap w:val="0"/>
            <w:vAlign w:val="center"/>
          </w:tcPr>
          <w:p w14:paraId="3E61EDC8">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34</w:t>
            </w:r>
          </w:p>
        </w:tc>
        <w:tc>
          <w:tcPr>
            <w:tcW w:w="777" w:type="pct"/>
            <w:noWrap w:val="0"/>
            <w:vAlign w:val="center"/>
          </w:tcPr>
          <w:p w14:paraId="408C0923">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bl>
    <w:p w14:paraId="1D3C1DFA">
      <w:pPr>
        <w:widowControl/>
        <w:ind w:firstLine="48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可知，</w:t>
      </w:r>
      <w:r>
        <w:rPr>
          <w:rFonts w:hint="eastAsia"/>
          <w:color w:val="000000" w:themeColor="text1"/>
          <w:highlight w:val="none"/>
          <w14:textFill>
            <w14:solidFill>
              <w14:schemeClr w14:val="tx1"/>
            </w14:solidFill>
          </w14:textFill>
        </w:rPr>
        <w:t>TSP、</w:t>
      </w:r>
      <w:r>
        <w:rPr>
          <w:bCs/>
          <w:color w:val="000000" w:themeColor="text1"/>
          <w:highlight w:val="none"/>
          <w14:textFill>
            <w14:solidFill>
              <w14:schemeClr w14:val="tx1"/>
            </w14:solidFill>
          </w14:textFill>
        </w:rPr>
        <w:t>氟化物</w:t>
      </w:r>
      <w:r>
        <w:rPr>
          <w:color w:val="000000" w:themeColor="text1"/>
          <w:highlight w:val="none"/>
          <w14:textFill>
            <w14:solidFill>
              <w14:schemeClr w14:val="tx1"/>
            </w14:solidFill>
          </w14:textFill>
        </w:rPr>
        <w:t>满足</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《环境空气质量标准》</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GB3095-20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eastAsia="宋体"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olor w:val="000000" w:themeColor="text1"/>
          <w:kern w:val="0"/>
          <w:highlight w:val="none"/>
          <w14:textFill>
            <w14:solidFill>
              <w14:schemeClr w14:val="tx1"/>
            </w14:solidFill>
          </w14:textFill>
        </w:rPr>
        <w:t>中标准限值</w:t>
      </w:r>
      <w:r>
        <w:rPr>
          <w:color w:val="000000" w:themeColor="text1"/>
          <w:highlight w:val="none"/>
          <w14:textFill>
            <w14:solidFill>
              <w14:schemeClr w14:val="tx1"/>
            </w14:solidFill>
          </w14:textFill>
        </w:rPr>
        <w:t>要求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硫酸雾</w:t>
      </w:r>
      <w:r>
        <w:rPr>
          <w:rFonts w:hint="eastAsia"/>
          <w:color w:val="000000" w:themeColor="text1"/>
          <w:highlight w:val="none"/>
          <w:vertAlign w:val="baseline"/>
          <w:lang w:val="en-US" w:eastAsia="zh-CN"/>
          <w14:textFill>
            <w14:solidFill>
              <w14:schemeClr w14:val="tx1"/>
            </w14:solidFill>
          </w14:textFill>
        </w:rPr>
        <w:t>满足《环境影响评价技术导则 大气环境》（HJ2.2-2018）附录D中的浓度限值</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非甲烷总烃满足《大气污染物综合排放标准详解》中的限值要求</w:t>
      </w:r>
      <w:r>
        <w:rPr>
          <w:rFonts w:hint="eastAsia"/>
          <w:color w:val="000000" w:themeColor="text1"/>
          <w:highlight w:val="none"/>
          <w14:textFill>
            <w14:solidFill>
              <w14:schemeClr w14:val="tx1"/>
            </w14:solidFill>
          </w14:textFill>
        </w:rPr>
        <w:t>。</w:t>
      </w:r>
    </w:p>
    <w:p w14:paraId="26167ACB">
      <w:pPr>
        <w:pStyle w:val="4"/>
        <w:rPr>
          <w:color w:val="000000" w:themeColor="text1"/>
          <w:highlight w:val="none"/>
          <w14:textFill>
            <w14:solidFill>
              <w14:schemeClr w14:val="tx1"/>
            </w14:solidFill>
          </w14:textFill>
        </w:rPr>
      </w:pPr>
      <w:bookmarkStart w:id="871" w:name="_Toc543"/>
      <w:bookmarkStart w:id="872" w:name="_Toc16956"/>
      <w:bookmarkStart w:id="873" w:name="_Toc27179"/>
      <w:bookmarkStart w:id="874" w:name="_Toc1179"/>
      <w:bookmarkStart w:id="875" w:name="_Toc27865"/>
      <w:bookmarkStart w:id="876" w:name="_Toc11784"/>
      <w:bookmarkStart w:id="877" w:name="_Toc12676"/>
      <w:bookmarkStart w:id="878" w:name="_Toc981"/>
      <w:bookmarkStart w:id="879" w:name="_Toc23602"/>
      <w:bookmarkStart w:id="880" w:name="_Toc31922"/>
      <w:bookmarkStart w:id="881" w:name="_Toc31514"/>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.2水环境质量现状调查与评价</w:t>
      </w:r>
      <w:bookmarkEnd w:id="856"/>
      <w:bookmarkEnd w:id="857"/>
      <w:bookmarkEnd w:id="871"/>
      <w:bookmarkEnd w:id="872"/>
      <w:bookmarkEnd w:id="873"/>
      <w:bookmarkEnd w:id="874"/>
      <w:bookmarkEnd w:id="875"/>
      <w:bookmarkEnd w:id="876"/>
      <w:bookmarkEnd w:id="877"/>
      <w:bookmarkEnd w:id="878"/>
      <w:bookmarkEnd w:id="879"/>
      <w:bookmarkEnd w:id="880"/>
      <w:bookmarkEnd w:id="881"/>
    </w:p>
    <w:p w14:paraId="3E7F9B1F">
      <w:pPr>
        <w:ind w:firstLine="480"/>
        <w:rPr>
          <w:color w:val="000000" w:themeColor="text1"/>
          <w:kern w:val="0"/>
          <w:highlight w:val="none"/>
          <w:lang w:bidi="ar"/>
          <w14:textFill>
            <w14:solidFill>
              <w14:schemeClr w14:val="tx1"/>
            </w14:solidFill>
          </w14:textFill>
        </w:rPr>
      </w:pPr>
      <w:r>
        <w:rPr>
          <w:color w:val="000000" w:themeColor="text1"/>
          <w:highlight w:val="none"/>
          <w14:textFill>
            <w14:solidFill>
              <w14:schemeClr w14:val="tx1"/>
            </w14:solidFill>
          </w14:textFill>
        </w:rPr>
        <w:t>本项目区周边无地表水体，</w:t>
      </w:r>
      <w:r>
        <w:rPr>
          <w:rFonts w:hint="eastAsia"/>
          <w:color w:val="000000" w:themeColor="text1"/>
          <w:highlight w:val="none"/>
          <w14:textFill>
            <w14:solidFill>
              <w14:schemeClr w14:val="tx1"/>
            </w14:solidFill>
          </w14:textFill>
        </w:rPr>
        <w:t>且本项目无直接废水排放，</w:t>
      </w:r>
      <w:r>
        <w:rPr>
          <w:color w:val="000000" w:themeColor="text1"/>
          <w:highlight w:val="none"/>
          <w14:textFill>
            <w14:solidFill>
              <w14:schemeClr w14:val="tx1"/>
            </w14:solidFill>
          </w14:textFill>
        </w:rPr>
        <w:t>与地表水没有直接的水力联系，地表水</w:t>
      </w:r>
      <w:r>
        <w:rPr>
          <w:rFonts w:hint="eastAsia"/>
          <w:color w:val="000000" w:themeColor="text1"/>
          <w:highlight w:val="none"/>
          <w14:textFill>
            <w14:solidFill>
              <w14:schemeClr w14:val="tx1"/>
            </w14:solidFill>
          </w14:textFill>
        </w:rPr>
        <w:t>评价等级为三级B，</w:t>
      </w:r>
      <w:r>
        <w:rPr>
          <w:color w:val="000000" w:themeColor="text1"/>
          <w:kern w:val="0"/>
          <w:highlight w:val="none"/>
          <w:lang w:bidi="ar"/>
          <w14:textFill>
            <w14:solidFill>
              <w14:schemeClr w14:val="tx1"/>
            </w14:solidFill>
          </w14:textFill>
        </w:rPr>
        <w:t>故本次不对地表水环境质量现状进行评价。</w:t>
      </w:r>
    </w:p>
    <w:p w14:paraId="4AD8F7FD">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本项目地下水环境评价等级为二级，根据《环境影响评价技术导则地下水环境》（</w:t>
      </w:r>
      <w:r>
        <w:rPr>
          <w:rFonts w:hint="default"/>
          <w:color w:val="000000" w:themeColor="text1"/>
          <w:highlight w:val="none"/>
          <w:lang w:val="en-US" w:eastAsia="zh-CN"/>
          <w14:textFill>
            <w14:solidFill>
              <w14:schemeClr w14:val="tx1"/>
            </w14:solidFill>
          </w14:textFill>
        </w:rPr>
        <w:t>HJ610-2016</w:t>
      </w:r>
      <w:r>
        <w:rPr>
          <w:rFonts w:hint="eastAsia"/>
          <w:color w:val="000000" w:themeColor="text1"/>
          <w:highlight w:val="none"/>
          <w:lang w:val="en-US" w:eastAsia="zh-CN"/>
          <w14:textFill>
            <w14:solidFill>
              <w14:schemeClr w14:val="tx1"/>
            </w14:solidFill>
          </w14:textFill>
        </w:rPr>
        <w:t>）要求，地下水潜水含水层的水质监测点应不少于</w:t>
      </w:r>
      <w:r>
        <w:rPr>
          <w:rFonts w:hint="default"/>
          <w:color w:val="000000" w:themeColor="text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个，水位监测点数宜大于相应评价级别地下水水质监测点位的</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倍，因此，本次评价设置</w:t>
      </w:r>
      <w:r>
        <w:rPr>
          <w:rFonts w:hint="default"/>
          <w:color w:val="000000" w:themeColor="text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个水质监测点位，</w:t>
      </w:r>
      <w:r>
        <w:rPr>
          <w:rFonts w:hint="default"/>
          <w:color w:val="000000" w:themeColor="text1"/>
          <w:highlight w:val="none"/>
          <w:lang w:val="en-US"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个水位监测点位。</w:t>
      </w:r>
      <w:r>
        <w:rPr>
          <w:color w:val="000000" w:themeColor="text1"/>
          <w:highlight w:val="none"/>
          <w14:textFill>
            <w14:solidFill>
              <w14:schemeClr w14:val="tx1"/>
            </w14:solidFill>
          </w14:textFill>
        </w:rPr>
        <w:t>本次评价</w:t>
      </w:r>
      <w:r>
        <w:rPr>
          <w:rFonts w:hint="eastAsia"/>
          <w:color w:val="000000" w:themeColor="text1"/>
          <w:highlight w:val="none"/>
          <w14:textFill>
            <w14:solidFill>
              <w14:schemeClr w14:val="tx1"/>
            </w14:solidFill>
          </w14:textFill>
        </w:rPr>
        <w:t>委托</w:t>
      </w:r>
      <w:r>
        <w:rPr>
          <w:rFonts w:hint="eastAsia"/>
          <w:color w:val="000000" w:themeColor="text1"/>
          <w:highlight w:val="none"/>
          <w:lang w:val="en-US" w:eastAsia="zh-CN"/>
          <w14:textFill>
            <w14:solidFill>
              <w14:schemeClr w14:val="tx1"/>
            </w14:solidFill>
          </w14:textFill>
        </w:rPr>
        <w:t>新疆科霖检测技术服务有限公司</w:t>
      </w:r>
      <w:r>
        <w:rPr>
          <w:rFonts w:hint="eastAsia"/>
          <w:color w:val="000000" w:themeColor="text1"/>
          <w:highlight w:val="none"/>
          <w14:textFill>
            <w14:solidFill>
              <w14:schemeClr w14:val="tx1"/>
            </w14:solidFill>
          </w14:textFill>
        </w:rPr>
        <w:t>于202</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月21日</w:t>
      </w:r>
      <w:r>
        <w:rPr>
          <w:rFonts w:hint="eastAsia"/>
          <w:color w:val="000000" w:themeColor="text1"/>
          <w:highlight w:val="none"/>
          <w:lang w:val="en-US" w:eastAsia="zh-CN"/>
          <w14:textFill>
            <w14:solidFill>
              <w14:schemeClr w14:val="tx1"/>
            </w14:solidFill>
          </w14:textFill>
        </w:rPr>
        <w:t>进行现状监测</w:t>
      </w:r>
      <w:r>
        <w:rPr>
          <w:rFonts w:hint="eastAsia"/>
          <w:color w:val="000000" w:themeColor="text1"/>
          <w:highlight w:val="none"/>
          <w14:textFill>
            <w14:solidFill>
              <w14:schemeClr w14:val="tx1"/>
            </w14:solidFill>
          </w14:textFill>
        </w:rPr>
        <w:t>，</w:t>
      </w:r>
      <w:r>
        <w:rPr>
          <w:bCs/>
          <w:color w:val="000000" w:themeColor="text1"/>
          <w:highlight w:val="none"/>
          <w14:textFill>
            <w14:solidFill>
              <w14:schemeClr w14:val="tx1"/>
            </w14:solidFill>
          </w14:textFill>
        </w:rPr>
        <w:t>地下水监测布点</w:t>
      </w:r>
      <w:r>
        <w:rPr>
          <w:color w:val="000000" w:themeColor="text1"/>
          <w:highlight w:val="none"/>
          <w14:textFill>
            <w14:solidFill>
              <w14:schemeClr w14:val="tx1"/>
            </w14:solidFill>
          </w14:textFill>
        </w:rPr>
        <w:t>详见表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.3.2-1，</w:t>
      </w:r>
      <w:r>
        <w:rPr>
          <w:rFonts w:hint="eastAsia"/>
          <w:color w:val="000000" w:themeColor="text1"/>
          <w:kern w:val="0"/>
          <w:highlight w:val="none"/>
          <w14:textFill>
            <w14:solidFill>
              <w14:schemeClr w14:val="tx1"/>
            </w14:solidFill>
          </w14:textFill>
        </w:rPr>
        <w:t>监测布点图见</w:t>
      </w:r>
      <w:r>
        <w:rPr>
          <w:rFonts w:hint="eastAsia"/>
          <w:color w:val="000000" w:themeColor="text1"/>
          <w:kern w:val="0"/>
          <w:highlight w:val="none"/>
          <w:lang w:val="en-US" w:eastAsia="zh-CN"/>
          <w14:textFill>
            <w14:solidFill>
              <w14:schemeClr w14:val="tx1"/>
            </w14:solidFill>
          </w14:textFill>
        </w:rPr>
        <w:t>4</w:t>
      </w:r>
      <w:r>
        <w:rPr>
          <w:rFonts w:hint="eastAsia"/>
          <w:color w:val="000000" w:themeColor="text1"/>
          <w:kern w:val="0"/>
          <w:highlight w:val="none"/>
          <w14:textFill>
            <w14:solidFill>
              <w14:schemeClr w14:val="tx1"/>
            </w14:solidFill>
          </w14:textFill>
        </w:rPr>
        <w:t>.3</w:t>
      </w:r>
      <w:r>
        <w:rPr>
          <w:color w:val="000000" w:themeColor="text1"/>
          <w:kern w:val="0"/>
          <w:highlight w:val="none"/>
          <w14:textFill>
            <w14:solidFill>
              <w14:schemeClr w14:val="tx1"/>
            </w14:solidFill>
          </w14:textFill>
        </w:rPr>
        <w:t>-</w:t>
      </w:r>
      <w:r>
        <w:rPr>
          <w:rFonts w:hint="eastAsia"/>
          <w:color w:val="000000" w:themeColor="text1"/>
          <w:kern w:val="0"/>
          <w:highlight w:val="none"/>
          <w14:textFill>
            <w14:solidFill>
              <w14:schemeClr w14:val="tx1"/>
            </w14:solidFill>
          </w14:textFill>
        </w:rPr>
        <w:t>1</w:t>
      </w:r>
      <w:r>
        <w:rPr>
          <w:color w:val="000000" w:themeColor="text1"/>
          <w:kern w:val="0"/>
          <w:highlight w:val="none"/>
          <w14:textFill>
            <w14:solidFill>
              <w14:schemeClr w14:val="tx1"/>
            </w14:solidFill>
          </w14:textFill>
        </w:rPr>
        <w:t>。</w:t>
      </w:r>
    </w:p>
    <w:p w14:paraId="6EA77AC8">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.3.2-1</w:t>
      </w:r>
      <w:r>
        <w:rPr>
          <w:color w:val="000000" w:themeColor="text1"/>
          <w:highlight w:val="none"/>
          <w14:textFill>
            <w14:solidFill>
              <w14:schemeClr w14:val="tx1"/>
            </w14:solidFill>
          </w14:textFill>
        </w:rPr>
        <w:t xml:space="preserve">    地下水监测布点情况</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93"/>
        <w:gridCol w:w="1980"/>
        <w:gridCol w:w="1410"/>
        <w:gridCol w:w="1198"/>
        <w:gridCol w:w="1291"/>
        <w:gridCol w:w="899"/>
      </w:tblGrid>
      <w:tr w14:paraId="5DE0DC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1263" w:type="pct"/>
            <w:tcBorders>
              <w:bottom w:val="single" w:color="auto" w:sz="12" w:space="0"/>
            </w:tcBorders>
            <w:noWrap w:val="0"/>
            <w:vAlign w:val="center"/>
          </w:tcPr>
          <w:p w14:paraId="5B46C11E">
            <w:pPr>
              <w:pStyle w:val="26"/>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监测点位</w:t>
            </w:r>
          </w:p>
        </w:tc>
        <w:tc>
          <w:tcPr>
            <w:tcW w:w="1091" w:type="pct"/>
            <w:tcBorders>
              <w:bottom w:val="single" w:color="auto" w:sz="12" w:space="0"/>
            </w:tcBorders>
            <w:noWrap w:val="0"/>
            <w:vAlign w:val="center"/>
          </w:tcPr>
          <w:p w14:paraId="04881900">
            <w:pPr>
              <w:pStyle w:val="26"/>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与本项目位置关系</w:t>
            </w:r>
          </w:p>
        </w:tc>
        <w:tc>
          <w:tcPr>
            <w:tcW w:w="777" w:type="pct"/>
            <w:tcBorders>
              <w:bottom w:val="single" w:color="auto" w:sz="12" w:space="0"/>
            </w:tcBorders>
            <w:noWrap w:val="0"/>
            <w:vAlign w:val="center"/>
          </w:tcPr>
          <w:p w14:paraId="758E6B86">
            <w:pPr>
              <w:pStyle w:val="26"/>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经度</w:t>
            </w:r>
          </w:p>
        </w:tc>
        <w:tc>
          <w:tcPr>
            <w:tcW w:w="660" w:type="pct"/>
            <w:tcBorders>
              <w:bottom w:val="single" w:color="auto" w:sz="12" w:space="0"/>
            </w:tcBorders>
            <w:noWrap w:val="0"/>
            <w:vAlign w:val="center"/>
          </w:tcPr>
          <w:p w14:paraId="2C0C247D">
            <w:pPr>
              <w:pStyle w:val="26"/>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纬度</w:t>
            </w:r>
          </w:p>
        </w:tc>
        <w:tc>
          <w:tcPr>
            <w:tcW w:w="711" w:type="pct"/>
            <w:tcBorders>
              <w:bottom w:val="single" w:color="auto" w:sz="12" w:space="0"/>
            </w:tcBorders>
            <w:noWrap w:val="0"/>
            <w:vAlign w:val="center"/>
          </w:tcPr>
          <w:p w14:paraId="2E609414">
            <w:pPr>
              <w:pStyle w:val="26"/>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地下水类型</w:t>
            </w:r>
          </w:p>
        </w:tc>
        <w:tc>
          <w:tcPr>
            <w:tcW w:w="495" w:type="pct"/>
            <w:tcBorders>
              <w:bottom w:val="single" w:color="auto" w:sz="12" w:space="0"/>
            </w:tcBorders>
            <w:noWrap w:val="0"/>
            <w:vAlign w:val="center"/>
          </w:tcPr>
          <w:p w14:paraId="1C64BF45">
            <w:pPr>
              <w:pStyle w:val="26"/>
              <w:jc w:val="center"/>
              <w:rPr>
                <w:rFonts w:hint="eastAsia"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水位</w:t>
            </w:r>
          </w:p>
        </w:tc>
      </w:tr>
      <w:tr w14:paraId="1FBB88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263" w:type="pct"/>
            <w:tcBorders>
              <w:top w:val="single" w:color="auto" w:sz="12" w:space="0"/>
            </w:tcBorders>
            <w:noWrap w:val="0"/>
            <w:vAlign w:val="center"/>
          </w:tcPr>
          <w:p w14:paraId="545BBC28">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水质</w:t>
            </w:r>
            <w:r>
              <w:rPr>
                <w:rFonts w:hint="eastAsia"/>
                <w:color w:val="000000" w:themeColor="text1"/>
                <w:highlight w:val="none"/>
                <w14:textFill>
                  <w14:solidFill>
                    <w14:schemeClr w14:val="tx1"/>
                  </w14:solidFill>
                </w14:textFill>
              </w:rPr>
              <w:t>监测点</w:t>
            </w:r>
          </w:p>
        </w:tc>
        <w:tc>
          <w:tcPr>
            <w:tcW w:w="1091" w:type="pct"/>
            <w:tcBorders>
              <w:top w:val="single" w:color="auto" w:sz="12" w:space="0"/>
            </w:tcBorders>
            <w:noWrap w:val="0"/>
            <w:vAlign w:val="center"/>
          </w:tcPr>
          <w:p w14:paraId="3207DC34">
            <w:pPr>
              <w:pStyle w:val="26"/>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上游0.7</w:t>
            </w:r>
            <w:r>
              <w:rPr>
                <w:rFonts w:hint="eastAsia"/>
                <w:color w:val="000000" w:themeColor="text1"/>
                <w:highlight w:val="none"/>
                <w14:textFill>
                  <w14:solidFill>
                    <w14:schemeClr w14:val="tx1"/>
                  </w14:solidFill>
                </w14:textFill>
              </w:rPr>
              <w:t>km</w:t>
            </w:r>
          </w:p>
        </w:tc>
        <w:tc>
          <w:tcPr>
            <w:tcW w:w="777" w:type="pct"/>
            <w:tcBorders>
              <w:top w:val="single" w:color="auto" w:sz="12" w:space="0"/>
            </w:tcBorders>
            <w:noWrap w:val="0"/>
            <w:vAlign w:val="center"/>
          </w:tcPr>
          <w:p w14:paraId="41029380">
            <w:pPr>
              <w:pStyle w:val="26"/>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87.12315</w:t>
            </w:r>
            <w:r>
              <w:rPr>
                <w:rFonts w:hint="eastAsia"/>
                <w:color w:val="000000" w:themeColor="text1"/>
                <w:highlight w:val="none"/>
                <w:lang w:val="en-US" w:eastAsia="zh-CN"/>
                <w14:textFill>
                  <w14:solidFill>
                    <w14:schemeClr w14:val="tx1"/>
                  </w14:solidFill>
                </w14:textFill>
              </w:rPr>
              <w:t>4</w:t>
            </w:r>
          </w:p>
        </w:tc>
        <w:tc>
          <w:tcPr>
            <w:tcW w:w="660" w:type="pct"/>
            <w:tcBorders>
              <w:top w:val="single" w:color="auto" w:sz="12" w:space="0"/>
            </w:tcBorders>
            <w:noWrap w:val="0"/>
            <w:vAlign w:val="center"/>
          </w:tcPr>
          <w:p w14:paraId="568B2AE3">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44.088318</w:t>
            </w:r>
          </w:p>
        </w:tc>
        <w:tc>
          <w:tcPr>
            <w:tcW w:w="711" w:type="pct"/>
            <w:tcBorders>
              <w:top w:val="single" w:color="auto" w:sz="12" w:space="0"/>
            </w:tcBorders>
            <w:noWrap w:val="0"/>
            <w:vAlign w:val="center"/>
          </w:tcPr>
          <w:p w14:paraId="7197BB4A">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tcBorders>
              <w:top w:val="single" w:color="auto" w:sz="12" w:space="0"/>
            </w:tcBorders>
            <w:noWrap w:val="0"/>
            <w:vAlign w:val="center"/>
          </w:tcPr>
          <w:p w14:paraId="2FAD99DA">
            <w:pPr>
              <w:pStyle w:val="26"/>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80m</w:t>
            </w:r>
          </w:p>
        </w:tc>
      </w:tr>
      <w:tr w14:paraId="38FE4B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3" w:type="pct"/>
            <w:noWrap w:val="0"/>
            <w:vAlign w:val="center"/>
          </w:tcPr>
          <w:p w14:paraId="033ABA90">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水质</w:t>
            </w:r>
            <w:r>
              <w:rPr>
                <w:rFonts w:hint="eastAsia"/>
                <w:color w:val="000000" w:themeColor="text1"/>
                <w:highlight w:val="none"/>
                <w14:textFill>
                  <w14:solidFill>
                    <w14:schemeClr w14:val="tx1"/>
                  </w14:solidFill>
                </w14:textFill>
              </w:rPr>
              <w:t>监测点</w:t>
            </w:r>
          </w:p>
        </w:tc>
        <w:tc>
          <w:tcPr>
            <w:tcW w:w="1091" w:type="pct"/>
            <w:noWrap w:val="0"/>
            <w:vAlign w:val="center"/>
          </w:tcPr>
          <w:p w14:paraId="4880AC0C">
            <w:pPr>
              <w:pStyle w:val="26"/>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东</w:t>
            </w:r>
            <w:r>
              <w:rPr>
                <w:rFonts w:hint="eastAsia"/>
                <w:color w:val="000000" w:themeColor="text1"/>
                <w:highlight w:val="none"/>
                <w14:textFill>
                  <w14:solidFill>
                    <w14:schemeClr w14:val="tx1"/>
                  </w14:solidFill>
                </w14:textFill>
              </w:rPr>
              <w:t>侧</w:t>
            </w:r>
            <w:r>
              <w:rPr>
                <w:rFonts w:hint="eastAsia"/>
                <w:color w:val="000000" w:themeColor="text1"/>
                <w:highlight w:val="none"/>
                <w:lang w:val="en-US" w:eastAsia="zh-CN"/>
                <w14:textFill>
                  <w14:solidFill>
                    <w14:schemeClr w14:val="tx1"/>
                  </w14:solidFill>
                </w14:textFill>
              </w:rPr>
              <w:t>1.3</w:t>
            </w:r>
            <w:r>
              <w:rPr>
                <w:rFonts w:hint="eastAsia"/>
                <w:color w:val="000000" w:themeColor="text1"/>
                <w:highlight w:val="none"/>
                <w14:textFill>
                  <w14:solidFill>
                    <w14:schemeClr w14:val="tx1"/>
                  </w14:solidFill>
                </w14:textFill>
              </w:rPr>
              <w:t>km</w:t>
            </w:r>
          </w:p>
        </w:tc>
        <w:tc>
          <w:tcPr>
            <w:tcW w:w="777" w:type="pct"/>
            <w:noWrap w:val="0"/>
            <w:vAlign w:val="center"/>
          </w:tcPr>
          <w:p w14:paraId="043D761B">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87.151232</w:t>
            </w:r>
          </w:p>
        </w:tc>
        <w:tc>
          <w:tcPr>
            <w:tcW w:w="660" w:type="pct"/>
            <w:noWrap w:val="0"/>
            <w:vAlign w:val="center"/>
          </w:tcPr>
          <w:p w14:paraId="1C74A631">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44.092101</w:t>
            </w:r>
          </w:p>
        </w:tc>
        <w:tc>
          <w:tcPr>
            <w:tcW w:w="711" w:type="pct"/>
            <w:noWrap w:val="0"/>
            <w:vAlign w:val="center"/>
          </w:tcPr>
          <w:p w14:paraId="1EDE20AB">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noWrap w:val="0"/>
            <w:vAlign w:val="center"/>
          </w:tcPr>
          <w:p w14:paraId="73FF9528">
            <w:pPr>
              <w:pStyle w:val="26"/>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88m</w:t>
            </w:r>
          </w:p>
        </w:tc>
      </w:tr>
      <w:tr w14:paraId="501391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3" w:type="pct"/>
            <w:noWrap w:val="0"/>
            <w:vAlign w:val="center"/>
          </w:tcPr>
          <w:p w14:paraId="43DA6FFE">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水质</w:t>
            </w:r>
            <w:r>
              <w:rPr>
                <w:rFonts w:hint="eastAsia"/>
                <w:color w:val="000000" w:themeColor="text1"/>
                <w:highlight w:val="none"/>
                <w14:textFill>
                  <w14:solidFill>
                    <w14:schemeClr w14:val="tx1"/>
                  </w14:solidFill>
                </w14:textFill>
              </w:rPr>
              <w:t>监测点</w:t>
            </w:r>
          </w:p>
        </w:tc>
        <w:tc>
          <w:tcPr>
            <w:tcW w:w="1091" w:type="pct"/>
            <w:noWrap w:val="0"/>
            <w:vAlign w:val="center"/>
          </w:tcPr>
          <w:p w14:paraId="6B95AB91">
            <w:pPr>
              <w:pStyle w:val="26"/>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西</w:t>
            </w:r>
            <w:r>
              <w:rPr>
                <w:rFonts w:hint="eastAsia"/>
                <w:color w:val="000000" w:themeColor="text1"/>
                <w:highlight w:val="none"/>
                <w14:textFill>
                  <w14:solidFill>
                    <w14:schemeClr w14:val="tx1"/>
                  </w14:solidFill>
                </w14:textFill>
              </w:rPr>
              <w:t>侧</w:t>
            </w:r>
            <w:r>
              <w:rPr>
                <w:rFonts w:hint="eastAsia"/>
                <w:color w:val="000000" w:themeColor="text1"/>
                <w:highlight w:val="none"/>
                <w:lang w:val="en-US" w:eastAsia="zh-CN"/>
                <w14:textFill>
                  <w14:solidFill>
                    <w14:schemeClr w14:val="tx1"/>
                  </w14:solidFill>
                </w14:textFill>
              </w:rPr>
              <w:t>1.7</w:t>
            </w:r>
            <w:r>
              <w:rPr>
                <w:rFonts w:hint="eastAsia"/>
                <w:color w:val="000000" w:themeColor="text1"/>
                <w:highlight w:val="none"/>
                <w14:textFill>
                  <w14:solidFill>
                    <w14:schemeClr w14:val="tx1"/>
                  </w14:solidFill>
                </w14:textFill>
              </w:rPr>
              <w:t>km</w:t>
            </w:r>
          </w:p>
        </w:tc>
        <w:tc>
          <w:tcPr>
            <w:tcW w:w="777" w:type="pct"/>
            <w:noWrap w:val="0"/>
            <w:vAlign w:val="center"/>
          </w:tcPr>
          <w:p w14:paraId="1EB638D0">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87.128773</w:t>
            </w:r>
          </w:p>
        </w:tc>
        <w:tc>
          <w:tcPr>
            <w:tcW w:w="660" w:type="pct"/>
            <w:noWrap w:val="0"/>
            <w:vAlign w:val="center"/>
          </w:tcPr>
          <w:p w14:paraId="5595E47E">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44.105592</w:t>
            </w:r>
          </w:p>
        </w:tc>
        <w:tc>
          <w:tcPr>
            <w:tcW w:w="711" w:type="pct"/>
            <w:noWrap w:val="0"/>
            <w:vAlign w:val="center"/>
          </w:tcPr>
          <w:p w14:paraId="0F83AEA6">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noWrap w:val="0"/>
            <w:vAlign w:val="center"/>
          </w:tcPr>
          <w:p w14:paraId="7BC4AAEB">
            <w:pPr>
              <w:pStyle w:val="26"/>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79m</w:t>
            </w:r>
          </w:p>
        </w:tc>
      </w:tr>
      <w:tr w14:paraId="664F3F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3" w:type="pct"/>
            <w:noWrap w:val="0"/>
            <w:vAlign w:val="center"/>
          </w:tcPr>
          <w:p w14:paraId="16B462EF">
            <w:pPr>
              <w:pStyle w:val="26"/>
              <w:jc w:val="center"/>
              <w:rPr>
                <w:rFonts w:hint="eastAsia"/>
                <w:color w:val="000000" w:themeColor="text1"/>
                <w:highlight w:val="none"/>
                <w14:textFill>
                  <w14:solidFill>
                    <w14:schemeClr w14:val="tx1"/>
                  </w14:solidFill>
                </w14:textFill>
              </w:rPr>
            </w:pPr>
            <w:bookmarkStart w:id="882" w:name="_Toc32697"/>
            <w:bookmarkStart w:id="883" w:name="_Toc10622"/>
            <w:bookmarkStart w:id="884" w:name="_Toc5620"/>
            <w:r>
              <w:rPr>
                <w:rFonts w:hint="eastAsia"/>
                <w:color w:val="000000" w:themeColor="text1"/>
                <w:highlight w:val="none"/>
                <w14:textFill>
                  <w14:solidFill>
                    <w14:schemeClr w14:val="tx1"/>
                  </w14:solidFill>
                </w14:textFill>
              </w:rPr>
              <w:t>4#地下水</w:t>
            </w:r>
            <w:r>
              <w:rPr>
                <w:rFonts w:hint="eastAsia"/>
                <w:color w:val="000000" w:themeColor="text1"/>
                <w:highlight w:val="none"/>
                <w:lang w:val="en-US" w:eastAsia="zh-CN"/>
                <w14:textFill>
                  <w14:solidFill>
                    <w14:schemeClr w14:val="tx1"/>
                  </w14:solidFill>
                </w14:textFill>
              </w:rPr>
              <w:t>水质</w:t>
            </w:r>
            <w:r>
              <w:rPr>
                <w:rFonts w:hint="eastAsia"/>
                <w:color w:val="000000" w:themeColor="text1"/>
                <w:highlight w:val="none"/>
                <w14:textFill>
                  <w14:solidFill>
                    <w14:schemeClr w14:val="tx1"/>
                  </w14:solidFill>
                </w14:textFill>
              </w:rPr>
              <w:t>监测点</w:t>
            </w:r>
          </w:p>
        </w:tc>
        <w:tc>
          <w:tcPr>
            <w:tcW w:w="1091" w:type="pct"/>
            <w:noWrap w:val="0"/>
            <w:vAlign w:val="center"/>
          </w:tcPr>
          <w:p w14:paraId="0A6DCCF2">
            <w:pPr>
              <w:pStyle w:val="26"/>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下游</w:t>
            </w: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km</w:t>
            </w:r>
          </w:p>
        </w:tc>
        <w:tc>
          <w:tcPr>
            <w:tcW w:w="777" w:type="pct"/>
            <w:noWrap w:val="0"/>
            <w:vAlign w:val="center"/>
          </w:tcPr>
          <w:p w14:paraId="734EB6CF">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87.167789</w:t>
            </w:r>
          </w:p>
        </w:tc>
        <w:tc>
          <w:tcPr>
            <w:tcW w:w="660" w:type="pct"/>
            <w:noWrap w:val="0"/>
            <w:vAlign w:val="center"/>
          </w:tcPr>
          <w:p w14:paraId="4FB1216D">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44.107133</w:t>
            </w:r>
          </w:p>
        </w:tc>
        <w:tc>
          <w:tcPr>
            <w:tcW w:w="711" w:type="pct"/>
            <w:noWrap w:val="0"/>
            <w:vAlign w:val="center"/>
          </w:tcPr>
          <w:p w14:paraId="38055EE5">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noWrap w:val="0"/>
            <w:vAlign w:val="center"/>
          </w:tcPr>
          <w:p w14:paraId="110EFD56">
            <w:pPr>
              <w:pStyle w:val="26"/>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70m</w:t>
            </w:r>
          </w:p>
        </w:tc>
      </w:tr>
      <w:tr w14:paraId="79A294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3" w:type="pct"/>
            <w:noWrap w:val="0"/>
            <w:vAlign w:val="center"/>
          </w:tcPr>
          <w:p w14:paraId="0B177A54">
            <w:pPr>
              <w:pStyle w:val="26"/>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5#地下水</w:t>
            </w:r>
            <w:r>
              <w:rPr>
                <w:rFonts w:hint="eastAsia"/>
                <w:color w:val="000000" w:themeColor="text1"/>
                <w:highlight w:val="none"/>
                <w:lang w:val="en-US" w:eastAsia="zh-CN"/>
                <w14:textFill>
                  <w14:solidFill>
                    <w14:schemeClr w14:val="tx1"/>
                  </w14:solidFill>
                </w14:textFill>
              </w:rPr>
              <w:t>水质</w:t>
            </w:r>
            <w:r>
              <w:rPr>
                <w:rFonts w:hint="eastAsia"/>
                <w:color w:val="000000" w:themeColor="text1"/>
                <w:highlight w:val="none"/>
                <w14:textFill>
                  <w14:solidFill>
                    <w14:schemeClr w14:val="tx1"/>
                  </w14:solidFill>
                </w14:textFill>
              </w:rPr>
              <w:t>监测点</w:t>
            </w:r>
          </w:p>
        </w:tc>
        <w:tc>
          <w:tcPr>
            <w:tcW w:w="1091" w:type="pct"/>
            <w:noWrap w:val="0"/>
            <w:vAlign w:val="center"/>
          </w:tcPr>
          <w:p w14:paraId="07960D43">
            <w:pPr>
              <w:pStyle w:val="26"/>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下游4.7</w:t>
            </w:r>
            <w:r>
              <w:rPr>
                <w:rFonts w:hint="eastAsia"/>
                <w:color w:val="000000" w:themeColor="text1"/>
                <w:highlight w:val="none"/>
                <w14:textFill>
                  <w14:solidFill>
                    <w14:schemeClr w14:val="tx1"/>
                  </w14:solidFill>
                </w14:textFill>
              </w:rPr>
              <w:t>km</w:t>
            </w:r>
          </w:p>
        </w:tc>
        <w:tc>
          <w:tcPr>
            <w:tcW w:w="777" w:type="pct"/>
            <w:noWrap w:val="0"/>
            <w:vAlign w:val="center"/>
          </w:tcPr>
          <w:p w14:paraId="22A7D84E">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87.145492</w:t>
            </w:r>
          </w:p>
        </w:tc>
        <w:tc>
          <w:tcPr>
            <w:tcW w:w="660" w:type="pct"/>
            <w:noWrap w:val="0"/>
            <w:vAlign w:val="center"/>
          </w:tcPr>
          <w:p w14:paraId="42F2857A">
            <w:pPr>
              <w:pStyle w:val="26"/>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44.13155</w:t>
            </w:r>
            <w:r>
              <w:rPr>
                <w:rFonts w:hint="eastAsia"/>
                <w:color w:val="000000" w:themeColor="text1"/>
                <w:highlight w:val="none"/>
                <w:lang w:val="en-US" w:eastAsia="zh-CN"/>
                <w14:textFill>
                  <w14:solidFill>
                    <w14:schemeClr w14:val="tx1"/>
                  </w14:solidFill>
                </w14:textFill>
              </w:rPr>
              <w:t>8</w:t>
            </w:r>
          </w:p>
        </w:tc>
        <w:tc>
          <w:tcPr>
            <w:tcW w:w="711" w:type="pct"/>
            <w:noWrap w:val="0"/>
            <w:vAlign w:val="center"/>
          </w:tcPr>
          <w:p w14:paraId="728783F5">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noWrap w:val="0"/>
            <w:vAlign w:val="center"/>
          </w:tcPr>
          <w:p w14:paraId="5543BA84">
            <w:pPr>
              <w:pStyle w:val="26"/>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70m</w:t>
            </w:r>
          </w:p>
        </w:tc>
      </w:tr>
      <w:tr w14:paraId="56C736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263" w:type="pct"/>
            <w:shd w:val="clear" w:color="auto" w:fill="auto"/>
            <w:noWrap w:val="0"/>
            <w:vAlign w:val="center"/>
          </w:tcPr>
          <w:p w14:paraId="161E75A6">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水位</w:t>
            </w:r>
            <w:r>
              <w:rPr>
                <w:rFonts w:hint="eastAsia"/>
                <w:color w:val="000000" w:themeColor="text1"/>
                <w:highlight w:val="none"/>
                <w14:textFill>
                  <w14:solidFill>
                    <w14:schemeClr w14:val="tx1"/>
                  </w14:solidFill>
                </w14:textFill>
              </w:rPr>
              <w:t>监测点</w:t>
            </w:r>
          </w:p>
        </w:tc>
        <w:tc>
          <w:tcPr>
            <w:tcW w:w="1091" w:type="pct"/>
            <w:shd w:val="clear" w:color="auto" w:fill="auto"/>
            <w:noWrap w:val="0"/>
            <w:vAlign w:val="center"/>
          </w:tcPr>
          <w:p w14:paraId="3B4CC4B5">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下游5.1</w:t>
            </w:r>
            <w:r>
              <w:rPr>
                <w:rFonts w:hint="eastAsia"/>
                <w:color w:val="000000" w:themeColor="text1"/>
                <w:highlight w:val="none"/>
                <w14:textFill>
                  <w14:solidFill>
                    <w14:schemeClr w14:val="tx1"/>
                  </w14:solidFill>
                </w14:textFill>
              </w:rPr>
              <w:t>km</w:t>
            </w:r>
          </w:p>
        </w:tc>
        <w:tc>
          <w:tcPr>
            <w:tcW w:w="777" w:type="pct"/>
            <w:noWrap w:val="0"/>
            <w:vAlign w:val="center"/>
          </w:tcPr>
          <w:p w14:paraId="2491AE89">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87.103114</w:t>
            </w:r>
          </w:p>
        </w:tc>
        <w:tc>
          <w:tcPr>
            <w:tcW w:w="660" w:type="pct"/>
            <w:noWrap w:val="0"/>
            <w:vAlign w:val="center"/>
          </w:tcPr>
          <w:p w14:paraId="6946BF80">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44.130486</w:t>
            </w:r>
          </w:p>
        </w:tc>
        <w:tc>
          <w:tcPr>
            <w:tcW w:w="711" w:type="pct"/>
            <w:shd w:val="clear" w:color="auto" w:fill="auto"/>
            <w:noWrap w:val="0"/>
            <w:vAlign w:val="center"/>
          </w:tcPr>
          <w:p w14:paraId="4E0C1337">
            <w:pPr>
              <w:pStyle w:val="26"/>
              <w:ind w:left="0" w:leftChars="0" w:right="0" w:rightChars="0" w:firstLine="0" w:firstLineChars="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noWrap w:val="0"/>
            <w:vAlign w:val="center"/>
          </w:tcPr>
          <w:p w14:paraId="5EF07005">
            <w:pPr>
              <w:pStyle w:val="26"/>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50m</w:t>
            </w:r>
          </w:p>
        </w:tc>
      </w:tr>
      <w:tr w14:paraId="1F57B0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3" w:type="pct"/>
            <w:shd w:val="clear" w:color="auto" w:fill="auto"/>
            <w:noWrap w:val="0"/>
            <w:vAlign w:val="center"/>
          </w:tcPr>
          <w:p w14:paraId="4E9482BE">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水位</w:t>
            </w:r>
            <w:r>
              <w:rPr>
                <w:rFonts w:hint="eastAsia"/>
                <w:color w:val="000000" w:themeColor="text1"/>
                <w:highlight w:val="none"/>
                <w14:textFill>
                  <w14:solidFill>
                    <w14:schemeClr w14:val="tx1"/>
                  </w14:solidFill>
                </w14:textFill>
              </w:rPr>
              <w:t>监测点</w:t>
            </w:r>
          </w:p>
        </w:tc>
        <w:tc>
          <w:tcPr>
            <w:tcW w:w="1091" w:type="pct"/>
            <w:shd w:val="clear" w:color="auto" w:fill="auto"/>
            <w:noWrap w:val="0"/>
            <w:vAlign w:val="center"/>
          </w:tcPr>
          <w:p w14:paraId="25A1084A">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东</w:t>
            </w:r>
            <w:r>
              <w:rPr>
                <w:rFonts w:hint="eastAsia"/>
                <w:color w:val="000000" w:themeColor="text1"/>
                <w:highlight w:val="none"/>
                <w14:textFill>
                  <w14:solidFill>
                    <w14:schemeClr w14:val="tx1"/>
                  </w14:solidFill>
                </w14:textFill>
              </w:rPr>
              <w:t>侧</w:t>
            </w:r>
            <w:r>
              <w:rPr>
                <w:rFonts w:hint="eastAsia"/>
                <w:color w:val="000000" w:themeColor="text1"/>
                <w:highlight w:val="none"/>
                <w:lang w:val="en-US" w:eastAsia="zh-CN"/>
                <w14:textFill>
                  <w14:solidFill>
                    <w14:schemeClr w14:val="tx1"/>
                  </w14:solidFill>
                </w14:textFill>
              </w:rPr>
              <w:t>2.3</w:t>
            </w:r>
            <w:r>
              <w:rPr>
                <w:rFonts w:hint="eastAsia"/>
                <w:color w:val="000000" w:themeColor="text1"/>
                <w:highlight w:val="none"/>
                <w14:textFill>
                  <w14:solidFill>
                    <w14:schemeClr w14:val="tx1"/>
                  </w14:solidFill>
                </w14:textFill>
              </w:rPr>
              <w:t>km</w:t>
            </w:r>
          </w:p>
        </w:tc>
        <w:tc>
          <w:tcPr>
            <w:tcW w:w="777" w:type="pct"/>
            <w:noWrap w:val="0"/>
            <w:vAlign w:val="center"/>
          </w:tcPr>
          <w:p w14:paraId="493ED6E9">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87.163312</w:t>
            </w:r>
          </w:p>
        </w:tc>
        <w:tc>
          <w:tcPr>
            <w:tcW w:w="660" w:type="pct"/>
            <w:noWrap w:val="0"/>
            <w:vAlign w:val="center"/>
          </w:tcPr>
          <w:p w14:paraId="17FD01F5">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44.085334</w:t>
            </w:r>
          </w:p>
        </w:tc>
        <w:tc>
          <w:tcPr>
            <w:tcW w:w="711" w:type="pct"/>
            <w:shd w:val="clear" w:color="auto" w:fill="auto"/>
            <w:noWrap w:val="0"/>
            <w:vAlign w:val="center"/>
          </w:tcPr>
          <w:p w14:paraId="322BDDE5">
            <w:pPr>
              <w:pStyle w:val="26"/>
              <w:ind w:left="0" w:leftChars="0" w:right="0" w:rightChars="0" w:firstLine="0" w:firstLineChars="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noWrap w:val="0"/>
            <w:vAlign w:val="center"/>
          </w:tcPr>
          <w:p w14:paraId="0D90DC67">
            <w:pPr>
              <w:pStyle w:val="26"/>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82m</w:t>
            </w:r>
          </w:p>
        </w:tc>
      </w:tr>
      <w:tr w14:paraId="537227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3" w:type="pct"/>
            <w:shd w:val="clear" w:color="auto" w:fill="auto"/>
            <w:noWrap w:val="0"/>
            <w:vAlign w:val="center"/>
          </w:tcPr>
          <w:p w14:paraId="1528C72D">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水位</w:t>
            </w:r>
            <w:r>
              <w:rPr>
                <w:rFonts w:hint="eastAsia"/>
                <w:color w:val="000000" w:themeColor="text1"/>
                <w:highlight w:val="none"/>
                <w14:textFill>
                  <w14:solidFill>
                    <w14:schemeClr w14:val="tx1"/>
                  </w14:solidFill>
                </w14:textFill>
              </w:rPr>
              <w:t>监测点</w:t>
            </w:r>
          </w:p>
        </w:tc>
        <w:tc>
          <w:tcPr>
            <w:tcW w:w="1091" w:type="pct"/>
            <w:shd w:val="clear" w:color="auto" w:fill="auto"/>
            <w:noWrap w:val="0"/>
            <w:vAlign w:val="center"/>
          </w:tcPr>
          <w:p w14:paraId="4FCA2EC9">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西</w:t>
            </w:r>
            <w:r>
              <w:rPr>
                <w:rFonts w:hint="eastAsia"/>
                <w:color w:val="000000" w:themeColor="text1"/>
                <w:highlight w:val="none"/>
                <w14:textFill>
                  <w14:solidFill>
                    <w14:schemeClr w14:val="tx1"/>
                  </w14:solidFill>
                </w14:textFill>
              </w:rPr>
              <w:t>侧</w:t>
            </w:r>
            <w:r>
              <w:rPr>
                <w:rFonts w:hint="eastAsia"/>
                <w:color w:val="000000" w:themeColor="text1"/>
                <w:highlight w:val="none"/>
                <w:lang w:val="en-US" w:eastAsia="zh-CN"/>
                <w14:textFill>
                  <w14:solidFill>
                    <w14:schemeClr w14:val="tx1"/>
                  </w14:solidFill>
                </w14:textFill>
              </w:rPr>
              <w:t>1.2</w:t>
            </w:r>
            <w:r>
              <w:rPr>
                <w:rFonts w:hint="eastAsia"/>
                <w:color w:val="000000" w:themeColor="text1"/>
                <w:highlight w:val="none"/>
                <w14:textFill>
                  <w14:solidFill>
                    <w14:schemeClr w14:val="tx1"/>
                  </w14:solidFill>
                </w14:textFill>
              </w:rPr>
              <w:t>km</w:t>
            </w:r>
          </w:p>
        </w:tc>
        <w:tc>
          <w:tcPr>
            <w:tcW w:w="777" w:type="pct"/>
            <w:noWrap w:val="0"/>
            <w:vAlign w:val="center"/>
          </w:tcPr>
          <w:p w14:paraId="57BA7F6A">
            <w:pPr>
              <w:pStyle w:val="26"/>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87.12113</w:t>
            </w:r>
            <w:r>
              <w:rPr>
                <w:rFonts w:hint="eastAsia"/>
                <w:color w:val="000000" w:themeColor="text1"/>
                <w:highlight w:val="none"/>
                <w:lang w:val="en-US" w:eastAsia="zh-CN"/>
                <w14:textFill>
                  <w14:solidFill>
                    <w14:schemeClr w14:val="tx1"/>
                  </w14:solidFill>
                </w14:textFill>
              </w:rPr>
              <w:t>8</w:t>
            </w:r>
          </w:p>
        </w:tc>
        <w:tc>
          <w:tcPr>
            <w:tcW w:w="660" w:type="pct"/>
            <w:noWrap w:val="0"/>
            <w:vAlign w:val="center"/>
          </w:tcPr>
          <w:p w14:paraId="39D277F5">
            <w:pPr>
              <w:pStyle w:val="26"/>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44.08644</w:t>
            </w:r>
            <w:r>
              <w:rPr>
                <w:rFonts w:hint="eastAsia"/>
                <w:color w:val="000000" w:themeColor="text1"/>
                <w:highlight w:val="none"/>
                <w:lang w:val="en-US" w:eastAsia="zh-CN"/>
                <w14:textFill>
                  <w14:solidFill>
                    <w14:schemeClr w14:val="tx1"/>
                  </w14:solidFill>
                </w14:textFill>
              </w:rPr>
              <w:t>1</w:t>
            </w:r>
          </w:p>
        </w:tc>
        <w:tc>
          <w:tcPr>
            <w:tcW w:w="711" w:type="pct"/>
            <w:shd w:val="clear" w:color="auto" w:fill="auto"/>
            <w:noWrap w:val="0"/>
            <w:vAlign w:val="center"/>
          </w:tcPr>
          <w:p w14:paraId="4B2CD97F">
            <w:pPr>
              <w:pStyle w:val="26"/>
              <w:ind w:left="0" w:leftChars="0" w:right="0" w:rightChars="0" w:firstLine="0" w:firstLineChars="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noWrap w:val="0"/>
            <w:vAlign w:val="center"/>
          </w:tcPr>
          <w:p w14:paraId="14936EF9">
            <w:pPr>
              <w:pStyle w:val="26"/>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80m</w:t>
            </w:r>
          </w:p>
        </w:tc>
      </w:tr>
      <w:tr w14:paraId="7EDC92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3" w:type="pct"/>
            <w:shd w:val="clear" w:color="auto" w:fill="auto"/>
            <w:noWrap w:val="0"/>
            <w:vAlign w:val="center"/>
          </w:tcPr>
          <w:p w14:paraId="0180518B">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水位</w:t>
            </w:r>
            <w:r>
              <w:rPr>
                <w:rFonts w:hint="eastAsia"/>
                <w:color w:val="000000" w:themeColor="text1"/>
                <w:highlight w:val="none"/>
                <w14:textFill>
                  <w14:solidFill>
                    <w14:schemeClr w14:val="tx1"/>
                  </w14:solidFill>
                </w14:textFill>
              </w:rPr>
              <w:t>监测点</w:t>
            </w:r>
          </w:p>
        </w:tc>
        <w:tc>
          <w:tcPr>
            <w:tcW w:w="1091" w:type="pct"/>
            <w:shd w:val="clear" w:color="auto" w:fill="auto"/>
            <w:noWrap w:val="0"/>
            <w:vAlign w:val="center"/>
          </w:tcPr>
          <w:p w14:paraId="7B171E23">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东</w:t>
            </w:r>
            <w:r>
              <w:rPr>
                <w:rFonts w:hint="eastAsia"/>
                <w:color w:val="000000" w:themeColor="text1"/>
                <w:highlight w:val="none"/>
                <w14:textFill>
                  <w14:solidFill>
                    <w14:schemeClr w14:val="tx1"/>
                  </w14:solidFill>
                </w14:textFill>
              </w:rPr>
              <w:t>侧</w:t>
            </w: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14:textFill>
                  <w14:solidFill>
                    <w14:schemeClr w14:val="tx1"/>
                  </w14:solidFill>
                </w14:textFill>
              </w:rPr>
              <w:t>km</w:t>
            </w:r>
          </w:p>
        </w:tc>
        <w:tc>
          <w:tcPr>
            <w:tcW w:w="777" w:type="pct"/>
            <w:noWrap w:val="0"/>
            <w:vAlign w:val="center"/>
          </w:tcPr>
          <w:p w14:paraId="18843649">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87.152688</w:t>
            </w:r>
          </w:p>
        </w:tc>
        <w:tc>
          <w:tcPr>
            <w:tcW w:w="660" w:type="pct"/>
            <w:noWrap w:val="0"/>
            <w:vAlign w:val="center"/>
          </w:tcPr>
          <w:p w14:paraId="2C645B33">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44.090528</w:t>
            </w:r>
          </w:p>
        </w:tc>
        <w:tc>
          <w:tcPr>
            <w:tcW w:w="711" w:type="pct"/>
            <w:shd w:val="clear" w:color="auto" w:fill="auto"/>
            <w:noWrap w:val="0"/>
            <w:vAlign w:val="center"/>
          </w:tcPr>
          <w:p w14:paraId="71D0417A">
            <w:pPr>
              <w:pStyle w:val="26"/>
              <w:ind w:left="0" w:leftChars="0" w:right="0" w:rightChars="0" w:firstLine="0" w:firstLineChars="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noWrap w:val="0"/>
            <w:vAlign w:val="center"/>
          </w:tcPr>
          <w:p w14:paraId="5A76A4A3">
            <w:pPr>
              <w:pStyle w:val="26"/>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78m</w:t>
            </w:r>
          </w:p>
        </w:tc>
      </w:tr>
      <w:tr w14:paraId="79CCD9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63" w:type="pct"/>
            <w:shd w:val="clear" w:color="auto" w:fill="auto"/>
            <w:vAlign w:val="center"/>
          </w:tcPr>
          <w:p w14:paraId="20A72BC4">
            <w:pPr>
              <w:pStyle w:val="26"/>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w:t>
            </w:r>
            <w:r>
              <w:rPr>
                <w:rFonts w:hint="eastAsia"/>
                <w:color w:val="000000" w:themeColor="text1"/>
                <w:highlight w:val="none"/>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水位</w:t>
            </w:r>
            <w:r>
              <w:rPr>
                <w:rFonts w:hint="eastAsia"/>
                <w:color w:val="000000" w:themeColor="text1"/>
                <w:highlight w:val="none"/>
                <w14:textFill>
                  <w14:solidFill>
                    <w14:schemeClr w14:val="tx1"/>
                  </w14:solidFill>
                </w14:textFill>
              </w:rPr>
              <w:t>监测点</w:t>
            </w:r>
          </w:p>
        </w:tc>
        <w:tc>
          <w:tcPr>
            <w:tcW w:w="1091" w:type="pct"/>
            <w:vAlign w:val="center"/>
          </w:tcPr>
          <w:p w14:paraId="414982C2">
            <w:pPr>
              <w:pStyle w:val="26"/>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北侧</w:t>
            </w:r>
            <w:r>
              <w:rPr>
                <w:rFonts w:hint="eastAsia"/>
                <w:color w:val="000000" w:themeColor="text1"/>
                <w:highlight w:val="none"/>
                <w:lang w:val="en-US" w:eastAsia="zh-CN"/>
                <w14:textFill>
                  <w14:solidFill>
                    <w14:schemeClr w14:val="tx1"/>
                  </w14:solidFill>
                </w14:textFill>
              </w:rPr>
              <w:t>3.2</w:t>
            </w:r>
            <w:r>
              <w:rPr>
                <w:rFonts w:hint="eastAsia"/>
                <w:color w:val="000000" w:themeColor="text1"/>
                <w:highlight w:val="none"/>
                <w14:textFill>
                  <w14:solidFill>
                    <w14:schemeClr w14:val="tx1"/>
                  </w14:solidFill>
                </w14:textFill>
              </w:rPr>
              <w:t>km</w:t>
            </w:r>
          </w:p>
        </w:tc>
        <w:tc>
          <w:tcPr>
            <w:tcW w:w="777" w:type="pct"/>
            <w:vAlign w:val="center"/>
          </w:tcPr>
          <w:p w14:paraId="21B56229">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87.167511</w:t>
            </w:r>
          </w:p>
        </w:tc>
        <w:tc>
          <w:tcPr>
            <w:tcW w:w="660" w:type="pct"/>
            <w:vAlign w:val="center"/>
          </w:tcPr>
          <w:p w14:paraId="60AA0662">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44.105902</w:t>
            </w:r>
          </w:p>
        </w:tc>
        <w:tc>
          <w:tcPr>
            <w:tcW w:w="711" w:type="pct"/>
            <w:shd w:val="clear" w:color="auto" w:fill="auto"/>
            <w:vAlign w:val="center"/>
          </w:tcPr>
          <w:p w14:paraId="0CADA3C2">
            <w:pPr>
              <w:pStyle w:val="26"/>
              <w:ind w:left="0" w:leftChars="0" w:right="0" w:rightChars="0" w:firstLine="0" w:firstLineChars="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潜水含水层</w:t>
            </w:r>
          </w:p>
        </w:tc>
        <w:tc>
          <w:tcPr>
            <w:tcW w:w="495" w:type="pct"/>
            <w:vAlign w:val="center"/>
          </w:tcPr>
          <w:p w14:paraId="0927310F">
            <w:pPr>
              <w:pStyle w:val="26"/>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72m</w:t>
            </w:r>
          </w:p>
        </w:tc>
      </w:tr>
    </w:tbl>
    <w:p w14:paraId="2CE32FF4">
      <w:pPr>
        <w:ind w:firstLine="480"/>
        <w:rPr>
          <w:color w:val="000000" w:themeColor="text1"/>
          <w:kern w:val="0"/>
          <w:highlight w:val="none"/>
          <w14:textFill>
            <w14:solidFill>
              <w14:schemeClr w14:val="tx1"/>
            </w14:solidFill>
          </w14:textFill>
        </w:rPr>
      </w:pPr>
      <w:r>
        <w:rPr>
          <w:color w:val="000000" w:themeColor="text1"/>
          <w:highlight w:val="none"/>
          <w14:textFill>
            <w14:solidFill>
              <w14:schemeClr w14:val="tx1"/>
            </w14:solidFill>
          </w14:textFill>
        </w:rPr>
        <w:t>（1）监测项目及分析方法</w:t>
      </w:r>
      <w:bookmarkEnd w:id="882"/>
      <w:bookmarkEnd w:id="883"/>
      <w:bookmarkEnd w:id="884"/>
    </w:p>
    <w:p w14:paraId="29258198">
      <w:pPr>
        <w:bidi w:val="0"/>
        <w:rPr>
          <w:color w:val="000000" w:themeColor="text1"/>
          <w:kern w:val="0"/>
          <w:highlight w:val="none"/>
          <w:lang w:bidi="ar"/>
          <w14:textFill>
            <w14:solidFill>
              <w14:schemeClr w14:val="tx1"/>
            </w14:solidFill>
          </w14:textFill>
        </w:rPr>
      </w:pPr>
      <w:r>
        <w:rPr>
          <w:color w:val="000000" w:themeColor="text1"/>
          <w:highlight w:val="none"/>
          <w:lang w:val="en-US" w:eastAsia="zh-CN"/>
          <w14:textFill>
            <w14:solidFill>
              <w14:schemeClr w14:val="tx1"/>
            </w14:solidFill>
          </w14:textFill>
        </w:rPr>
        <w:t>pH（无量纲）</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总硬度</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溶解性总固体</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铜</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锌</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砷</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镉</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铅</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挥发酚</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总大肠菌群</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耗氧量</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硫酸盐</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氯化物</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铁</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锰</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硝酸盐氮（以N计）</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亚硝酸盐氮（以N 计）</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氨氮</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硫化物</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氟化物</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氰化物</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汞</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六价铬</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石油类</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菌落总数</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氯离子</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硫酸根离子</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碳酸根离子</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碳酸氢根离子</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钾离子</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钠</w:t>
      </w:r>
      <w:r>
        <w:rPr>
          <w:rFonts w:hint="eastAsia"/>
          <w:color w:val="000000" w:themeColor="text1"/>
          <w:highlight w:val="none"/>
          <w:lang w:val="en-US" w:eastAsia="zh-CN"/>
          <w14:textFill>
            <w14:solidFill>
              <w14:schemeClr w14:val="tx1"/>
            </w14:solidFill>
          </w14:textFill>
        </w:rPr>
        <w:t>离子、</w:t>
      </w:r>
      <w:r>
        <w:rPr>
          <w:color w:val="000000" w:themeColor="text1"/>
          <w:highlight w:val="none"/>
          <w:lang w:val="en-US" w:eastAsia="zh-CN"/>
          <w14:textFill>
            <w14:solidFill>
              <w14:schemeClr w14:val="tx1"/>
            </w14:solidFill>
          </w14:textFill>
        </w:rPr>
        <w:t>镁离子</w:t>
      </w:r>
      <w:r>
        <w:rPr>
          <w:rFonts w:hint="eastAsia"/>
          <w:color w:val="000000" w:themeColor="text1"/>
          <w:highlight w:val="none"/>
          <w:lang w:val="en-US" w:eastAsia="zh-CN"/>
          <w14:textFill>
            <w14:solidFill>
              <w14:schemeClr w14:val="tx1"/>
            </w14:solidFill>
          </w14:textFill>
        </w:rPr>
        <w:t>、</w:t>
      </w:r>
      <w:r>
        <w:rPr>
          <w:color w:val="000000" w:themeColor="text1"/>
          <w:highlight w:val="none"/>
          <w:lang w:val="en-US" w:eastAsia="zh-CN"/>
          <w14:textFill>
            <w14:solidFill>
              <w14:schemeClr w14:val="tx1"/>
            </w14:solidFill>
          </w14:textFill>
        </w:rPr>
        <w:t>钙离子</w:t>
      </w:r>
      <w:r>
        <w:rPr>
          <w:rFonts w:hint="eastAsia"/>
          <w:color w:val="000000" w:themeColor="text1"/>
          <w:highlight w:val="none"/>
          <w:lang w:val="en-US" w:eastAsia="zh-CN"/>
          <w14:textFill>
            <w14:solidFill>
              <w14:schemeClr w14:val="tx1"/>
            </w14:solidFill>
          </w14:textFill>
        </w:rPr>
        <w:t>；</w:t>
      </w:r>
      <w:r>
        <w:rPr>
          <w:color w:val="000000" w:themeColor="text1"/>
          <w:kern w:val="0"/>
          <w:highlight w:val="none"/>
          <w:lang w:bidi="ar"/>
          <w14:textFill>
            <w14:solidFill>
              <w14:schemeClr w14:val="tx1"/>
            </w14:solidFill>
          </w14:textFill>
        </w:rPr>
        <w:t xml:space="preserve">水质现状监测分析方法依照国家环保局颁布的《环境水质监测质量保证手册》与《水和废水监测分析方法》的规定进行。 </w:t>
      </w:r>
    </w:p>
    <w:p w14:paraId="4782A7D5">
      <w:pPr>
        <w:numPr>
          <w:ilvl w:val="0"/>
          <w:numId w:val="4"/>
        </w:numPr>
        <w:ind w:firstLine="480"/>
        <w:rPr>
          <w:color w:val="000000" w:themeColor="text1"/>
          <w:highlight w:val="none"/>
          <w14:textFill>
            <w14:solidFill>
              <w14:schemeClr w14:val="tx1"/>
            </w14:solidFill>
          </w14:textFill>
        </w:rPr>
      </w:pPr>
      <w:bookmarkStart w:id="885" w:name="_Toc4518"/>
      <w:bookmarkStart w:id="886" w:name="_Toc9998"/>
      <w:bookmarkStart w:id="887" w:name="_Toc17507"/>
      <w:r>
        <w:rPr>
          <w:color w:val="000000" w:themeColor="text1"/>
          <w:highlight w:val="none"/>
          <w14:textFill>
            <w14:solidFill>
              <w14:schemeClr w14:val="tx1"/>
            </w14:solidFill>
          </w14:textFill>
        </w:rPr>
        <w:t>监测时间和频率</w:t>
      </w:r>
      <w:bookmarkEnd w:id="885"/>
      <w:bookmarkEnd w:id="886"/>
      <w:bookmarkEnd w:id="887"/>
    </w:p>
    <w:p w14:paraId="0CE43C66">
      <w:pPr>
        <w:ind w:firstLine="48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取样时间：202</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月2</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日</w:t>
      </w:r>
      <w:r>
        <w:rPr>
          <w:color w:val="000000" w:themeColor="text1"/>
          <w:highlight w:val="none"/>
          <w14:textFill>
            <w14:solidFill>
              <w14:schemeClr w14:val="tx1"/>
            </w14:solidFill>
          </w14:textFill>
        </w:rPr>
        <w:t>。</w:t>
      </w:r>
    </w:p>
    <w:p w14:paraId="0E2E34A4">
      <w:pPr>
        <w:ind w:firstLine="480"/>
        <w:rPr>
          <w:color w:val="000000" w:themeColor="text1"/>
          <w:highlight w:val="none"/>
          <w14:textFill>
            <w14:solidFill>
              <w14:schemeClr w14:val="tx1"/>
            </w14:solidFill>
          </w14:textFill>
        </w:rPr>
      </w:pPr>
      <w:bookmarkStart w:id="888" w:name="_Toc11589"/>
      <w:bookmarkStart w:id="889" w:name="_Toc3353"/>
      <w:bookmarkStart w:id="890" w:name="_Toc15807"/>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）评价标准</w:t>
      </w:r>
      <w:bookmarkEnd w:id="888"/>
      <w:bookmarkEnd w:id="889"/>
      <w:bookmarkEnd w:id="890"/>
    </w:p>
    <w:p w14:paraId="69E5B22E">
      <w:pPr>
        <w:snapToGrid w:val="0"/>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地下水环境质量执行《地下水质量标准》（GB/T14848-2017）</w:t>
      </w:r>
      <w:r>
        <w:rPr>
          <w:rFonts w:hint="eastAsia"/>
          <w:color w:val="000000" w:themeColor="text1"/>
          <w:highlight w:val="none"/>
          <w:lang w:val="en-US" w:eastAsia="zh-CN"/>
          <w14:textFill>
            <w14:solidFill>
              <w14:schemeClr w14:val="tx1"/>
            </w14:solidFill>
          </w14:textFill>
        </w:rPr>
        <w:t>中</w:t>
      </w:r>
      <w:r>
        <w:rPr>
          <w:color w:val="000000" w:themeColor="text1"/>
          <w:highlight w:val="none"/>
          <w14:textFill>
            <w14:solidFill>
              <w14:schemeClr w14:val="tx1"/>
            </w14:solidFill>
          </w14:textFill>
        </w:rPr>
        <w:t>Ⅲ类标准。</w:t>
      </w:r>
    </w:p>
    <w:p w14:paraId="5B8D4CF4">
      <w:pPr>
        <w:ind w:firstLine="480"/>
        <w:rPr>
          <w:color w:val="000000" w:themeColor="text1"/>
          <w:highlight w:val="none"/>
          <w14:textFill>
            <w14:solidFill>
              <w14:schemeClr w14:val="tx1"/>
            </w14:solidFill>
          </w14:textFill>
        </w:rPr>
      </w:pPr>
      <w:bookmarkStart w:id="891" w:name="_Toc16500"/>
      <w:bookmarkStart w:id="892" w:name="_Toc19802"/>
      <w:bookmarkStart w:id="893" w:name="_Toc20509"/>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评价方法</w:t>
      </w:r>
      <w:bookmarkEnd w:id="891"/>
      <w:bookmarkEnd w:id="892"/>
      <w:bookmarkEnd w:id="893"/>
    </w:p>
    <w:p w14:paraId="039B2116">
      <w:pPr>
        <w:snapToGrid w:val="0"/>
        <w:ind w:firstLine="480"/>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对于评价标准为定值的水质因子，单项水质参数i在第j点的标准指数计算方法为：</w:t>
      </w:r>
    </w:p>
    <w:p w14:paraId="605CD608">
      <w:pPr>
        <w:ind w:firstLine="480"/>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S</w:t>
      </w:r>
      <w:r>
        <w:rPr>
          <w:color w:val="000000" w:themeColor="text1"/>
          <w:kern w:val="0"/>
          <w:highlight w:val="none"/>
          <w:vertAlign w:val="subscript"/>
          <w14:textFill>
            <w14:solidFill>
              <w14:schemeClr w14:val="tx1"/>
            </w14:solidFill>
          </w14:textFill>
        </w:rPr>
        <w:t>i</w:t>
      </w:r>
      <w:r>
        <w:rPr>
          <w:color w:val="000000" w:themeColor="text1"/>
          <w:kern w:val="0"/>
          <w:highlight w:val="none"/>
          <w14:textFill>
            <w14:solidFill>
              <w14:schemeClr w14:val="tx1"/>
            </w14:solidFill>
          </w14:textFill>
        </w:rPr>
        <w:t xml:space="preserve"> =C</w:t>
      </w:r>
      <w:r>
        <w:rPr>
          <w:color w:val="000000" w:themeColor="text1"/>
          <w:kern w:val="0"/>
          <w:highlight w:val="none"/>
          <w:vertAlign w:val="subscript"/>
          <w14:textFill>
            <w14:solidFill>
              <w14:schemeClr w14:val="tx1"/>
            </w14:solidFill>
          </w14:textFill>
        </w:rPr>
        <w:t>i</w:t>
      </w:r>
      <w:r>
        <w:rPr>
          <w:color w:val="000000" w:themeColor="text1"/>
          <w:kern w:val="0"/>
          <w:highlight w:val="none"/>
          <w14:textFill>
            <w14:solidFill>
              <w14:schemeClr w14:val="tx1"/>
            </w14:solidFill>
          </w14:textFill>
        </w:rPr>
        <w:t>/C</w:t>
      </w:r>
      <w:r>
        <w:rPr>
          <w:rFonts w:hint="eastAsia"/>
          <w:color w:val="000000" w:themeColor="text1"/>
          <w:kern w:val="0"/>
          <w:highlight w:val="none"/>
          <w14:textFill>
            <w14:solidFill>
              <w14:schemeClr w14:val="tx1"/>
            </w14:solidFill>
          </w14:textFill>
        </w:rPr>
        <w:t>S</w:t>
      </w:r>
      <w:r>
        <w:rPr>
          <w:color w:val="000000" w:themeColor="text1"/>
          <w:kern w:val="0"/>
          <w:highlight w:val="none"/>
          <w:vertAlign w:val="subscript"/>
          <w14:textFill>
            <w14:solidFill>
              <w14:schemeClr w14:val="tx1"/>
            </w14:solidFill>
          </w14:textFill>
        </w:rPr>
        <w:t>i</w:t>
      </w:r>
    </w:p>
    <w:p w14:paraId="00B981C2">
      <w:pPr>
        <w:tabs>
          <w:tab w:val="left" w:pos="742"/>
        </w:tabs>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式中：</w:t>
      </w:r>
      <w:r>
        <w:rPr>
          <w:rFonts w:hint="eastAsia"/>
          <w:color w:val="000000" w:themeColor="text1"/>
          <w:highlight w:val="none"/>
          <w14:textFill>
            <w14:solidFill>
              <w14:schemeClr w14:val="tx1"/>
            </w14:solidFill>
          </w14:textFill>
        </w:rPr>
        <w:t>S</w:t>
      </w:r>
      <w:r>
        <w:rPr>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—第i个水质因子的标准指数，无量纲；</w:t>
      </w:r>
    </w:p>
    <w:p w14:paraId="21212FD8">
      <w:pPr>
        <w:tabs>
          <w:tab w:val="left" w:pos="742"/>
        </w:tabs>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C</w:t>
      </w:r>
      <w:r>
        <w:rPr>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—第i个水质因子的监测浓度值，</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g/L；</w:t>
      </w:r>
    </w:p>
    <w:p w14:paraId="7CC2AE88">
      <w:pPr>
        <w:tabs>
          <w:tab w:val="left" w:pos="742"/>
        </w:tabs>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C</w:t>
      </w:r>
      <w:r>
        <w:rPr>
          <w:rFonts w:hint="eastAsia"/>
          <w:color w:val="000000" w:themeColor="text1"/>
          <w:highlight w:val="none"/>
          <w14:textFill>
            <w14:solidFill>
              <w14:schemeClr w14:val="tx1"/>
            </w14:solidFill>
          </w14:textFill>
        </w:rPr>
        <w:t>S</w:t>
      </w:r>
      <w:r>
        <w:rPr>
          <w:color w:val="000000" w:themeColor="text1"/>
          <w:highlight w:val="none"/>
          <w:vertAlign w:val="subscript"/>
          <w14:textFill>
            <w14:solidFill>
              <w14:schemeClr w14:val="tx1"/>
            </w14:solidFill>
          </w14:textFill>
        </w:rPr>
        <w:t>i</w:t>
      </w:r>
      <w:r>
        <w:rPr>
          <w:color w:val="000000" w:themeColor="text1"/>
          <w:highlight w:val="none"/>
          <w14:textFill>
            <w14:solidFill>
              <w14:schemeClr w14:val="tx1"/>
            </w14:solidFill>
          </w14:textFill>
        </w:rPr>
        <w:t>—第i个水质因子的标准浓度值，</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g/L。</w:t>
      </w:r>
    </w:p>
    <w:p w14:paraId="2D3DA7A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对于评价标准为区间值的水质因子（如pH值），其标准指数计算方法利用如下公式：</w:t>
      </w:r>
    </w:p>
    <w:p w14:paraId="333F4384">
      <w:pPr>
        <w:snapToGrid w:val="0"/>
        <w:ind w:firstLine="48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object>
          <v:shape id="_x0000_i1025" o:spt="75" type="#_x0000_t75" style="height:33.75pt;width:93pt;" o:ole="t" filled="f" o:preferrelative="t" stroked="f" coordsize="21600,21600">
            <v:path/>
            <v:fill on="f" focussize="0,0"/>
            <v:stroke on="f"/>
            <v:imagedata r:id="rId24" o:title=""/>
            <o:lock v:ext="edit" aspectratio="t"/>
            <w10:wrap type="none"/>
            <w10:anchorlock/>
          </v:shape>
          <o:OLEObject Type="Embed" ProgID="Equation.3" ShapeID="_x0000_i1025" DrawAspect="Content" ObjectID="_1468075725" r:id="rId23">
            <o:LockedField>false</o:LockedField>
          </o:OLEObject>
        </w:object>
      </w:r>
      <w:r>
        <w:rPr>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object>
          <v:shape id="_x0000_i1026" o:spt="75" type="#_x0000_t75" style="height:18.75pt;width:53.25pt;" o:ole="t" filled="f" o:preferrelative="t" stroked="f" coordsize="21600,21600">
            <v:path/>
            <v:fill on="f" focussize="0,0"/>
            <v:stroke on="f"/>
            <v:imagedata r:id="rId26" o:title=""/>
            <o:lock v:ext="edit" aspectratio="t"/>
            <w10:wrap type="none"/>
            <w10:anchorlock/>
          </v:shape>
          <o:OLEObject Type="Embed" ProgID="Equation.3" ShapeID="_x0000_i1026" DrawAspect="Content" ObjectID="_1468075726" r:id="rId25">
            <o:LockedField>false</o:LockedField>
          </o:OLEObject>
        </w:object>
      </w:r>
    </w:p>
    <w:p w14:paraId="0AA54CFF">
      <w:pPr>
        <w:snapToGrid w:val="0"/>
        <w:ind w:firstLine="48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object>
          <v:shape id="_x0000_i1027" o:spt="75" type="#_x0000_t75" style="height:36pt;width:92.95pt;" o:ole="t" filled="f" o:preferrelative="t" stroked="f" coordsize="21600,21600">
            <v:path/>
            <v:fill on="f" focussize="0,0"/>
            <v:stroke on="f"/>
            <v:imagedata r:id="rId28" o:title=""/>
            <o:lock v:ext="edit" aspectratio="t"/>
            <w10:wrap type="none"/>
            <w10:anchorlock/>
          </v:shape>
          <o:OLEObject Type="Embed" ProgID="Equation.3" ShapeID="_x0000_i1027" DrawAspect="Content" ObjectID="_1468075727" r:id="rId27">
            <o:LockedField>false</o:LockedField>
          </o:OLEObject>
        </w:object>
      </w:r>
      <w:r>
        <w:rPr>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object>
          <v:shape id="_x0000_i1028" o:spt="75" type="#_x0000_t75" style="height:18.75pt;width:53.25pt;" o:ole="t" filled="f" o:preferrelative="t" stroked="f" coordsize="21600,21600">
            <v:path/>
            <v:fill on="f" focussize="0,0"/>
            <v:stroke on="f"/>
            <v:imagedata r:id="rId30" o:title=""/>
            <o:lock v:ext="edit" aspectratio="t"/>
            <w10:wrap type="none"/>
            <w10:anchorlock/>
          </v:shape>
          <o:OLEObject Type="Embed" ProgID="Equation.3" ShapeID="_x0000_i1028" DrawAspect="Content" ObjectID="_1468075728" r:id="rId29">
            <o:LockedField>false</o:LockedField>
          </o:OLEObject>
        </w:object>
      </w:r>
    </w:p>
    <w:p w14:paraId="579D7C7D">
      <w:pPr>
        <w:tabs>
          <w:tab w:val="left" w:pos="1362"/>
        </w:tabs>
        <w:snapToGrid w:val="0"/>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其中：</w:t>
      </w:r>
      <w:r>
        <w:rPr>
          <w:rFonts w:hint="eastAsia"/>
          <w:color w:val="000000" w:themeColor="text1"/>
          <w:highlight w:val="none"/>
          <w14:textFill>
            <w14:solidFill>
              <w14:schemeClr w14:val="tx1"/>
            </w14:solidFill>
          </w14:textFill>
        </w:rPr>
        <w:t>S</w:t>
      </w:r>
      <w:r>
        <w:rPr>
          <w:color w:val="000000" w:themeColor="text1"/>
          <w:highlight w:val="none"/>
          <w:vertAlign w:val="subscript"/>
          <w14:textFill>
            <w14:solidFill>
              <w14:schemeClr w14:val="tx1"/>
            </w14:solidFill>
          </w14:textFill>
        </w:rPr>
        <w:t>pH，j</w:t>
      </w:r>
      <w:r>
        <w:rPr>
          <w:color w:val="000000" w:themeColor="text1"/>
          <w:highlight w:val="none"/>
          <w14:textFill>
            <w14:solidFill>
              <w14:schemeClr w14:val="tx1"/>
            </w14:solidFill>
          </w14:textFill>
        </w:rPr>
        <w:t>—pH标准指数；</w:t>
      </w:r>
    </w:p>
    <w:p w14:paraId="76C7C2BB">
      <w:pPr>
        <w:snapToGrid w:val="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pH</w:t>
      </w:r>
      <w:r>
        <w:rPr>
          <w:color w:val="000000" w:themeColor="text1"/>
          <w:highlight w:val="none"/>
          <w:vertAlign w:val="subscript"/>
          <w14:textFill>
            <w14:solidFill>
              <w14:schemeClr w14:val="tx1"/>
            </w14:solidFill>
          </w14:textFill>
        </w:rPr>
        <w:t>j</w:t>
      </w:r>
      <w:r>
        <w:rPr>
          <w:color w:val="000000" w:themeColor="text1"/>
          <w:highlight w:val="none"/>
          <w14:textFill>
            <w14:solidFill>
              <w14:schemeClr w14:val="tx1"/>
            </w14:solidFill>
          </w14:textFill>
        </w:rPr>
        <w:t>—实测pH值；</w:t>
      </w:r>
    </w:p>
    <w:p w14:paraId="401A3735">
      <w:pPr>
        <w:snapToGrid w:val="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pH</w:t>
      </w:r>
      <w:r>
        <w:rPr>
          <w:rFonts w:hint="eastAsia"/>
          <w:color w:val="000000" w:themeColor="text1"/>
          <w:highlight w:val="none"/>
          <w:vertAlign w:val="subscript"/>
          <w14:textFill>
            <w14:solidFill>
              <w14:schemeClr w14:val="tx1"/>
            </w14:solidFill>
          </w14:textFill>
        </w:rPr>
        <w:t>S</w:t>
      </w:r>
      <w:r>
        <w:rPr>
          <w:color w:val="000000" w:themeColor="text1"/>
          <w:highlight w:val="none"/>
          <w:vertAlign w:val="subscript"/>
          <w14:textFill>
            <w14:solidFill>
              <w14:schemeClr w14:val="tx1"/>
            </w14:solidFill>
          </w14:textFill>
        </w:rPr>
        <w:t>d</w:t>
      </w:r>
      <w:r>
        <w:rPr>
          <w:color w:val="000000" w:themeColor="text1"/>
          <w:highlight w:val="none"/>
          <w14:textFill>
            <w14:solidFill>
              <w14:schemeClr w14:val="tx1"/>
            </w14:solidFill>
          </w14:textFill>
        </w:rPr>
        <w:t>—标准中的pH值的下限值（6.5）；</w:t>
      </w:r>
    </w:p>
    <w:p w14:paraId="006E1C70">
      <w:pPr>
        <w:snapToGrid w:val="0"/>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pH</w:t>
      </w:r>
      <w:r>
        <w:rPr>
          <w:rFonts w:hint="eastAsia"/>
          <w:color w:val="000000" w:themeColor="text1"/>
          <w:highlight w:val="none"/>
          <w:vertAlign w:val="subscript"/>
          <w14:textFill>
            <w14:solidFill>
              <w14:schemeClr w14:val="tx1"/>
            </w14:solidFill>
          </w14:textFill>
        </w:rPr>
        <w:t>S</w:t>
      </w:r>
      <w:r>
        <w:rPr>
          <w:color w:val="000000" w:themeColor="text1"/>
          <w:highlight w:val="none"/>
          <w:vertAlign w:val="subscript"/>
          <w14:textFill>
            <w14:solidFill>
              <w14:schemeClr w14:val="tx1"/>
            </w14:solidFill>
          </w14:textFill>
        </w:rPr>
        <w:t>u</w:t>
      </w:r>
      <w:r>
        <w:rPr>
          <w:color w:val="000000" w:themeColor="text1"/>
          <w:highlight w:val="none"/>
          <w14:textFill>
            <w14:solidFill>
              <w14:schemeClr w14:val="tx1"/>
            </w14:solidFill>
          </w14:textFill>
        </w:rPr>
        <w:t>—标准中的pH值的上限值（8.5）；</w:t>
      </w:r>
    </w:p>
    <w:p w14:paraId="65885A05">
      <w:pPr>
        <w:ind w:firstLine="480"/>
        <w:rPr>
          <w:color w:val="000000" w:themeColor="text1"/>
          <w:highlight w:val="none"/>
          <w14:textFill>
            <w14:solidFill>
              <w14:schemeClr w14:val="tx1"/>
            </w14:solidFill>
          </w14:textFill>
        </w:rPr>
      </w:pPr>
      <w:bookmarkStart w:id="894" w:name="_Toc17833"/>
      <w:bookmarkStart w:id="895" w:name="_Toc2507"/>
      <w:bookmarkStart w:id="896" w:name="_Toc10160"/>
      <w:bookmarkStart w:id="897" w:name="_Toc20101"/>
      <w:bookmarkStart w:id="898" w:name="_Toc22318"/>
      <w:bookmarkStart w:id="899" w:name="_Toc28818"/>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）监测</w:t>
      </w:r>
      <w:r>
        <w:rPr>
          <w:rFonts w:hint="eastAsia"/>
          <w:color w:val="000000" w:themeColor="text1"/>
          <w:highlight w:val="none"/>
          <w14:textFill>
            <w14:solidFill>
              <w14:schemeClr w14:val="tx1"/>
            </w14:solidFill>
          </w14:textFill>
        </w:rPr>
        <w:t>评价</w:t>
      </w:r>
      <w:r>
        <w:rPr>
          <w:color w:val="000000" w:themeColor="text1"/>
          <w:highlight w:val="none"/>
          <w14:textFill>
            <w14:solidFill>
              <w14:schemeClr w14:val="tx1"/>
            </w14:solidFill>
          </w14:textFill>
        </w:rPr>
        <w:t>结果</w:t>
      </w:r>
      <w:bookmarkEnd w:id="894"/>
      <w:bookmarkEnd w:id="895"/>
      <w:bookmarkEnd w:id="896"/>
      <w:bookmarkEnd w:id="897"/>
      <w:bookmarkEnd w:id="898"/>
      <w:bookmarkEnd w:id="899"/>
    </w:p>
    <w:p w14:paraId="2206221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地下水监测</w:t>
      </w:r>
      <w:r>
        <w:rPr>
          <w:rFonts w:hint="eastAsia"/>
          <w:color w:val="000000" w:themeColor="text1"/>
          <w:highlight w:val="none"/>
          <w14:textFill>
            <w14:solidFill>
              <w14:schemeClr w14:val="tx1"/>
            </w14:solidFill>
          </w14:textFill>
        </w:rPr>
        <w:t>评价结果</w:t>
      </w:r>
      <w:r>
        <w:rPr>
          <w:color w:val="000000" w:themeColor="text1"/>
          <w:highlight w:val="none"/>
          <w14:textFill>
            <w14:solidFill>
              <w14:schemeClr w14:val="tx1"/>
            </w14:solidFill>
          </w14:textFill>
        </w:rPr>
        <w:t>见表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.3.2-2</w:t>
      </w:r>
      <w:r>
        <w:rPr>
          <w:color w:val="000000" w:themeColor="text1"/>
          <w:highlight w:val="none"/>
          <w14:textFill>
            <w14:solidFill>
              <w14:schemeClr w14:val="tx1"/>
            </w14:solidFill>
          </w14:textFill>
        </w:rPr>
        <w:t>。</w:t>
      </w:r>
    </w:p>
    <w:p w14:paraId="12D30295">
      <w:pPr>
        <w:pStyle w:val="27"/>
        <w:rPr>
          <w:color w:val="000000" w:themeColor="text1"/>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7BC0221">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 xml:space="preserve">.3.2-2     </w:t>
      </w:r>
      <w:r>
        <w:rPr>
          <w:color w:val="000000" w:themeColor="text1"/>
          <w:highlight w:val="none"/>
          <w14:textFill>
            <w14:solidFill>
              <w14:schemeClr w14:val="tx1"/>
            </w14:solidFill>
          </w14:textFill>
        </w:rPr>
        <w:t xml:space="preserve">   地下水水质监测</w:t>
      </w:r>
      <w:r>
        <w:rPr>
          <w:rFonts w:hint="eastAsia"/>
          <w:color w:val="000000" w:themeColor="text1"/>
          <w:highlight w:val="none"/>
          <w14:textFill>
            <w14:solidFill>
              <w14:schemeClr w14:val="tx1"/>
            </w14:solidFill>
          </w14:textFill>
        </w:rPr>
        <w:t>评价</w:t>
      </w:r>
      <w:r>
        <w:rPr>
          <w:color w:val="000000" w:themeColor="text1"/>
          <w:highlight w:val="none"/>
          <w14:textFill>
            <w14:solidFill>
              <w14:schemeClr w14:val="tx1"/>
            </w14:solidFill>
          </w14:textFill>
        </w:rPr>
        <w:t xml:space="preserve">结果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单位：</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g/L（pH除外）</w:t>
      </w:r>
    </w:p>
    <w:tbl>
      <w:tblPr>
        <w:tblStyle w:val="20"/>
        <w:tblW w:w="14740"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876"/>
        <w:gridCol w:w="1023"/>
        <w:gridCol w:w="1128"/>
        <w:gridCol w:w="1327"/>
        <w:gridCol w:w="1127"/>
        <w:gridCol w:w="1269"/>
        <w:gridCol w:w="1238"/>
        <w:gridCol w:w="1206"/>
        <w:gridCol w:w="1227"/>
        <w:gridCol w:w="1102"/>
        <w:gridCol w:w="1030"/>
        <w:gridCol w:w="1187"/>
      </w:tblGrid>
      <w:tr w14:paraId="33D7F3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vMerge w:val="restart"/>
            <w:noWrap w:val="0"/>
            <w:vAlign w:val="center"/>
          </w:tcPr>
          <w:p w14:paraId="51DA966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检测项目</w:t>
            </w:r>
          </w:p>
        </w:tc>
        <w:tc>
          <w:tcPr>
            <w:tcW w:w="1023" w:type="dxa"/>
            <w:vMerge w:val="restart"/>
            <w:noWrap w:val="0"/>
            <w:vAlign w:val="center"/>
          </w:tcPr>
          <w:p w14:paraId="16806B2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标准限值</w:t>
            </w:r>
          </w:p>
        </w:tc>
        <w:tc>
          <w:tcPr>
            <w:tcW w:w="2455" w:type="dxa"/>
            <w:gridSpan w:val="2"/>
            <w:noWrap w:val="0"/>
            <w:vAlign w:val="center"/>
          </w:tcPr>
          <w:p w14:paraId="1E23CF8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地下水监测点1#</w:t>
            </w:r>
          </w:p>
        </w:tc>
        <w:tc>
          <w:tcPr>
            <w:tcW w:w="2396" w:type="dxa"/>
            <w:gridSpan w:val="2"/>
            <w:noWrap w:val="0"/>
            <w:vAlign w:val="center"/>
          </w:tcPr>
          <w:p w14:paraId="3897BD9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地下水监测点2#</w:t>
            </w:r>
          </w:p>
        </w:tc>
        <w:tc>
          <w:tcPr>
            <w:tcW w:w="2444" w:type="dxa"/>
            <w:gridSpan w:val="2"/>
            <w:noWrap w:val="0"/>
            <w:vAlign w:val="center"/>
          </w:tcPr>
          <w:p w14:paraId="030B600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地下水监测点3#</w:t>
            </w:r>
          </w:p>
        </w:tc>
        <w:tc>
          <w:tcPr>
            <w:tcW w:w="2329" w:type="dxa"/>
            <w:gridSpan w:val="2"/>
            <w:noWrap w:val="0"/>
            <w:vAlign w:val="center"/>
          </w:tcPr>
          <w:p w14:paraId="000E735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地下水监测点4#</w:t>
            </w:r>
          </w:p>
        </w:tc>
        <w:tc>
          <w:tcPr>
            <w:tcW w:w="2217" w:type="dxa"/>
            <w:gridSpan w:val="2"/>
            <w:noWrap w:val="0"/>
            <w:vAlign w:val="center"/>
          </w:tcPr>
          <w:p w14:paraId="4F6BE7D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地下水监测点5#</w:t>
            </w:r>
          </w:p>
        </w:tc>
      </w:tr>
      <w:tr w14:paraId="26BF86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vMerge w:val="continue"/>
            <w:tcBorders>
              <w:bottom w:val="single" w:color="000000" w:sz="12" w:space="0"/>
            </w:tcBorders>
            <w:noWrap w:val="0"/>
            <w:vAlign w:val="center"/>
          </w:tcPr>
          <w:p w14:paraId="32F0385F">
            <w:pPr>
              <w:pStyle w:val="26"/>
              <w:rPr>
                <w:rFonts w:hint="eastAsia"/>
                <w:b/>
                <w:bCs/>
                <w:color w:val="000000" w:themeColor="text1"/>
                <w:highlight w:val="none"/>
                <w14:textFill>
                  <w14:solidFill>
                    <w14:schemeClr w14:val="tx1"/>
                  </w14:solidFill>
                </w14:textFill>
              </w:rPr>
            </w:pPr>
          </w:p>
        </w:tc>
        <w:tc>
          <w:tcPr>
            <w:tcW w:w="1023" w:type="dxa"/>
            <w:vMerge w:val="continue"/>
            <w:tcBorders>
              <w:bottom w:val="single" w:color="000000" w:sz="12" w:space="0"/>
            </w:tcBorders>
            <w:noWrap w:val="0"/>
            <w:vAlign w:val="center"/>
          </w:tcPr>
          <w:p w14:paraId="78687A4C">
            <w:pPr>
              <w:pStyle w:val="26"/>
              <w:rPr>
                <w:rFonts w:hint="eastAsia"/>
                <w:b/>
                <w:bCs/>
                <w:color w:val="000000" w:themeColor="text1"/>
                <w:highlight w:val="none"/>
                <w14:textFill>
                  <w14:solidFill>
                    <w14:schemeClr w14:val="tx1"/>
                  </w14:solidFill>
                </w14:textFill>
              </w:rPr>
            </w:pPr>
          </w:p>
        </w:tc>
        <w:tc>
          <w:tcPr>
            <w:tcW w:w="1128" w:type="dxa"/>
            <w:tcBorders>
              <w:bottom w:val="single" w:color="000000" w:sz="12" w:space="0"/>
            </w:tcBorders>
            <w:noWrap w:val="0"/>
            <w:vAlign w:val="center"/>
          </w:tcPr>
          <w:p w14:paraId="1EF932D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监测值</w:t>
            </w:r>
          </w:p>
        </w:tc>
        <w:tc>
          <w:tcPr>
            <w:tcW w:w="1327" w:type="dxa"/>
            <w:tcBorders>
              <w:bottom w:val="single" w:color="000000" w:sz="12" w:space="0"/>
            </w:tcBorders>
            <w:noWrap w:val="0"/>
            <w:vAlign w:val="center"/>
          </w:tcPr>
          <w:p w14:paraId="1DD7915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标准指数</w:t>
            </w:r>
          </w:p>
        </w:tc>
        <w:tc>
          <w:tcPr>
            <w:tcW w:w="1127" w:type="dxa"/>
            <w:tcBorders>
              <w:bottom w:val="single" w:color="000000" w:sz="12" w:space="0"/>
            </w:tcBorders>
            <w:noWrap w:val="0"/>
            <w:vAlign w:val="center"/>
          </w:tcPr>
          <w:p w14:paraId="2F38504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监测值</w:t>
            </w:r>
          </w:p>
        </w:tc>
        <w:tc>
          <w:tcPr>
            <w:tcW w:w="1269" w:type="dxa"/>
            <w:tcBorders>
              <w:bottom w:val="single" w:color="000000" w:sz="12" w:space="0"/>
            </w:tcBorders>
            <w:noWrap w:val="0"/>
            <w:vAlign w:val="center"/>
          </w:tcPr>
          <w:p w14:paraId="57E6478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标准指数</w:t>
            </w:r>
          </w:p>
        </w:tc>
        <w:tc>
          <w:tcPr>
            <w:tcW w:w="1238" w:type="dxa"/>
            <w:tcBorders>
              <w:bottom w:val="single" w:color="000000" w:sz="12" w:space="0"/>
            </w:tcBorders>
            <w:noWrap w:val="0"/>
            <w:vAlign w:val="center"/>
          </w:tcPr>
          <w:p w14:paraId="0CDE928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监测值</w:t>
            </w:r>
          </w:p>
        </w:tc>
        <w:tc>
          <w:tcPr>
            <w:tcW w:w="1206" w:type="dxa"/>
            <w:tcBorders>
              <w:bottom w:val="single" w:color="000000" w:sz="12" w:space="0"/>
            </w:tcBorders>
            <w:noWrap w:val="0"/>
            <w:vAlign w:val="center"/>
          </w:tcPr>
          <w:p w14:paraId="3398B21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标准指数</w:t>
            </w:r>
          </w:p>
        </w:tc>
        <w:tc>
          <w:tcPr>
            <w:tcW w:w="1227" w:type="dxa"/>
            <w:tcBorders>
              <w:bottom w:val="single" w:color="000000" w:sz="12" w:space="0"/>
            </w:tcBorders>
            <w:noWrap w:val="0"/>
            <w:vAlign w:val="center"/>
          </w:tcPr>
          <w:p w14:paraId="1857F62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监测值</w:t>
            </w:r>
          </w:p>
        </w:tc>
        <w:tc>
          <w:tcPr>
            <w:tcW w:w="1102" w:type="dxa"/>
            <w:tcBorders>
              <w:bottom w:val="single" w:color="000000" w:sz="12" w:space="0"/>
            </w:tcBorders>
            <w:noWrap w:val="0"/>
            <w:vAlign w:val="center"/>
          </w:tcPr>
          <w:p w14:paraId="0E956BF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标准指数</w:t>
            </w:r>
          </w:p>
        </w:tc>
        <w:tc>
          <w:tcPr>
            <w:tcW w:w="1030" w:type="dxa"/>
            <w:tcBorders>
              <w:bottom w:val="single" w:color="000000" w:sz="12" w:space="0"/>
            </w:tcBorders>
            <w:noWrap w:val="0"/>
            <w:textDirection w:val="tbRlV"/>
            <w:vAlign w:val="center"/>
          </w:tcPr>
          <w:p w14:paraId="01DCDB5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值测监</w:t>
            </w:r>
          </w:p>
        </w:tc>
        <w:tc>
          <w:tcPr>
            <w:tcW w:w="1187" w:type="dxa"/>
            <w:tcBorders>
              <w:bottom w:val="single" w:color="000000" w:sz="12" w:space="0"/>
            </w:tcBorders>
            <w:noWrap w:val="0"/>
            <w:vAlign w:val="center"/>
          </w:tcPr>
          <w:p w14:paraId="58371FF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标准指数</w:t>
            </w:r>
          </w:p>
        </w:tc>
      </w:tr>
      <w:tr w14:paraId="1873CC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tcBorders>
              <w:top w:val="single" w:color="000000" w:sz="12" w:space="0"/>
            </w:tcBorders>
            <w:noWrap w:val="0"/>
            <w:vAlign w:val="center"/>
          </w:tcPr>
          <w:p w14:paraId="3AB0EEE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pH（无量纲）</w:t>
            </w:r>
          </w:p>
        </w:tc>
        <w:tc>
          <w:tcPr>
            <w:tcW w:w="1023" w:type="dxa"/>
            <w:tcBorders>
              <w:top w:val="single" w:color="000000" w:sz="12" w:space="0"/>
            </w:tcBorders>
            <w:noWrap w:val="0"/>
            <w:vAlign w:val="center"/>
          </w:tcPr>
          <w:p w14:paraId="6857277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6.5-8.5</w:t>
            </w:r>
          </w:p>
        </w:tc>
        <w:tc>
          <w:tcPr>
            <w:tcW w:w="1128" w:type="dxa"/>
            <w:tcBorders>
              <w:top w:val="single" w:color="000000" w:sz="12" w:space="0"/>
            </w:tcBorders>
            <w:noWrap w:val="0"/>
            <w:vAlign w:val="center"/>
          </w:tcPr>
          <w:p w14:paraId="004C8CA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7.3</w:t>
            </w:r>
          </w:p>
        </w:tc>
        <w:tc>
          <w:tcPr>
            <w:tcW w:w="1327" w:type="dxa"/>
            <w:tcBorders>
              <w:top w:val="single" w:color="000000" w:sz="12" w:space="0"/>
            </w:tcBorders>
            <w:noWrap w:val="0"/>
            <w:vAlign w:val="center"/>
          </w:tcPr>
          <w:p w14:paraId="2004BF2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127" w:type="dxa"/>
            <w:tcBorders>
              <w:top w:val="single" w:color="000000" w:sz="12" w:space="0"/>
            </w:tcBorders>
            <w:noWrap w:val="0"/>
            <w:vAlign w:val="center"/>
          </w:tcPr>
          <w:p w14:paraId="3F52DDA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7.2</w:t>
            </w:r>
          </w:p>
        </w:tc>
        <w:tc>
          <w:tcPr>
            <w:tcW w:w="1269" w:type="dxa"/>
            <w:tcBorders>
              <w:top w:val="single" w:color="000000" w:sz="12" w:space="0"/>
            </w:tcBorders>
            <w:noWrap w:val="0"/>
            <w:vAlign w:val="center"/>
          </w:tcPr>
          <w:p w14:paraId="131A93D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238" w:type="dxa"/>
            <w:tcBorders>
              <w:top w:val="single" w:color="000000" w:sz="12" w:space="0"/>
            </w:tcBorders>
            <w:noWrap w:val="0"/>
            <w:vAlign w:val="center"/>
          </w:tcPr>
          <w:p w14:paraId="2269127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7.2</w:t>
            </w:r>
          </w:p>
        </w:tc>
        <w:tc>
          <w:tcPr>
            <w:tcW w:w="1206" w:type="dxa"/>
            <w:tcBorders>
              <w:top w:val="single" w:color="000000" w:sz="12" w:space="0"/>
            </w:tcBorders>
            <w:noWrap w:val="0"/>
            <w:vAlign w:val="center"/>
          </w:tcPr>
          <w:p w14:paraId="4B48AFC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227" w:type="dxa"/>
            <w:tcBorders>
              <w:top w:val="single" w:color="000000" w:sz="12" w:space="0"/>
            </w:tcBorders>
            <w:noWrap w:val="0"/>
            <w:vAlign w:val="center"/>
          </w:tcPr>
          <w:p w14:paraId="113A813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7.4</w:t>
            </w:r>
          </w:p>
        </w:tc>
        <w:tc>
          <w:tcPr>
            <w:tcW w:w="1102" w:type="dxa"/>
            <w:tcBorders>
              <w:top w:val="single" w:color="000000" w:sz="12" w:space="0"/>
            </w:tcBorders>
            <w:noWrap w:val="0"/>
            <w:vAlign w:val="center"/>
          </w:tcPr>
          <w:p w14:paraId="721E5D3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030" w:type="dxa"/>
            <w:tcBorders>
              <w:top w:val="single" w:color="000000" w:sz="12" w:space="0"/>
            </w:tcBorders>
            <w:noWrap w:val="0"/>
            <w:vAlign w:val="center"/>
          </w:tcPr>
          <w:p w14:paraId="74403CD6">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7.2</w:t>
            </w:r>
          </w:p>
        </w:tc>
        <w:tc>
          <w:tcPr>
            <w:tcW w:w="1187" w:type="dxa"/>
            <w:tcBorders>
              <w:top w:val="single" w:color="000000" w:sz="12" w:space="0"/>
            </w:tcBorders>
            <w:noWrap w:val="0"/>
            <w:vAlign w:val="center"/>
          </w:tcPr>
          <w:p w14:paraId="1A90F90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4BAC04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0961EBF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总硬度</w:t>
            </w:r>
          </w:p>
        </w:tc>
        <w:tc>
          <w:tcPr>
            <w:tcW w:w="1023" w:type="dxa"/>
            <w:noWrap w:val="0"/>
            <w:vAlign w:val="center"/>
          </w:tcPr>
          <w:p w14:paraId="585DE03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450</w:t>
            </w:r>
          </w:p>
        </w:tc>
        <w:tc>
          <w:tcPr>
            <w:tcW w:w="1128" w:type="dxa"/>
            <w:shd w:val="clear" w:color="auto" w:fill="auto"/>
            <w:noWrap w:val="0"/>
            <w:vAlign w:val="center"/>
          </w:tcPr>
          <w:p w14:paraId="3DEADD02">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270</w:t>
            </w:r>
          </w:p>
        </w:tc>
        <w:tc>
          <w:tcPr>
            <w:tcW w:w="1327" w:type="dxa"/>
            <w:shd w:val="clear" w:color="auto" w:fill="auto"/>
            <w:noWrap w:val="0"/>
            <w:vAlign w:val="center"/>
          </w:tcPr>
          <w:p w14:paraId="74ECEDDE">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0.6</w:t>
            </w:r>
          </w:p>
        </w:tc>
        <w:tc>
          <w:tcPr>
            <w:tcW w:w="1127" w:type="dxa"/>
            <w:shd w:val="clear" w:color="auto" w:fill="auto"/>
            <w:noWrap w:val="0"/>
            <w:vAlign w:val="center"/>
          </w:tcPr>
          <w:p w14:paraId="560D3A19">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165</w:t>
            </w:r>
          </w:p>
        </w:tc>
        <w:tc>
          <w:tcPr>
            <w:tcW w:w="1269" w:type="dxa"/>
            <w:shd w:val="clear" w:color="auto" w:fill="auto"/>
            <w:noWrap w:val="0"/>
            <w:vAlign w:val="center"/>
          </w:tcPr>
          <w:p w14:paraId="52152A84">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0.37</w:t>
            </w:r>
          </w:p>
        </w:tc>
        <w:tc>
          <w:tcPr>
            <w:tcW w:w="1238" w:type="dxa"/>
            <w:shd w:val="clear" w:color="auto" w:fill="auto"/>
            <w:noWrap w:val="0"/>
            <w:vAlign w:val="center"/>
          </w:tcPr>
          <w:p w14:paraId="43B4ADE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272</w:t>
            </w:r>
          </w:p>
        </w:tc>
        <w:tc>
          <w:tcPr>
            <w:tcW w:w="1206" w:type="dxa"/>
            <w:shd w:val="clear" w:color="auto" w:fill="auto"/>
            <w:noWrap w:val="0"/>
            <w:vAlign w:val="center"/>
          </w:tcPr>
          <w:p w14:paraId="35BB8ABC">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0.60</w:t>
            </w:r>
          </w:p>
        </w:tc>
        <w:tc>
          <w:tcPr>
            <w:tcW w:w="1227" w:type="dxa"/>
            <w:shd w:val="clear" w:color="auto" w:fill="auto"/>
            <w:noWrap w:val="0"/>
            <w:vAlign w:val="center"/>
          </w:tcPr>
          <w:p w14:paraId="41F68F24">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162</w:t>
            </w:r>
          </w:p>
        </w:tc>
        <w:tc>
          <w:tcPr>
            <w:tcW w:w="1102" w:type="dxa"/>
            <w:shd w:val="clear" w:color="auto" w:fill="auto"/>
            <w:noWrap w:val="0"/>
            <w:vAlign w:val="center"/>
          </w:tcPr>
          <w:p w14:paraId="61B3495A">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0.36</w:t>
            </w:r>
          </w:p>
        </w:tc>
        <w:tc>
          <w:tcPr>
            <w:tcW w:w="1030" w:type="dxa"/>
            <w:noWrap w:val="0"/>
            <w:vAlign w:val="center"/>
          </w:tcPr>
          <w:p w14:paraId="2D9D5A10">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157</w:t>
            </w:r>
          </w:p>
        </w:tc>
        <w:tc>
          <w:tcPr>
            <w:tcW w:w="1187" w:type="dxa"/>
            <w:noWrap w:val="0"/>
            <w:vAlign w:val="center"/>
          </w:tcPr>
          <w:p w14:paraId="28690E4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0.35</w:t>
            </w:r>
          </w:p>
        </w:tc>
      </w:tr>
      <w:tr w14:paraId="55CCA6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60B3183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溶解性总固体</w:t>
            </w:r>
          </w:p>
        </w:tc>
        <w:tc>
          <w:tcPr>
            <w:tcW w:w="1023" w:type="dxa"/>
            <w:noWrap w:val="0"/>
            <w:vAlign w:val="center"/>
          </w:tcPr>
          <w:p w14:paraId="503BBCE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1000</w:t>
            </w:r>
          </w:p>
        </w:tc>
        <w:tc>
          <w:tcPr>
            <w:tcW w:w="1128" w:type="dxa"/>
            <w:shd w:val="clear" w:color="auto" w:fill="auto"/>
            <w:noWrap w:val="0"/>
            <w:vAlign w:val="center"/>
          </w:tcPr>
          <w:p w14:paraId="19918B0B">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344</w:t>
            </w:r>
          </w:p>
        </w:tc>
        <w:tc>
          <w:tcPr>
            <w:tcW w:w="1327" w:type="dxa"/>
            <w:shd w:val="clear" w:color="auto" w:fill="auto"/>
            <w:noWrap w:val="0"/>
            <w:vAlign w:val="center"/>
          </w:tcPr>
          <w:p w14:paraId="795FC139">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0.344</w:t>
            </w:r>
          </w:p>
        </w:tc>
        <w:tc>
          <w:tcPr>
            <w:tcW w:w="1127" w:type="dxa"/>
            <w:shd w:val="clear" w:color="auto" w:fill="auto"/>
            <w:noWrap w:val="0"/>
            <w:vAlign w:val="center"/>
          </w:tcPr>
          <w:p w14:paraId="23FC85F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350</w:t>
            </w:r>
          </w:p>
        </w:tc>
        <w:tc>
          <w:tcPr>
            <w:tcW w:w="1269" w:type="dxa"/>
            <w:shd w:val="clear" w:color="auto" w:fill="auto"/>
            <w:noWrap w:val="0"/>
            <w:vAlign w:val="center"/>
          </w:tcPr>
          <w:p w14:paraId="6849B608">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0.35</w:t>
            </w:r>
          </w:p>
        </w:tc>
        <w:tc>
          <w:tcPr>
            <w:tcW w:w="1238" w:type="dxa"/>
            <w:shd w:val="clear" w:color="auto" w:fill="auto"/>
            <w:noWrap w:val="0"/>
            <w:vAlign w:val="center"/>
          </w:tcPr>
          <w:p w14:paraId="4161EA9D">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344</w:t>
            </w:r>
          </w:p>
        </w:tc>
        <w:tc>
          <w:tcPr>
            <w:tcW w:w="1206" w:type="dxa"/>
            <w:shd w:val="clear" w:color="auto" w:fill="auto"/>
            <w:noWrap w:val="0"/>
            <w:vAlign w:val="center"/>
          </w:tcPr>
          <w:p w14:paraId="695F0994">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0.34</w:t>
            </w:r>
          </w:p>
        </w:tc>
        <w:tc>
          <w:tcPr>
            <w:tcW w:w="1227" w:type="dxa"/>
            <w:shd w:val="clear" w:color="auto" w:fill="auto"/>
            <w:noWrap w:val="0"/>
            <w:vAlign w:val="center"/>
          </w:tcPr>
          <w:p w14:paraId="0E630413">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356</w:t>
            </w:r>
          </w:p>
        </w:tc>
        <w:tc>
          <w:tcPr>
            <w:tcW w:w="1102" w:type="dxa"/>
            <w:shd w:val="clear" w:color="auto" w:fill="auto"/>
            <w:noWrap w:val="0"/>
            <w:vAlign w:val="center"/>
          </w:tcPr>
          <w:p w14:paraId="5210C209">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0.356</w:t>
            </w:r>
          </w:p>
        </w:tc>
        <w:tc>
          <w:tcPr>
            <w:tcW w:w="1030" w:type="dxa"/>
            <w:noWrap w:val="0"/>
            <w:vAlign w:val="center"/>
          </w:tcPr>
          <w:p w14:paraId="6770C7E4">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350</w:t>
            </w:r>
          </w:p>
        </w:tc>
        <w:tc>
          <w:tcPr>
            <w:tcW w:w="1187" w:type="dxa"/>
            <w:noWrap w:val="0"/>
            <w:vAlign w:val="center"/>
          </w:tcPr>
          <w:p w14:paraId="1AA2803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0.35</w:t>
            </w:r>
          </w:p>
        </w:tc>
      </w:tr>
      <w:tr w14:paraId="06AB16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566EBDE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砷</w:t>
            </w:r>
          </w:p>
        </w:tc>
        <w:tc>
          <w:tcPr>
            <w:tcW w:w="1023" w:type="dxa"/>
            <w:noWrap w:val="0"/>
            <w:vAlign w:val="center"/>
          </w:tcPr>
          <w:p w14:paraId="27FACD7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0.01</w:t>
            </w:r>
          </w:p>
        </w:tc>
        <w:tc>
          <w:tcPr>
            <w:tcW w:w="1128" w:type="dxa"/>
            <w:noWrap w:val="0"/>
            <w:vAlign w:val="center"/>
          </w:tcPr>
          <w:p w14:paraId="753283D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0.0004</w:t>
            </w:r>
          </w:p>
        </w:tc>
        <w:tc>
          <w:tcPr>
            <w:tcW w:w="1327" w:type="dxa"/>
            <w:noWrap w:val="0"/>
            <w:vAlign w:val="center"/>
          </w:tcPr>
          <w:p w14:paraId="5CE9B84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0.04</w:t>
            </w:r>
          </w:p>
        </w:tc>
        <w:tc>
          <w:tcPr>
            <w:tcW w:w="1127" w:type="dxa"/>
            <w:noWrap w:val="0"/>
            <w:vAlign w:val="center"/>
          </w:tcPr>
          <w:p w14:paraId="79E603F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5A9F4C6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7576961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4249D66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5322DD6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2A7B5B0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2C61272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0587A0E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23811E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876" w:type="dxa"/>
            <w:noWrap w:val="0"/>
            <w:vAlign w:val="center"/>
          </w:tcPr>
          <w:p w14:paraId="390376A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镉</w:t>
            </w:r>
          </w:p>
        </w:tc>
        <w:tc>
          <w:tcPr>
            <w:tcW w:w="1023" w:type="dxa"/>
            <w:noWrap w:val="0"/>
            <w:vAlign w:val="center"/>
          </w:tcPr>
          <w:p w14:paraId="7349619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0.005</w:t>
            </w:r>
          </w:p>
        </w:tc>
        <w:tc>
          <w:tcPr>
            <w:tcW w:w="1128" w:type="dxa"/>
            <w:noWrap w:val="0"/>
            <w:vAlign w:val="center"/>
          </w:tcPr>
          <w:p w14:paraId="4823612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noWrap w:val="0"/>
            <w:vAlign w:val="center"/>
          </w:tcPr>
          <w:p w14:paraId="0B864C1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noWrap w:val="0"/>
            <w:vAlign w:val="center"/>
          </w:tcPr>
          <w:p w14:paraId="3060CEB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6BD7B2E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5DE01A6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6283AFA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5D07CE9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5D0B15E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2CCB118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5AF41403">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59CF58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3F2265C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铅</w:t>
            </w:r>
          </w:p>
        </w:tc>
        <w:tc>
          <w:tcPr>
            <w:tcW w:w="1023" w:type="dxa"/>
            <w:noWrap w:val="0"/>
            <w:vAlign w:val="center"/>
          </w:tcPr>
          <w:p w14:paraId="7427B0A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0.01</w:t>
            </w:r>
          </w:p>
        </w:tc>
        <w:tc>
          <w:tcPr>
            <w:tcW w:w="1128" w:type="dxa"/>
            <w:noWrap w:val="0"/>
            <w:vAlign w:val="center"/>
          </w:tcPr>
          <w:p w14:paraId="5AFFAA9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noWrap w:val="0"/>
            <w:vAlign w:val="center"/>
          </w:tcPr>
          <w:p w14:paraId="1DFBA44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noWrap w:val="0"/>
            <w:vAlign w:val="center"/>
          </w:tcPr>
          <w:p w14:paraId="7F16F56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0B91369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46100D03">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3F6590B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3B61411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7515ADC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34F2874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7C4C578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22DBBE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547394E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挥发酚</w:t>
            </w:r>
          </w:p>
        </w:tc>
        <w:tc>
          <w:tcPr>
            <w:tcW w:w="1023" w:type="dxa"/>
            <w:noWrap w:val="0"/>
            <w:vAlign w:val="center"/>
          </w:tcPr>
          <w:p w14:paraId="73EFC7D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0.002</w:t>
            </w:r>
          </w:p>
        </w:tc>
        <w:tc>
          <w:tcPr>
            <w:tcW w:w="1128" w:type="dxa"/>
            <w:noWrap w:val="0"/>
            <w:vAlign w:val="center"/>
          </w:tcPr>
          <w:p w14:paraId="6D774B4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noWrap w:val="0"/>
            <w:vAlign w:val="center"/>
          </w:tcPr>
          <w:p w14:paraId="7A5D042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noWrap w:val="0"/>
            <w:vAlign w:val="center"/>
          </w:tcPr>
          <w:p w14:paraId="41A3F47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1AB7A13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73995EE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051E191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5A4FDAE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6BADCFD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2170CB6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5F035C7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23F184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24B20B3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总大肠菌群MPN/100mL</w:t>
            </w:r>
          </w:p>
        </w:tc>
        <w:tc>
          <w:tcPr>
            <w:tcW w:w="1023" w:type="dxa"/>
            <w:noWrap w:val="0"/>
            <w:vAlign w:val="center"/>
          </w:tcPr>
          <w:p w14:paraId="0695B12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1128" w:type="dxa"/>
            <w:shd w:val="clear" w:color="auto" w:fill="auto"/>
            <w:noWrap w:val="0"/>
            <w:vAlign w:val="center"/>
          </w:tcPr>
          <w:p w14:paraId="61D77F8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shd w:val="clear" w:color="auto" w:fill="auto"/>
            <w:noWrap w:val="0"/>
            <w:vAlign w:val="center"/>
          </w:tcPr>
          <w:p w14:paraId="6320019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shd w:val="clear" w:color="auto" w:fill="auto"/>
            <w:noWrap w:val="0"/>
            <w:vAlign w:val="center"/>
          </w:tcPr>
          <w:p w14:paraId="166C892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shd w:val="clear" w:color="auto" w:fill="auto"/>
            <w:noWrap w:val="0"/>
            <w:vAlign w:val="center"/>
          </w:tcPr>
          <w:p w14:paraId="09AB6FC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shd w:val="clear" w:color="auto" w:fill="auto"/>
            <w:noWrap w:val="0"/>
            <w:vAlign w:val="center"/>
          </w:tcPr>
          <w:p w14:paraId="0F16824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shd w:val="clear" w:color="auto" w:fill="auto"/>
            <w:noWrap w:val="0"/>
            <w:vAlign w:val="center"/>
          </w:tcPr>
          <w:p w14:paraId="4A3216B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shd w:val="clear" w:color="auto" w:fill="auto"/>
            <w:noWrap w:val="0"/>
            <w:vAlign w:val="center"/>
          </w:tcPr>
          <w:p w14:paraId="50752F9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shd w:val="clear" w:color="auto" w:fill="auto"/>
            <w:noWrap w:val="0"/>
            <w:vAlign w:val="center"/>
          </w:tcPr>
          <w:p w14:paraId="06928D5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shd w:val="clear" w:color="auto" w:fill="auto"/>
            <w:noWrap w:val="0"/>
            <w:vAlign w:val="center"/>
          </w:tcPr>
          <w:p w14:paraId="7BB3107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shd w:val="clear" w:color="auto" w:fill="auto"/>
            <w:noWrap w:val="0"/>
            <w:vAlign w:val="center"/>
          </w:tcPr>
          <w:p w14:paraId="1A5D6C1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237EDAC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13DAF5A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耗氧量</w:t>
            </w:r>
          </w:p>
        </w:tc>
        <w:tc>
          <w:tcPr>
            <w:tcW w:w="1023" w:type="dxa"/>
            <w:noWrap w:val="0"/>
            <w:vAlign w:val="center"/>
          </w:tcPr>
          <w:p w14:paraId="33F758C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1128" w:type="dxa"/>
            <w:shd w:val="clear" w:color="auto" w:fill="auto"/>
            <w:noWrap w:val="0"/>
            <w:vAlign w:val="center"/>
          </w:tcPr>
          <w:p w14:paraId="62017BA5">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0.9</w:t>
            </w:r>
          </w:p>
        </w:tc>
        <w:tc>
          <w:tcPr>
            <w:tcW w:w="1327" w:type="dxa"/>
            <w:shd w:val="clear" w:color="auto" w:fill="auto"/>
            <w:noWrap w:val="0"/>
            <w:vAlign w:val="center"/>
          </w:tcPr>
          <w:p w14:paraId="2DAA2B3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w:t>
            </w:r>
          </w:p>
        </w:tc>
        <w:tc>
          <w:tcPr>
            <w:tcW w:w="1127" w:type="dxa"/>
            <w:shd w:val="clear" w:color="auto" w:fill="auto"/>
            <w:noWrap w:val="0"/>
            <w:vAlign w:val="center"/>
          </w:tcPr>
          <w:p w14:paraId="35C2E0EB">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1.2</w:t>
            </w:r>
          </w:p>
        </w:tc>
        <w:tc>
          <w:tcPr>
            <w:tcW w:w="1269" w:type="dxa"/>
            <w:shd w:val="clear" w:color="auto" w:fill="auto"/>
            <w:noWrap w:val="0"/>
            <w:vAlign w:val="center"/>
          </w:tcPr>
          <w:p w14:paraId="604DD762">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0.40</w:t>
            </w:r>
          </w:p>
        </w:tc>
        <w:tc>
          <w:tcPr>
            <w:tcW w:w="1238" w:type="dxa"/>
            <w:shd w:val="clear" w:color="auto" w:fill="auto"/>
            <w:noWrap w:val="0"/>
            <w:vAlign w:val="center"/>
          </w:tcPr>
          <w:p w14:paraId="75F7915F">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1.1</w:t>
            </w:r>
          </w:p>
        </w:tc>
        <w:tc>
          <w:tcPr>
            <w:tcW w:w="1206" w:type="dxa"/>
            <w:shd w:val="clear" w:color="auto" w:fill="auto"/>
            <w:noWrap w:val="0"/>
            <w:vAlign w:val="center"/>
          </w:tcPr>
          <w:p w14:paraId="1C17801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0.37</w:t>
            </w:r>
          </w:p>
        </w:tc>
        <w:tc>
          <w:tcPr>
            <w:tcW w:w="1227" w:type="dxa"/>
            <w:shd w:val="clear" w:color="auto" w:fill="auto"/>
            <w:noWrap w:val="0"/>
            <w:vAlign w:val="center"/>
          </w:tcPr>
          <w:p w14:paraId="40ACBDA1">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1.1</w:t>
            </w:r>
          </w:p>
        </w:tc>
        <w:tc>
          <w:tcPr>
            <w:tcW w:w="1102" w:type="dxa"/>
            <w:shd w:val="clear" w:color="auto" w:fill="auto"/>
            <w:noWrap w:val="0"/>
            <w:vAlign w:val="center"/>
          </w:tcPr>
          <w:p w14:paraId="1EDDBDB0">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0.367</w:t>
            </w:r>
          </w:p>
        </w:tc>
        <w:tc>
          <w:tcPr>
            <w:tcW w:w="1030" w:type="dxa"/>
            <w:noWrap w:val="0"/>
            <w:vAlign w:val="center"/>
          </w:tcPr>
          <w:p w14:paraId="45FD8034">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0.8</w:t>
            </w:r>
          </w:p>
        </w:tc>
        <w:tc>
          <w:tcPr>
            <w:tcW w:w="1187" w:type="dxa"/>
            <w:noWrap w:val="0"/>
            <w:vAlign w:val="center"/>
          </w:tcPr>
          <w:p w14:paraId="790E556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0.27</w:t>
            </w:r>
          </w:p>
        </w:tc>
      </w:tr>
      <w:tr w14:paraId="11E384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505D5BB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硫酸盐</w:t>
            </w:r>
          </w:p>
        </w:tc>
        <w:tc>
          <w:tcPr>
            <w:tcW w:w="1023" w:type="dxa"/>
            <w:noWrap w:val="0"/>
            <w:vAlign w:val="center"/>
          </w:tcPr>
          <w:p w14:paraId="77D3DFB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250</w:t>
            </w:r>
          </w:p>
        </w:tc>
        <w:tc>
          <w:tcPr>
            <w:tcW w:w="1128" w:type="dxa"/>
            <w:shd w:val="clear" w:color="auto" w:fill="auto"/>
            <w:noWrap w:val="0"/>
            <w:vAlign w:val="center"/>
          </w:tcPr>
          <w:p w14:paraId="0C584571">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78.3</w:t>
            </w:r>
          </w:p>
        </w:tc>
        <w:tc>
          <w:tcPr>
            <w:tcW w:w="1327" w:type="dxa"/>
            <w:shd w:val="clear" w:color="auto" w:fill="auto"/>
            <w:noWrap w:val="0"/>
            <w:vAlign w:val="center"/>
          </w:tcPr>
          <w:p w14:paraId="403464F4">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0.31</w:t>
            </w:r>
          </w:p>
        </w:tc>
        <w:tc>
          <w:tcPr>
            <w:tcW w:w="1127" w:type="dxa"/>
            <w:shd w:val="clear" w:color="auto" w:fill="auto"/>
            <w:noWrap w:val="0"/>
            <w:vAlign w:val="center"/>
          </w:tcPr>
          <w:p w14:paraId="0214E4CB">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39.1</w:t>
            </w:r>
          </w:p>
        </w:tc>
        <w:tc>
          <w:tcPr>
            <w:tcW w:w="1269" w:type="dxa"/>
            <w:shd w:val="clear" w:color="auto" w:fill="auto"/>
            <w:noWrap w:val="0"/>
            <w:vAlign w:val="center"/>
          </w:tcPr>
          <w:p w14:paraId="66BF02D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0.16</w:t>
            </w:r>
          </w:p>
        </w:tc>
        <w:tc>
          <w:tcPr>
            <w:tcW w:w="1238" w:type="dxa"/>
            <w:shd w:val="clear" w:color="auto" w:fill="auto"/>
            <w:noWrap w:val="0"/>
            <w:vAlign w:val="center"/>
          </w:tcPr>
          <w:p w14:paraId="4FE4E362">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69</w:t>
            </w:r>
          </w:p>
        </w:tc>
        <w:tc>
          <w:tcPr>
            <w:tcW w:w="1206" w:type="dxa"/>
            <w:shd w:val="clear" w:color="auto" w:fill="auto"/>
            <w:noWrap w:val="0"/>
            <w:vAlign w:val="center"/>
          </w:tcPr>
          <w:p w14:paraId="3EFFCC96">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0.28</w:t>
            </w:r>
          </w:p>
        </w:tc>
        <w:tc>
          <w:tcPr>
            <w:tcW w:w="1227" w:type="dxa"/>
            <w:shd w:val="clear" w:color="auto" w:fill="auto"/>
            <w:noWrap w:val="0"/>
            <w:vAlign w:val="center"/>
          </w:tcPr>
          <w:p w14:paraId="3F376A5E">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32.5</w:t>
            </w:r>
          </w:p>
        </w:tc>
        <w:tc>
          <w:tcPr>
            <w:tcW w:w="1102" w:type="dxa"/>
            <w:shd w:val="clear" w:color="auto" w:fill="auto"/>
            <w:noWrap w:val="0"/>
            <w:vAlign w:val="center"/>
          </w:tcPr>
          <w:p w14:paraId="3F7D06CC">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0.13</w:t>
            </w:r>
          </w:p>
        </w:tc>
        <w:tc>
          <w:tcPr>
            <w:tcW w:w="1030" w:type="dxa"/>
            <w:noWrap w:val="0"/>
            <w:vAlign w:val="center"/>
          </w:tcPr>
          <w:p w14:paraId="696468DB">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39.8</w:t>
            </w:r>
          </w:p>
        </w:tc>
        <w:tc>
          <w:tcPr>
            <w:tcW w:w="1187" w:type="dxa"/>
            <w:noWrap w:val="0"/>
            <w:vAlign w:val="center"/>
          </w:tcPr>
          <w:p w14:paraId="52DA39D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0.16</w:t>
            </w:r>
          </w:p>
        </w:tc>
      </w:tr>
      <w:tr w14:paraId="344615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006820D3">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氯化物</w:t>
            </w:r>
          </w:p>
        </w:tc>
        <w:tc>
          <w:tcPr>
            <w:tcW w:w="1023" w:type="dxa"/>
            <w:noWrap w:val="0"/>
            <w:vAlign w:val="center"/>
          </w:tcPr>
          <w:p w14:paraId="6CD3BAA6">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250</w:t>
            </w:r>
          </w:p>
        </w:tc>
        <w:tc>
          <w:tcPr>
            <w:tcW w:w="1128" w:type="dxa"/>
            <w:shd w:val="clear" w:color="auto" w:fill="auto"/>
            <w:noWrap w:val="0"/>
            <w:vAlign w:val="center"/>
          </w:tcPr>
          <w:p w14:paraId="44ECBDA3">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47.6</w:t>
            </w:r>
          </w:p>
        </w:tc>
        <w:tc>
          <w:tcPr>
            <w:tcW w:w="1327" w:type="dxa"/>
            <w:shd w:val="clear" w:color="auto" w:fill="auto"/>
            <w:noWrap w:val="0"/>
            <w:vAlign w:val="center"/>
          </w:tcPr>
          <w:p w14:paraId="4879F697">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0.19</w:t>
            </w:r>
          </w:p>
        </w:tc>
        <w:tc>
          <w:tcPr>
            <w:tcW w:w="1127" w:type="dxa"/>
            <w:shd w:val="clear" w:color="auto" w:fill="auto"/>
            <w:noWrap w:val="0"/>
            <w:vAlign w:val="center"/>
          </w:tcPr>
          <w:p w14:paraId="2F463FF3">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22.4</w:t>
            </w:r>
          </w:p>
        </w:tc>
        <w:tc>
          <w:tcPr>
            <w:tcW w:w="1269" w:type="dxa"/>
            <w:shd w:val="clear" w:color="auto" w:fill="auto"/>
            <w:noWrap w:val="0"/>
            <w:vAlign w:val="center"/>
          </w:tcPr>
          <w:p w14:paraId="7F272799">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0.09</w:t>
            </w:r>
          </w:p>
        </w:tc>
        <w:tc>
          <w:tcPr>
            <w:tcW w:w="1238" w:type="dxa"/>
            <w:shd w:val="clear" w:color="auto" w:fill="auto"/>
            <w:noWrap w:val="0"/>
            <w:vAlign w:val="center"/>
          </w:tcPr>
          <w:p w14:paraId="47148FF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42.6</w:t>
            </w:r>
          </w:p>
        </w:tc>
        <w:tc>
          <w:tcPr>
            <w:tcW w:w="1206" w:type="dxa"/>
            <w:shd w:val="clear" w:color="auto" w:fill="auto"/>
            <w:noWrap w:val="0"/>
            <w:vAlign w:val="center"/>
          </w:tcPr>
          <w:p w14:paraId="4D86435F">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0.17</w:t>
            </w:r>
          </w:p>
        </w:tc>
        <w:tc>
          <w:tcPr>
            <w:tcW w:w="1227" w:type="dxa"/>
            <w:shd w:val="clear" w:color="auto" w:fill="auto"/>
            <w:noWrap w:val="0"/>
            <w:vAlign w:val="center"/>
          </w:tcPr>
          <w:p w14:paraId="4F3B5269">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17.1</w:t>
            </w:r>
          </w:p>
        </w:tc>
        <w:tc>
          <w:tcPr>
            <w:tcW w:w="1102" w:type="dxa"/>
            <w:shd w:val="clear" w:color="auto" w:fill="auto"/>
            <w:noWrap w:val="0"/>
            <w:vAlign w:val="center"/>
          </w:tcPr>
          <w:p w14:paraId="384F2D19">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0.068</w:t>
            </w:r>
          </w:p>
        </w:tc>
        <w:tc>
          <w:tcPr>
            <w:tcW w:w="1030" w:type="dxa"/>
            <w:noWrap w:val="0"/>
            <w:vAlign w:val="center"/>
          </w:tcPr>
          <w:p w14:paraId="7028AB9E">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20.6</w:t>
            </w:r>
          </w:p>
        </w:tc>
        <w:tc>
          <w:tcPr>
            <w:tcW w:w="1187" w:type="dxa"/>
            <w:noWrap w:val="0"/>
            <w:vAlign w:val="center"/>
          </w:tcPr>
          <w:p w14:paraId="3D9F31E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0.08</w:t>
            </w:r>
          </w:p>
        </w:tc>
      </w:tr>
      <w:tr w14:paraId="04A4B49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3235A5C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铁</w:t>
            </w:r>
          </w:p>
        </w:tc>
        <w:tc>
          <w:tcPr>
            <w:tcW w:w="1023" w:type="dxa"/>
            <w:noWrap w:val="0"/>
            <w:vAlign w:val="center"/>
          </w:tcPr>
          <w:p w14:paraId="345A518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0.3</w:t>
            </w:r>
          </w:p>
        </w:tc>
        <w:tc>
          <w:tcPr>
            <w:tcW w:w="1128" w:type="dxa"/>
            <w:noWrap w:val="0"/>
            <w:vAlign w:val="center"/>
          </w:tcPr>
          <w:p w14:paraId="4905023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noWrap w:val="0"/>
            <w:vAlign w:val="center"/>
          </w:tcPr>
          <w:p w14:paraId="74483F23">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noWrap w:val="0"/>
            <w:vAlign w:val="center"/>
          </w:tcPr>
          <w:p w14:paraId="501EDDA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7DC6B87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383D947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42C104F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702903D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45AD35A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496A3E9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5F7A5F6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3A8DC8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1F1B8AB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锰</w:t>
            </w:r>
          </w:p>
        </w:tc>
        <w:tc>
          <w:tcPr>
            <w:tcW w:w="1023" w:type="dxa"/>
            <w:noWrap w:val="0"/>
            <w:vAlign w:val="center"/>
          </w:tcPr>
          <w:p w14:paraId="1D516D2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w:t>
            </w:r>
          </w:p>
        </w:tc>
        <w:tc>
          <w:tcPr>
            <w:tcW w:w="1128" w:type="dxa"/>
            <w:noWrap w:val="0"/>
            <w:vAlign w:val="center"/>
          </w:tcPr>
          <w:p w14:paraId="51459FA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noWrap w:val="0"/>
            <w:vAlign w:val="center"/>
          </w:tcPr>
          <w:p w14:paraId="064C46D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noWrap w:val="0"/>
            <w:vAlign w:val="center"/>
          </w:tcPr>
          <w:p w14:paraId="674EBF1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189DEE6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0E97FE9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24DD2A9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1BF8CEA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0CD948F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19B9E16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0DDDDAE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6F6231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78C2E21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铝</w:t>
            </w:r>
          </w:p>
        </w:tc>
        <w:tc>
          <w:tcPr>
            <w:tcW w:w="1023" w:type="dxa"/>
            <w:noWrap w:val="0"/>
            <w:vAlign w:val="center"/>
          </w:tcPr>
          <w:p w14:paraId="3D015FF7">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w:t>
            </w:r>
          </w:p>
        </w:tc>
        <w:tc>
          <w:tcPr>
            <w:tcW w:w="1128" w:type="dxa"/>
            <w:shd w:val="clear" w:color="auto" w:fill="auto"/>
            <w:noWrap w:val="0"/>
            <w:vAlign w:val="center"/>
          </w:tcPr>
          <w:p w14:paraId="6B2F4CF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shd w:val="clear" w:color="auto" w:fill="auto"/>
            <w:noWrap w:val="0"/>
            <w:vAlign w:val="center"/>
          </w:tcPr>
          <w:p w14:paraId="5955097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shd w:val="clear" w:color="auto" w:fill="auto"/>
            <w:noWrap w:val="0"/>
            <w:vAlign w:val="center"/>
          </w:tcPr>
          <w:p w14:paraId="3690EFD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shd w:val="clear" w:color="auto" w:fill="auto"/>
            <w:noWrap w:val="0"/>
            <w:vAlign w:val="center"/>
          </w:tcPr>
          <w:p w14:paraId="359BDF7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shd w:val="clear" w:color="auto" w:fill="auto"/>
            <w:noWrap w:val="0"/>
            <w:vAlign w:val="center"/>
          </w:tcPr>
          <w:p w14:paraId="74840DC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shd w:val="clear" w:color="auto" w:fill="auto"/>
            <w:noWrap w:val="0"/>
            <w:vAlign w:val="center"/>
          </w:tcPr>
          <w:p w14:paraId="7B0AD5D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shd w:val="clear" w:color="auto" w:fill="auto"/>
            <w:noWrap w:val="0"/>
            <w:vAlign w:val="center"/>
          </w:tcPr>
          <w:p w14:paraId="485DB80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shd w:val="clear" w:color="auto" w:fill="auto"/>
            <w:noWrap w:val="0"/>
            <w:vAlign w:val="center"/>
          </w:tcPr>
          <w:p w14:paraId="1FF03D9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shd w:val="clear" w:color="auto" w:fill="auto"/>
            <w:noWrap w:val="0"/>
            <w:vAlign w:val="center"/>
          </w:tcPr>
          <w:p w14:paraId="60563A3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shd w:val="clear" w:color="auto" w:fill="auto"/>
            <w:noWrap w:val="0"/>
            <w:vAlign w:val="center"/>
          </w:tcPr>
          <w:p w14:paraId="41BAFA9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6BA38C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6AC4B31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硝酸盐氮（以N计）</w:t>
            </w:r>
          </w:p>
        </w:tc>
        <w:tc>
          <w:tcPr>
            <w:tcW w:w="1023" w:type="dxa"/>
            <w:noWrap w:val="0"/>
            <w:vAlign w:val="center"/>
          </w:tcPr>
          <w:p w14:paraId="0E923C6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20</w:t>
            </w:r>
          </w:p>
        </w:tc>
        <w:tc>
          <w:tcPr>
            <w:tcW w:w="1128" w:type="dxa"/>
            <w:shd w:val="clear" w:color="auto" w:fill="auto"/>
            <w:noWrap w:val="0"/>
            <w:vAlign w:val="center"/>
          </w:tcPr>
          <w:p w14:paraId="4E3A060A">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4.18</w:t>
            </w:r>
          </w:p>
        </w:tc>
        <w:tc>
          <w:tcPr>
            <w:tcW w:w="1327" w:type="dxa"/>
            <w:shd w:val="clear" w:color="auto" w:fill="auto"/>
            <w:noWrap w:val="0"/>
            <w:vAlign w:val="center"/>
          </w:tcPr>
          <w:p w14:paraId="3F36BB04">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0.21</w:t>
            </w:r>
          </w:p>
        </w:tc>
        <w:tc>
          <w:tcPr>
            <w:tcW w:w="1127" w:type="dxa"/>
            <w:shd w:val="clear" w:color="auto" w:fill="auto"/>
            <w:noWrap w:val="0"/>
            <w:vAlign w:val="center"/>
          </w:tcPr>
          <w:p w14:paraId="194B873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1.97</w:t>
            </w:r>
          </w:p>
        </w:tc>
        <w:tc>
          <w:tcPr>
            <w:tcW w:w="1269" w:type="dxa"/>
            <w:shd w:val="clear" w:color="auto" w:fill="auto"/>
            <w:noWrap w:val="0"/>
            <w:vAlign w:val="center"/>
          </w:tcPr>
          <w:p w14:paraId="53514AF0">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0.10</w:t>
            </w:r>
          </w:p>
        </w:tc>
        <w:tc>
          <w:tcPr>
            <w:tcW w:w="1238" w:type="dxa"/>
            <w:shd w:val="clear" w:color="auto" w:fill="auto"/>
            <w:noWrap w:val="0"/>
            <w:vAlign w:val="center"/>
          </w:tcPr>
          <w:p w14:paraId="218E7FF8">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3.62</w:t>
            </w:r>
          </w:p>
        </w:tc>
        <w:tc>
          <w:tcPr>
            <w:tcW w:w="1206" w:type="dxa"/>
            <w:shd w:val="clear" w:color="auto" w:fill="auto"/>
            <w:noWrap w:val="0"/>
            <w:vAlign w:val="center"/>
          </w:tcPr>
          <w:p w14:paraId="4564242C">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0.18</w:t>
            </w:r>
          </w:p>
        </w:tc>
        <w:tc>
          <w:tcPr>
            <w:tcW w:w="1227" w:type="dxa"/>
            <w:shd w:val="clear" w:color="auto" w:fill="auto"/>
            <w:noWrap w:val="0"/>
            <w:vAlign w:val="center"/>
          </w:tcPr>
          <w:p w14:paraId="1EFE9EE1">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1.52</w:t>
            </w:r>
          </w:p>
        </w:tc>
        <w:tc>
          <w:tcPr>
            <w:tcW w:w="1102" w:type="dxa"/>
            <w:shd w:val="clear" w:color="auto" w:fill="auto"/>
            <w:noWrap w:val="0"/>
            <w:vAlign w:val="center"/>
          </w:tcPr>
          <w:p w14:paraId="1A75C731">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0.076</w:t>
            </w:r>
          </w:p>
        </w:tc>
        <w:tc>
          <w:tcPr>
            <w:tcW w:w="1030" w:type="dxa"/>
            <w:noWrap w:val="0"/>
            <w:vAlign w:val="center"/>
          </w:tcPr>
          <w:p w14:paraId="5CCF7EB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1.93</w:t>
            </w:r>
          </w:p>
        </w:tc>
        <w:tc>
          <w:tcPr>
            <w:tcW w:w="1187" w:type="dxa"/>
            <w:noWrap w:val="0"/>
            <w:vAlign w:val="center"/>
          </w:tcPr>
          <w:p w14:paraId="6B1527D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r>
      <w:tr w14:paraId="697DE6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482AE78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亚硝酸盐氮（以N 计）</w:t>
            </w:r>
          </w:p>
        </w:tc>
        <w:tc>
          <w:tcPr>
            <w:tcW w:w="1023" w:type="dxa"/>
            <w:noWrap w:val="0"/>
            <w:vAlign w:val="center"/>
          </w:tcPr>
          <w:p w14:paraId="7925971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1128" w:type="dxa"/>
            <w:noWrap w:val="0"/>
            <w:vAlign w:val="center"/>
          </w:tcPr>
          <w:p w14:paraId="6263191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noWrap w:val="0"/>
            <w:vAlign w:val="center"/>
          </w:tcPr>
          <w:p w14:paraId="2A22125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noWrap w:val="0"/>
            <w:vAlign w:val="center"/>
          </w:tcPr>
          <w:p w14:paraId="59DB18A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093356B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514AD90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77037C66">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6D6323D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00D8F92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573B53E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48F0C1C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431ADC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2FE62B5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氨氮</w:t>
            </w:r>
          </w:p>
        </w:tc>
        <w:tc>
          <w:tcPr>
            <w:tcW w:w="1023" w:type="dxa"/>
            <w:noWrap w:val="0"/>
            <w:vAlign w:val="center"/>
          </w:tcPr>
          <w:p w14:paraId="7B851C9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0.5</w:t>
            </w:r>
          </w:p>
        </w:tc>
        <w:tc>
          <w:tcPr>
            <w:tcW w:w="1128" w:type="dxa"/>
            <w:shd w:val="clear" w:color="auto" w:fill="auto"/>
            <w:noWrap w:val="0"/>
            <w:vAlign w:val="center"/>
          </w:tcPr>
          <w:p w14:paraId="32E652D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shd w:val="clear" w:color="auto" w:fill="auto"/>
            <w:noWrap w:val="0"/>
            <w:vAlign w:val="center"/>
          </w:tcPr>
          <w:p w14:paraId="786D2FC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shd w:val="clear" w:color="auto" w:fill="auto"/>
            <w:noWrap w:val="0"/>
            <w:vAlign w:val="center"/>
          </w:tcPr>
          <w:p w14:paraId="2613EBF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shd w:val="clear" w:color="auto" w:fill="auto"/>
            <w:noWrap w:val="0"/>
            <w:vAlign w:val="center"/>
          </w:tcPr>
          <w:p w14:paraId="757F309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shd w:val="clear" w:color="auto" w:fill="auto"/>
            <w:noWrap w:val="0"/>
            <w:vAlign w:val="center"/>
          </w:tcPr>
          <w:p w14:paraId="6F495235">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w:t>
            </w:r>
            <w:r>
              <w:rPr>
                <w:rFonts w:hint="eastAsia" w:cs="Times New Roman"/>
                <w:color w:val="000000" w:themeColor="text1"/>
                <w:highlight w:val="none"/>
                <w:lang w:val="en-US" w:eastAsia="zh-CN"/>
                <w14:textFill>
                  <w14:solidFill>
                    <w14:schemeClr w14:val="tx1"/>
                  </w14:solidFill>
                </w14:textFill>
              </w:rPr>
              <w:t>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28</w:t>
            </w:r>
          </w:p>
        </w:tc>
        <w:tc>
          <w:tcPr>
            <w:tcW w:w="1206" w:type="dxa"/>
            <w:shd w:val="clear" w:color="auto" w:fill="auto"/>
            <w:noWrap w:val="0"/>
            <w:vAlign w:val="center"/>
          </w:tcPr>
          <w:p w14:paraId="0F4DC4C8">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w:t>
            </w:r>
            <w:r>
              <w:rPr>
                <w:rFonts w:hint="eastAsia" w:cs="Times New Roman"/>
                <w:color w:val="000000" w:themeColor="text1"/>
                <w:highlight w:val="none"/>
                <w:lang w:val="en-US" w:eastAsia="zh-CN"/>
                <w14:textFill>
                  <w14:solidFill>
                    <w14:schemeClr w14:val="tx1"/>
                  </w14:solidFill>
                </w14:textFill>
              </w:rPr>
              <w:t>0</w:t>
            </w:r>
            <w:r>
              <w:rPr>
                <w:rFonts w:hint="eastAsia" w:ascii="Times New Roman" w:hAnsi="Times New Roman" w:eastAsia="宋体" w:cs="Times New Roman"/>
                <w:color w:val="000000" w:themeColor="text1"/>
                <w:highlight w:val="none"/>
                <w:lang w:val="en-US" w:eastAsia="zh-CN"/>
                <w14:textFill>
                  <w14:solidFill>
                    <w14:schemeClr w14:val="tx1"/>
                  </w14:solidFill>
                </w14:textFill>
              </w:rPr>
              <w:t>56</w:t>
            </w:r>
          </w:p>
        </w:tc>
        <w:tc>
          <w:tcPr>
            <w:tcW w:w="1227" w:type="dxa"/>
            <w:shd w:val="clear" w:color="auto" w:fill="auto"/>
            <w:noWrap w:val="0"/>
            <w:vAlign w:val="center"/>
          </w:tcPr>
          <w:p w14:paraId="50E4379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shd w:val="clear" w:color="auto" w:fill="auto"/>
            <w:noWrap w:val="0"/>
            <w:vAlign w:val="center"/>
          </w:tcPr>
          <w:p w14:paraId="30F3AA0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shd w:val="clear" w:color="auto" w:fill="auto"/>
            <w:noWrap w:val="0"/>
            <w:vAlign w:val="center"/>
          </w:tcPr>
          <w:p w14:paraId="5ED8AB6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shd w:val="clear" w:color="auto" w:fill="auto"/>
            <w:noWrap w:val="0"/>
            <w:vAlign w:val="center"/>
          </w:tcPr>
          <w:p w14:paraId="4581B56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07D9B2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56C6011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1023" w:type="dxa"/>
            <w:noWrap w:val="0"/>
            <w:vAlign w:val="center"/>
          </w:tcPr>
          <w:p w14:paraId="3B41A53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w:t>
            </w:r>
          </w:p>
        </w:tc>
        <w:tc>
          <w:tcPr>
            <w:tcW w:w="1128" w:type="dxa"/>
            <w:shd w:val="clear" w:color="auto" w:fill="auto"/>
            <w:noWrap w:val="0"/>
            <w:vAlign w:val="center"/>
          </w:tcPr>
          <w:p w14:paraId="1F0F6DCE">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0.034</w:t>
            </w:r>
          </w:p>
        </w:tc>
        <w:tc>
          <w:tcPr>
            <w:tcW w:w="1327" w:type="dxa"/>
            <w:shd w:val="clear" w:color="auto" w:fill="auto"/>
            <w:noWrap w:val="0"/>
            <w:vAlign w:val="center"/>
          </w:tcPr>
          <w:p w14:paraId="6B980F85">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0.034</w:t>
            </w:r>
          </w:p>
        </w:tc>
        <w:tc>
          <w:tcPr>
            <w:tcW w:w="1127" w:type="dxa"/>
            <w:shd w:val="clear" w:color="auto" w:fill="auto"/>
            <w:noWrap w:val="0"/>
            <w:vAlign w:val="center"/>
          </w:tcPr>
          <w:p w14:paraId="77A71888">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0.768</w:t>
            </w:r>
          </w:p>
        </w:tc>
        <w:tc>
          <w:tcPr>
            <w:tcW w:w="1269" w:type="dxa"/>
            <w:shd w:val="clear" w:color="auto" w:fill="auto"/>
            <w:noWrap w:val="0"/>
            <w:vAlign w:val="center"/>
          </w:tcPr>
          <w:p w14:paraId="0C46601D">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0.768</w:t>
            </w:r>
          </w:p>
        </w:tc>
        <w:tc>
          <w:tcPr>
            <w:tcW w:w="1238" w:type="dxa"/>
            <w:shd w:val="clear" w:color="auto" w:fill="auto"/>
            <w:noWrap w:val="0"/>
            <w:vAlign w:val="center"/>
          </w:tcPr>
          <w:p w14:paraId="7B57E22B">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0.276</w:t>
            </w:r>
          </w:p>
        </w:tc>
        <w:tc>
          <w:tcPr>
            <w:tcW w:w="1206" w:type="dxa"/>
            <w:shd w:val="clear" w:color="auto" w:fill="auto"/>
            <w:noWrap w:val="0"/>
            <w:vAlign w:val="center"/>
          </w:tcPr>
          <w:p w14:paraId="2BB51593">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0.276</w:t>
            </w:r>
          </w:p>
        </w:tc>
        <w:tc>
          <w:tcPr>
            <w:tcW w:w="1227" w:type="dxa"/>
            <w:shd w:val="clear" w:color="auto" w:fill="auto"/>
            <w:noWrap w:val="0"/>
            <w:vAlign w:val="center"/>
          </w:tcPr>
          <w:p w14:paraId="4CF6A98D">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0.104</w:t>
            </w:r>
          </w:p>
        </w:tc>
        <w:tc>
          <w:tcPr>
            <w:tcW w:w="1102" w:type="dxa"/>
            <w:shd w:val="clear" w:color="auto" w:fill="auto"/>
            <w:noWrap w:val="0"/>
            <w:vAlign w:val="center"/>
          </w:tcPr>
          <w:p w14:paraId="0B616D95">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0.104</w:t>
            </w:r>
          </w:p>
        </w:tc>
        <w:tc>
          <w:tcPr>
            <w:tcW w:w="1030" w:type="dxa"/>
            <w:noWrap w:val="0"/>
            <w:vAlign w:val="center"/>
          </w:tcPr>
          <w:p w14:paraId="5B7A8D0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0.059</w:t>
            </w:r>
          </w:p>
        </w:tc>
        <w:tc>
          <w:tcPr>
            <w:tcW w:w="1187" w:type="dxa"/>
            <w:noWrap w:val="0"/>
            <w:vAlign w:val="center"/>
          </w:tcPr>
          <w:p w14:paraId="7BB50F2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0.059</w:t>
            </w:r>
          </w:p>
        </w:tc>
      </w:tr>
      <w:tr w14:paraId="35A62C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48BC2B8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氰化物</w:t>
            </w:r>
          </w:p>
        </w:tc>
        <w:tc>
          <w:tcPr>
            <w:tcW w:w="1023" w:type="dxa"/>
            <w:noWrap w:val="0"/>
            <w:vAlign w:val="center"/>
          </w:tcPr>
          <w:p w14:paraId="5EF25AB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0.05</w:t>
            </w:r>
          </w:p>
        </w:tc>
        <w:tc>
          <w:tcPr>
            <w:tcW w:w="1128" w:type="dxa"/>
            <w:noWrap w:val="0"/>
            <w:vAlign w:val="center"/>
          </w:tcPr>
          <w:p w14:paraId="6C3D48F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noWrap w:val="0"/>
            <w:vAlign w:val="center"/>
          </w:tcPr>
          <w:p w14:paraId="4AD5CE0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noWrap w:val="0"/>
            <w:vAlign w:val="center"/>
          </w:tcPr>
          <w:p w14:paraId="21A03E3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31E71F3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689C01C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540C1CB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3702FC3E">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14C6F70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02F2CD76">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00613AC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649778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3DC5606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汞</w:t>
            </w:r>
          </w:p>
        </w:tc>
        <w:tc>
          <w:tcPr>
            <w:tcW w:w="1023" w:type="dxa"/>
            <w:noWrap w:val="0"/>
            <w:vAlign w:val="center"/>
          </w:tcPr>
          <w:p w14:paraId="5461C02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0.001</w:t>
            </w:r>
          </w:p>
        </w:tc>
        <w:tc>
          <w:tcPr>
            <w:tcW w:w="1128" w:type="dxa"/>
            <w:noWrap w:val="0"/>
            <w:vAlign w:val="center"/>
          </w:tcPr>
          <w:p w14:paraId="727F6B44">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0.00016</w:t>
            </w:r>
          </w:p>
        </w:tc>
        <w:tc>
          <w:tcPr>
            <w:tcW w:w="1327" w:type="dxa"/>
            <w:noWrap w:val="0"/>
            <w:vAlign w:val="center"/>
          </w:tcPr>
          <w:p w14:paraId="013B4353">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0.16</w:t>
            </w:r>
          </w:p>
        </w:tc>
        <w:tc>
          <w:tcPr>
            <w:tcW w:w="1127" w:type="dxa"/>
            <w:noWrap w:val="0"/>
            <w:vAlign w:val="center"/>
          </w:tcPr>
          <w:p w14:paraId="6D72F24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0.00016</w:t>
            </w:r>
          </w:p>
        </w:tc>
        <w:tc>
          <w:tcPr>
            <w:tcW w:w="1269" w:type="dxa"/>
            <w:noWrap w:val="0"/>
            <w:vAlign w:val="center"/>
          </w:tcPr>
          <w:p w14:paraId="17B8668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0.16</w:t>
            </w:r>
          </w:p>
        </w:tc>
        <w:tc>
          <w:tcPr>
            <w:tcW w:w="1238" w:type="dxa"/>
            <w:noWrap w:val="0"/>
            <w:vAlign w:val="center"/>
          </w:tcPr>
          <w:p w14:paraId="76DF67FA">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0.00017</w:t>
            </w:r>
          </w:p>
        </w:tc>
        <w:tc>
          <w:tcPr>
            <w:tcW w:w="1206" w:type="dxa"/>
            <w:noWrap w:val="0"/>
            <w:vAlign w:val="center"/>
          </w:tcPr>
          <w:p w14:paraId="6665964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0.17-</w:t>
            </w:r>
          </w:p>
        </w:tc>
        <w:tc>
          <w:tcPr>
            <w:tcW w:w="1227" w:type="dxa"/>
            <w:noWrap w:val="0"/>
            <w:vAlign w:val="center"/>
          </w:tcPr>
          <w:p w14:paraId="68CA9DD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0.00017</w:t>
            </w:r>
          </w:p>
        </w:tc>
        <w:tc>
          <w:tcPr>
            <w:tcW w:w="1102" w:type="dxa"/>
            <w:noWrap w:val="0"/>
            <w:vAlign w:val="center"/>
          </w:tcPr>
          <w:p w14:paraId="56620D64">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0.17</w:t>
            </w:r>
          </w:p>
        </w:tc>
        <w:tc>
          <w:tcPr>
            <w:tcW w:w="1030" w:type="dxa"/>
            <w:noWrap w:val="0"/>
            <w:vAlign w:val="center"/>
          </w:tcPr>
          <w:p w14:paraId="567B2758">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0.00018</w:t>
            </w:r>
          </w:p>
        </w:tc>
        <w:tc>
          <w:tcPr>
            <w:tcW w:w="1187" w:type="dxa"/>
            <w:noWrap w:val="0"/>
            <w:vAlign w:val="center"/>
          </w:tcPr>
          <w:p w14:paraId="592B6AA5">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0.18</w:t>
            </w:r>
          </w:p>
        </w:tc>
      </w:tr>
      <w:tr w14:paraId="06F8DBF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4705976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六价铬</w:t>
            </w:r>
          </w:p>
        </w:tc>
        <w:tc>
          <w:tcPr>
            <w:tcW w:w="1023" w:type="dxa"/>
            <w:noWrap w:val="0"/>
            <w:vAlign w:val="center"/>
          </w:tcPr>
          <w:p w14:paraId="4A1E5CB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0.05</w:t>
            </w:r>
          </w:p>
        </w:tc>
        <w:tc>
          <w:tcPr>
            <w:tcW w:w="1128" w:type="dxa"/>
            <w:noWrap w:val="0"/>
            <w:vAlign w:val="center"/>
          </w:tcPr>
          <w:p w14:paraId="05E91FB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noWrap w:val="0"/>
            <w:vAlign w:val="center"/>
          </w:tcPr>
          <w:p w14:paraId="40B4DB63">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noWrap w:val="0"/>
            <w:vAlign w:val="center"/>
          </w:tcPr>
          <w:p w14:paraId="229A61E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noWrap w:val="0"/>
            <w:vAlign w:val="center"/>
          </w:tcPr>
          <w:p w14:paraId="1034D75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noWrap w:val="0"/>
            <w:vAlign w:val="center"/>
          </w:tcPr>
          <w:p w14:paraId="0CDF26B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noWrap w:val="0"/>
            <w:vAlign w:val="center"/>
          </w:tcPr>
          <w:p w14:paraId="1638756B">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noWrap w:val="0"/>
            <w:vAlign w:val="center"/>
          </w:tcPr>
          <w:p w14:paraId="283965D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noWrap w:val="0"/>
            <w:vAlign w:val="center"/>
          </w:tcPr>
          <w:p w14:paraId="3064583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noWrap w:val="0"/>
            <w:vAlign w:val="center"/>
          </w:tcPr>
          <w:p w14:paraId="2883C61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noWrap w:val="0"/>
            <w:vAlign w:val="center"/>
          </w:tcPr>
          <w:p w14:paraId="75D9E61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4D2241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0C1F594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石油类</w:t>
            </w:r>
          </w:p>
        </w:tc>
        <w:tc>
          <w:tcPr>
            <w:tcW w:w="1023" w:type="dxa"/>
            <w:noWrap w:val="0"/>
            <w:vAlign w:val="center"/>
          </w:tcPr>
          <w:p w14:paraId="70FC2DD1">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0.05</w:t>
            </w:r>
          </w:p>
        </w:tc>
        <w:tc>
          <w:tcPr>
            <w:tcW w:w="1128" w:type="dxa"/>
            <w:shd w:val="clear" w:color="auto" w:fill="auto"/>
            <w:noWrap w:val="0"/>
            <w:vAlign w:val="center"/>
          </w:tcPr>
          <w:p w14:paraId="4442F746">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327" w:type="dxa"/>
            <w:shd w:val="clear" w:color="auto" w:fill="auto"/>
            <w:noWrap w:val="0"/>
            <w:vAlign w:val="center"/>
          </w:tcPr>
          <w:p w14:paraId="1E84C55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127" w:type="dxa"/>
            <w:shd w:val="clear" w:color="auto" w:fill="auto"/>
            <w:noWrap w:val="0"/>
            <w:vAlign w:val="center"/>
          </w:tcPr>
          <w:p w14:paraId="2AB740F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69" w:type="dxa"/>
            <w:shd w:val="clear" w:color="auto" w:fill="auto"/>
            <w:noWrap w:val="0"/>
            <w:vAlign w:val="center"/>
          </w:tcPr>
          <w:p w14:paraId="218A0BE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38" w:type="dxa"/>
            <w:shd w:val="clear" w:color="auto" w:fill="auto"/>
            <w:noWrap w:val="0"/>
            <w:vAlign w:val="center"/>
          </w:tcPr>
          <w:p w14:paraId="5ECBF297">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206" w:type="dxa"/>
            <w:shd w:val="clear" w:color="auto" w:fill="auto"/>
            <w:noWrap w:val="0"/>
            <w:vAlign w:val="center"/>
          </w:tcPr>
          <w:p w14:paraId="11AB82A3">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227" w:type="dxa"/>
            <w:shd w:val="clear" w:color="auto" w:fill="auto"/>
            <w:noWrap w:val="0"/>
            <w:vAlign w:val="center"/>
          </w:tcPr>
          <w:p w14:paraId="3E7ECF93">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02" w:type="dxa"/>
            <w:shd w:val="clear" w:color="auto" w:fill="auto"/>
            <w:noWrap w:val="0"/>
            <w:vAlign w:val="center"/>
          </w:tcPr>
          <w:p w14:paraId="0B7403A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c>
          <w:tcPr>
            <w:tcW w:w="1030" w:type="dxa"/>
            <w:shd w:val="clear" w:color="auto" w:fill="auto"/>
            <w:noWrap w:val="0"/>
            <w:vAlign w:val="center"/>
          </w:tcPr>
          <w:p w14:paraId="3420408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ND</w:t>
            </w:r>
          </w:p>
        </w:tc>
        <w:tc>
          <w:tcPr>
            <w:tcW w:w="1187" w:type="dxa"/>
            <w:shd w:val="clear" w:color="auto" w:fill="auto"/>
            <w:noWrap w:val="0"/>
            <w:vAlign w:val="center"/>
          </w:tcPr>
          <w:p w14:paraId="72F69D94">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r w14:paraId="0C675E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876" w:type="dxa"/>
            <w:noWrap w:val="0"/>
            <w:vAlign w:val="center"/>
          </w:tcPr>
          <w:p w14:paraId="77761AA9">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菌落总数CFU/mL</w:t>
            </w:r>
          </w:p>
        </w:tc>
        <w:tc>
          <w:tcPr>
            <w:tcW w:w="1023" w:type="dxa"/>
            <w:noWrap w:val="0"/>
            <w:vAlign w:val="center"/>
          </w:tcPr>
          <w:p w14:paraId="2A27C055">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100</w:t>
            </w:r>
          </w:p>
        </w:tc>
        <w:tc>
          <w:tcPr>
            <w:tcW w:w="1128" w:type="dxa"/>
            <w:shd w:val="clear" w:color="auto" w:fill="auto"/>
            <w:noWrap w:val="0"/>
            <w:vAlign w:val="center"/>
          </w:tcPr>
          <w:p w14:paraId="404B519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35</w:t>
            </w:r>
          </w:p>
        </w:tc>
        <w:tc>
          <w:tcPr>
            <w:tcW w:w="1327" w:type="dxa"/>
            <w:shd w:val="clear" w:color="auto" w:fill="auto"/>
            <w:noWrap w:val="0"/>
            <w:vAlign w:val="center"/>
          </w:tcPr>
          <w:p w14:paraId="45DEF3EC">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0.35</w:t>
            </w:r>
          </w:p>
        </w:tc>
        <w:tc>
          <w:tcPr>
            <w:tcW w:w="1127" w:type="dxa"/>
            <w:shd w:val="clear" w:color="auto" w:fill="auto"/>
            <w:noWrap w:val="0"/>
            <w:vAlign w:val="center"/>
          </w:tcPr>
          <w:p w14:paraId="5EFB0BDD">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34</w:t>
            </w:r>
          </w:p>
        </w:tc>
        <w:tc>
          <w:tcPr>
            <w:tcW w:w="1269" w:type="dxa"/>
            <w:shd w:val="clear" w:color="auto" w:fill="auto"/>
            <w:noWrap w:val="0"/>
            <w:vAlign w:val="center"/>
          </w:tcPr>
          <w:p w14:paraId="70C6878D">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0.34</w:t>
            </w:r>
          </w:p>
        </w:tc>
        <w:tc>
          <w:tcPr>
            <w:tcW w:w="1238" w:type="dxa"/>
            <w:shd w:val="clear" w:color="auto" w:fill="auto"/>
            <w:noWrap w:val="0"/>
            <w:vAlign w:val="center"/>
          </w:tcPr>
          <w:p w14:paraId="5869A547">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34</w:t>
            </w:r>
          </w:p>
        </w:tc>
        <w:tc>
          <w:tcPr>
            <w:tcW w:w="1206" w:type="dxa"/>
            <w:shd w:val="clear" w:color="auto" w:fill="auto"/>
            <w:noWrap w:val="0"/>
            <w:vAlign w:val="center"/>
          </w:tcPr>
          <w:p w14:paraId="4E0F6656">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0.34</w:t>
            </w:r>
          </w:p>
        </w:tc>
        <w:tc>
          <w:tcPr>
            <w:tcW w:w="1227" w:type="dxa"/>
            <w:shd w:val="clear" w:color="auto" w:fill="auto"/>
            <w:noWrap w:val="0"/>
            <w:vAlign w:val="center"/>
          </w:tcPr>
          <w:p w14:paraId="5FBE28FE">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36</w:t>
            </w:r>
          </w:p>
        </w:tc>
        <w:tc>
          <w:tcPr>
            <w:tcW w:w="1102" w:type="dxa"/>
            <w:shd w:val="clear" w:color="auto" w:fill="auto"/>
            <w:noWrap w:val="0"/>
            <w:vAlign w:val="center"/>
          </w:tcPr>
          <w:p w14:paraId="480E5C2B">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0.36</w:t>
            </w:r>
          </w:p>
        </w:tc>
        <w:tc>
          <w:tcPr>
            <w:tcW w:w="1030" w:type="dxa"/>
            <w:noWrap w:val="0"/>
            <w:vAlign w:val="center"/>
          </w:tcPr>
          <w:p w14:paraId="2211B268">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34</w:t>
            </w:r>
          </w:p>
        </w:tc>
        <w:tc>
          <w:tcPr>
            <w:tcW w:w="1187" w:type="dxa"/>
            <w:noWrap w:val="0"/>
            <w:vAlign w:val="center"/>
          </w:tcPr>
          <w:p w14:paraId="5D8E221E">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0.34</w:t>
            </w:r>
          </w:p>
        </w:tc>
      </w:tr>
    </w:tbl>
    <w:p w14:paraId="2D88721A">
      <w:pPr>
        <w:bidi w:val="0"/>
        <w:rPr>
          <w:color w:val="000000" w:themeColor="text1"/>
          <w:highlight w:val="none"/>
          <w14:textFill>
            <w14:solidFill>
              <w14:schemeClr w14:val="tx1"/>
            </w14:solidFill>
          </w14:textFill>
        </w:rPr>
      </w:pPr>
      <w:bookmarkStart w:id="900" w:name="_Toc1772"/>
      <w:bookmarkStart w:id="901" w:name="_Toc14314"/>
      <w:bookmarkStart w:id="902" w:name="_Toc7233"/>
      <w:bookmarkStart w:id="903" w:name="_Toc6793"/>
      <w:bookmarkStart w:id="904" w:name="_Toc24575"/>
      <w:bookmarkStart w:id="905" w:name="_Toc14340"/>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）评价结果分析</w:t>
      </w:r>
      <w:bookmarkEnd w:id="900"/>
      <w:bookmarkEnd w:id="901"/>
      <w:bookmarkEnd w:id="902"/>
      <w:bookmarkEnd w:id="903"/>
      <w:bookmarkEnd w:id="904"/>
      <w:bookmarkEnd w:id="905"/>
    </w:p>
    <w:p w14:paraId="392B06FA">
      <w:pPr>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由表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.3.2-2</w:t>
      </w:r>
      <w:r>
        <w:rPr>
          <w:color w:val="000000" w:themeColor="text1"/>
          <w:highlight w:val="none"/>
          <w14:textFill>
            <w14:solidFill>
              <w14:schemeClr w14:val="tx1"/>
            </w14:solidFill>
          </w14:textFill>
        </w:rPr>
        <w:t>可知，</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个监测点地下水监测因子监测指标满足《地下水质量标准》（</w:t>
      </w:r>
      <w:r>
        <w:rPr>
          <w:rFonts w:hint="eastAsia"/>
          <w:color w:val="000000" w:themeColor="text1"/>
          <w:highlight w:val="none"/>
          <w14:textFill>
            <w14:solidFill>
              <w14:schemeClr w14:val="tx1"/>
            </w14:solidFill>
          </w14:textFill>
        </w:rPr>
        <w:t>GB/T14848-2017</w:t>
      </w:r>
      <w:r>
        <w:rPr>
          <w:color w:val="000000" w:themeColor="text1"/>
          <w:highlight w:val="none"/>
          <w14:textFill>
            <w14:solidFill>
              <w14:schemeClr w14:val="tx1"/>
            </w14:solidFill>
          </w14:textFill>
        </w:rPr>
        <w:t>）中Ⅲ类水标准的要求</w:t>
      </w:r>
      <w:r>
        <w:rPr>
          <w:rFonts w:hint="eastAsia"/>
          <w:color w:val="000000" w:themeColor="text1"/>
          <w:highlight w:val="none"/>
          <w14:textFill>
            <w14:solidFill>
              <w14:schemeClr w14:val="tx1"/>
            </w14:solidFill>
          </w14:textFill>
        </w:rPr>
        <w:t>。</w:t>
      </w:r>
    </w:p>
    <w:p w14:paraId="530ACA7A">
      <w:pPr>
        <w:pStyle w:val="4"/>
        <w:tabs>
          <w:tab w:val="left" w:pos="0"/>
        </w:tabs>
        <w:rPr>
          <w:color w:val="000000" w:themeColor="text1"/>
          <w:highlight w:val="none"/>
          <w14:textFill>
            <w14:solidFill>
              <w14:schemeClr w14:val="tx1"/>
            </w14:solidFill>
          </w14:textFill>
        </w:rPr>
      </w:pPr>
      <w:bookmarkStart w:id="906" w:name="_Toc26921"/>
      <w:bookmarkStart w:id="907" w:name="_Toc468222503"/>
      <w:bookmarkStart w:id="908" w:name="_Toc18581"/>
      <w:bookmarkStart w:id="909" w:name="_Toc1824"/>
      <w:bookmarkStart w:id="910" w:name="_Toc27950"/>
      <w:bookmarkStart w:id="911" w:name="_Toc1142"/>
      <w:bookmarkStart w:id="912" w:name="_Toc6778"/>
      <w:r>
        <w:rPr>
          <w:rFonts w:hint="eastAsia"/>
          <w:color w:val="000000" w:themeColor="text1"/>
          <w:highlight w:val="none"/>
          <w14:textFill>
            <w14:solidFill>
              <w14:schemeClr w14:val="tx1"/>
            </w14:solidFill>
          </w14:textFill>
        </w:rPr>
        <w:t>4.3.3</w:t>
      </w:r>
      <w:r>
        <w:rPr>
          <w:color w:val="000000" w:themeColor="text1"/>
          <w:highlight w:val="none"/>
          <w14:textFill>
            <w14:solidFill>
              <w14:schemeClr w14:val="tx1"/>
            </w14:solidFill>
          </w14:textFill>
        </w:rPr>
        <w:t>声环境质量现状调查与评价</w:t>
      </w:r>
      <w:bookmarkEnd w:id="906"/>
      <w:bookmarkEnd w:id="907"/>
      <w:bookmarkEnd w:id="908"/>
      <w:bookmarkEnd w:id="909"/>
      <w:bookmarkEnd w:id="910"/>
      <w:bookmarkEnd w:id="911"/>
      <w:bookmarkEnd w:id="912"/>
    </w:p>
    <w:p w14:paraId="7500F99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本次环评委托</w:t>
      </w:r>
      <w:r>
        <w:rPr>
          <w:rFonts w:hint="eastAsia"/>
          <w:color w:val="000000" w:themeColor="text1"/>
          <w:highlight w:val="none"/>
          <w:lang w:val="en-US" w:eastAsia="zh-CN"/>
          <w14:textFill>
            <w14:solidFill>
              <w14:schemeClr w14:val="tx1"/>
            </w14:solidFill>
          </w14:textFill>
        </w:rPr>
        <w:t>新疆科霖检测技术服务有限公司</w:t>
      </w:r>
      <w:r>
        <w:rPr>
          <w:rFonts w:hint="eastAsia"/>
          <w:color w:val="000000" w:themeColor="text1"/>
          <w:highlight w:val="none"/>
          <w14:textFill>
            <w14:solidFill>
              <w14:schemeClr w14:val="tx1"/>
            </w14:solidFill>
          </w14:textFill>
        </w:rPr>
        <w:t>在项目区四周范围外1m处各</w:t>
      </w:r>
      <w:r>
        <w:rPr>
          <w:color w:val="000000" w:themeColor="text1"/>
          <w:highlight w:val="none"/>
          <w14:textFill>
            <w14:solidFill>
              <w14:schemeClr w14:val="tx1"/>
            </w14:solidFill>
          </w14:textFill>
        </w:rPr>
        <w:t>布设</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个监测点位</w:t>
      </w:r>
      <w:r>
        <w:rPr>
          <w:rFonts w:hint="eastAsia"/>
          <w:color w:val="000000" w:themeColor="text1"/>
          <w:highlight w:val="none"/>
          <w14:textFill>
            <w14:solidFill>
              <w14:schemeClr w14:val="tx1"/>
            </w14:solidFill>
          </w14:textFill>
        </w:rPr>
        <w:t>于</w:t>
      </w:r>
      <w:r>
        <w:rPr>
          <w:bCs/>
          <w:color w:val="000000" w:themeColor="text1"/>
          <w:highlight w:val="none"/>
          <w14:textFill>
            <w14:solidFill>
              <w14:schemeClr w14:val="tx1"/>
            </w14:solidFill>
          </w14:textFill>
        </w:rPr>
        <w:t>202</w:t>
      </w:r>
      <w:r>
        <w:rPr>
          <w:rFonts w:hint="eastAsia"/>
          <w:bCs/>
          <w:color w:val="000000" w:themeColor="text1"/>
          <w:highlight w:val="none"/>
          <w:lang w:val="en-US" w:eastAsia="zh-CN"/>
          <w14:textFill>
            <w14:solidFill>
              <w14:schemeClr w14:val="tx1"/>
            </w14:solidFill>
          </w14:textFill>
        </w:rPr>
        <w:t>6</w:t>
      </w:r>
      <w:r>
        <w:rPr>
          <w:bCs/>
          <w:color w:val="000000" w:themeColor="text1"/>
          <w:highlight w:val="none"/>
          <w14:textFill>
            <w14:solidFill>
              <w14:schemeClr w14:val="tx1"/>
            </w14:solidFill>
          </w14:textFill>
        </w:rPr>
        <w:t>年</w:t>
      </w:r>
      <w:r>
        <w:rPr>
          <w:rFonts w:hint="eastAsia"/>
          <w:bCs/>
          <w:color w:val="000000" w:themeColor="text1"/>
          <w:highlight w:val="none"/>
          <w:lang w:val="en-US" w:eastAsia="zh-CN"/>
          <w14:textFill>
            <w14:solidFill>
              <w14:schemeClr w14:val="tx1"/>
            </w14:solidFill>
          </w14:textFill>
        </w:rPr>
        <w:t>4</w:t>
      </w:r>
      <w:r>
        <w:rPr>
          <w:bCs/>
          <w:color w:val="000000" w:themeColor="text1"/>
          <w:highlight w:val="none"/>
          <w14:textFill>
            <w14:solidFill>
              <w14:schemeClr w14:val="tx1"/>
            </w14:solidFill>
          </w14:textFill>
        </w:rPr>
        <w:t>月</w:t>
      </w:r>
      <w:r>
        <w:rPr>
          <w:rFonts w:hint="eastAsia"/>
          <w:bCs/>
          <w:color w:val="000000" w:themeColor="text1"/>
          <w:highlight w:val="none"/>
          <w:lang w:val="en-US" w:eastAsia="zh-CN"/>
          <w14:textFill>
            <w14:solidFill>
              <w14:schemeClr w14:val="tx1"/>
            </w14:solidFill>
          </w14:textFill>
        </w:rPr>
        <w:t>2</w:t>
      </w:r>
      <w:r>
        <w:rPr>
          <w:rFonts w:hint="eastAsia"/>
          <w:bCs/>
          <w:color w:val="000000" w:themeColor="text1"/>
          <w:highlight w:val="none"/>
          <w14:textFill>
            <w14:solidFill>
              <w14:schemeClr w14:val="tx1"/>
            </w14:solidFill>
          </w14:textFill>
        </w:rPr>
        <w:t>2日</w:t>
      </w:r>
      <w:r>
        <w:rPr>
          <w:color w:val="000000" w:themeColor="text1"/>
          <w:highlight w:val="none"/>
          <w14:textFill>
            <w14:solidFill>
              <w14:schemeClr w14:val="tx1"/>
            </w14:solidFill>
          </w14:textFill>
        </w:rPr>
        <w:t>进行了</w:t>
      </w:r>
      <w:r>
        <w:rPr>
          <w:rFonts w:hint="eastAsia"/>
          <w:color w:val="000000" w:themeColor="text1"/>
          <w:highlight w:val="none"/>
          <w14:textFill>
            <w14:solidFill>
              <w14:schemeClr w14:val="tx1"/>
            </w14:solidFill>
          </w14:textFill>
        </w:rPr>
        <w:t>昼夜</w:t>
      </w:r>
      <w:r>
        <w:rPr>
          <w:color w:val="000000" w:themeColor="text1"/>
          <w:highlight w:val="none"/>
          <w14:textFill>
            <w14:solidFill>
              <w14:schemeClr w14:val="tx1"/>
            </w14:solidFill>
          </w14:textFill>
        </w:rPr>
        <w:t>声环境质量现状监测。</w:t>
      </w:r>
    </w:p>
    <w:p w14:paraId="067B22D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监测结果统计见表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.3.3-1</w:t>
      </w:r>
      <w:r>
        <w:rPr>
          <w:color w:val="000000" w:themeColor="text1"/>
          <w:highlight w:val="none"/>
          <w14:textFill>
            <w14:solidFill>
              <w14:schemeClr w14:val="tx1"/>
            </w14:solidFill>
          </w14:textFill>
        </w:rPr>
        <w:t>。</w:t>
      </w:r>
    </w:p>
    <w:p w14:paraId="39F53956">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 xml:space="preserve">.3.3-1   </w:t>
      </w:r>
      <w:r>
        <w:rPr>
          <w:color w:val="000000" w:themeColor="text1"/>
          <w:highlight w:val="none"/>
          <w14:textFill>
            <w14:solidFill>
              <w14:schemeClr w14:val="tx1"/>
            </w14:solidFill>
          </w14:textFill>
        </w:rPr>
        <w:t xml:space="preserve">   区域声环境现状监测结果</w:t>
      </w:r>
    </w:p>
    <w:tbl>
      <w:tblPr>
        <w:tblStyle w:val="20"/>
        <w:tblW w:w="1474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3265"/>
        <w:gridCol w:w="2755"/>
        <w:gridCol w:w="2430"/>
        <w:gridCol w:w="3049"/>
        <w:gridCol w:w="3241"/>
      </w:tblGrid>
      <w:tr w14:paraId="428D55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98" w:hRule="atLeast"/>
          <w:jc w:val="center"/>
        </w:trPr>
        <w:tc>
          <w:tcPr>
            <w:tcW w:w="1107" w:type="pct"/>
            <w:tcBorders>
              <w:bottom w:val="single" w:color="auto" w:sz="12" w:space="0"/>
            </w:tcBorders>
            <w:noWrap w:val="0"/>
            <w:vAlign w:val="center"/>
          </w:tcPr>
          <w:p w14:paraId="5CC9B5A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监测点</w:t>
            </w:r>
          </w:p>
        </w:tc>
        <w:tc>
          <w:tcPr>
            <w:tcW w:w="934" w:type="pct"/>
            <w:tcBorders>
              <w:bottom w:val="single" w:color="auto" w:sz="12" w:space="0"/>
            </w:tcBorders>
            <w:noWrap w:val="0"/>
            <w:vAlign w:val="center"/>
          </w:tcPr>
          <w:p w14:paraId="49B477E7">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昼间</w:t>
            </w:r>
          </w:p>
        </w:tc>
        <w:tc>
          <w:tcPr>
            <w:tcW w:w="824" w:type="pct"/>
            <w:tcBorders>
              <w:bottom w:val="single" w:color="auto" w:sz="12" w:space="0"/>
            </w:tcBorders>
            <w:noWrap w:val="0"/>
            <w:vAlign w:val="center"/>
          </w:tcPr>
          <w:p w14:paraId="127A162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夜间</w:t>
            </w:r>
          </w:p>
        </w:tc>
        <w:tc>
          <w:tcPr>
            <w:tcW w:w="1034" w:type="pct"/>
            <w:tcBorders>
              <w:bottom w:val="single" w:color="auto" w:sz="12" w:space="0"/>
            </w:tcBorders>
            <w:noWrap w:val="0"/>
            <w:vAlign w:val="center"/>
          </w:tcPr>
          <w:p w14:paraId="1652CBE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w:t>
            </w:r>
          </w:p>
        </w:tc>
        <w:tc>
          <w:tcPr>
            <w:tcW w:w="1099" w:type="pct"/>
            <w:tcBorders>
              <w:bottom w:val="single" w:color="auto" w:sz="12" w:space="0"/>
            </w:tcBorders>
            <w:noWrap w:val="0"/>
            <w:vAlign w:val="center"/>
          </w:tcPr>
          <w:p w14:paraId="05AB7CD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达标情况</w:t>
            </w:r>
          </w:p>
        </w:tc>
      </w:tr>
      <w:tr w14:paraId="5650DF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107" w:type="pct"/>
            <w:tcBorders>
              <w:top w:val="single" w:color="auto" w:sz="12" w:space="0"/>
            </w:tcBorders>
            <w:noWrap w:val="0"/>
            <w:vAlign w:val="center"/>
          </w:tcPr>
          <w:p w14:paraId="46D740EC">
            <w:pPr>
              <w:pStyle w:val="26"/>
              <w:rPr>
                <w:color w:val="000000" w:themeColor="text1"/>
                <w:kern w:val="2"/>
                <w:highlight w:val="none"/>
                <w14:textFill>
                  <w14:solidFill>
                    <w14:schemeClr w14:val="tx1"/>
                  </w14:solidFill>
                </w14:textFill>
              </w:rPr>
            </w:pPr>
            <w:r>
              <w:rPr>
                <w:color w:val="000000" w:themeColor="text1"/>
                <w:highlight w:val="none"/>
                <w14:textFill>
                  <w14:solidFill>
                    <w14:schemeClr w14:val="tx1"/>
                  </w14:solidFill>
                </w14:textFill>
              </w:rPr>
              <w:t>1#厂界东侧1</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处</w:t>
            </w:r>
          </w:p>
        </w:tc>
        <w:tc>
          <w:tcPr>
            <w:tcW w:w="1695" w:type="dxa"/>
            <w:tcBorders>
              <w:top w:val="single" w:color="auto" w:sz="12" w:space="0"/>
            </w:tcBorders>
            <w:noWrap w:val="0"/>
            <w:vAlign w:val="center"/>
          </w:tcPr>
          <w:p w14:paraId="06650144">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53</w:t>
            </w:r>
          </w:p>
        </w:tc>
        <w:tc>
          <w:tcPr>
            <w:tcW w:w="1496" w:type="dxa"/>
            <w:tcBorders>
              <w:top w:val="single" w:color="auto" w:sz="12" w:space="0"/>
            </w:tcBorders>
            <w:noWrap w:val="0"/>
            <w:vAlign w:val="center"/>
          </w:tcPr>
          <w:p w14:paraId="32549D60">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45</w:t>
            </w:r>
          </w:p>
        </w:tc>
        <w:tc>
          <w:tcPr>
            <w:tcW w:w="1034" w:type="pct"/>
            <w:vMerge w:val="restart"/>
            <w:tcBorders>
              <w:top w:val="single" w:color="auto" w:sz="12" w:space="0"/>
            </w:tcBorders>
            <w:noWrap w:val="0"/>
            <w:vAlign w:val="center"/>
          </w:tcPr>
          <w:p w14:paraId="4027CAF8">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昼间6</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dB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w:t>
            </w:r>
          </w:p>
          <w:p w14:paraId="2CB3F65E">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夜间5</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dB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w:t>
            </w:r>
          </w:p>
        </w:tc>
        <w:tc>
          <w:tcPr>
            <w:tcW w:w="1099" w:type="pct"/>
            <w:vMerge w:val="restart"/>
            <w:tcBorders>
              <w:top w:val="single" w:color="auto" w:sz="12" w:space="0"/>
            </w:tcBorders>
            <w:noWrap w:val="0"/>
            <w:vAlign w:val="center"/>
          </w:tcPr>
          <w:p w14:paraId="23713E2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昼</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夜均达标</w:t>
            </w:r>
          </w:p>
        </w:tc>
      </w:tr>
      <w:tr w14:paraId="08803E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107" w:type="pct"/>
            <w:noWrap w:val="0"/>
            <w:vAlign w:val="center"/>
          </w:tcPr>
          <w:p w14:paraId="1BF0D004">
            <w:pPr>
              <w:pStyle w:val="26"/>
              <w:rPr>
                <w:color w:val="000000" w:themeColor="text1"/>
                <w:kern w:val="2"/>
                <w:highlight w:val="none"/>
                <w14:textFill>
                  <w14:solidFill>
                    <w14:schemeClr w14:val="tx1"/>
                  </w14:solidFill>
                </w14:textFill>
              </w:rPr>
            </w:pPr>
            <w:r>
              <w:rPr>
                <w:color w:val="000000" w:themeColor="text1"/>
                <w:highlight w:val="none"/>
                <w14:textFill>
                  <w14:solidFill>
                    <w14:schemeClr w14:val="tx1"/>
                  </w14:solidFill>
                </w14:textFill>
              </w:rPr>
              <w:t>2#厂界南侧1</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处</w:t>
            </w:r>
          </w:p>
        </w:tc>
        <w:tc>
          <w:tcPr>
            <w:tcW w:w="1695" w:type="dxa"/>
            <w:noWrap w:val="0"/>
            <w:vAlign w:val="center"/>
          </w:tcPr>
          <w:p w14:paraId="609EF284">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54</w:t>
            </w:r>
          </w:p>
        </w:tc>
        <w:tc>
          <w:tcPr>
            <w:tcW w:w="1496" w:type="dxa"/>
            <w:noWrap w:val="0"/>
            <w:vAlign w:val="center"/>
          </w:tcPr>
          <w:p w14:paraId="7305DE86">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44</w:t>
            </w:r>
          </w:p>
        </w:tc>
        <w:tc>
          <w:tcPr>
            <w:tcW w:w="1034" w:type="pct"/>
            <w:vMerge w:val="continue"/>
            <w:noWrap w:val="0"/>
            <w:vAlign w:val="center"/>
          </w:tcPr>
          <w:p w14:paraId="1611639A">
            <w:pPr>
              <w:pStyle w:val="26"/>
              <w:rPr>
                <w:color w:val="000000" w:themeColor="text1"/>
                <w:highlight w:val="none"/>
                <w14:textFill>
                  <w14:solidFill>
                    <w14:schemeClr w14:val="tx1"/>
                  </w14:solidFill>
                </w14:textFill>
              </w:rPr>
            </w:pPr>
          </w:p>
        </w:tc>
        <w:tc>
          <w:tcPr>
            <w:tcW w:w="1099" w:type="pct"/>
            <w:vMerge w:val="continue"/>
            <w:noWrap w:val="0"/>
            <w:vAlign w:val="center"/>
          </w:tcPr>
          <w:p w14:paraId="57249186">
            <w:pPr>
              <w:pStyle w:val="26"/>
              <w:rPr>
                <w:color w:val="000000" w:themeColor="text1"/>
                <w:highlight w:val="none"/>
                <w14:textFill>
                  <w14:solidFill>
                    <w14:schemeClr w14:val="tx1"/>
                  </w14:solidFill>
                </w14:textFill>
              </w:rPr>
            </w:pPr>
          </w:p>
        </w:tc>
      </w:tr>
      <w:tr w14:paraId="4126C8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107" w:type="pct"/>
            <w:noWrap w:val="0"/>
            <w:vAlign w:val="center"/>
          </w:tcPr>
          <w:p w14:paraId="2CB629A4">
            <w:pPr>
              <w:pStyle w:val="26"/>
              <w:rPr>
                <w:color w:val="000000" w:themeColor="text1"/>
                <w:kern w:val="2"/>
                <w:highlight w:val="none"/>
                <w14:textFill>
                  <w14:solidFill>
                    <w14:schemeClr w14:val="tx1"/>
                  </w14:solidFill>
                </w14:textFill>
              </w:rPr>
            </w:pPr>
            <w:r>
              <w:rPr>
                <w:color w:val="000000" w:themeColor="text1"/>
                <w:highlight w:val="none"/>
                <w14:textFill>
                  <w14:solidFill>
                    <w14:schemeClr w14:val="tx1"/>
                  </w14:solidFill>
                </w14:textFill>
              </w:rPr>
              <w:t>3#厂界西侧1</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处</w:t>
            </w:r>
          </w:p>
        </w:tc>
        <w:tc>
          <w:tcPr>
            <w:tcW w:w="1695" w:type="dxa"/>
            <w:noWrap w:val="0"/>
            <w:vAlign w:val="center"/>
          </w:tcPr>
          <w:p w14:paraId="383B8329">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55</w:t>
            </w:r>
          </w:p>
        </w:tc>
        <w:tc>
          <w:tcPr>
            <w:tcW w:w="1496" w:type="dxa"/>
            <w:noWrap w:val="0"/>
            <w:vAlign w:val="center"/>
          </w:tcPr>
          <w:p w14:paraId="154F0B6A">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47</w:t>
            </w:r>
          </w:p>
        </w:tc>
        <w:tc>
          <w:tcPr>
            <w:tcW w:w="1034" w:type="pct"/>
            <w:vMerge w:val="continue"/>
            <w:noWrap w:val="0"/>
            <w:vAlign w:val="center"/>
          </w:tcPr>
          <w:p w14:paraId="7E6B07D7">
            <w:pPr>
              <w:pStyle w:val="26"/>
              <w:rPr>
                <w:color w:val="000000" w:themeColor="text1"/>
                <w:highlight w:val="none"/>
                <w14:textFill>
                  <w14:solidFill>
                    <w14:schemeClr w14:val="tx1"/>
                  </w14:solidFill>
                </w14:textFill>
              </w:rPr>
            </w:pPr>
          </w:p>
        </w:tc>
        <w:tc>
          <w:tcPr>
            <w:tcW w:w="1099" w:type="pct"/>
            <w:vMerge w:val="continue"/>
            <w:noWrap w:val="0"/>
            <w:vAlign w:val="center"/>
          </w:tcPr>
          <w:p w14:paraId="50DD855F">
            <w:pPr>
              <w:pStyle w:val="26"/>
              <w:rPr>
                <w:color w:val="000000" w:themeColor="text1"/>
                <w:highlight w:val="none"/>
                <w14:textFill>
                  <w14:solidFill>
                    <w14:schemeClr w14:val="tx1"/>
                  </w14:solidFill>
                </w14:textFill>
              </w:rPr>
            </w:pPr>
          </w:p>
        </w:tc>
      </w:tr>
      <w:tr w14:paraId="27CC90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1107" w:type="pct"/>
            <w:noWrap w:val="0"/>
            <w:vAlign w:val="center"/>
          </w:tcPr>
          <w:p w14:paraId="4BACDFC1">
            <w:pPr>
              <w:pStyle w:val="26"/>
              <w:rPr>
                <w:color w:val="000000" w:themeColor="text1"/>
                <w:kern w:val="2"/>
                <w:highlight w:val="none"/>
                <w14:textFill>
                  <w14:solidFill>
                    <w14:schemeClr w14:val="tx1"/>
                  </w14:solidFill>
                </w14:textFill>
              </w:rPr>
            </w:pPr>
            <w:r>
              <w:rPr>
                <w:color w:val="000000" w:themeColor="text1"/>
                <w:highlight w:val="none"/>
                <w14:textFill>
                  <w14:solidFill>
                    <w14:schemeClr w14:val="tx1"/>
                  </w14:solidFill>
                </w14:textFill>
              </w:rPr>
              <w:t>4#厂界北侧1</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处</w:t>
            </w:r>
          </w:p>
        </w:tc>
        <w:tc>
          <w:tcPr>
            <w:tcW w:w="1695" w:type="dxa"/>
            <w:noWrap w:val="0"/>
            <w:vAlign w:val="center"/>
          </w:tcPr>
          <w:p w14:paraId="755ABE17">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52</w:t>
            </w:r>
          </w:p>
        </w:tc>
        <w:tc>
          <w:tcPr>
            <w:tcW w:w="1496" w:type="dxa"/>
            <w:noWrap w:val="0"/>
            <w:vAlign w:val="center"/>
          </w:tcPr>
          <w:p w14:paraId="65A4F14A">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44</w:t>
            </w:r>
          </w:p>
        </w:tc>
        <w:tc>
          <w:tcPr>
            <w:tcW w:w="1034" w:type="pct"/>
            <w:vMerge w:val="continue"/>
            <w:noWrap w:val="0"/>
            <w:vAlign w:val="center"/>
          </w:tcPr>
          <w:p w14:paraId="2F40E7DF">
            <w:pPr>
              <w:pStyle w:val="26"/>
              <w:rPr>
                <w:color w:val="000000" w:themeColor="text1"/>
                <w:highlight w:val="none"/>
                <w14:textFill>
                  <w14:solidFill>
                    <w14:schemeClr w14:val="tx1"/>
                  </w14:solidFill>
                </w14:textFill>
              </w:rPr>
            </w:pPr>
          </w:p>
        </w:tc>
        <w:tc>
          <w:tcPr>
            <w:tcW w:w="1099" w:type="pct"/>
            <w:vMerge w:val="continue"/>
            <w:noWrap w:val="0"/>
            <w:vAlign w:val="center"/>
          </w:tcPr>
          <w:p w14:paraId="101083B5">
            <w:pPr>
              <w:pStyle w:val="26"/>
              <w:rPr>
                <w:color w:val="000000" w:themeColor="text1"/>
                <w:highlight w:val="none"/>
                <w14:textFill>
                  <w14:solidFill>
                    <w14:schemeClr w14:val="tx1"/>
                  </w14:solidFill>
                </w14:textFill>
              </w:rPr>
            </w:pPr>
          </w:p>
        </w:tc>
      </w:tr>
    </w:tbl>
    <w:p w14:paraId="06260D3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由表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.3.3-1</w:t>
      </w:r>
      <w:r>
        <w:rPr>
          <w:color w:val="000000" w:themeColor="text1"/>
          <w:highlight w:val="none"/>
          <w14:textFill>
            <w14:solidFill>
              <w14:schemeClr w14:val="tx1"/>
            </w14:solidFill>
          </w14:textFill>
        </w:rPr>
        <w:t>可知，</w:t>
      </w:r>
      <w:r>
        <w:rPr>
          <w:rFonts w:hint="eastAsia"/>
          <w:color w:val="000000" w:themeColor="text1"/>
          <w:highlight w:val="none"/>
          <w14:textFill>
            <w14:solidFill>
              <w14:schemeClr w14:val="tx1"/>
            </w14:solidFill>
          </w14:textFill>
        </w:rPr>
        <w:t>本</w:t>
      </w:r>
      <w:r>
        <w:rPr>
          <w:color w:val="000000" w:themeColor="text1"/>
          <w:highlight w:val="none"/>
          <w14:textFill>
            <w14:solidFill>
              <w14:schemeClr w14:val="tx1"/>
            </w14:solidFill>
          </w14:textFill>
        </w:rPr>
        <w:t>项目所在区域现状</w:t>
      </w:r>
      <w:r>
        <w:rPr>
          <w:rFonts w:hint="eastAsia"/>
          <w:color w:val="000000" w:themeColor="text1"/>
          <w:highlight w:val="none"/>
          <w14:textFill>
            <w14:solidFill>
              <w14:schemeClr w14:val="tx1"/>
            </w14:solidFill>
          </w14:textFill>
        </w:rPr>
        <w:t>声环境质量各监测点监测值</w:t>
      </w:r>
      <w:r>
        <w:rPr>
          <w:color w:val="000000" w:themeColor="text1"/>
          <w:highlight w:val="none"/>
          <w14:textFill>
            <w14:solidFill>
              <w14:schemeClr w14:val="tx1"/>
            </w14:solidFill>
          </w14:textFill>
        </w:rPr>
        <w:t>均</w:t>
      </w:r>
      <w:r>
        <w:rPr>
          <w:rFonts w:hint="eastAsia"/>
          <w:color w:val="000000" w:themeColor="text1"/>
          <w:highlight w:val="none"/>
          <w14:textFill>
            <w14:solidFill>
              <w14:schemeClr w14:val="tx1"/>
            </w14:solidFill>
          </w14:textFill>
        </w:rPr>
        <w:t>能</w:t>
      </w:r>
      <w:r>
        <w:rPr>
          <w:color w:val="000000" w:themeColor="text1"/>
          <w:highlight w:val="none"/>
          <w14:textFill>
            <w14:solidFill>
              <w14:schemeClr w14:val="tx1"/>
            </w14:solidFill>
          </w14:textFill>
        </w:rPr>
        <w:t>达到《声环境质量标准》（GB3096-2008）中的</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类标准要求，项目区域声环境质量良好。</w:t>
      </w:r>
    </w:p>
    <w:p w14:paraId="79665B4F">
      <w:pPr>
        <w:pStyle w:val="27"/>
        <w:rPr>
          <w:color w:val="000000" w:themeColor="text1"/>
          <w:highlight w:val="none"/>
          <w14:textFill>
            <w14:solidFill>
              <w14:schemeClr w14:val="tx1"/>
            </w14:solidFill>
          </w14:textFill>
        </w:rPr>
      </w:pPr>
    </w:p>
    <w:p w14:paraId="2C03F403">
      <w:pPr>
        <w:pStyle w:val="27"/>
        <w:rPr>
          <w:color w:val="000000" w:themeColor="text1"/>
          <w:highlight w:val="none"/>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8CF7D52">
      <w:pPr>
        <w:pStyle w:val="4"/>
        <w:rPr>
          <w:color w:val="000000" w:themeColor="text1"/>
          <w:highlight w:val="none"/>
          <w14:textFill>
            <w14:solidFill>
              <w14:schemeClr w14:val="tx1"/>
            </w14:solidFill>
          </w14:textFill>
        </w:rPr>
      </w:pPr>
      <w:bookmarkStart w:id="913" w:name="_Toc24317"/>
      <w:bookmarkStart w:id="914" w:name="_Toc7784"/>
      <w:bookmarkStart w:id="915" w:name="_Toc11014"/>
      <w:bookmarkStart w:id="916" w:name="_Toc31528"/>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.4土壤环境质量状况调查与评价</w:t>
      </w:r>
      <w:bookmarkEnd w:id="913"/>
      <w:bookmarkEnd w:id="914"/>
      <w:bookmarkEnd w:id="915"/>
      <w:bookmarkEnd w:id="916"/>
    </w:p>
    <w:p w14:paraId="5EAC6F4F">
      <w:pPr>
        <w:ind w:firstLine="480"/>
        <w:jc w:val="left"/>
        <w:rPr>
          <w:rFonts w:hint="default" w:eastAsia="宋体"/>
          <w:color w:val="000000" w:themeColor="text1"/>
          <w:kern w:val="0"/>
          <w:highlight w:val="none"/>
          <w:lang w:val="en-US" w:eastAsia="zh-CN" w:bidi="ar"/>
          <w14:textFill>
            <w14:solidFill>
              <w14:schemeClr w14:val="tx1"/>
            </w14:solidFill>
          </w14:textFill>
        </w:rPr>
      </w:pPr>
      <w:r>
        <w:rPr>
          <w:color w:val="000000" w:themeColor="text1"/>
          <w:kern w:val="0"/>
          <w:highlight w:val="none"/>
          <w:lang w:bidi="ar"/>
          <w14:textFill>
            <w14:solidFill>
              <w14:schemeClr w14:val="tx1"/>
            </w14:solidFill>
          </w14:textFill>
        </w:rPr>
        <w:t>本项目土壤评价等级为</w:t>
      </w:r>
      <w:r>
        <w:rPr>
          <w:rFonts w:hint="eastAsia"/>
          <w:color w:val="000000" w:themeColor="text1"/>
          <w:kern w:val="0"/>
          <w:highlight w:val="none"/>
          <w:lang w:bidi="ar"/>
          <w14:textFill>
            <w14:solidFill>
              <w14:schemeClr w14:val="tx1"/>
            </w14:solidFill>
          </w14:textFill>
        </w:rPr>
        <w:t>二</w:t>
      </w:r>
      <w:r>
        <w:rPr>
          <w:color w:val="000000" w:themeColor="text1"/>
          <w:kern w:val="0"/>
          <w:highlight w:val="none"/>
          <w:lang w:bidi="ar"/>
          <w14:textFill>
            <w14:solidFill>
              <w14:schemeClr w14:val="tx1"/>
            </w14:solidFill>
          </w14:textFill>
        </w:rPr>
        <w:t>级，根据《环境影响评价技术导则</w:t>
      </w:r>
      <w:r>
        <w:rPr>
          <w:rFonts w:hint="eastAsia"/>
          <w:color w:val="000000" w:themeColor="text1"/>
          <w:kern w:val="0"/>
          <w:highlight w:val="none"/>
          <w:lang w:bidi="ar"/>
          <w14:textFill>
            <w14:solidFill>
              <w14:schemeClr w14:val="tx1"/>
            </w14:solidFill>
          </w14:textFill>
        </w:rPr>
        <w:t xml:space="preserve"> </w:t>
      </w:r>
      <w:r>
        <w:rPr>
          <w:color w:val="000000" w:themeColor="text1"/>
          <w:kern w:val="0"/>
          <w:highlight w:val="none"/>
          <w:lang w:bidi="ar"/>
          <w14:textFill>
            <w14:solidFill>
              <w14:schemeClr w14:val="tx1"/>
            </w14:solidFill>
          </w14:textFill>
        </w:rPr>
        <w:t>土壤环境（试行）》（HJ964-2018）中7.4.3现状监测点数量要求，评价等级为</w:t>
      </w:r>
      <w:r>
        <w:rPr>
          <w:rFonts w:hint="eastAsia"/>
          <w:color w:val="000000" w:themeColor="text1"/>
          <w:kern w:val="0"/>
          <w:highlight w:val="none"/>
          <w:lang w:bidi="ar"/>
          <w14:textFill>
            <w14:solidFill>
              <w14:schemeClr w14:val="tx1"/>
            </w14:solidFill>
          </w14:textFill>
        </w:rPr>
        <w:t>二</w:t>
      </w:r>
      <w:r>
        <w:rPr>
          <w:color w:val="000000" w:themeColor="text1"/>
          <w:kern w:val="0"/>
          <w:highlight w:val="none"/>
          <w:lang w:bidi="ar"/>
          <w14:textFill>
            <w14:solidFill>
              <w14:schemeClr w14:val="tx1"/>
            </w14:solidFill>
          </w14:textFill>
        </w:rPr>
        <w:t>级的污染影响型类项目，土壤监测点在占地范围内需设置</w:t>
      </w:r>
      <w:r>
        <w:rPr>
          <w:rFonts w:hint="eastAsia"/>
          <w:color w:val="000000" w:themeColor="text1"/>
          <w:kern w:val="0"/>
          <w:highlight w:val="none"/>
          <w:lang w:bidi="ar"/>
          <w14:textFill>
            <w14:solidFill>
              <w14:schemeClr w14:val="tx1"/>
            </w14:solidFill>
          </w14:textFill>
        </w:rPr>
        <w:t>1</w:t>
      </w:r>
      <w:r>
        <w:rPr>
          <w:color w:val="000000" w:themeColor="text1"/>
          <w:kern w:val="0"/>
          <w:highlight w:val="none"/>
          <w:lang w:bidi="ar"/>
          <w14:textFill>
            <w14:solidFill>
              <w14:schemeClr w14:val="tx1"/>
            </w14:solidFill>
          </w14:textFill>
        </w:rPr>
        <w:t>个表层样点</w:t>
      </w:r>
      <w:r>
        <w:rPr>
          <w:rFonts w:hint="eastAsia"/>
          <w:color w:val="000000" w:themeColor="text1"/>
          <w:kern w:val="0"/>
          <w:highlight w:val="none"/>
          <w:lang w:bidi="ar"/>
          <w14:textFill>
            <w14:solidFill>
              <w14:schemeClr w14:val="tx1"/>
            </w14:solidFill>
          </w14:textFill>
        </w:rPr>
        <w:t>，3个柱状样点，</w:t>
      </w:r>
      <w:r>
        <w:rPr>
          <w:color w:val="000000" w:themeColor="text1"/>
          <w:kern w:val="0"/>
          <w:highlight w:val="none"/>
          <w:lang w:bidi="ar"/>
          <w14:textFill>
            <w14:solidFill>
              <w14:schemeClr w14:val="tx1"/>
            </w14:solidFill>
          </w14:textFill>
        </w:rPr>
        <w:t>占地范围</w:t>
      </w:r>
      <w:r>
        <w:rPr>
          <w:rFonts w:hint="eastAsia"/>
          <w:color w:val="000000" w:themeColor="text1"/>
          <w:kern w:val="0"/>
          <w:highlight w:val="none"/>
          <w:lang w:bidi="ar"/>
          <w14:textFill>
            <w14:solidFill>
              <w14:schemeClr w14:val="tx1"/>
            </w14:solidFill>
          </w14:textFill>
        </w:rPr>
        <w:t>外</w:t>
      </w:r>
      <w:r>
        <w:rPr>
          <w:color w:val="000000" w:themeColor="text1"/>
          <w:kern w:val="0"/>
          <w:highlight w:val="none"/>
          <w:lang w:bidi="ar"/>
          <w14:textFill>
            <w14:solidFill>
              <w14:schemeClr w14:val="tx1"/>
            </w14:solidFill>
          </w14:textFill>
        </w:rPr>
        <w:t>设置</w:t>
      </w:r>
      <w:r>
        <w:rPr>
          <w:rFonts w:hint="eastAsia"/>
          <w:color w:val="000000" w:themeColor="text1"/>
          <w:kern w:val="0"/>
          <w:highlight w:val="none"/>
          <w:lang w:bidi="ar"/>
          <w14:textFill>
            <w14:solidFill>
              <w14:schemeClr w14:val="tx1"/>
            </w14:solidFill>
          </w14:textFill>
        </w:rPr>
        <w:t>2</w:t>
      </w:r>
      <w:r>
        <w:rPr>
          <w:color w:val="000000" w:themeColor="text1"/>
          <w:kern w:val="0"/>
          <w:highlight w:val="none"/>
          <w:lang w:bidi="ar"/>
          <w14:textFill>
            <w14:solidFill>
              <w14:schemeClr w14:val="tx1"/>
            </w14:solidFill>
          </w14:textFill>
        </w:rPr>
        <w:t>个表层样点</w:t>
      </w:r>
      <w:r>
        <w:rPr>
          <w:rFonts w:hint="eastAsia"/>
          <w:color w:val="000000" w:themeColor="text1"/>
          <w:kern w:val="0"/>
          <w:highlight w:val="none"/>
          <w:lang w:val="en-US" w:eastAsia="zh-CN" w:bidi="ar"/>
          <w14:textFill>
            <w14:solidFill>
              <w14:schemeClr w14:val="tx1"/>
            </w14:solidFill>
          </w14:textFill>
        </w:rPr>
        <w:t>。</w:t>
      </w:r>
    </w:p>
    <w:p w14:paraId="158544CD">
      <w:pPr>
        <w:ind w:firstLine="480"/>
        <w:jc w:val="left"/>
        <w:rPr>
          <w:color w:val="000000" w:themeColor="text1"/>
          <w:kern w:val="0"/>
          <w:highlight w:val="none"/>
          <w:lang w:bidi="ar"/>
          <w14:textFill>
            <w14:solidFill>
              <w14:schemeClr w14:val="tx1"/>
            </w14:solidFill>
          </w14:textFill>
        </w:rPr>
      </w:pPr>
      <w:r>
        <w:rPr>
          <w:rFonts w:hint="eastAsia"/>
          <w:color w:val="000000" w:themeColor="text1"/>
          <w:kern w:val="0"/>
          <w:highlight w:val="none"/>
          <w:lang w:bidi="ar"/>
          <w14:textFill>
            <w14:solidFill>
              <w14:schemeClr w14:val="tx1"/>
            </w14:solidFill>
          </w14:textFill>
        </w:rPr>
        <w:t>（1）</w:t>
      </w:r>
      <w:r>
        <w:rPr>
          <w:color w:val="000000" w:themeColor="text1"/>
          <w:kern w:val="0"/>
          <w:highlight w:val="none"/>
          <w:lang w:bidi="ar"/>
          <w14:textFill>
            <w14:solidFill>
              <w14:schemeClr w14:val="tx1"/>
            </w14:solidFill>
          </w14:textFill>
        </w:rPr>
        <w:t>监测点位</w:t>
      </w:r>
      <w:r>
        <w:rPr>
          <w:rFonts w:hint="eastAsia"/>
          <w:color w:val="000000" w:themeColor="text1"/>
          <w:kern w:val="0"/>
          <w:highlight w:val="none"/>
          <w:lang w:bidi="ar"/>
          <w14:textFill>
            <w14:solidFill>
              <w14:schemeClr w14:val="tx1"/>
            </w14:solidFill>
          </w14:textFill>
        </w:rPr>
        <w:t>及监测因子</w:t>
      </w:r>
    </w:p>
    <w:p w14:paraId="5E9EDAC2">
      <w:pPr>
        <w:ind w:firstLine="480"/>
        <w:rPr>
          <w:color w:val="000000" w:themeColor="text1"/>
          <w:kern w:val="0"/>
          <w:highlight w:val="none"/>
          <w:lang w:bidi="ar"/>
          <w14:textFill>
            <w14:solidFill>
              <w14:schemeClr w14:val="tx1"/>
            </w14:solidFill>
          </w14:textFill>
        </w:rPr>
      </w:pPr>
      <w:r>
        <w:rPr>
          <w:color w:val="000000" w:themeColor="text1"/>
          <w:kern w:val="0"/>
          <w:highlight w:val="none"/>
          <w:lang w:bidi="ar"/>
          <w14:textFill>
            <w14:solidFill>
              <w14:schemeClr w14:val="tx1"/>
            </w14:solidFill>
          </w14:textFill>
        </w:rPr>
        <w:t>本次土壤环境质量现状评价</w:t>
      </w:r>
      <w:r>
        <w:rPr>
          <w:rFonts w:hint="eastAsia"/>
          <w:color w:val="000000" w:themeColor="text1"/>
          <w:kern w:val="0"/>
          <w:highlight w:val="none"/>
          <w:lang w:bidi="ar"/>
          <w14:textFill>
            <w14:solidFill>
              <w14:schemeClr w14:val="tx1"/>
            </w14:solidFill>
          </w14:textFill>
        </w:rPr>
        <w:t>由</w:t>
      </w:r>
      <w:r>
        <w:rPr>
          <w:rFonts w:hint="eastAsia"/>
          <w:color w:val="000000" w:themeColor="text1"/>
          <w:highlight w:val="none"/>
          <w:lang w:val="en-US" w:eastAsia="zh-CN"/>
          <w14:textFill>
            <w14:solidFill>
              <w14:schemeClr w14:val="tx1"/>
            </w14:solidFill>
          </w14:textFill>
        </w:rPr>
        <w:t>新疆科霖检测技术服务有限公司</w:t>
      </w:r>
      <w:r>
        <w:rPr>
          <w:rFonts w:hint="eastAsia"/>
          <w:color w:val="000000" w:themeColor="text1"/>
          <w:highlight w:val="none"/>
          <w14:textFill>
            <w14:solidFill>
              <w14:schemeClr w14:val="tx1"/>
            </w14:solidFill>
          </w14:textFill>
        </w:rPr>
        <w:t>于</w:t>
      </w:r>
      <w:r>
        <w:rPr>
          <w:color w:val="000000" w:themeColor="text1"/>
          <w:kern w:val="0"/>
          <w:highlight w:val="none"/>
          <w:lang w:bidi="ar"/>
          <w14:textFill>
            <w14:solidFill>
              <w14:schemeClr w14:val="tx1"/>
            </w14:solidFill>
          </w14:textFill>
        </w:rPr>
        <w:t>202</w:t>
      </w:r>
      <w:r>
        <w:rPr>
          <w:rFonts w:hint="eastAsia"/>
          <w:color w:val="000000" w:themeColor="text1"/>
          <w:kern w:val="0"/>
          <w:highlight w:val="none"/>
          <w:lang w:val="en-US" w:eastAsia="zh-CN" w:bidi="ar"/>
          <w14:textFill>
            <w14:solidFill>
              <w14:schemeClr w14:val="tx1"/>
            </w14:solidFill>
          </w14:textFill>
        </w:rPr>
        <w:t>6</w:t>
      </w:r>
      <w:r>
        <w:rPr>
          <w:color w:val="000000" w:themeColor="text1"/>
          <w:kern w:val="0"/>
          <w:highlight w:val="none"/>
          <w:lang w:bidi="ar"/>
          <w14:textFill>
            <w14:solidFill>
              <w14:schemeClr w14:val="tx1"/>
            </w14:solidFill>
          </w14:textFill>
        </w:rPr>
        <w:t>年</w:t>
      </w:r>
      <w:r>
        <w:rPr>
          <w:rFonts w:hint="eastAsia"/>
          <w:color w:val="000000" w:themeColor="text1"/>
          <w:kern w:val="0"/>
          <w:highlight w:val="none"/>
          <w:lang w:val="en-US" w:eastAsia="zh-CN" w:bidi="ar"/>
          <w14:textFill>
            <w14:solidFill>
              <w14:schemeClr w14:val="tx1"/>
            </w14:solidFill>
          </w14:textFill>
        </w:rPr>
        <w:t>4</w:t>
      </w:r>
      <w:r>
        <w:rPr>
          <w:color w:val="000000" w:themeColor="text1"/>
          <w:kern w:val="0"/>
          <w:highlight w:val="none"/>
          <w:lang w:bidi="ar"/>
          <w14:textFill>
            <w14:solidFill>
              <w14:schemeClr w14:val="tx1"/>
            </w14:solidFill>
          </w14:textFill>
        </w:rPr>
        <w:t>月</w:t>
      </w:r>
      <w:r>
        <w:rPr>
          <w:rFonts w:hint="eastAsia"/>
          <w:color w:val="000000" w:themeColor="text1"/>
          <w:kern w:val="0"/>
          <w:highlight w:val="none"/>
          <w:lang w:val="en-US" w:eastAsia="zh-CN" w:bidi="ar"/>
          <w14:textFill>
            <w14:solidFill>
              <w14:schemeClr w14:val="tx1"/>
            </w14:solidFill>
          </w14:textFill>
        </w:rPr>
        <w:t>23</w:t>
      </w:r>
      <w:r>
        <w:rPr>
          <w:color w:val="000000" w:themeColor="text1"/>
          <w:kern w:val="0"/>
          <w:highlight w:val="none"/>
          <w:lang w:bidi="ar"/>
          <w14:textFill>
            <w14:solidFill>
              <w14:schemeClr w14:val="tx1"/>
            </w14:solidFill>
          </w14:textFill>
        </w:rPr>
        <w:t>日</w:t>
      </w:r>
      <w:r>
        <w:rPr>
          <w:rFonts w:hint="eastAsia"/>
          <w:color w:val="000000" w:themeColor="text1"/>
          <w:kern w:val="0"/>
          <w:highlight w:val="none"/>
          <w:lang w:bidi="ar"/>
          <w14:textFill>
            <w14:solidFill>
              <w14:schemeClr w14:val="tx1"/>
            </w14:solidFill>
          </w14:textFill>
        </w:rPr>
        <w:t>对项目区的</w:t>
      </w:r>
      <w:r>
        <w:rPr>
          <w:color w:val="000000" w:themeColor="text1"/>
          <w:kern w:val="0"/>
          <w:highlight w:val="none"/>
          <w:lang w:bidi="ar"/>
          <w14:textFill>
            <w14:solidFill>
              <w14:schemeClr w14:val="tx1"/>
            </w14:solidFill>
          </w14:textFill>
        </w:rPr>
        <w:t>监测</w:t>
      </w:r>
      <w:r>
        <w:rPr>
          <w:rFonts w:hint="eastAsia"/>
          <w:color w:val="000000" w:themeColor="text1"/>
          <w:kern w:val="0"/>
          <w:highlight w:val="none"/>
          <w:lang w:bidi="ar"/>
          <w14:textFill>
            <w14:solidFill>
              <w14:schemeClr w14:val="tx1"/>
            </w14:solidFill>
          </w14:textFill>
        </w:rPr>
        <w:t>数据</w:t>
      </w:r>
      <w:r>
        <w:rPr>
          <w:rFonts w:hint="eastAsia"/>
          <w:color w:val="000000" w:themeColor="text1"/>
          <w:kern w:val="0"/>
          <w:highlight w:val="none"/>
          <w:lang w:eastAsia="zh-CN" w:bidi="ar"/>
          <w14:textFill>
            <w14:solidFill>
              <w14:schemeClr w14:val="tx1"/>
            </w14:solidFill>
          </w14:textFill>
        </w:rPr>
        <w:t>，</w:t>
      </w:r>
      <w:r>
        <w:rPr>
          <w:color w:val="000000" w:themeColor="text1"/>
          <w:kern w:val="0"/>
          <w:highlight w:val="none"/>
          <w:lang w:bidi="ar"/>
          <w14:textFill>
            <w14:solidFill>
              <w14:schemeClr w14:val="tx1"/>
            </w14:solidFill>
          </w14:textFill>
        </w:rPr>
        <w:t>作为评价区域土壤环境质量现状的分析资料数据。</w:t>
      </w:r>
    </w:p>
    <w:p w14:paraId="7AA58A9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本次土壤监测布点布设情况见表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.3.4-1</w:t>
      </w:r>
      <w:r>
        <w:rPr>
          <w:color w:val="000000" w:themeColor="text1"/>
          <w:highlight w:val="none"/>
          <w14:textFill>
            <w14:solidFill>
              <w14:schemeClr w14:val="tx1"/>
            </w14:solidFill>
          </w14:textFill>
        </w:rPr>
        <w:t>。</w:t>
      </w:r>
    </w:p>
    <w:p w14:paraId="04C3211C">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 xml:space="preserve">.3.4-1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土</w:t>
      </w:r>
      <w:r>
        <w:rPr>
          <w:color w:val="000000" w:themeColor="text1"/>
          <w:highlight w:val="none"/>
          <w14:textFill>
            <w14:solidFill>
              <w14:schemeClr w14:val="tx1"/>
            </w14:solidFill>
          </w14:textFill>
        </w:rPr>
        <w:t>壤监测点位布设情况一览表</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952"/>
        <w:gridCol w:w="1289"/>
        <w:gridCol w:w="1285"/>
        <w:gridCol w:w="2917"/>
        <w:gridCol w:w="1830"/>
      </w:tblGrid>
      <w:tr w14:paraId="6B7F97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0" w:type="pct"/>
            <w:tcBorders>
              <w:bottom w:val="single" w:color="auto" w:sz="12" w:space="0"/>
            </w:tcBorders>
            <w:noWrap w:val="0"/>
            <w:vAlign w:val="center"/>
          </w:tcPr>
          <w:p w14:paraId="09300BA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525" w:type="pct"/>
            <w:tcBorders>
              <w:bottom w:val="single" w:color="auto" w:sz="12" w:space="0"/>
            </w:tcBorders>
            <w:noWrap w:val="0"/>
            <w:vAlign w:val="center"/>
          </w:tcPr>
          <w:p w14:paraId="4EEC9B8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监测点</w:t>
            </w:r>
          </w:p>
        </w:tc>
        <w:tc>
          <w:tcPr>
            <w:tcW w:w="710" w:type="pct"/>
            <w:tcBorders>
              <w:bottom w:val="single" w:color="auto" w:sz="12" w:space="0"/>
            </w:tcBorders>
            <w:noWrap w:val="0"/>
            <w:vAlign w:val="center"/>
          </w:tcPr>
          <w:p w14:paraId="32468B1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样点</w:t>
            </w:r>
            <w:r>
              <w:rPr>
                <w:rFonts w:hint="eastAsia"/>
                <w:b/>
                <w:bCs/>
                <w:color w:val="000000" w:themeColor="text1"/>
                <w:highlight w:val="none"/>
                <w14:textFill>
                  <w14:solidFill>
                    <w14:schemeClr w14:val="tx1"/>
                  </w14:solidFill>
                </w14:textFill>
              </w:rPr>
              <w:t>类别</w:t>
            </w:r>
          </w:p>
        </w:tc>
        <w:tc>
          <w:tcPr>
            <w:tcW w:w="708" w:type="pct"/>
            <w:tcBorders>
              <w:bottom w:val="single" w:color="auto" w:sz="12" w:space="0"/>
            </w:tcBorders>
            <w:noWrap w:val="0"/>
            <w:vAlign w:val="center"/>
          </w:tcPr>
          <w:p w14:paraId="43145D35">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样品数量</w:t>
            </w:r>
          </w:p>
        </w:tc>
        <w:tc>
          <w:tcPr>
            <w:tcW w:w="1607" w:type="pct"/>
            <w:tcBorders>
              <w:bottom w:val="single" w:color="auto" w:sz="12" w:space="0"/>
            </w:tcBorders>
            <w:noWrap w:val="0"/>
            <w:vAlign w:val="center"/>
          </w:tcPr>
          <w:p w14:paraId="18563EA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采样深度</w:t>
            </w:r>
          </w:p>
        </w:tc>
        <w:tc>
          <w:tcPr>
            <w:tcW w:w="1008" w:type="pct"/>
            <w:tcBorders>
              <w:bottom w:val="single" w:color="auto" w:sz="12" w:space="0"/>
            </w:tcBorders>
            <w:noWrap w:val="0"/>
            <w:vAlign w:val="center"/>
          </w:tcPr>
          <w:p w14:paraId="1027F78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监测因子</w:t>
            </w:r>
          </w:p>
        </w:tc>
      </w:tr>
      <w:tr w14:paraId="1534A3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0" w:type="pct"/>
            <w:tcBorders>
              <w:top w:val="single" w:color="auto" w:sz="12" w:space="0"/>
            </w:tcBorders>
            <w:noWrap w:val="0"/>
            <w:vAlign w:val="center"/>
          </w:tcPr>
          <w:p w14:paraId="2E5186B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T1#</w:t>
            </w:r>
          </w:p>
        </w:tc>
        <w:tc>
          <w:tcPr>
            <w:tcW w:w="525" w:type="pct"/>
            <w:vMerge w:val="restart"/>
            <w:tcBorders>
              <w:top w:val="single" w:color="auto" w:sz="12" w:space="0"/>
            </w:tcBorders>
            <w:noWrap w:val="0"/>
            <w:vAlign w:val="center"/>
          </w:tcPr>
          <w:p w14:paraId="513A07B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占地范围内</w:t>
            </w:r>
          </w:p>
        </w:tc>
        <w:tc>
          <w:tcPr>
            <w:tcW w:w="710" w:type="pct"/>
            <w:tcBorders>
              <w:top w:val="single" w:color="auto" w:sz="12" w:space="0"/>
            </w:tcBorders>
            <w:noWrap w:val="0"/>
            <w:vAlign w:val="center"/>
          </w:tcPr>
          <w:p w14:paraId="31C75F4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表层样点</w:t>
            </w:r>
          </w:p>
        </w:tc>
        <w:tc>
          <w:tcPr>
            <w:tcW w:w="708" w:type="pct"/>
            <w:tcBorders>
              <w:top w:val="single" w:color="auto" w:sz="12" w:space="0"/>
            </w:tcBorders>
            <w:noWrap w:val="0"/>
            <w:vAlign w:val="center"/>
          </w:tcPr>
          <w:p w14:paraId="699E05A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607" w:type="pct"/>
            <w:tcBorders>
              <w:top w:val="single" w:color="auto" w:sz="12" w:space="0"/>
            </w:tcBorders>
            <w:noWrap w:val="0"/>
            <w:vAlign w:val="center"/>
          </w:tcPr>
          <w:p w14:paraId="4F78593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20cm</w:t>
            </w:r>
          </w:p>
        </w:tc>
        <w:tc>
          <w:tcPr>
            <w:tcW w:w="1008" w:type="pct"/>
            <w:vMerge w:val="restart"/>
            <w:tcBorders>
              <w:top w:val="single" w:color="auto" w:sz="12" w:space="0"/>
            </w:tcBorders>
            <w:noWrap w:val="0"/>
            <w:vAlign w:val="center"/>
          </w:tcPr>
          <w:p w14:paraId="1F38F1EB">
            <w:pPr>
              <w:pStyle w:val="26"/>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基本因子45项</w:t>
            </w:r>
            <w:r>
              <w:rPr>
                <w:rFonts w:hint="eastAsia"/>
                <w:color w:val="000000" w:themeColor="text1"/>
                <w:highlight w:val="none"/>
                <w14:textFill>
                  <w14:solidFill>
                    <w14:schemeClr w14:val="tx1"/>
                  </w14:solidFill>
                </w14:textFill>
              </w:rPr>
              <w:t>+pH+</w:t>
            </w:r>
            <w:r>
              <w:rPr>
                <w:rFonts w:hint="eastAsia"/>
                <w:color w:val="000000" w:themeColor="text1"/>
                <w:highlight w:val="none"/>
                <w:lang w:val="en-US" w:eastAsia="zh-CN"/>
                <w14:textFill>
                  <w14:solidFill>
                    <w14:schemeClr w14:val="tx1"/>
                  </w14:solidFill>
                </w14:textFill>
              </w:rPr>
              <w:t>石油烃</w:t>
            </w:r>
          </w:p>
        </w:tc>
      </w:tr>
      <w:tr w14:paraId="6A35BE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0" w:type="pct"/>
            <w:noWrap w:val="0"/>
            <w:vAlign w:val="center"/>
          </w:tcPr>
          <w:p w14:paraId="526361D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T2#</w:t>
            </w:r>
          </w:p>
        </w:tc>
        <w:tc>
          <w:tcPr>
            <w:tcW w:w="525" w:type="pct"/>
            <w:vMerge w:val="continue"/>
            <w:noWrap w:val="0"/>
            <w:vAlign w:val="center"/>
          </w:tcPr>
          <w:p w14:paraId="02EBC9D9">
            <w:pPr>
              <w:pStyle w:val="26"/>
              <w:rPr>
                <w:color w:val="000000" w:themeColor="text1"/>
                <w:highlight w:val="none"/>
                <w14:textFill>
                  <w14:solidFill>
                    <w14:schemeClr w14:val="tx1"/>
                  </w14:solidFill>
                </w14:textFill>
              </w:rPr>
            </w:pPr>
          </w:p>
        </w:tc>
        <w:tc>
          <w:tcPr>
            <w:tcW w:w="710" w:type="pct"/>
            <w:noWrap w:val="0"/>
            <w:vAlign w:val="center"/>
          </w:tcPr>
          <w:p w14:paraId="26008F9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柱状样点</w:t>
            </w:r>
          </w:p>
        </w:tc>
        <w:tc>
          <w:tcPr>
            <w:tcW w:w="708" w:type="pct"/>
            <w:noWrap w:val="0"/>
            <w:vAlign w:val="center"/>
          </w:tcPr>
          <w:p w14:paraId="6FA81FD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1607" w:type="pct"/>
            <w:vMerge w:val="restart"/>
            <w:noWrap w:val="0"/>
            <w:vAlign w:val="center"/>
          </w:tcPr>
          <w:p w14:paraId="5FB26692">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0-50cm，50</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150cm，150</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300cm分别取样</w:t>
            </w:r>
          </w:p>
        </w:tc>
        <w:tc>
          <w:tcPr>
            <w:tcW w:w="1008" w:type="pct"/>
            <w:vMerge w:val="continue"/>
            <w:noWrap w:val="0"/>
            <w:vAlign w:val="center"/>
          </w:tcPr>
          <w:p w14:paraId="324C31E3">
            <w:pPr>
              <w:pStyle w:val="26"/>
              <w:rPr>
                <w:color w:val="000000" w:themeColor="text1"/>
                <w:highlight w:val="none"/>
                <w14:textFill>
                  <w14:solidFill>
                    <w14:schemeClr w14:val="tx1"/>
                  </w14:solidFill>
                </w14:textFill>
              </w:rPr>
            </w:pPr>
          </w:p>
        </w:tc>
      </w:tr>
      <w:tr w14:paraId="3248A4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0" w:type="pct"/>
            <w:noWrap w:val="0"/>
            <w:vAlign w:val="center"/>
          </w:tcPr>
          <w:p w14:paraId="0F8F21E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T3#</w:t>
            </w:r>
          </w:p>
        </w:tc>
        <w:tc>
          <w:tcPr>
            <w:tcW w:w="525" w:type="pct"/>
            <w:vMerge w:val="continue"/>
            <w:noWrap w:val="0"/>
            <w:vAlign w:val="center"/>
          </w:tcPr>
          <w:p w14:paraId="3FEF4DBB">
            <w:pPr>
              <w:pStyle w:val="26"/>
              <w:rPr>
                <w:color w:val="000000" w:themeColor="text1"/>
                <w:highlight w:val="none"/>
                <w14:textFill>
                  <w14:solidFill>
                    <w14:schemeClr w14:val="tx1"/>
                  </w14:solidFill>
                </w14:textFill>
              </w:rPr>
            </w:pPr>
          </w:p>
        </w:tc>
        <w:tc>
          <w:tcPr>
            <w:tcW w:w="710" w:type="pct"/>
            <w:noWrap w:val="0"/>
            <w:vAlign w:val="center"/>
          </w:tcPr>
          <w:p w14:paraId="22BF283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柱状样点</w:t>
            </w:r>
          </w:p>
        </w:tc>
        <w:tc>
          <w:tcPr>
            <w:tcW w:w="708" w:type="pct"/>
            <w:noWrap w:val="0"/>
            <w:vAlign w:val="center"/>
          </w:tcPr>
          <w:p w14:paraId="1D3B480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1607" w:type="pct"/>
            <w:vMerge w:val="continue"/>
            <w:noWrap w:val="0"/>
            <w:vAlign w:val="center"/>
          </w:tcPr>
          <w:p w14:paraId="311F7D7C">
            <w:pPr>
              <w:pStyle w:val="26"/>
              <w:rPr>
                <w:color w:val="000000" w:themeColor="text1"/>
                <w:highlight w:val="none"/>
                <w14:textFill>
                  <w14:solidFill>
                    <w14:schemeClr w14:val="tx1"/>
                  </w14:solidFill>
                </w14:textFill>
              </w:rPr>
            </w:pPr>
          </w:p>
        </w:tc>
        <w:tc>
          <w:tcPr>
            <w:tcW w:w="1008" w:type="pct"/>
            <w:vMerge w:val="continue"/>
            <w:noWrap w:val="0"/>
            <w:vAlign w:val="center"/>
          </w:tcPr>
          <w:p w14:paraId="4660F475">
            <w:pPr>
              <w:pStyle w:val="26"/>
              <w:rPr>
                <w:color w:val="000000" w:themeColor="text1"/>
                <w:highlight w:val="none"/>
                <w14:textFill>
                  <w14:solidFill>
                    <w14:schemeClr w14:val="tx1"/>
                  </w14:solidFill>
                </w14:textFill>
              </w:rPr>
            </w:pPr>
          </w:p>
        </w:tc>
      </w:tr>
      <w:tr w14:paraId="261F2B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0" w:type="pct"/>
            <w:noWrap w:val="0"/>
            <w:vAlign w:val="center"/>
          </w:tcPr>
          <w:p w14:paraId="6739774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T4#</w:t>
            </w:r>
          </w:p>
        </w:tc>
        <w:tc>
          <w:tcPr>
            <w:tcW w:w="525" w:type="pct"/>
            <w:vMerge w:val="continue"/>
            <w:noWrap w:val="0"/>
            <w:vAlign w:val="center"/>
          </w:tcPr>
          <w:p w14:paraId="37248445">
            <w:pPr>
              <w:pStyle w:val="26"/>
              <w:rPr>
                <w:color w:val="000000" w:themeColor="text1"/>
                <w:highlight w:val="none"/>
                <w14:textFill>
                  <w14:solidFill>
                    <w14:schemeClr w14:val="tx1"/>
                  </w14:solidFill>
                </w14:textFill>
              </w:rPr>
            </w:pPr>
          </w:p>
        </w:tc>
        <w:tc>
          <w:tcPr>
            <w:tcW w:w="710" w:type="pct"/>
            <w:noWrap w:val="0"/>
            <w:vAlign w:val="center"/>
          </w:tcPr>
          <w:p w14:paraId="420521E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柱状样点</w:t>
            </w:r>
          </w:p>
        </w:tc>
        <w:tc>
          <w:tcPr>
            <w:tcW w:w="708" w:type="pct"/>
            <w:noWrap w:val="0"/>
            <w:vAlign w:val="center"/>
          </w:tcPr>
          <w:p w14:paraId="0E1C7A4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1607" w:type="pct"/>
            <w:vMerge w:val="continue"/>
            <w:noWrap w:val="0"/>
            <w:vAlign w:val="center"/>
          </w:tcPr>
          <w:p w14:paraId="19537A2C">
            <w:pPr>
              <w:pStyle w:val="26"/>
              <w:rPr>
                <w:color w:val="000000" w:themeColor="text1"/>
                <w:highlight w:val="none"/>
                <w14:textFill>
                  <w14:solidFill>
                    <w14:schemeClr w14:val="tx1"/>
                  </w14:solidFill>
                </w14:textFill>
              </w:rPr>
            </w:pPr>
          </w:p>
        </w:tc>
        <w:tc>
          <w:tcPr>
            <w:tcW w:w="1008" w:type="pct"/>
            <w:vMerge w:val="continue"/>
            <w:noWrap w:val="0"/>
            <w:vAlign w:val="center"/>
          </w:tcPr>
          <w:p w14:paraId="360F33C0">
            <w:pPr>
              <w:pStyle w:val="26"/>
              <w:rPr>
                <w:color w:val="000000" w:themeColor="text1"/>
                <w:highlight w:val="none"/>
                <w14:textFill>
                  <w14:solidFill>
                    <w14:schemeClr w14:val="tx1"/>
                  </w14:solidFill>
                </w14:textFill>
              </w:rPr>
            </w:pPr>
          </w:p>
        </w:tc>
      </w:tr>
      <w:tr w14:paraId="3C4AC5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0" w:type="pct"/>
            <w:noWrap w:val="0"/>
            <w:vAlign w:val="center"/>
          </w:tcPr>
          <w:p w14:paraId="217AA8C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T5#</w:t>
            </w:r>
          </w:p>
        </w:tc>
        <w:tc>
          <w:tcPr>
            <w:tcW w:w="525" w:type="pct"/>
            <w:vMerge w:val="restart"/>
            <w:noWrap w:val="0"/>
            <w:vAlign w:val="center"/>
          </w:tcPr>
          <w:p w14:paraId="3EDDCCD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占地范围外</w:t>
            </w:r>
          </w:p>
        </w:tc>
        <w:tc>
          <w:tcPr>
            <w:tcW w:w="710" w:type="pct"/>
            <w:noWrap w:val="0"/>
            <w:vAlign w:val="center"/>
          </w:tcPr>
          <w:p w14:paraId="7D9D9AC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表层样点</w:t>
            </w:r>
          </w:p>
        </w:tc>
        <w:tc>
          <w:tcPr>
            <w:tcW w:w="708" w:type="pct"/>
            <w:noWrap w:val="0"/>
            <w:vAlign w:val="center"/>
          </w:tcPr>
          <w:p w14:paraId="5CC6DC4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607" w:type="pct"/>
            <w:vMerge w:val="restart"/>
            <w:noWrap w:val="0"/>
            <w:vAlign w:val="center"/>
          </w:tcPr>
          <w:p w14:paraId="34EC333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20cm</w:t>
            </w:r>
          </w:p>
        </w:tc>
        <w:tc>
          <w:tcPr>
            <w:tcW w:w="1008" w:type="pct"/>
            <w:vMerge w:val="continue"/>
            <w:noWrap w:val="0"/>
            <w:vAlign w:val="center"/>
          </w:tcPr>
          <w:p w14:paraId="64CEA9B7">
            <w:pPr>
              <w:pStyle w:val="26"/>
              <w:rPr>
                <w:color w:val="000000" w:themeColor="text1"/>
                <w:highlight w:val="none"/>
                <w14:textFill>
                  <w14:solidFill>
                    <w14:schemeClr w14:val="tx1"/>
                  </w14:solidFill>
                </w14:textFill>
              </w:rPr>
            </w:pPr>
          </w:p>
        </w:tc>
      </w:tr>
      <w:tr w14:paraId="19019D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0" w:type="pct"/>
            <w:noWrap w:val="0"/>
            <w:vAlign w:val="center"/>
          </w:tcPr>
          <w:p w14:paraId="3C1F04B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T6#</w:t>
            </w:r>
          </w:p>
        </w:tc>
        <w:tc>
          <w:tcPr>
            <w:tcW w:w="525" w:type="pct"/>
            <w:vMerge w:val="continue"/>
            <w:noWrap w:val="0"/>
            <w:vAlign w:val="center"/>
          </w:tcPr>
          <w:p w14:paraId="289323B6">
            <w:pPr>
              <w:pStyle w:val="26"/>
              <w:rPr>
                <w:color w:val="000000" w:themeColor="text1"/>
                <w:highlight w:val="none"/>
                <w14:textFill>
                  <w14:solidFill>
                    <w14:schemeClr w14:val="tx1"/>
                  </w14:solidFill>
                </w14:textFill>
              </w:rPr>
            </w:pPr>
          </w:p>
        </w:tc>
        <w:tc>
          <w:tcPr>
            <w:tcW w:w="710" w:type="pct"/>
            <w:noWrap w:val="0"/>
            <w:vAlign w:val="center"/>
          </w:tcPr>
          <w:p w14:paraId="0DEB77E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表层样点</w:t>
            </w:r>
          </w:p>
        </w:tc>
        <w:tc>
          <w:tcPr>
            <w:tcW w:w="708" w:type="pct"/>
            <w:noWrap w:val="0"/>
            <w:vAlign w:val="center"/>
          </w:tcPr>
          <w:p w14:paraId="08DB01F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607" w:type="pct"/>
            <w:vMerge w:val="continue"/>
            <w:noWrap w:val="0"/>
            <w:vAlign w:val="center"/>
          </w:tcPr>
          <w:p w14:paraId="3EC43F92">
            <w:pPr>
              <w:pStyle w:val="26"/>
              <w:rPr>
                <w:color w:val="000000" w:themeColor="text1"/>
                <w:highlight w:val="none"/>
                <w14:textFill>
                  <w14:solidFill>
                    <w14:schemeClr w14:val="tx1"/>
                  </w14:solidFill>
                </w14:textFill>
              </w:rPr>
            </w:pPr>
          </w:p>
        </w:tc>
        <w:tc>
          <w:tcPr>
            <w:tcW w:w="1008" w:type="pct"/>
            <w:vMerge w:val="continue"/>
            <w:noWrap w:val="0"/>
            <w:vAlign w:val="center"/>
          </w:tcPr>
          <w:p w14:paraId="50B38444">
            <w:pPr>
              <w:pStyle w:val="26"/>
              <w:rPr>
                <w:color w:val="000000" w:themeColor="text1"/>
                <w:highlight w:val="none"/>
                <w14:textFill>
                  <w14:solidFill>
                    <w14:schemeClr w14:val="tx1"/>
                  </w14:solidFill>
                </w14:textFill>
              </w:rPr>
            </w:pPr>
          </w:p>
        </w:tc>
      </w:tr>
    </w:tbl>
    <w:p w14:paraId="60B4191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）评价标准</w:t>
      </w:r>
    </w:p>
    <w:p w14:paraId="728F5CD2">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执行</w:t>
      </w:r>
      <w:r>
        <w:rPr>
          <w:rFonts w:hint="eastAsia"/>
          <w:color w:val="000000" w:themeColor="text1"/>
          <w:highlight w:val="none"/>
          <w:lang w:eastAsia="zh-CN"/>
          <w14:textFill>
            <w14:solidFill>
              <w14:schemeClr w14:val="tx1"/>
            </w14:solidFill>
          </w14:textFill>
        </w:rPr>
        <w:t>《土壤环境质量——建设用地土壤污染风险管控标准（试行）》</w:t>
      </w:r>
      <w:r>
        <w:rPr>
          <w:rFonts w:hint="eastAsia"/>
          <w:color w:val="000000" w:themeColor="text1"/>
          <w:highlight w:val="none"/>
          <w14:textFill>
            <w14:solidFill>
              <w14:schemeClr w14:val="tx1"/>
            </w14:solidFill>
          </w14:textFill>
        </w:rPr>
        <w:t>（GB36600-2018）中的第二类用地筛选值。</w:t>
      </w:r>
    </w:p>
    <w:p w14:paraId="2ADFBCF2">
      <w:pPr>
        <w:widowControl/>
        <w:ind w:firstLine="480"/>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w:t>
      </w:r>
      <w:r>
        <w:rPr>
          <w:color w:val="000000" w:themeColor="text1"/>
          <w:kern w:val="0"/>
          <w:highlight w:val="none"/>
          <w:lang w:bidi="ar"/>
          <w14:textFill>
            <w14:solidFill>
              <w14:schemeClr w14:val="tx1"/>
            </w14:solidFill>
          </w14:textFill>
        </w:rPr>
        <w:t>3</w:t>
      </w:r>
      <w:r>
        <w:rPr>
          <w:rFonts w:hint="eastAsia" w:ascii="宋体" w:hAnsi="宋体" w:cs="宋体"/>
          <w:color w:val="000000" w:themeColor="text1"/>
          <w:kern w:val="0"/>
          <w:highlight w:val="none"/>
          <w:lang w:bidi="ar"/>
          <w14:textFill>
            <w14:solidFill>
              <w14:schemeClr w14:val="tx1"/>
            </w14:solidFill>
          </w14:textFill>
        </w:rPr>
        <w:t>）评价方法</w:t>
      </w:r>
    </w:p>
    <w:p w14:paraId="1101822D">
      <w:pPr>
        <w:widowControl/>
        <w:ind w:firstLine="480"/>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 xml:space="preserve">土壤环境质量现状采用标准指数方法评价，计算公式如下： </w:t>
      </w:r>
    </w:p>
    <w:p w14:paraId="34961E9F">
      <w:pPr>
        <w:widowControl/>
        <w:ind w:firstLine="480"/>
        <w:jc w:val="center"/>
        <w:rPr>
          <w:color w:val="000000" w:themeColor="text1"/>
          <w:highlight w:val="none"/>
          <w14:textFill>
            <w14:solidFill>
              <w14:schemeClr w14:val="tx1"/>
            </w14:solidFill>
          </w14:textFill>
        </w:rPr>
      </w:pPr>
      <w:r>
        <w:rPr>
          <w:color w:val="000000" w:themeColor="text1"/>
          <w:kern w:val="0"/>
          <w:highlight w:val="none"/>
          <w:lang w:bidi="ar"/>
          <w14:textFill>
            <w14:solidFill>
              <w14:schemeClr w14:val="tx1"/>
            </w14:solidFill>
          </w14:textFill>
        </w:rPr>
        <w:t>P</w:t>
      </w:r>
      <w:r>
        <w:rPr>
          <w:color w:val="000000" w:themeColor="text1"/>
          <w:kern w:val="0"/>
          <w:sz w:val="15"/>
          <w:szCs w:val="15"/>
          <w:highlight w:val="none"/>
          <w:lang w:bidi="ar"/>
          <w14:textFill>
            <w14:solidFill>
              <w14:schemeClr w14:val="tx1"/>
            </w14:solidFill>
          </w14:textFill>
        </w:rPr>
        <w:t>i</w:t>
      </w:r>
      <w:r>
        <w:rPr>
          <w:color w:val="000000" w:themeColor="text1"/>
          <w:kern w:val="0"/>
          <w:highlight w:val="none"/>
          <w:lang w:bidi="ar"/>
          <w14:textFill>
            <w14:solidFill>
              <w14:schemeClr w14:val="tx1"/>
            </w14:solidFill>
          </w14:textFill>
        </w:rPr>
        <w:t>=C</w:t>
      </w:r>
      <w:r>
        <w:rPr>
          <w:color w:val="000000" w:themeColor="text1"/>
          <w:kern w:val="0"/>
          <w:sz w:val="15"/>
          <w:szCs w:val="15"/>
          <w:highlight w:val="none"/>
          <w:lang w:bidi="ar"/>
          <w14:textFill>
            <w14:solidFill>
              <w14:schemeClr w14:val="tx1"/>
            </w14:solidFill>
          </w14:textFill>
        </w:rPr>
        <w:t>i</w:t>
      </w:r>
      <w:r>
        <w:rPr>
          <w:color w:val="000000" w:themeColor="text1"/>
          <w:kern w:val="0"/>
          <w:highlight w:val="none"/>
          <w:lang w:bidi="ar"/>
          <w14:textFill>
            <w14:solidFill>
              <w14:schemeClr w14:val="tx1"/>
            </w14:solidFill>
          </w14:textFill>
        </w:rPr>
        <w:t>/S</w:t>
      </w:r>
      <w:r>
        <w:rPr>
          <w:color w:val="000000" w:themeColor="text1"/>
          <w:kern w:val="0"/>
          <w:sz w:val="15"/>
          <w:szCs w:val="15"/>
          <w:highlight w:val="none"/>
          <w:lang w:bidi="ar"/>
          <w14:textFill>
            <w14:solidFill>
              <w14:schemeClr w14:val="tx1"/>
            </w14:solidFill>
          </w14:textFill>
        </w:rPr>
        <w:t>i</w:t>
      </w:r>
    </w:p>
    <w:p w14:paraId="2D29E0D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式中，</w:t>
      </w:r>
      <w:r>
        <w:rPr>
          <w:color w:val="000000" w:themeColor="text1"/>
          <w:highlight w:val="none"/>
          <w14:textFill>
            <w14:solidFill>
              <w14:schemeClr w14:val="tx1"/>
            </w14:solidFill>
          </w14:textFill>
        </w:rPr>
        <w:t>Pi——</w:t>
      </w:r>
      <w:r>
        <w:rPr>
          <w:rFonts w:hint="eastAsia"/>
          <w:color w:val="000000" w:themeColor="text1"/>
          <w:highlight w:val="none"/>
          <w14:textFill>
            <w14:solidFill>
              <w14:schemeClr w14:val="tx1"/>
            </w14:solidFill>
          </w14:textFill>
        </w:rPr>
        <w:t xml:space="preserve">土壤中污染物 </w:t>
      </w:r>
      <w:r>
        <w:rPr>
          <w:color w:val="000000" w:themeColor="text1"/>
          <w:highlight w:val="none"/>
          <w14:textFill>
            <w14:solidFill>
              <w14:schemeClr w14:val="tx1"/>
            </w14:solidFill>
          </w14:textFill>
        </w:rPr>
        <w:t xml:space="preserve">i </w:t>
      </w:r>
      <w:r>
        <w:rPr>
          <w:rFonts w:hint="eastAsia"/>
          <w:color w:val="000000" w:themeColor="text1"/>
          <w:highlight w:val="none"/>
          <w14:textFill>
            <w14:solidFill>
              <w14:schemeClr w14:val="tx1"/>
            </w14:solidFill>
          </w14:textFill>
        </w:rPr>
        <w:t xml:space="preserve">的标准指数； </w:t>
      </w:r>
    </w:p>
    <w:p w14:paraId="70B9743B">
      <w:pPr>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Ci——</w:t>
      </w:r>
      <w:r>
        <w:rPr>
          <w:rFonts w:hint="eastAsia"/>
          <w:color w:val="000000" w:themeColor="text1"/>
          <w:highlight w:val="none"/>
          <w14:textFill>
            <w14:solidFill>
              <w14:schemeClr w14:val="tx1"/>
            </w14:solidFill>
          </w14:textFill>
        </w:rPr>
        <w:t xml:space="preserve">土壤中污染物 </w:t>
      </w:r>
      <w:r>
        <w:rPr>
          <w:color w:val="000000" w:themeColor="text1"/>
          <w:highlight w:val="none"/>
          <w14:textFill>
            <w14:solidFill>
              <w14:schemeClr w14:val="tx1"/>
            </w14:solidFill>
          </w14:textFill>
        </w:rPr>
        <w:t xml:space="preserve">i </w:t>
      </w:r>
      <w:r>
        <w:rPr>
          <w:rFonts w:hint="eastAsia"/>
          <w:color w:val="000000" w:themeColor="text1"/>
          <w:highlight w:val="none"/>
          <w14:textFill>
            <w14:solidFill>
              <w14:schemeClr w14:val="tx1"/>
            </w14:solidFill>
          </w14:textFill>
        </w:rPr>
        <w:t>的实测含量（</w:t>
      </w:r>
      <w:r>
        <w:rPr>
          <w:color w:val="000000" w:themeColor="text1"/>
          <w:highlight w:val="none"/>
          <w14:textFill>
            <w14:solidFill>
              <w14:schemeClr w14:val="tx1"/>
            </w14:solidFill>
          </w14:textFill>
        </w:rPr>
        <w:t>mg/kg</w:t>
      </w:r>
      <w:r>
        <w:rPr>
          <w:rFonts w:hint="eastAsia"/>
          <w:color w:val="000000" w:themeColor="text1"/>
          <w:highlight w:val="none"/>
          <w14:textFill>
            <w14:solidFill>
              <w14:schemeClr w14:val="tx1"/>
            </w14:solidFill>
          </w14:textFill>
        </w:rPr>
        <w:t xml:space="preserve">）； </w:t>
      </w:r>
    </w:p>
    <w:p w14:paraId="793B7155">
      <w:pPr>
        <w:ind w:firstLine="1200" w:firstLineChars="5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Si——</w:t>
      </w:r>
      <w:r>
        <w:rPr>
          <w:rFonts w:hint="eastAsia"/>
          <w:color w:val="000000" w:themeColor="text1"/>
          <w:highlight w:val="none"/>
          <w14:textFill>
            <w14:solidFill>
              <w14:schemeClr w14:val="tx1"/>
            </w14:solidFill>
          </w14:textFill>
        </w:rPr>
        <w:t>土壤污染物的评价标准（</w:t>
      </w:r>
      <w:r>
        <w:rPr>
          <w:color w:val="000000" w:themeColor="text1"/>
          <w:highlight w:val="none"/>
          <w14:textFill>
            <w14:solidFill>
              <w14:schemeClr w14:val="tx1"/>
            </w14:solidFill>
          </w14:textFill>
        </w:rPr>
        <w:t>mg/kg</w:t>
      </w:r>
      <w:r>
        <w:rPr>
          <w:rFonts w:hint="eastAsia"/>
          <w:color w:val="000000" w:themeColor="text1"/>
          <w:highlight w:val="none"/>
          <w14:textFill>
            <w14:solidFill>
              <w14:schemeClr w14:val="tx1"/>
            </w14:solidFill>
          </w14:textFill>
        </w:rPr>
        <w:t xml:space="preserve">）。 </w:t>
      </w:r>
    </w:p>
    <w:p w14:paraId="46694E40">
      <w:pPr>
        <w:widowControl/>
        <w:ind w:firstLine="480"/>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w:t>
      </w:r>
      <w:r>
        <w:rPr>
          <w:color w:val="000000" w:themeColor="text1"/>
          <w:kern w:val="0"/>
          <w:highlight w:val="none"/>
          <w:lang w:bidi="ar"/>
          <w14:textFill>
            <w14:solidFill>
              <w14:schemeClr w14:val="tx1"/>
            </w14:solidFill>
          </w14:textFill>
        </w:rPr>
        <w:t>4</w:t>
      </w:r>
      <w:r>
        <w:rPr>
          <w:rFonts w:hint="eastAsia" w:ascii="宋体" w:hAnsi="宋体" w:cs="宋体"/>
          <w:color w:val="000000" w:themeColor="text1"/>
          <w:kern w:val="0"/>
          <w:highlight w:val="none"/>
          <w:lang w:bidi="ar"/>
          <w14:textFill>
            <w14:solidFill>
              <w14:schemeClr w14:val="tx1"/>
            </w14:solidFill>
          </w14:textFill>
        </w:rPr>
        <w:t xml:space="preserve">）土壤理化特性调查 </w:t>
      </w:r>
    </w:p>
    <w:p w14:paraId="1E2C6202">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本项目土壤环境质量现状监测选择厂界内监测点1#进行土壤理化性质调查，调查结果见表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.3.4-2。</w:t>
      </w:r>
    </w:p>
    <w:p w14:paraId="5A4260DB">
      <w:pPr>
        <w:pStyle w:val="2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 xml:space="preserve">.3.4-2       项目所在区域土壤理化性质结果一览表 </w:t>
      </w:r>
    </w:p>
    <w:tbl>
      <w:tblPr>
        <w:tblStyle w:val="20"/>
        <w:tblW w:w="8616" w:type="dxa"/>
        <w:tblInd w:w="98"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78"/>
        <w:gridCol w:w="2460"/>
        <w:gridCol w:w="1603"/>
        <w:gridCol w:w="1747"/>
        <w:gridCol w:w="1628"/>
      </w:tblGrid>
      <w:tr w14:paraId="6F1AE3D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3638" w:type="dxa"/>
            <w:gridSpan w:val="2"/>
            <w:tcBorders>
              <w:bottom w:val="single" w:color="000000" w:sz="12" w:space="0"/>
            </w:tcBorders>
            <w:noWrap/>
            <w:vAlign w:val="top"/>
          </w:tcPr>
          <w:p w14:paraId="278D9BE9">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点号</w:t>
            </w:r>
          </w:p>
        </w:tc>
        <w:tc>
          <w:tcPr>
            <w:tcW w:w="1603" w:type="dxa"/>
            <w:tcBorders>
              <w:bottom w:val="single" w:color="000000" w:sz="12" w:space="0"/>
            </w:tcBorders>
            <w:noWrap/>
            <w:vAlign w:val="top"/>
          </w:tcPr>
          <w:p w14:paraId="4029A980">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w:t>
            </w:r>
          </w:p>
        </w:tc>
        <w:tc>
          <w:tcPr>
            <w:tcW w:w="1747" w:type="dxa"/>
            <w:tcBorders>
              <w:bottom w:val="single" w:color="000000" w:sz="12" w:space="0"/>
            </w:tcBorders>
            <w:noWrap/>
            <w:vAlign w:val="top"/>
          </w:tcPr>
          <w:p w14:paraId="272EEC49">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时间</w:t>
            </w:r>
          </w:p>
        </w:tc>
        <w:tc>
          <w:tcPr>
            <w:tcW w:w="1628" w:type="dxa"/>
            <w:tcBorders>
              <w:bottom w:val="single" w:color="000000" w:sz="12" w:space="0"/>
            </w:tcBorders>
            <w:noWrap/>
            <w:vAlign w:val="top"/>
          </w:tcPr>
          <w:p w14:paraId="098354A2">
            <w:pPr>
              <w:pStyle w:val="26"/>
              <w:rPr>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4</w:t>
            </w:r>
            <w:r>
              <w:rPr>
                <w:rFonts w:hint="eastAsia"/>
                <w:b/>
                <w:bCs/>
                <w:color w:val="000000" w:themeColor="text1"/>
                <w:highlight w:val="none"/>
                <w14:textFill>
                  <w14:solidFill>
                    <w14:schemeClr w14:val="tx1"/>
                  </w14:solidFill>
                </w14:textFill>
              </w:rPr>
              <w:t>月</w:t>
            </w:r>
            <w:r>
              <w:rPr>
                <w:rFonts w:hint="eastAsia"/>
                <w:b/>
                <w:bCs/>
                <w:color w:val="000000" w:themeColor="text1"/>
                <w:highlight w:val="none"/>
                <w:lang w:val="en-US" w:eastAsia="zh-CN"/>
                <w14:textFill>
                  <w14:solidFill>
                    <w14:schemeClr w14:val="tx1"/>
                  </w14:solidFill>
                </w14:textFill>
              </w:rPr>
              <w:t>23</w:t>
            </w:r>
            <w:r>
              <w:rPr>
                <w:rFonts w:hint="eastAsia"/>
                <w:b/>
                <w:bCs/>
                <w:color w:val="000000" w:themeColor="text1"/>
                <w:highlight w:val="none"/>
                <w14:textFill>
                  <w14:solidFill>
                    <w14:schemeClr w14:val="tx1"/>
                  </w14:solidFill>
                </w14:textFill>
              </w:rPr>
              <w:t>日</w:t>
            </w:r>
          </w:p>
        </w:tc>
      </w:tr>
      <w:tr w14:paraId="5B8DD9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3638" w:type="dxa"/>
            <w:gridSpan w:val="2"/>
            <w:tcBorders>
              <w:top w:val="single" w:color="000000" w:sz="12" w:space="0"/>
              <w:bottom w:val="single" w:color="000000" w:sz="4" w:space="0"/>
            </w:tcBorders>
            <w:noWrap/>
            <w:vAlign w:val="top"/>
          </w:tcPr>
          <w:p w14:paraId="62A628E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经度</w:t>
            </w:r>
          </w:p>
        </w:tc>
        <w:tc>
          <w:tcPr>
            <w:tcW w:w="1603" w:type="dxa"/>
            <w:tcBorders>
              <w:top w:val="single" w:color="000000" w:sz="12" w:space="0"/>
              <w:bottom w:val="single" w:color="000000" w:sz="4" w:space="0"/>
            </w:tcBorders>
            <w:noWrap/>
            <w:vAlign w:val="top"/>
          </w:tcPr>
          <w:p w14:paraId="4A5DF7B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87.133842</w:t>
            </w:r>
          </w:p>
        </w:tc>
        <w:tc>
          <w:tcPr>
            <w:tcW w:w="1747" w:type="dxa"/>
            <w:tcBorders>
              <w:top w:val="single" w:color="000000" w:sz="12" w:space="0"/>
              <w:bottom w:val="single" w:color="000000" w:sz="4" w:space="0"/>
            </w:tcBorders>
            <w:noWrap/>
            <w:vAlign w:val="top"/>
          </w:tcPr>
          <w:p w14:paraId="42D36F7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纬度</w:t>
            </w:r>
          </w:p>
        </w:tc>
        <w:tc>
          <w:tcPr>
            <w:tcW w:w="1628" w:type="dxa"/>
            <w:tcBorders>
              <w:top w:val="single" w:color="000000" w:sz="12" w:space="0"/>
              <w:bottom w:val="single" w:color="000000" w:sz="4" w:space="0"/>
            </w:tcBorders>
            <w:noWrap/>
            <w:vAlign w:val="top"/>
          </w:tcPr>
          <w:p w14:paraId="6DF000B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44.090357</w:t>
            </w:r>
          </w:p>
        </w:tc>
      </w:tr>
      <w:tr w14:paraId="43B8313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3638" w:type="dxa"/>
            <w:gridSpan w:val="2"/>
            <w:tcBorders>
              <w:top w:val="single" w:color="000000" w:sz="4" w:space="0"/>
              <w:bottom w:val="single" w:color="000000" w:sz="4" w:space="0"/>
            </w:tcBorders>
            <w:noWrap/>
            <w:vAlign w:val="top"/>
          </w:tcPr>
          <w:p w14:paraId="4BEB556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层次</w:t>
            </w:r>
          </w:p>
        </w:tc>
        <w:tc>
          <w:tcPr>
            <w:tcW w:w="4978" w:type="dxa"/>
            <w:gridSpan w:val="3"/>
            <w:tcBorders>
              <w:top w:val="single" w:color="000000" w:sz="4" w:space="0"/>
              <w:bottom w:val="single" w:color="000000" w:sz="4" w:space="0"/>
            </w:tcBorders>
            <w:noWrap/>
            <w:vAlign w:val="top"/>
          </w:tcPr>
          <w:p w14:paraId="398FE69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m</w:t>
            </w:r>
          </w:p>
        </w:tc>
      </w:tr>
      <w:tr w14:paraId="7AA5AA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restart"/>
            <w:tcBorders>
              <w:top w:val="single" w:color="000000" w:sz="4" w:space="0"/>
              <w:bottom w:val="single" w:color="000000" w:sz="4" w:space="0"/>
            </w:tcBorders>
            <w:noWrap/>
            <w:vAlign w:val="center"/>
          </w:tcPr>
          <w:p w14:paraId="4448889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现场记录</w:t>
            </w:r>
          </w:p>
        </w:tc>
        <w:tc>
          <w:tcPr>
            <w:tcW w:w="2460" w:type="dxa"/>
            <w:tcBorders>
              <w:top w:val="single" w:color="000000" w:sz="4" w:space="0"/>
              <w:bottom w:val="single" w:color="000000" w:sz="4" w:space="0"/>
            </w:tcBorders>
            <w:noWrap/>
            <w:vAlign w:val="center"/>
          </w:tcPr>
          <w:p w14:paraId="656F6DD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颜色</w:t>
            </w:r>
          </w:p>
        </w:tc>
        <w:tc>
          <w:tcPr>
            <w:tcW w:w="4978" w:type="dxa"/>
            <w:gridSpan w:val="3"/>
            <w:tcBorders>
              <w:top w:val="single" w:color="000000" w:sz="4" w:space="0"/>
              <w:bottom w:val="single" w:color="000000" w:sz="4" w:space="0"/>
            </w:tcBorders>
            <w:noWrap/>
            <w:vAlign w:val="center"/>
          </w:tcPr>
          <w:p w14:paraId="15367A0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黄棕色</w:t>
            </w:r>
          </w:p>
        </w:tc>
      </w:tr>
      <w:tr w14:paraId="3064AB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tcBorders>
              <w:top w:val="single" w:color="000000" w:sz="4" w:space="0"/>
              <w:bottom w:val="single" w:color="000000" w:sz="4" w:space="0"/>
            </w:tcBorders>
            <w:noWrap/>
            <w:vAlign w:val="center"/>
          </w:tcPr>
          <w:p w14:paraId="3CB5DDD7">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4" w:space="0"/>
            </w:tcBorders>
            <w:noWrap/>
            <w:vAlign w:val="center"/>
          </w:tcPr>
          <w:p w14:paraId="6FF2E03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土壤结构</w:t>
            </w:r>
          </w:p>
        </w:tc>
        <w:tc>
          <w:tcPr>
            <w:tcW w:w="4978" w:type="dxa"/>
            <w:gridSpan w:val="3"/>
            <w:tcBorders>
              <w:top w:val="single" w:color="000000" w:sz="4" w:space="0"/>
              <w:bottom w:val="single" w:color="000000" w:sz="4" w:space="0"/>
            </w:tcBorders>
            <w:noWrap/>
            <w:vAlign w:val="center"/>
          </w:tcPr>
          <w:p w14:paraId="61DF4AC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块状</w:t>
            </w:r>
          </w:p>
        </w:tc>
      </w:tr>
      <w:tr w14:paraId="61F4DE6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tcBorders>
              <w:top w:val="single" w:color="000000" w:sz="4" w:space="0"/>
              <w:bottom w:val="single" w:color="000000" w:sz="4" w:space="0"/>
            </w:tcBorders>
            <w:noWrap/>
            <w:vAlign w:val="center"/>
          </w:tcPr>
          <w:p w14:paraId="7BD0B928">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4" w:space="0"/>
            </w:tcBorders>
            <w:noWrap/>
            <w:vAlign w:val="center"/>
          </w:tcPr>
          <w:p w14:paraId="2E91233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质地</w:t>
            </w:r>
          </w:p>
        </w:tc>
        <w:tc>
          <w:tcPr>
            <w:tcW w:w="4978" w:type="dxa"/>
            <w:gridSpan w:val="3"/>
            <w:tcBorders>
              <w:top w:val="single" w:color="000000" w:sz="4" w:space="0"/>
              <w:bottom w:val="single" w:color="000000" w:sz="4" w:space="0"/>
            </w:tcBorders>
            <w:noWrap/>
            <w:vAlign w:val="center"/>
          </w:tcPr>
          <w:p w14:paraId="4B0590D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砂土</w:t>
            </w:r>
          </w:p>
        </w:tc>
      </w:tr>
      <w:tr w14:paraId="6CD6D3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tcBorders>
              <w:top w:val="single" w:color="000000" w:sz="4" w:space="0"/>
              <w:bottom w:val="single" w:color="000000" w:sz="4" w:space="0"/>
            </w:tcBorders>
            <w:noWrap/>
            <w:vAlign w:val="center"/>
          </w:tcPr>
          <w:p w14:paraId="756FC2FC">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4" w:space="0"/>
            </w:tcBorders>
            <w:noWrap/>
            <w:vAlign w:val="center"/>
          </w:tcPr>
          <w:p w14:paraId="0435C23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砂砾含量</w:t>
            </w:r>
          </w:p>
        </w:tc>
        <w:tc>
          <w:tcPr>
            <w:tcW w:w="4978" w:type="dxa"/>
            <w:gridSpan w:val="3"/>
            <w:tcBorders>
              <w:top w:val="single" w:color="000000" w:sz="4" w:space="0"/>
              <w:bottom w:val="single" w:color="000000" w:sz="4" w:space="0"/>
            </w:tcBorders>
            <w:noWrap/>
            <w:vAlign w:val="center"/>
          </w:tcPr>
          <w:p w14:paraId="6AD0ACC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r>
      <w:tr w14:paraId="7C61A5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tcBorders>
              <w:top w:val="single" w:color="000000" w:sz="4" w:space="0"/>
              <w:bottom w:val="single" w:color="000000" w:sz="4" w:space="0"/>
            </w:tcBorders>
            <w:noWrap/>
            <w:vAlign w:val="center"/>
          </w:tcPr>
          <w:p w14:paraId="220C5B0C">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4" w:space="0"/>
            </w:tcBorders>
            <w:noWrap/>
            <w:vAlign w:val="center"/>
          </w:tcPr>
          <w:p w14:paraId="1F00E6C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其他异物</w:t>
            </w:r>
          </w:p>
        </w:tc>
        <w:tc>
          <w:tcPr>
            <w:tcW w:w="4978" w:type="dxa"/>
            <w:gridSpan w:val="3"/>
            <w:tcBorders>
              <w:top w:val="single" w:color="000000" w:sz="4" w:space="0"/>
              <w:bottom w:val="single" w:color="000000" w:sz="4" w:space="0"/>
            </w:tcBorders>
            <w:noWrap/>
            <w:vAlign w:val="center"/>
          </w:tcPr>
          <w:p w14:paraId="51FD519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r>
      <w:tr w14:paraId="1350ED9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restart"/>
            <w:tcBorders>
              <w:top w:val="single" w:color="000000" w:sz="4" w:space="0"/>
            </w:tcBorders>
            <w:noWrap/>
            <w:vAlign w:val="center"/>
          </w:tcPr>
          <w:p w14:paraId="5538732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实验室测定</w:t>
            </w:r>
          </w:p>
        </w:tc>
        <w:tc>
          <w:tcPr>
            <w:tcW w:w="2460" w:type="dxa"/>
            <w:tcBorders>
              <w:top w:val="single" w:color="000000" w:sz="4" w:space="0"/>
              <w:bottom w:val="single" w:color="000000" w:sz="4" w:space="0"/>
            </w:tcBorders>
            <w:noWrap/>
            <w:vAlign w:val="center"/>
          </w:tcPr>
          <w:p w14:paraId="50DFA448">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氧化还原电位（mV）</w:t>
            </w:r>
          </w:p>
        </w:tc>
        <w:tc>
          <w:tcPr>
            <w:tcW w:w="4978" w:type="dxa"/>
            <w:gridSpan w:val="3"/>
            <w:tcBorders>
              <w:top w:val="single" w:color="000000" w:sz="4" w:space="0"/>
              <w:bottom w:val="single" w:color="000000" w:sz="4" w:space="0"/>
            </w:tcBorders>
            <w:noWrap/>
            <w:vAlign w:val="center"/>
          </w:tcPr>
          <w:p w14:paraId="36191EA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359</w:t>
            </w:r>
          </w:p>
        </w:tc>
      </w:tr>
      <w:tr w14:paraId="754CA1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noWrap/>
            <w:vAlign w:val="center"/>
          </w:tcPr>
          <w:p w14:paraId="41B3C568">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4" w:space="0"/>
            </w:tcBorders>
            <w:noWrap/>
            <w:vAlign w:val="center"/>
          </w:tcPr>
          <w:p w14:paraId="2A7C946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pH （无量纲）</w:t>
            </w:r>
          </w:p>
        </w:tc>
        <w:tc>
          <w:tcPr>
            <w:tcW w:w="4978" w:type="dxa"/>
            <w:gridSpan w:val="3"/>
            <w:tcBorders>
              <w:top w:val="single" w:color="000000" w:sz="4" w:space="0"/>
              <w:bottom w:val="single" w:color="000000" w:sz="4" w:space="0"/>
            </w:tcBorders>
            <w:noWrap/>
            <w:vAlign w:val="center"/>
          </w:tcPr>
          <w:p w14:paraId="10EBB022">
            <w:pPr>
              <w:pStyle w:val="26"/>
              <w:rPr>
                <w:color w:val="000000" w:themeColor="text1"/>
                <w:highlight w:val="none"/>
                <w14:textFill>
                  <w14:solidFill>
                    <w14:schemeClr w14:val="tx1"/>
                  </w14:solidFill>
                </w14:textFill>
              </w:rPr>
            </w:pPr>
            <w:r>
              <w:rPr>
                <w:rFonts w:hint="eastAsia" w:eastAsia="楷体"/>
                <w:color w:val="000000" w:themeColor="text1"/>
                <w:highlight w:val="none"/>
                <w14:textFill>
                  <w14:solidFill>
                    <w14:schemeClr w14:val="tx1"/>
                  </w14:solidFill>
                </w14:textFill>
              </w:rPr>
              <w:t>7.02</w:t>
            </w:r>
          </w:p>
        </w:tc>
      </w:tr>
      <w:tr w14:paraId="2BF256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noWrap/>
            <w:vAlign w:val="center"/>
          </w:tcPr>
          <w:p w14:paraId="7525B049">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4" w:space="0"/>
            </w:tcBorders>
            <w:noWrap w:val="0"/>
            <w:vAlign w:val="center"/>
          </w:tcPr>
          <w:p w14:paraId="471A67F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阳离子交换量 Cmol+/kg</w:t>
            </w:r>
          </w:p>
        </w:tc>
        <w:tc>
          <w:tcPr>
            <w:tcW w:w="4978" w:type="dxa"/>
            <w:gridSpan w:val="3"/>
            <w:tcBorders>
              <w:top w:val="single" w:color="000000" w:sz="4" w:space="0"/>
              <w:bottom w:val="single" w:color="000000" w:sz="4" w:space="0"/>
            </w:tcBorders>
            <w:noWrap/>
            <w:vAlign w:val="center"/>
          </w:tcPr>
          <w:p w14:paraId="018F40C1">
            <w:pPr>
              <w:pStyle w:val="26"/>
              <w:rPr>
                <w:rFonts w:hint="eastAsia"/>
                <w:color w:val="000000" w:themeColor="text1"/>
                <w:highlight w:val="none"/>
                <w14:textFill>
                  <w14:solidFill>
                    <w14:schemeClr w14:val="tx1"/>
                  </w14:solidFill>
                </w14:textFill>
              </w:rPr>
            </w:pPr>
            <w:r>
              <w:rPr>
                <w:rFonts w:hint="eastAsia" w:eastAsia="楷体"/>
                <w:color w:val="000000" w:themeColor="text1"/>
                <w:highlight w:val="none"/>
                <w14:textFill>
                  <w14:solidFill>
                    <w14:schemeClr w14:val="tx1"/>
                  </w14:solidFill>
                </w14:textFill>
              </w:rPr>
              <w:t>10.2</w:t>
            </w:r>
          </w:p>
        </w:tc>
      </w:tr>
      <w:tr w14:paraId="75A121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noWrap/>
            <w:vAlign w:val="center"/>
          </w:tcPr>
          <w:p w14:paraId="45E11001">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4" w:space="0"/>
            </w:tcBorders>
            <w:noWrap w:val="0"/>
            <w:vAlign w:val="center"/>
          </w:tcPr>
          <w:p w14:paraId="443A6FD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饱和</w:t>
            </w:r>
            <w:r>
              <w:rPr>
                <w:color w:val="000000" w:themeColor="text1"/>
                <w:highlight w:val="none"/>
                <w14:textFill>
                  <w14:solidFill>
                    <w14:schemeClr w14:val="tx1"/>
                  </w14:solidFill>
                </w14:textFill>
              </w:rPr>
              <w:t>导水率</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m/</w:t>
            </w:r>
            <w:r>
              <w:rPr>
                <w:rFonts w:hint="eastAsia"/>
                <w:color w:val="000000" w:themeColor="text1"/>
                <w:highlight w:val="none"/>
                <w14:textFill>
                  <w14:solidFill>
                    <w14:schemeClr w14:val="tx1"/>
                  </w14:solidFill>
                </w14:textFill>
              </w:rPr>
              <w:t>min</w:t>
            </w:r>
          </w:p>
        </w:tc>
        <w:tc>
          <w:tcPr>
            <w:tcW w:w="4978" w:type="dxa"/>
            <w:gridSpan w:val="3"/>
            <w:tcBorders>
              <w:top w:val="single" w:color="000000" w:sz="4" w:space="0"/>
              <w:bottom w:val="single" w:color="000000" w:sz="4" w:space="0"/>
            </w:tcBorders>
            <w:noWrap/>
            <w:vAlign w:val="center"/>
          </w:tcPr>
          <w:p w14:paraId="2EB26E9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0.642</w:t>
            </w:r>
          </w:p>
        </w:tc>
      </w:tr>
      <w:tr w14:paraId="59D667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noWrap/>
            <w:vAlign w:val="center"/>
          </w:tcPr>
          <w:p w14:paraId="190463BA">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4" w:space="0"/>
            </w:tcBorders>
            <w:noWrap w:val="0"/>
            <w:vAlign w:val="center"/>
          </w:tcPr>
          <w:p w14:paraId="10140BD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土壤容重 g/cm</w:t>
            </w:r>
            <w:r>
              <w:rPr>
                <w:color w:val="000000" w:themeColor="text1"/>
                <w:highlight w:val="none"/>
                <w:vertAlign w:val="superscript"/>
                <w14:textFill>
                  <w14:solidFill>
                    <w14:schemeClr w14:val="tx1"/>
                  </w14:solidFill>
                </w14:textFill>
              </w:rPr>
              <w:t>3</w:t>
            </w:r>
          </w:p>
        </w:tc>
        <w:tc>
          <w:tcPr>
            <w:tcW w:w="4978" w:type="dxa"/>
            <w:gridSpan w:val="3"/>
            <w:tcBorders>
              <w:top w:val="single" w:color="000000" w:sz="4" w:space="0"/>
              <w:bottom w:val="single" w:color="000000" w:sz="4" w:space="0"/>
            </w:tcBorders>
            <w:noWrap/>
            <w:vAlign w:val="center"/>
          </w:tcPr>
          <w:p w14:paraId="3360503C">
            <w:pPr>
              <w:pStyle w:val="26"/>
              <w:rPr>
                <w:rFonts w:hint="eastAsia"/>
                <w:color w:val="000000" w:themeColor="text1"/>
                <w:highlight w:val="none"/>
                <w14:textFill>
                  <w14:solidFill>
                    <w14:schemeClr w14:val="tx1"/>
                  </w14:solidFill>
                </w14:textFill>
              </w:rPr>
            </w:pPr>
            <w:r>
              <w:rPr>
                <w:rFonts w:hint="eastAsia" w:eastAsia="楷体"/>
                <w:color w:val="000000" w:themeColor="text1"/>
                <w:highlight w:val="none"/>
                <w14:textFill>
                  <w14:solidFill>
                    <w14:schemeClr w14:val="tx1"/>
                  </w14:solidFill>
                </w14:textFill>
              </w:rPr>
              <w:t>2.55</w:t>
            </w:r>
          </w:p>
        </w:tc>
      </w:tr>
      <w:tr w14:paraId="6D080A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5" w:hRule="atLeast"/>
        </w:trPr>
        <w:tc>
          <w:tcPr>
            <w:tcW w:w="1178" w:type="dxa"/>
            <w:vMerge w:val="continue"/>
            <w:tcBorders>
              <w:bottom w:val="single" w:color="000000" w:sz="12" w:space="0"/>
            </w:tcBorders>
            <w:noWrap/>
            <w:vAlign w:val="center"/>
          </w:tcPr>
          <w:p w14:paraId="3EED6AFC">
            <w:pPr>
              <w:pStyle w:val="26"/>
              <w:rPr>
                <w:color w:val="000000" w:themeColor="text1"/>
                <w:highlight w:val="none"/>
                <w14:textFill>
                  <w14:solidFill>
                    <w14:schemeClr w14:val="tx1"/>
                  </w14:solidFill>
                </w14:textFill>
              </w:rPr>
            </w:pPr>
          </w:p>
        </w:tc>
        <w:tc>
          <w:tcPr>
            <w:tcW w:w="2460" w:type="dxa"/>
            <w:tcBorders>
              <w:top w:val="single" w:color="000000" w:sz="4" w:space="0"/>
              <w:bottom w:val="single" w:color="000000" w:sz="12" w:space="0"/>
            </w:tcBorders>
            <w:noWrap/>
            <w:vAlign w:val="center"/>
          </w:tcPr>
          <w:p w14:paraId="03C021D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孔隙度</w:t>
            </w:r>
            <w:r>
              <w:rPr>
                <w:rFonts w:hint="eastAsia" w:eastAsia="楷体"/>
                <w:color w:val="000000" w:themeColor="text1"/>
                <w:highlight w:val="none"/>
                <w14:textFill>
                  <w14:solidFill>
                    <w14:schemeClr w14:val="tx1"/>
                  </w14:solidFill>
                </w14:textFill>
              </w:rPr>
              <w:t>%</w:t>
            </w:r>
          </w:p>
        </w:tc>
        <w:tc>
          <w:tcPr>
            <w:tcW w:w="4978" w:type="dxa"/>
            <w:gridSpan w:val="3"/>
            <w:tcBorders>
              <w:top w:val="single" w:color="000000" w:sz="4" w:space="0"/>
              <w:bottom w:val="single" w:color="000000" w:sz="12" w:space="0"/>
            </w:tcBorders>
            <w:noWrap/>
            <w:vAlign w:val="center"/>
          </w:tcPr>
          <w:p w14:paraId="7A9FD7FC">
            <w:pPr>
              <w:pStyle w:val="26"/>
              <w:rPr>
                <w:rFonts w:hint="eastAsia"/>
                <w:color w:val="000000" w:themeColor="text1"/>
                <w:highlight w:val="none"/>
                <w14:textFill>
                  <w14:solidFill>
                    <w14:schemeClr w14:val="tx1"/>
                  </w14:solidFill>
                </w14:textFill>
              </w:rPr>
            </w:pPr>
            <w:r>
              <w:rPr>
                <w:rFonts w:hint="eastAsia" w:eastAsia="楷体"/>
                <w:color w:val="000000" w:themeColor="text1"/>
                <w:highlight w:val="none"/>
                <w14:textFill>
                  <w14:solidFill>
                    <w14:schemeClr w14:val="tx1"/>
                  </w14:solidFill>
                </w14:textFill>
              </w:rPr>
              <w:t>0.1111</w:t>
            </w:r>
          </w:p>
        </w:tc>
      </w:tr>
    </w:tbl>
    <w:p w14:paraId="1B839BC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）监测及评价结果</w:t>
      </w:r>
    </w:p>
    <w:p w14:paraId="09F98506">
      <w:pPr>
        <w:bidi w:val="0"/>
        <w:rPr>
          <w:color w:val="000000" w:themeColor="text1"/>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color w:val="000000" w:themeColor="text1"/>
          <w:highlight w:val="none"/>
          <w14:textFill>
            <w14:solidFill>
              <w14:schemeClr w14:val="tx1"/>
            </w14:solidFill>
          </w14:textFill>
        </w:rPr>
        <w:t>土壤环境质量评价结果见表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.3.4-3、</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.3.4-4</w:t>
      </w:r>
      <w:r>
        <w:rPr>
          <w:color w:val="000000" w:themeColor="text1"/>
          <w:highlight w:val="none"/>
          <w14:textFill>
            <w14:solidFill>
              <w14:schemeClr w14:val="tx1"/>
            </w14:solidFill>
          </w14:textFill>
        </w:rPr>
        <w:t>。</w:t>
      </w:r>
    </w:p>
    <w:p w14:paraId="66C2601C">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.3.4-</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土壤监测及评价结果</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单位：</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g/kg</w:t>
      </w:r>
    </w:p>
    <w:tbl>
      <w:tblPr>
        <w:tblStyle w:val="20"/>
        <w:tblW w:w="14740"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757"/>
        <w:gridCol w:w="1207"/>
        <w:gridCol w:w="962"/>
        <w:gridCol w:w="1303"/>
        <w:gridCol w:w="1303"/>
        <w:gridCol w:w="1304"/>
        <w:gridCol w:w="1150"/>
        <w:gridCol w:w="1150"/>
        <w:gridCol w:w="1150"/>
        <w:gridCol w:w="1151"/>
        <w:gridCol w:w="1151"/>
        <w:gridCol w:w="1152"/>
      </w:tblGrid>
      <w:tr w14:paraId="09EFBB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vMerge w:val="restart"/>
            <w:noWrap w:val="0"/>
            <w:vAlign w:val="center"/>
          </w:tcPr>
          <w:p w14:paraId="66266C26">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监测因子</w:t>
            </w:r>
          </w:p>
        </w:tc>
        <w:tc>
          <w:tcPr>
            <w:tcW w:w="11831" w:type="dxa"/>
            <w:gridSpan w:val="10"/>
            <w:noWrap w:val="0"/>
            <w:vAlign w:val="center"/>
          </w:tcPr>
          <w:p w14:paraId="111D4CB8">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监测结果</w:t>
            </w:r>
          </w:p>
        </w:tc>
        <w:tc>
          <w:tcPr>
            <w:tcW w:w="1152" w:type="dxa"/>
            <w:vMerge w:val="restart"/>
            <w:tcBorders>
              <w:bottom w:val="single" w:color="000000" w:sz="12" w:space="0"/>
            </w:tcBorders>
            <w:noWrap w:val="0"/>
            <w:vAlign w:val="center"/>
          </w:tcPr>
          <w:p w14:paraId="03E20CD2">
            <w:pPr>
              <w:pStyle w:val="26"/>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达标情况</w:t>
            </w:r>
          </w:p>
        </w:tc>
      </w:tr>
      <w:tr w14:paraId="5160B9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vMerge w:val="continue"/>
            <w:tcBorders>
              <w:bottom w:val="single" w:color="000000" w:sz="12" w:space="0"/>
            </w:tcBorders>
            <w:noWrap w:val="0"/>
            <w:vAlign w:val="center"/>
          </w:tcPr>
          <w:p w14:paraId="3F70FC5D">
            <w:pPr>
              <w:pStyle w:val="26"/>
              <w:rPr>
                <w:b/>
                <w:bCs/>
                <w:color w:val="000000" w:themeColor="text1"/>
                <w:highlight w:val="none"/>
                <w14:textFill>
                  <w14:solidFill>
                    <w14:schemeClr w14:val="tx1"/>
                  </w14:solidFill>
                </w14:textFill>
              </w:rPr>
            </w:pPr>
          </w:p>
        </w:tc>
        <w:tc>
          <w:tcPr>
            <w:tcW w:w="1207" w:type="dxa"/>
            <w:tcBorders>
              <w:bottom w:val="single" w:color="000000" w:sz="12" w:space="0"/>
            </w:tcBorders>
            <w:noWrap w:val="0"/>
            <w:vAlign w:val="center"/>
          </w:tcPr>
          <w:p w14:paraId="5B5F379D">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T1</w:t>
            </w:r>
          </w:p>
        </w:tc>
        <w:tc>
          <w:tcPr>
            <w:tcW w:w="962" w:type="dxa"/>
            <w:tcBorders>
              <w:bottom w:val="single" w:color="000000" w:sz="12" w:space="0"/>
            </w:tcBorders>
            <w:noWrap w:val="0"/>
            <w:vAlign w:val="center"/>
          </w:tcPr>
          <w:p w14:paraId="586668DF">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T2-1</w:t>
            </w:r>
          </w:p>
        </w:tc>
        <w:tc>
          <w:tcPr>
            <w:tcW w:w="1303" w:type="dxa"/>
            <w:tcBorders>
              <w:bottom w:val="single" w:color="000000" w:sz="12" w:space="0"/>
            </w:tcBorders>
            <w:noWrap w:val="0"/>
            <w:vAlign w:val="center"/>
          </w:tcPr>
          <w:p w14:paraId="67FFF48C">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T2-2</w:t>
            </w:r>
          </w:p>
        </w:tc>
        <w:tc>
          <w:tcPr>
            <w:tcW w:w="1303" w:type="dxa"/>
            <w:tcBorders>
              <w:bottom w:val="single" w:color="000000" w:sz="12" w:space="0"/>
            </w:tcBorders>
            <w:noWrap w:val="0"/>
            <w:vAlign w:val="center"/>
          </w:tcPr>
          <w:p w14:paraId="74A98238">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T2-3</w:t>
            </w:r>
          </w:p>
        </w:tc>
        <w:tc>
          <w:tcPr>
            <w:tcW w:w="1304" w:type="dxa"/>
            <w:tcBorders>
              <w:bottom w:val="single" w:color="000000" w:sz="12" w:space="0"/>
            </w:tcBorders>
            <w:noWrap w:val="0"/>
            <w:vAlign w:val="center"/>
          </w:tcPr>
          <w:p w14:paraId="61DEE2DA">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T3-1</w:t>
            </w:r>
          </w:p>
        </w:tc>
        <w:tc>
          <w:tcPr>
            <w:tcW w:w="1150" w:type="dxa"/>
            <w:tcBorders>
              <w:bottom w:val="single" w:color="000000" w:sz="12" w:space="0"/>
            </w:tcBorders>
            <w:noWrap w:val="0"/>
            <w:vAlign w:val="center"/>
          </w:tcPr>
          <w:p w14:paraId="2D22BCA0">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T3-2</w:t>
            </w:r>
          </w:p>
        </w:tc>
        <w:tc>
          <w:tcPr>
            <w:tcW w:w="1150" w:type="dxa"/>
            <w:tcBorders>
              <w:bottom w:val="single" w:color="000000" w:sz="12" w:space="0"/>
            </w:tcBorders>
            <w:noWrap w:val="0"/>
            <w:vAlign w:val="center"/>
          </w:tcPr>
          <w:p w14:paraId="765D94DE">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T3-3</w:t>
            </w:r>
          </w:p>
        </w:tc>
        <w:tc>
          <w:tcPr>
            <w:tcW w:w="1150" w:type="dxa"/>
            <w:tcBorders>
              <w:bottom w:val="single" w:color="000000" w:sz="12" w:space="0"/>
            </w:tcBorders>
            <w:noWrap w:val="0"/>
            <w:vAlign w:val="center"/>
          </w:tcPr>
          <w:p w14:paraId="7EB09E0E">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T4-1</w:t>
            </w:r>
          </w:p>
        </w:tc>
        <w:tc>
          <w:tcPr>
            <w:tcW w:w="1151" w:type="dxa"/>
            <w:tcBorders>
              <w:bottom w:val="single" w:color="000000" w:sz="12" w:space="0"/>
            </w:tcBorders>
            <w:noWrap w:val="0"/>
            <w:vAlign w:val="center"/>
          </w:tcPr>
          <w:p w14:paraId="204AA2F6">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T4-2</w:t>
            </w:r>
          </w:p>
        </w:tc>
        <w:tc>
          <w:tcPr>
            <w:tcW w:w="1151" w:type="dxa"/>
            <w:tcBorders>
              <w:bottom w:val="single" w:color="000000" w:sz="12" w:space="0"/>
            </w:tcBorders>
            <w:noWrap w:val="0"/>
            <w:vAlign w:val="center"/>
          </w:tcPr>
          <w:p w14:paraId="44E38226">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T4-3</w:t>
            </w:r>
          </w:p>
        </w:tc>
        <w:tc>
          <w:tcPr>
            <w:tcW w:w="1152" w:type="dxa"/>
            <w:vMerge w:val="continue"/>
            <w:tcBorders>
              <w:top w:val="single" w:color="000000" w:sz="12" w:space="0"/>
              <w:bottom w:val="single" w:color="000000" w:sz="12" w:space="0"/>
            </w:tcBorders>
            <w:noWrap w:val="0"/>
            <w:vAlign w:val="center"/>
          </w:tcPr>
          <w:p w14:paraId="332B9A71">
            <w:pPr>
              <w:pStyle w:val="26"/>
              <w:rPr>
                <w:rFonts w:hint="eastAsia"/>
                <w:color w:val="000000" w:themeColor="text1"/>
                <w:highlight w:val="none"/>
                <w14:textFill>
                  <w14:solidFill>
                    <w14:schemeClr w14:val="tx1"/>
                  </w14:solidFill>
                </w14:textFill>
              </w:rPr>
            </w:pPr>
          </w:p>
        </w:tc>
      </w:tr>
      <w:tr w14:paraId="0C688D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tcBorders>
              <w:top w:val="single" w:color="000000" w:sz="12" w:space="0"/>
            </w:tcBorders>
            <w:noWrap w:val="0"/>
            <w:vAlign w:val="center"/>
          </w:tcPr>
          <w:p w14:paraId="60401AB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pH（无量纲）</w:t>
            </w:r>
          </w:p>
        </w:tc>
        <w:tc>
          <w:tcPr>
            <w:tcW w:w="1207" w:type="dxa"/>
            <w:tcBorders>
              <w:top w:val="single" w:color="000000" w:sz="12" w:space="0"/>
            </w:tcBorders>
            <w:noWrap w:val="0"/>
            <w:vAlign w:val="center"/>
          </w:tcPr>
          <w:p w14:paraId="00534A8F">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8.32</w:t>
            </w:r>
          </w:p>
        </w:tc>
        <w:tc>
          <w:tcPr>
            <w:tcW w:w="962" w:type="dxa"/>
            <w:tcBorders>
              <w:top w:val="single" w:color="000000" w:sz="12" w:space="0"/>
            </w:tcBorders>
            <w:shd w:val="clear" w:color="auto" w:fill="auto"/>
            <w:noWrap w:val="0"/>
            <w:vAlign w:val="center"/>
          </w:tcPr>
          <w:p w14:paraId="546761D9">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8.25</w:t>
            </w:r>
          </w:p>
        </w:tc>
        <w:tc>
          <w:tcPr>
            <w:tcW w:w="1303" w:type="dxa"/>
            <w:tcBorders>
              <w:top w:val="single" w:color="000000" w:sz="12" w:space="0"/>
            </w:tcBorders>
            <w:shd w:val="clear" w:color="auto" w:fill="auto"/>
            <w:noWrap w:val="0"/>
            <w:vAlign w:val="center"/>
          </w:tcPr>
          <w:p w14:paraId="79FA55F4">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7.98</w:t>
            </w:r>
          </w:p>
        </w:tc>
        <w:tc>
          <w:tcPr>
            <w:tcW w:w="1303" w:type="dxa"/>
            <w:tcBorders>
              <w:top w:val="single" w:color="000000" w:sz="12" w:space="0"/>
            </w:tcBorders>
            <w:shd w:val="clear" w:color="auto" w:fill="auto"/>
            <w:noWrap w:val="0"/>
            <w:vAlign w:val="center"/>
          </w:tcPr>
          <w:p w14:paraId="6C7F72B3">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7.81</w:t>
            </w:r>
          </w:p>
        </w:tc>
        <w:tc>
          <w:tcPr>
            <w:tcW w:w="1304" w:type="dxa"/>
            <w:tcBorders>
              <w:top w:val="single" w:color="000000" w:sz="12" w:space="0"/>
            </w:tcBorders>
            <w:shd w:val="clear" w:color="auto" w:fill="auto"/>
            <w:noWrap w:val="0"/>
            <w:vAlign w:val="center"/>
          </w:tcPr>
          <w:p w14:paraId="1EA4A848">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8.38</w:t>
            </w:r>
          </w:p>
        </w:tc>
        <w:tc>
          <w:tcPr>
            <w:tcW w:w="1150" w:type="dxa"/>
            <w:tcBorders>
              <w:top w:val="single" w:color="000000" w:sz="12" w:space="0"/>
            </w:tcBorders>
            <w:shd w:val="clear" w:color="auto" w:fill="auto"/>
            <w:noWrap w:val="0"/>
            <w:vAlign w:val="center"/>
          </w:tcPr>
          <w:p w14:paraId="04F4AB8C">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7.94</w:t>
            </w:r>
          </w:p>
        </w:tc>
        <w:tc>
          <w:tcPr>
            <w:tcW w:w="1150" w:type="dxa"/>
            <w:tcBorders>
              <w:top w:val="single" w:color="000000" w:sz="12" w:space="0"/>
            </w:tcBorders>
            <w:shd w:val="clear" w:color="auto" w:fill="auto"/>
            <w:noWrap w:val="0"/>
            <w:vAlign w:val="center"/>
          </w:tcPr>
          <w:p w14:paraId="7FB5E44F">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7.87</w:t>
            </w:r>
          </w:p>
        </w:tc>
        <w:tc>
          <w:tcPr>
            <w:tcW w:w="1150" w:type="dxa"/>
            <w:tcBorders>
              <w:top w:val="single" w:color="000000" w:sz="12" w:space="0"/>
            </w:tcBorders>
            <w:shd w:val="clear" w:color="auto" w:fill="auto"/>
            <w:noWrap w:val="0"/>
            <w:vAlign w:val="center"/>
          </w:tcPr>
          <w:p w14:paraId="60D8BE25">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8.20</w:t>
            </w:r>
          </w:p>
        </w:tc>
        <w:tc>
          <w:tcPr>
            <w:tcW w:w="1151" w:type="dxa"/>
            <w:tcBorders>
              <w:top w:val="single" w:color="000000" w:sz="12" w:space="0"/>
            </w:tcBorders>
            <w:shd w:val="clear" w:color="auto" w:fill="auto"/>
            <w:noWrap w:val="0"/>
            <w:vAlign w:val="center"/>
          </w:tcPr>
          <w:p w14:paraId="72929A8E">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7.93</w:t>
            </w:r>
          </w:p>
        </w:tc>
        <w:tc>
          <w:tcPr>
            <w:tcW w:w="1151" w:type="dxa"/>
            <w:tcBorders>
              <w:top w:val="single" w:color="000000" w:sz="12" w:space="0"/>
            </w:tcBorders>
            <w:shd w:val="clear" w:color="auto" w:fill="auto"/>
            <w:noWrap w:val="0"/>
            <w:vAlign w:val="center"/>
          </w:tcPr>
          <w:p w14:paraId="390203FB">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7.81</w:t>
            </w:r>
          </w:p>
        </w:tc>
        <w:tc>
          <w:tcPr>
            <w:tcW w:w="1152" w:type="dxa"/>
            <w:tcBorders>
              <w:top w:val="single" w:color="000000" w:sz="12" w:space="0"/>
            </w:tcBorders>
            <w:noWrap w:val="0"/>
            <w:vAlign w:val="center"/>
          </w:tcPr>
          <w:p w14:paraId="0A45E6DF">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r>
      <w:tr w14:paraId="026090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A5E3C0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镉</w:t>
            </w:r>
          </w:p>
        </w:tc>
        <w:tc>
          <w:tcPr>
            <w:tcW w:w="1207" w:type="dxa"/>
            <w:noWrap w:val="0"/>
            <w:vAlign w:val="center"/>
          </w:tcPr>
          <w:p w14:paraId="6E64332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0.12</w:t>
            </w:r>
          </w:p>
        </w:tc>
        <w:tc>
          <w:tcPr>
            <w:tcW w:w="962" w:type="dxa"/>
            <w:noWrap w:val="0"/>
            <w:vAlign w:val="center"/>
          </w:tcPr>
          <w:p w14:paraId="7DEE582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0.16</w:t>
            </w:r>
          </w:p>
        </w:tc>
        <w:tc>
          <w:tcPr>
            <w:tcW w:w="1303" w:type="dxa"/>
            <w:noWrap w:val="0"/>
            <w:vAlign w:val="center"/>
          </w:tcPr>
          <w:p w14:paraId="2DDE5F0A">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0.12</w:t>
            </w:r>
          </w:p>
        </w:tc>
        <w:tc>
          <w:tcPr>
            <w:tcW w:w="1303" w:type="dxa"/>
            <w:noWrap w:val="0"/>
            <w:vAlign w:val="center"/>
          </w:tcPr>
          <w:p w14:paraId="552C5FB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0.14</w:t>
            </w:r>
          </w:p>
        </w:tc>
        <w:tc>
          <w:tcPr>
            <w:tcW w:w="1304" w:type="dxa"/>
            <w:noWrap w:val="0"/>
            <w:vAlign w:val="center"/>
          </w:tcPr>
          <w:p w14:paraId="04C5CD20">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0.14</w:t>
            </w:r>
          </w:p>
        </w:tc>
        <w:tc>
          <w:tcPr>
            <w:tcW w:w="1150" w:type="dxa"/>
            <w:noWrap w:val="0"/>
            <w:vAlign w:val="center"/>
          </w:tcPr>
          <w:p w14:paraId="59699F86">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0.14</w:t>
            </w:r>
          </w:p>
        </w:tc>
        <w:tc>
          <w:tcPr>
            <w:tcW w:w="1150" w:type="dxa"/>
            <w:noWrap w:val="0"/>
            <w:vAlign w:val="center"/>
          </w:tcPr>
          <w:p w14:paraId="3E89607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0.11</w:t>
            </w:r>
          </w:p>
        </w:tc>
        <w:tc>
          <w:tcPr>
            <w:tcW w:w="1150" w:type="dxa"/>
            <w:noWrap w:val="0"/>
            <w:vAlign w:val="center"/>
          </w:tcPr>
          <w:p w14:paraId="2DD6A8E2">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0.14</w:t>
            </w:r>
          </w:p>
        </w:tc>
        <w:tc>
          <w:tcPr>
            <w:tcW w:w="1151" w:type="dxa"/>
            <w:noWrap w:val="0"/>
            <w:vAlign w:val="center"/>
          </w:tcPr>
          <w:p w14:paraId="0DE3FA19">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0.28</w:t>
            </w:r>
          </w:p>
        </w:tc>
        <w:tc>
          <w:tcPr>
            <w:tcW w:w="1151" w:type="dxa"/>
            <w:noWrap w:val="0"/>
            <w:vAlign w:val="center"/>
          </w:tcPr>
          <w:p w14:paraId="76B5B0BE">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w:t>
            </w:r>
          </w:p>
        </w:tc>
        <w:tc>
          <w:tcPr>
            <w:tcW w:w="1152" w:type="dxa"/>
            <w:noWrap w:val="0"/>
            <w:vAlign w:val="center"/>
          </w:tcPr>
          <w:p w14:paraId="79BF8FA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达标</w:t>
            </w:r>
          </w:p>
        </w:tc>
      </w:tr>
      <w:tr w14:paraId="73B778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3F74E5B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铜</w:t>
            </w:r>
          </w:p>
        </w:tc>
        <w:tc>
          <w:tcPr>
            <w:tcW w:w="1207" w:type="dxa"/>
            <w:noWrap w:val="0"/>
            <w:vAlign w:val="center"/>
          </w:tcPr>
          <w:p w14:paraId="5FAD1B8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24</w:t>
            </w:r>
          </w:p>
        </w:tc>
        <w:tc>
          <w:tcPr>
            <w:tcW w:w="962" w:type="dxa"/>
            <w:noWrap w:val="0"/>
            <w:vAlign w:val="center"/>
          </w:tcPr>
          <w:p w14:paraId="07FDC5F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27</w:t>
            </w:r>
          </w:p>
        </w:tc>
        <w:tc>
          <w:tcPr>
            <w:tcW w:w="1303" w:type="dxa"/>
            <w:noWrap w:val="0"/>
            <w:vAlign w:val="center"/>
          </w:tcPr>
          <w:p w14:paraId="38105B7E">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27</w:t>
            </w:r>
          </w:p>
        </w:tc>
        <w:tc>
          <w:tcPr>
            <w:tcW w:w="1303" w:type="dxa"/>
            <w:noWrap w:val="0"/>
            <w:vAlign w:val="center"/>
          </w:tcPr>
          <w:p w14:paraId="61833DEA">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26</w:t>
            </w:r>
          </w:p>
        </w:tc>
        <w:tc>
          <w:tcPr>
            <w:tcW w:w="1304" w:type="dxa"/>
            <w:noWrap w:val="0"/>
            <w:vAlign w:val="center"/>
          </w:tcPr>
          <w:p w14:paraId="656453D1">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w:t>
            </w:r>
          </w:p>
        </w:tc>
        <w:tc>
          <w:tcPr>
            <w:tcW w:w="1150" w:type="dxa"/>
            <w:noWrap w:val="0"/>
            <w:vAlign w:val="center"/>
          </w:tcPr>
          <w:p w14:paraId="5DF6CC5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26</w:t>
            </w:r>
          </w:p>
        </w:tc>
        <w:tc>
          <w:tcPr>
            <w:tcW w:w="1150" w:type="dxa"/>
            <w:noWrap w:val="0"/>
            <w:vAlign w:val="center"/>
          </w:tcPr>
          <w:p w14:paraId="5BC8CF2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w:t>
            </w:r>
          </w:p>
        </w:tc>
        <w:tc>
          <w:tcPr>
            <w:tcW w:w="1150" w:type="dxa"/>
            <w:noWrap w:val="0"/>
            <w:vAlign w:val="center"/>
          </w:tcPr>
          <w:p w14:paraId="17CA89B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24</w:t>
            </w:r>
          </w:p>
        </w:tc>
        <w:tc>
          <w:tcPr>
            <w:tcW w:w="1151" w:type="dxa"/>
            <w:noWrap w:val="0"/>
            <w:vAlign w:val="center"/>
          </w:tcPr>
          <w:p w14:paraId="51FE382D">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23</w:t>
            </w:r>
          </w:p>
        </w:tc>
        <w:tc>
          <w:tcPr>
            <w:tcW w:w="1151" w:type="dxa"/>
            <w:noWrap w:val="0"/>
            <w:vAlign w:val="center"/>
          </w:tcPr>
          <w:p w14:paraId="276A182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27</w:t>
            </w:r>
          </w:p>
        </w:tc>
        <w:tc>
          <w:tcPr>
            <w:tcW w:w="1152" w:type="dxa"/>
            <w:noWrap w:val="0"/>
            <w:vAlign w:val="center"/>
          </w:tcPr>
          <w:p w14:paraId="607D3DB5">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达标</w:t>
            </w:r>
          </w:p>
        </w:tc>
      </w:tr>
      <w:tr w14:paraId="23D601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9A000D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六价铬</w:t>
            </w:r>
          </w:p>
        </w:tc>
        <w:tc>
          <w:tcPr>
            <w:tcW w:w="1207" w:type="dxa"/>
            <w:noWrap w:val="0"/>
            <w:vAlign w:val="center"/>
          </w:tcPr>
          <w:p w14:paraId="0A75D7D1">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962" w:type="dxa"/>
            <w:noWrap w:val="0"/>
            <w:vAlign w:val="center"/>
          </w:tcPr>
          <w:p w14:paraId="07996F10">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303" w:type="dxa"/>
            <w:noWrap w:val="0"/>
            <w:vAlign w:val="center"/>
          </w:tcPr>
          <w:p w14:paraId="527034C2">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303" w:type="dxa"/>
            <w:noWrap w:val="0"/>
            <w:vAlign w:val="center"/>
          </w:tcPr>
          <w:p w14:paraId="0E2BBB82">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304" w:type="dxa"/>
            <w:noWrap w:val="0"/>
            <w:vAlign w:val="center"/>
          </w:tcPr>
          <w:p w14:paraId="2911FE0B">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150" w:type="dxa"/>
            <w:noWrap w:val="0"/>
            <w:vAlign w:val="center"/>
          </w:tcPr>
          <w:p w14:paraId="190899C9">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150" w:type="dxa"/>
            <w:noWrap w:val="0"/>
            <w:vAlign w:val="center"/>
          </w:tcPr>
          <w:p w14:paraId="2367A3CD">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150" w:type="dxa"/>
            <w:noWrap w:val="0"/>
            <w:vAlign w:val="center"/>
          </w:tcPr>
          <w:p w14:paraId="6AFF128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151" w:type="dxa"/>
            <w:noWrap w:val="0"/>
            <w:vAlign w:val="center"/>
          </w:tcPr>
          <w:p w14:paraId="225F00A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151" w:type="dxa"/>
            <w:noWrap w:val="0"/>
            <w:vAlign w:val="center"/>
          </w:tcPr>
          <w:p w14:paraId="1201A3D9">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未检出</w:t>
            </w:r>
          </w:p>
        </w:tc>
        <w:tc>
          <w:tcPr>
            <w:tcW w:w="1152" w:type="dxa"/>
            <w:noWrap w:val="0"/>
            <w:vAlign w:val="center"/>
          </w:tcPr>
          <w:p w14:paraId="4845A1C2">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达标</w:t>
            </w:r>
          </w:p>
        </w:tc>
      </w:tr>
      <w:tr w14:paraId="6E031D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3A06172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铅</w:t>
            </w:r>
          </w:p>
        </w:tc>
        <w:tc>
          <w:tcPr>
            <w:tcW w:w="1207" w:type="dxa"/>
            <w:noWrap w:val="0"/>
            <w:vAlign w:val="center"/>
          </w:tcPr>
          <w:p w14:paraId="78CA965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14.4</w:t>
            </w:r>
          </w:p>
        </w:tc>
        <w:tc>
          <w:tcPr>
            <w:tcW w:w="962" w:type="dxa"/>
            <w:noWrap w:val="0"/>
            <w:vAlign w:val="center"/>
          </w:tcPr>
          <w:p w14:paraId="3F44E40B">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16.4</w:t>
            </w:r>
          </w:p>
        </w:tc>
        <w:tc>
          <w:tcPr>
            <w:tcW w:w="1303" w:type="dxa"/>
            <w:noWrap w:val="0"/>
            <w:vAlign w:val="center"/>
          </w:tcPr>
          <w:p w14:paraId="3191B3B5">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16</w:t>
            </w:r>
          </w:p>
        </w:tc>
        <w:tc>
          <w:tcPr>
            <w:tcW w:w="1303" w:type="dxa"/>
            <w:noWrap w:val="0"/>
            <w:vAlign w:val="center"/>
          </w:tcPr>
          <w:p w14:paraId="7825972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14</w:t>
            </w:r>
          </w:p>
        </w:tc>
        <w:tc>
          <w:tcPr>
            <w:tcW w:w="1304" w:type="dxa"/>
            <w:noWrap w:val="0"/>
            <w:vAlign w:val="center"/>
          </w:tcPr>
          <w:p w14:paraId="10514B4A">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16.6</w:t>
            </w:r>
          </w:p>
        </w:tc>
        <w:tc>
          <w:tcPr>
            <w:tcW w:w="1150" w:type="dxa"/>
            <w:noWrap w:val="0"/>
            <w:vAlign w:val="center"/>
          </w:tcPr>
          <w:p w14:paraId="7E0125D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15.2</w:t>
            </w:r>
          </w:p>
        </w:tc>
        <w:tc>
          <w:tcPr>
            <w:tcW w:w="1150" w:type="dxa"/>
            <w:noWrap w:val="0"/>
            <w:vAlign w:val="center"/>
          </w:tcPr>
          <w:p w14:paraId="7B01EB8E">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14.5</w:t>
            </w:r>
          </w:p>
        </w:tc>
        <w:tc>
          <w:tcPr>
            <w:tcW w:w="1150" w:type="dxa"/>
            <w:noWrap w:val="0"/>
            <w:vAlign w:val="center"/>
          </w:tcPr>
          <w:p w14:paraId="31B85C73">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16.1</w:t>
            </w:r>
          </w:p>
        </w:tc>
        <w:tc>
          <w:tcPr>
            <w:tcW w:w="1151" w:type="dxa"/>
            <w:noWrap w:val="0"/>
            <w:vAlign w:val="center"/>
          </w:tcPr>
          <w:p w14:paraId="5037F4B0">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14.1</w:t>
            </w:r>
          </w:p>
        </w:tc>
        <w:tc>
          <w:tcPr>
            <w:tcW w:w="1151" w:type="dxa"/>
            <w:noWrap w:val="0"/>
            <w:vAlign w:val="center"/>
          </w:tcPr>
          <w:p w14:paraId="2AB673D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14.8</w:t>
            </w:r>
          </w:p>
        </w:tc>
        <w:tc>
          <w:tcPr>
            <w:tcW w:w="1152" w:type="dxa"/>
            <w:noWrap w:val="0"/>
            <w:vAlign w:val="center"/>
          </w:tcPr>
          <w:p w14:paraId="726DDB02">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达标</w:t>
            </w:r>
          </w:p>
        </w:tc>
      </w:tr>
      <w:tr w14:paraId="1275D6F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5FB083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镍</w:t>
            </w:r>
          </w:p>
        </w:tc>
        <w:tc>
          <w:tcPr>
            <w:tcW w:w="1207" w:type="dxa"/>
            <w:noWrap w:val="0"/>
            <w:vAlign w:val="center"/>
          </w:tcPr>
          <w:p w14:paraId="45607832">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22</w:t>
            </w:r>
          </w:p>
        </w:tc>
        <w:tc>
          <w:tcPr>
            <w:tcW w:w="962" w:type="dxa"/>
            <w:noWrap w:val="0"/>
            <w:vAlign w:val="center"/>
          </w:tcPr>
          <w:p w14:paraId="50FE3FC1">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26</w:t>
            </w:r>
          </w:p>
        </w:tc>
        <w:tc>
          <w:tcPr>
            <w:tcW w:w="1303" w:type="dxa"/>
            <w:noWrap w:val="0"/>
            <w:vAlign w:val="center"/>
          </w:tcPr>
          <w:p w14:paraId="324BA9DF">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w:t>
            </w:r>
          </w:p>
        </w:tc>
        <w:tc>
          <w:tcPr>
            <w:tcW w:w="1303" w:type="dxa"/>
            <w:noWrap w:val="0"/>
            <w:vAlign w:val="center"/>
          </w:tcPr>
          <w:p w14:paraId="48BB492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23</w:t>
            </w:r>
          </w:p>
        </w:tc>
        <w:tc>
          <w:tcPr>
            <w:tcW w:w="1304" w:type="dxa"/>
            <w:noWrap w:val="0"/>
            <w:vAlign w:val="center"/>
          </w:tcPr>
          <w:p w14:paraId="77E2D392">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24</w:t>
            </w:r>
          </w:p>
        </w:tc>
        <w:tc>
          <w:tcPr>
            <w:tcW w:w="1150" w:type="dxa"/>
            <w:noWrap w:val="0"/>
            <w:vAlign w:val="center"/>
          </w:tcPr>
          <w:p w14:paraId="27094CA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w:t>
            </w:r>
          </w:p>
        </w:tc>
        <w:tc>
          <w:tcPr>
            <w:tcW w:w="1150" w:type="dxa"/>
            <w:noWrap w:val="0"/>
            <w:vAlign w:val="center"/>
          </w:tcPr>
          <w:p w14:paraId="362F036E">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w:t>
            </w:r>
          </w:p>
        </w:tc>
        <w:tc>
          <w:tcPr>
            <w:tcW w:w="1150" w:type="dxa"/>
            <w:noWrap w:val="0"/>
            <w:vAlign w:val="center"/>
          </w:tcPr>
          <w:p w14:paraId="27CC9685">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24</w:t>
            </w:r>
          </w:p>
        </w:tc>
        <w:tc>
          <w:tcPr>
            <w:tcW w:w="1151" w:type="dxa"/>
            <w:noWrap w:val="0"/>
            <w:vAlign w:val="center"/>
          </w:tcPr>
          <w:p w14:paraId="4107A103">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21</w:t>
            </w:r>
          </w:p>
        </w:tc>
        <w:tc>
          <w:tcPr>
            <w:tcW w:w="1151" w:type="dxa"/>
            <w:noWrap w:val="0"/>
            <w:vAlign w:val="center"/>
          </w:tcPr>
          <w:p w14:paraId="66C58B1D">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w:t>
            </w:r>
          </w:p>
        </w:tc>
        <w:tc>
          <w:tcPr>
            <w:tcW w:w="1152" w:type="dxa"/>
            <w:noWrap w:val="0"/>
            <w:vAlign w:val="center"/>
          </w:tcPr>
          <w:p w14:paraId="69E20FD0">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达标</w:t>
            </w:r>
          </w:p>
        </w:tc>
      </w:tr>
      <w:tr w14:paraId="576770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40E7D24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砷</w:t>
            </w:r>
          </w:p>
        </w:tc>
        <w:tc>
          <w:tcPr>
            <w:tcW w:w="1207" w:type="dxa"/>
            <w:noWrap w:val="0"/>
            <w:vAlign w:val="center"/>
          </w:tcPr>
          <w:p w14:paraId="530A0E4E">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12.3</w:t>
            </w:r>
          </w:p>
        </w:tc>
        <w:tc>
          <w:tcPr>
            <w:tcW w:w="962" w:type="dxa"/>
            <w:noWrap w:val="0"/>
            <w:vAlign w:val="center"/>
          </w:tcPr>
          <w:p w14:paraId="46A0ED41">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13.3</w:t>
            </w:r>
          </w:p>
        </w:tc>
        <w:tc>
          <w:tcPr>
            <w:tcW w:w="1303" w:type="dxa"/>
            <w:noWrap w:val="0"/>
            <w:vAlign w:val="center"/>
          </w:tcPr>
          <w:p w14:paraId="65357193">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14</w:t>
            </w:r>
          </w:p>
        </w:tc>
        <w:tc>
          <w:tcPr>
            <w:tcW w:w="1303" w:type="dxa"/>
            <w:noWrap w:val="0"/>
            <w:vAlign w:val="center"/>
          </w:tcPr>
          <w:p w14:paraId="177A7A0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12.9</w:t>
            </w:r>
          </w:p>
        </w:tc>
        <w:tc>
          <w:tcPr>
            <w:tcW w:w="1304" w:type="dxa"/>
            <w:noWrap w:val="0"/>
            <w:vAlign w:val="center"/>
          </w:tcPr>
          <w:p w14:paraId="0298F6B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13.2</w:t>
            </w:r>
          </w:p>
        </w:tc>
        <w:tc>
          <w:tcPr>
            <w:tcW w:w="1150" w:type="dxa"/>
            <w:noWrap w:val="0"/>
            <w:vAlign w:val="center"/>
          </w:tcPr>
          <w:p w14:paraId="2C72981A">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13.6</w:t>
            </w:r>
          </w:p>
        </w:tc>
        <w:tc>
          <w:tcPr>
            <w:tcW w:w="1150" w:type="dxa"/>
            <w:noWrap w:val="0"/>
            <w:vAlign w:val="center"/>
          </w:tcPr>
          <w:p w14:paraId="1A0603B3">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13.8</w:t>
            </w:r>
          </w:p>
        </w:tc>
        <w:tc>
          <w:tcPr>
            <w:tcW w:w="1150" w:type="dxa"/>
            <w:noWrap w:val="0"/>
            <w:vAlign w:val="center"/>
          </w:tcPr>
          <w:p w14:paraId="26C2D3B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13.5</w:t>
            </w:r>
          </w:p>
        </w:tc>
        <w:tc>
          <w:tcPr>
            <w:tcW w:w="1151" w:type="dxa"/>
            <w:noWrap w:val="0"/>
            <w:vAlign w:val="center"/>
          </w:tcPr>
          <w:p w14:paraId="6BA06B9C">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12.4</w:t>
            </w:r>
          </w:p>
        </w:tc>
        <w:tc>
          <w:tcPr>
            <w:tcW w:w="1151" w:type="dxa"/>
            <w:noWrap w:val="0"/>
            <w:vAlign w:val="center"/>
          </w:tcPr>
          <w:p w14:paraId="4B5796F4">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13.1</w:t>
            </w:r>
          </w:p>
        </w:tc>
        <w:tc>
          <w:tcPr>
            <w:tcW w:w="1152" w:type="dxa"/>
            <w:noWrap w:val="0"/>
            <w:vAlign w:val="center"/>
          </w:tcPr>
          <w:p w14:paraId="3D529E3A">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达标</w:t>
            </w:r>
          </w:p>
        </w:tc>
      </w:tr>
      <w:tr w14:paraId="7CFD19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34D663AE">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汞</w:t>
            </w:r>
          </w:p>
        </w:tc>
        <w:tc>
          <w:tcPr>
            <w:tcW w:w="1207" w:type="dxa"/>
            <w:noWrap w:val="0"/>
            <w:vAlign w:val="center"/>
          </w:tcPr>
          <w:p w14:paraId="5C431FDA">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0.038</w:t>
            </w:r>
          </w:p>
        </w:tc>
        <w:tc>
          <w:tcPr>
            <w:tcW w:w="962" w:type="dxa"/>
            <w:noWrap w:val="0"/>
            <w:vAlign w:val="center"/>
          </w:tcPr>
          <w:p w14:paraId="7C336200">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0.031</w:t>
            </w:r>
          </w:p>
        </w:tc>
        <w:tc>
          <w:tcPr>
            <w:tcW w:w="1303" w:type="dxa"/>
            <w:noWrap w:val="0"/>
            <w:vAlign w:val="center"/>
          </w:tcPr>
          <w:p w14:paraId="7153C7B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0.034</w:t>
            </w:r>
          </w:p>
        </w:tc>
        <w:tc>
          <w:tcPr>
            <w:tcW w:w="1303" w:type="dxa"/>
            <w:noWrap w:val="0"/>
            <w:vAlign w:val="center"/>
          </w:tcPr>
          <w:p w14:paraId="3F0CC4FF">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0.03</w:t>
            </w:r>
          </w:p>
        </w:tc>
        <w:tc>
          <w:tcPr>
            <w:tcW w:w="1304" w:type="dxa"/>
            <w:noWrap w:val="0"/>
            <w:vAlign w:val="center"/>
          </w:tcPr>
          <w:p w14:paraId="33FF08D5">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0.047</w:t>
            </w:r>
          </w:p>
        </w:tc>
        <w:tc>
          <w:tcPr>
            <w:tcW w:w="1150" w:type="dxa"/>
            <w:noWrap w:val="0"/>
            <w:vAlign w:val="center"/>
          </w:tcPr>
          <w:p w14:paraId="337214AA">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0.039</w:t>
            </w:r>
          </w:p>
        </w:tc>
        <w:tc>
          <w:tcPr>
            <w:tcW w:w="1150" w:type="dxa"/>
            <w:noWrap w:val="0"/>
            <w:vAlign w:val="center"/>
          </w:tcPr>
          <w:p w14:paraId="26CD76E2">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0.036</w:t>
            </w:r>
          </w:p>
        </w:tc>
        <w:tc>
          <w:tcPr>
            <w:tcW w:w="1150" w:type="dxa"/>
            <w:noWrap w:val="0"/>
            <w:vAlign w:val="center"/>
          </w:tcPr>
          <w:p w14:paraId="2FF24FF9">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0.035</w:t>
            </w:r>
          </w:p>
        </w:tc>
        <w:tc>
          <w:tcPr>
            <w:tcW w:w="1151" w:type="dxa"/>
            <w:noWrap w:val="0"/>
            <w:vAlign w:val="center"/>
          </w:tcPr>
          <w:p w14:paraId="3BBC7F05">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0.041</w:t>
            </w:r>
          </w:p>
        </w:tc>
        <w:tc>
          <w:tcPr>
            <w:tcW w:w="1151" w:type="dxa"/>
            <w:noWrap w:val="0"/>
            <w:vAlign w:val="center"/>
          </w:tcPr>
          <w:p w14:paraId="043FF731">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0.038</w:t>
            </w:r>
          </w:p>
        </w:tc>
        <w:tc>
          <w:tcPr>
            <w:tcW w:w="1152" w:type="dxa"/>
            <w:noWrap w:val="0"/>
            <w:vAlign w:val="center"/>
          </w:tcPr>
          <w:p w14:paraId="77D1172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达标</w:t>
            </w:r>
          </w:p>
        </w:tc>
      </w:tr>
      <w:tr w14:paraId="3646F85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6AB9C59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石油烃</w:t>
            </w:r>
          </w:p>
        </w:tc>
        <w:tc>
          <w:tcPr>
            <w:tcW w:w="1207" w:type="dxa"/>
            <w:noWrap w:val="0"/>
            <w:vAlign w:val="center"/>
          </w:tcPr>
          <w:p w14:paraId="475DEAEC">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55</w:t>
            </w:r>
          </w:p>
        </w:tc>
        <w:tc>
          <w:tcPr>
            <w:tcW w:w="962" w:type="dxa"/>
            <w:shd w:val="clear" w:color="auto" w:fill="auto"/>
            <w:noWrap w:val="0"/>
            <w:vAlign w:val="center"/>
          </w:tcPr>
          <w:p w14:paraId="7CEA0062">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41</w:t>
            </w:r>
          </w:p>
        </w:tc>
        <w:tc>
          <w:tcPr>
            <w:tcW w:w="1303" w:type="dxa"/>
            <w:shd w:val="clear" w:color="auto" w:fill="auto"/>
            <w:noWrap w:val="0"/>
            <w:vAlign w:val="center"/>
          </w:tcPr>
          <w:p w14:paraId="1503F52E">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48</w:t>
            </w:r>
          </w:p>
        </w:tc>
        <w:tc>
          <w:tcPr>
            <w:tcW w:w="1303" w:type="dxa"/>
            <w:shd w:val="clear" w:color="auto" w:fill="auto"/>
            <w:noWrap w:val="0"/>
            <w:vAlign w:val="center"/>
          </w:tcPr>
          <w:p w14:paraId="1EBBEFDC">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36</w:t>
            </w:r>
          </w:p>
        </w:tc>
        <w:tc>
          <w:tcPr>
            <w:tcW w:w="1304" w:type="dxa"/>
            <w:shd w:val="clear" w:color="auto" w:fill="auto"/>
            <w:noWrap w:val="0"/>
            <w:vAlign w:val="center"/>
          </w:tcPr>
          <w:p w14:paraId="728C24BE">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52</w:t>
            </w:r>
          </w:p>
        </w:tc>
        <w:tc>
          <w:tcPr>
            <w:tcW w:w="1150" w:type="dxa"/>
            <w:shd w:val="clear" w:color="auto" w:fill="auto"/>
            <w:noWrap w:val="0"/>
            <w:vAlign w:val="center"/>
          </w:tcPr>
          <w:p w14:paraId="02DD1FBD">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47</w:t>
            </w:r>
          </w:p>
        </w:tc>
        <w:tc>
          <w:tcPr>
            <w:tcW w:w="1150" w:type="dxa"/>
            <w:shd w:val="clear" w:color="auto" w:fill="auto"/>
            <w:noWrap w:val="0"/>
            <w:vAlign w:val="center"/>
          </w:tcPr>
          <w:p w14:paraId="62DAA1A7">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47</w:t>
            </w:r>
          </w:p>
        </w:tc>
        <w:tc>
          <w:tcPr>
            <w:tcW w:w="1150" w:type="dxa"/>
            <w:shd w:val="clear" w:color="auto" w:fill="auto"/>
            <w:noWrap w:val="0"/>
            <w:vAlign w:val="center"/>
          </w:tcPr>
          <w:p w14:paraId="1C396C59">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47</w:t>
            </w:r>
          </w:p>
        </w:tc>
        <w:tc>
          <w:tcPr>
            <w:tcW w:w="1151" w:type="dxa"/>
            <w:shd w:val="clear" w:color="auto" w:fill="auto"/>
            <w:noWrap w:val="0"/>
            <w:vAlign w:val="center"/>
          </w:tcPr>
          <w:p w14:paraId="10927FED">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68</w:t>
            </w:r>
          </w:p>
        </w:tc>
        <w:tc>
          <w:tcPr>
            <w:tcW w:w="1151" w:type="dxa"/>
            <w:shd w:val="clear" w:color="auto" w:fill="auto"/>
            <w:noWrap w:val="0"/>
            <w:vAlign w:val="center"/>
          </w:tcPr>
          <w:p w14:paraId="26A045F8">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54</w:t>
            </w:r>
          </w:p>
        </w:tc>
        <w:tc>
          <w:tcPr>
            <w:tcW w:w="1152" w:type="dxa"/>
            <w:noWrap w:val="0"/>
            <w:vAlign w:val="center"/>
          </w:tcPr>
          <w:p w14:paraId="0BD17B0D">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达标</w:t>
            </w:r>
          </w:p>
        </w:tc>
      </w:tr>
      <w:tr w14:paraId="48D435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128E54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2-氯苯酚</w:t>
            </w:r>
          </w:p>
        </w:tc>
        <w:tc>
          <w:tcPr>
            <w:tcW w:w="1207" w:type="dxa"/>
            <w:noWrap w:val="0"/>
            <w:vAlign w:val="center"/>
          </w:tcPr>
          <w:p w14:paraId="663655B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62B91D1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3EC3FFF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9F0585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6998AD5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8D7F09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760217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E291C90">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67B1C46">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2B30727">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15F3AD0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19894F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242C38C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硝基苯</w:t>
            </w:r>
          </w:p>
        </w:tc>
        <w:tc>
          <w:tcPr>
            <w:tcW w:w="1207" w:type="dxa"/>
            <w:noWrap w:val="0"/>
            <w:vAlign w:val="center"/>
          </w:tcPr>
          <w:p w14:paraId="520373E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171A76A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451128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C9113D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1679631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A5025E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7F9C9E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92BEDF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33708FD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37F738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5C01FDB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8DEC4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27AEB9C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萘</w:t>
            </w:r>
          </w:p>
        </w:tc>
        <w:tc>
          <w:tcPr>
            <w:tcW w:w="1207" w:type="dxa"/>
            <w:noWrap w:val="0"/>
            <w:vAlign w:val="center"/>
          </w:tcPr>
          <w:p w14:paraId="55FBE5B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195A50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69E4E4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373CB82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74DAEA3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BDD317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3DA025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501F7E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53670F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9478FA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1BC0875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3BCED8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0377124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4-氯苯胺</w:t>
            </w:r>
          </w:p>
        </w:tc>
        <w:tc>
          <w:tcPr>
            <w:tcW w:w="1207" w:type="dxa"/>
            <w:noWrap w:val="0"/>
            <w:vAlign w:val="center"/>
          </w:tcPr>
          <w:p w14:paraId="28F7CDB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5BD2336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34577C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D346F8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4E5036A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B966D6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0A795F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A9CF27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705B4E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F3156D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13D7B42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5E950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71E5B7F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2-硝基苯胺</w:t>
            </w:r>
          </w:p>
        </w:tc>
        <w:tc>
          <w:tcPr>
            <w:tcW w:w="1207" w:type="dxa"/>
            <w:noWrap w:val="0"/>
            <w:vAlign w:val="center"/>
          </w:tcPr>
          <w:p w14:paraId="01E8AC6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3D5C5D1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31B898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89261F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30BC5B6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197185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ACA94F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BE1EE0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5301D7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2C91FA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48DC679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6352D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ADD2A3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3-硝基苯胺</w:t>
            </w:r>
          </w:p>
        </w:tc>
        <w:tc>
          <w:tcPr>
            <w:tcW w:w="1207" w:type="dxa"/>
            <w:noWrap w:val="0"/>
            <w:vAlign w:val="center"/>
          </w:tcPr>
          <w:p w14:paraId="0292803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EA8EB9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0FC474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5205483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2B6EBB7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16EB33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CCDC78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B4AB0A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43C0CF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DCC4D0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08F3026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A416A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2ECAE7D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4-硝基苯胺</w:t>
            </w:r>
          </w:p>
        </w:tc>
        <w:tc>
          <w:tcPr>
            <w:tcW w:w="1207" w:type="dxa"/>
            <w:noWrap w:val="0"/>
            <w:vAlign w:val="center"/>
          </w:tcPr>
          <w:p w14:paraId="17F0C79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3B87F09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68A5DA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E2E99C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0A977A7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6CCBBA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2AAFC2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5BEF95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57CDEE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0948F3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7C971CF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66122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46388F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苯并（a）蒽</w:t>
            </w:r>
          </w:p>
        </w:tc>
        <w:tc>
          <w:tcPr>
            <w:tcW w:w="1207" w:type="dxa"/>
            <w:noWrap w:val="0"/>
            <w:vAlign w:val="center"/>
          </w:tcPr>
          <w:p w14:paraId="789BF7B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1AB0D3F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2C4F83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19D6A9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10ABB5B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8BA6EB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5F77C9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D99C69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631B86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2085E8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2032B0D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3CE36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340C0CD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䓛</w:t>
            </w:r>
          </w:p>
        </w:tc>
        <w:tc>
          <w:tcPr>
            <w:tcW w:w="1207" w:type="dxa"/>
            <w:noWrap w:val="0"/>
            <w:vAlign w:val="center"/>
          </w:tcPr>
          <w:p w14:paraId="3BFE98C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70F60E4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0194516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D4391F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63EA46B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ADBCDF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42C6DD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249ADC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C48EE6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B6E472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7FA02D9F">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5DC67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3136F3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二苯并（a，h）蒽</w:t>
            </w:r>
          </w:p>
        </w:tc>
        <w:tc>
          <w:tcPr>
            <w:tcW w:w="1207" w:type="dxa"/>
            <w:noWrap w:val="0"/>
            <w:vAlign w:val="center"/>
          </w:tcPr>
          <w:p w14:paraId="16CD2F2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152B900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800202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D22B4A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1EC14AA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5A0D62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75E39F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E73537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378B2D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0D8EF9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17A4A14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BA9F6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67C6943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苯并（a）芘</w:t>
            </w:r>
          </w:p>
        </w:tc>
        <w:tc>
          <w:tcPr>
            <w:tcW w:w="1207" w:type="dxa"/>
            <w:noWrap w:val="0"/>
            <w:vAlign w:val="center"/>
          </w:tcPr>
          <w:p w14:paraId="615BE94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57D2AE2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718025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9EA977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6807FAD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212CFE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804EAB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46C7A4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EDCF1B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8E665C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70B3B8D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761A6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3717B27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苯并（b）荧蒽</w:t>
            </w:r>
          </w:p>
        </w:tc>
        <w:tc>
          <w:tcPr>
            <w:tcW w:w="1207" w:type="dxa"/>
            <w:noWrap w:val="0"/>
            <w:vAlign w:val="center"/>
          </w:tcPr>
          <w:p w14:paraId="1DD6AB5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1CCC98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C9ABB6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0538815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1BF69C3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46EE0D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10375F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ECEB21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5E282F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D33DF4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540A47E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291E0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4F5B1E8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苯并（k）荧蒽</w:t>
            </w:r>
          </w:p>
        </w:tc>
        <w:tc>
          <w:tcPr>
            <w:tcW w:w="1207" w:type="dxa"/>
            <w:noWrap w:val="0"/>
            <w:vAlign w:val="center"/>
          </w:tcPr>
          <w:p w14:paraId="0CB4A05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346498C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383A59E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000C69E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48B17EE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C156DD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B40611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DB5CE2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6BE86F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33A090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3448423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31102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52797F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茚并（1，2，3-cd）芘</w:t>
            </w:r>
          </w:p>
        </w:tc>
        <w:tc>
          <w:tcPr>
            <w:tcW w:w="1207" w:type="dxa"/>
            <w:noWrap w:val="0"/>
            <w:vAlign w:val="center"/>
          </w:tcPr>
          <w:p w14:paraId="2E60419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7B8500D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0DE610A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58E81D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2FECFAD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4230C3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447657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911793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3C375A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C695A7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0AD2B08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F444D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4111790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氯甲烷</w:t>
            </w:r>
          </w:p>
        </w:tc>
        <w:tc>
          <w:tcPr>
            <w:tcW w:w="1207" w:type="dxa"/>
            <w:noWrap w:val="0"/>
            <w:vAlign w:val="center"/>
          </w:tcPr>
          <w:p w14:paraId="7B56353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32C578C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2D2D27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B09926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5EBB09E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18BE91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662E1D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2465AB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69051C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E97E3D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3B721C0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0A1B48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27AE603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氯乙烯</w:t>
            </w:r>
          </w:p>
        </w:tc>
        <w:tc>
          <w:tcPr>
            <w:tcW w:w="1207" w:type="dxa"/>
            <w:noWrap w:val="0"/>
            <w:vAlign w:val="center"/>
          </w:tcPr>
          <w:p w14:paraId="2765218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4B7A46C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2305E1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9663F7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79DED3C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6DAB61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1976A6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4AFFD1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3E3086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CEC12F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3654D21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EA92D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97D4119">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1-二氯乙烯</w:t>
            </w:r>
          </w:p>
        </w:tc>
        <w:tc>
          <w:tcPr>
            <w:tcW w:w="1207" w:type="dxa"/>
            <w:noWrap w:val="0"/>
            <w:vAlign w:val="center"/>
          </w:tcPr>
          <w:p w14:paraId="7CB0C46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789DAD6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F3AB92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DE30AA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00495BB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999AF0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B70FCB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F99401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E99930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7AF531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4A68116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B2D27A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6A884AE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二氯甲烷</w:t>
            </w:r>
            <w:r>
              <w:rPr>
                <w:color w:val="000000" w:themeColor="text1"/>
                <w:highlight w:val="none"/>
                <w14:textFill>
                  <w14:solidFill>
                    <w14:schemeClr w14:val="tx1"/>
                  </w14:solidFill>
                </w14:textFill>
              </w:rPr>
              <w:t>（mg/kg）</w:t>
            </w:r>
          </w:p>
        </w:tc>
        <w:tc>
          <w:tcPr>
            <w:tcW w:w="1207" w:type="dxa"/>
            <w:noWrap w:val="0"/>
            <w:vAlign w:val="center"/>
          </w:tcPr>
          <w:p w14:paraId="073CCA6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6DBB5AE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0607B3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31AA390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34131D5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C2DDE4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54AA30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BFD91B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F0C03D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C111FA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418B89AA">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9E3AD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CC026B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反式-1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2-二氯乙烯</w:t>
            </w:r>
          </w:p>
        </w:tc>
        <w:tc>
          <w:tcPr>
            <w:tcW w:w="1207" w:type="dxa"/>
            <w:noWrap w:val="0"/>
            <w:vAlign w:val="center"/>
          </w:tcPr>
          <w:p w14:paraId="2F112CE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4DC7B49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DCBD67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0A26664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4E260F2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C01264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7BDAB8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ECCCFA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D58284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96D388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1A839E0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A1B25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12F0680">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1-二氯乙烷</w:t>
            </w:r>
          </w:p>
        </w:tc>
        <w:tc>
          <w:tcPr>
            <w:tcW w:w="1207" w:type="dxa"/>
            <w:noWrap w:val="0"/>
            <w:vAlign w:val="center"/>
          </w:tcPr>
          <w:p w14:paraId="45CF159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FA4E11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07F4BDC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CEEBC5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3CF85DE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4555C9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F08F90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B89183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73EC10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9802F6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1E1AAC0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079A3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69D0D23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顺式-1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2-二氯乙烯</w:t>
            </w:r>
          </w:p>
        </w:tc>
        <w:tc>
          <w:tcPr>
            <w:tcW w:w="1207" w:type="dxa"/>
            <w:noWrap w:val="0"/>
            <w:vAlign w:val="center"/>
          </w:tcPr>
          <w:p w14:paraId="1EA9F79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751001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6219C6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295B7D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15ECAD0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D85A84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89CC01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2050E6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D978A7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F0C67A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32B5A82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3D420E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C497DD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氯仿</w:t>
            </w:r>
          </w:p>
        </w:tc>
        <w:tc>
          <w:tcPr>
            <w:tcW w:w="1207" w:type="dxa"/>
            <w:noWrap w:val="0"/>
            <w:vAlign w:val="center"/>
          </w:tcPr>
          <w:p w14:paraId="6359AB5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1C96C8E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B7A0FA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6D4EBB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44AF04D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42B585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7FDF63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F66833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767F0B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7A1C40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375E11C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DEF5D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66263CE4">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1-三氯乙烷</w:t>
            </w:r>
          </w:p>
        </w:tc>
        <w:tc>
          <w:tcPr>
            <w:tcW w:w="1207" w:type="dxa"/>
            <w:noWrap w:val="0"/>
            <w:vAlign w:val="center"/>
          </w:tcPr>
          <w:p w14:paraId="3879922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18253DA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5821B16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361257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15E0E43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825D33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28AC9D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E41220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EBC87F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155A11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46FFA8D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2DE60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35E8729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四氯化碳</w:t>
            </w:r>
          </w:p>
        </w:tc>
        <w:tc>
          <w:tcPr>
            <w:tcW w:w="1207" w:type="dxa"/>
            <w:noWrap w:val="0"/>
            <w:vAlign w:val="center"/>
          </w:tcPr>
          <w:p w14:paraId="794B6F1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45C047F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0EC18D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785CE4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7EAD801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A62C3F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46B7BB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E7F08E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5DC5B4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2B18A5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5695F5B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2C9D00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28E7D0A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w:t>
            </w:r>
          </w:p>
        </w:tc>
        <w:tc>
          <w:tcPr>
            <w:tcW w:w="1207" w:type="dxa"/>
            <w:noWrap w:val="0"/>
            <w:vAlign w:val="center"/>
          </w:tcPr>
          <w:p w14:paraId="14091B3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4360A22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E4C8A5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0BE7F5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0192EC6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F1FDBD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B70924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C191B4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487057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71EABD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4BFA27D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E35E3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E8D2CCD">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2-二氯乙烷</w:t>
            </w:r>
          </w:p>
        </w:tc>
        <w:tc>
          <w:tcPr>
            <w:tcW w:w="1207" w:type="dxa"/>
            <w:noWrap w:val="0"/>
            <w:vAlign w:val="center"/>
          </w:tcPr>
          <w:p w14:paraId="7641520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BE569D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1B0C28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CD5761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4F76038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B2B0DE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2F00C7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6995A8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A57B72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7477A5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4465D5E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B30BE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5B687A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三氯乙烯</w:t>
            </w:r>
          </w:p>
        </w:tc>
        <w:tc>
          <w:tcPr>
            <w:tcW w:w="1207" w:type="dxa"/>
            <w:noWrap w:val="0"/>
            <w:vAlign w:val="center"/>
          </w:tcPr>
          <w:p w14:paraId="2BEA47E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57F78B7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AEFCA4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746F30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33E5DA8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B9F960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3A5F7F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8679DD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5E6169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3B13CF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035B269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27806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4BC001FC">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2-二氯丙烷</w:t>
            </w:r>
          </w:p>
        </w:tc>
        <w:tc>
          <w:tcPr>
            <w:tcW w:w="1207" w:type="dxa"/>
            <w:noWrap w:val="0"/>
            <w:vAlign w:val="center"/>
          </w:tcPr>
          <w:p w14:paraId="5BE5CD1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5832F5D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D0717D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713796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6368D7B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393EF0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B57372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5B6B04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E0DB30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36BA631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4A062C6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9194B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4A1D715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甲苯</w:t>
            </w:r>
          </w:p>
        </w:tc>
        <w:tc>
          <w:tcPr>
            <w:tcW w:w="1207" w:type="dxa"/>
            <w:noWrap w:val="0"/>
            <w:vAlign w:val="center"/>
          </w:tcPr>
          <w:p w14:paraId="6079A59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97FE8E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C6020F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4D2063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5F811D2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FDDD0D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A9B5F1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AB676B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42742A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B096DA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200D786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D22C5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199ECD4">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1，2-三氯乙烷</w:t>
            </w:r>
          </w:p>
        </w:tc>
        <w:tc>
          <w:tcPr>
            <w:tcW w:w="1207" w:type="dxa"/>
            <w:noWrap w:val="0"/>
            <w:vAlign w:val="center"/>
          </w:tcPr>
          <w:p w14:paraId="373C1F2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62A341E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D5B911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32224E7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04181AF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4F3646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5C56F8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8A3782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659124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EC45BE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571ED49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75931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5402F5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四氯乙烯</w:t>
            </w:r>
          </w:p>
        </w:tc>
        <w:tc>
          <w:tcPr>
            <w:tcW w:w="1207" w:type="dxa"/>
            <w:noWrap w:val="0"/>
            <w:vAlign w:val="center"/>
          </w:tcPr>
          <w:p w14:paraId="2EBFE3A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727CB43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1959EB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61D86E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067575E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122F44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6192D5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6EFBB7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D04DBF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709607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2BEE2E1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3DA898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42A4137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氯苯</w:t>
            </w:r>
          </w:p>
        </w:tc>
        <w:tc>
          <w:tcPr>
            <w:tcW w:w="1207" w:type="dxa"/>
            <w:noWrap w:val="0"/>
            <w:vAlign w:val="center"/>
          </w:tcPr>
          <w:p w14:paraId="05AF807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9C4A2B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0A0667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CA14E6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2EDAF91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7E4544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A76E81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1B0404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2149A25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73690B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22B1AFC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64004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D9D0F92">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1，1，2-四氯乙烷</w:t>
            </w:r>
          </w:p>
        </w:tc>
        <w:tc>
          <w:tcPr>
            <w:tcW w:w="1207" w:type="dxa"/>
            <w:noWrap w:val="0"/>
            <w:vAlign w:val="center"/>
          </w:tcPr>
          <w:p w14:paraId="758D5F0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1A550DA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6B2A1C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2CC507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4141AA9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CDC5A7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DEDBB7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792520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51A439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616337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49811C4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AD048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27BFDFC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乙苯</w:t>
            </w:r>
          </w:p>
        </w:tc>
        <w:tc>
          <w:tcPr>
            <w:tcW w:w="1207" w:type="dxa"/>
            <w:noWrap w:val="0"/>
            <w:vAlign w:val="center"/>
          </w:tcPr>
          <w:p w14:paraId="3D0FCAB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718C523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33D2B55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4E9D78B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31A661D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73BCEF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BF43EA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647E76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B2668D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3820BA2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26DAC5B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31BA7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CD420C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间，对-二甲苯</w:t>
            </w:r>
          </w:p>
        </w:tc>
        <w:tc>
          <w:tcPr>
            <w:tcW w:w="1207" w:type="dxa"/>
            <w:noWrap w:val="0"/>
            <w:vAlign w:val="center"/>
          </w:tcPr>
          <w:p w14:paraId="740DF85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1CCC7D1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2DB4DF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3751065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2400FC5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E16AAA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46BBCD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865600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8A9E70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B80A2B1">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1CF11B7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0DB2D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528E8E4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邻-二甲苯</w:t>
            </w:r>
          </w:p>
        </w:tc>
        <w:tc>
          <w:tcPr>
            <w:tcW w:w="1207" w:type="dxa"/>
            <w:noWrap w:val="0"/>
            <w:vAlign w:val="center"/>
          </w:tcPr>
          <w:p w14:paraId="5799EF9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396E056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0DE4877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56F9275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4243EA2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718F9F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6484C1B">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11235F1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DE2171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3FAEEA7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11FF5D3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40C70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41A40E4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苯乙烯</w:t>
            </w:r>
          </w:p>
        </w:tc>
        <w:tc>
          <w:tcPr>
            <w:tcW w:w="1207" w:type="dxa"/>
            <w:noWrap w:val="0"/>
            <w:vAlign w:val="center"/>
          </w:tcPr>
          <w:p w14:paraId="08F7C3F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4E6AB7C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36B0E97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C345B4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06CF248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2159646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2FF9E6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E3929F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5612388">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F00552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5000A8B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72C0E36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2B58DD67">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1，2，2-四氯乙烷</w:t>
            </w:r>
          </w:p>
        </w:tc>
        <w:tc>
          <w:tcPr>
            <w:tcW w:w="1207" w:type="dxa"/>
            <w:noWrap w:val="0"/>
            <w:vAlign w:val="center"/>
          </w:tcPr>
          <w:p w14:paraId="1AA3A60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518995B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5D3D52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7309CC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1218A275">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01BF778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0831F6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775309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4F14910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06A1F12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2BC8724B">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79784B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7D256649">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2，3-三氯丙烷</w:t>
            </w:r>
          </w:p>
        </w:tc>
        <w:tc>
          <w:tcPr>
            <w:tcW w:w="1207" w:type="dxa"/>
            <w:noWrap w:val="0"/>
            <w:vAlign w:val="center"/>
          </w:tcPr>
          <w:p w14:paraId="22F188E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39AD5EC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0CB098D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E4AF68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2B5AE7C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7EA77D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6911DD94">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579D63C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52AF797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6C0EB02E">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7AB84B2C">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7E56D0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703BC7B5">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4-二氯苯</w:t>
            </w:r>
          </w:p>
        </w:tc>
        <w:tc>
          <w:tcPr>
            <w:tcW w:w="1207" w:type="dxa"/>
            <w:noWrap w:val="0"/>
            <w:vAlign w:val="center"/>
          </w:tcPr>
          <w:p w14:paraId="0961C6D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6D92256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75C67F6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29A0EBDA">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64B0D16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CAD0160">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A03CE3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9D970C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D73B1F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6DDEEE6">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7445F76A">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5C57F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1FE3EBB7">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2-二氯苯</w:t>
            </w:r>
          </w:p>
        </w:tc>
        <w:tc>
          <w:tcPr>
            <w:tcW w:w="1207" w:type="dxa"/>
            <w:noWrap w:val="0"/>
            <w:vAlign w:val="center"/>
          </w:tcPr>
          <w:p w14:paraId="66640CA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962" w:type="dxa"/>
            <w:noWrap w:val="0"/>
            <w:vAlign w:val="center"/>
          </w:tcPr>
          <w:p w14:paraId="21D78FE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6CDC067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3" w:type="dxa"/>
            <w:noWrap w:val="0"/>
            <w:vAlign w:val="center"/>
          </w:tcPr>
          <w:p w14:paraId="193C52DF">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304" w:type="dxa"/>
            <w:noWrap w:val="0"/>
            <w:vAlign w:val="center"/>
          </w:tcPr>
          <w:p w14:paraId="10FA5A93">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46D8F3E2">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7C397D29">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0" w:type="dxa"/>
            <w:noWrap w:val="0"/>
            <w:vAlign w:val="center"/>
          </w:tcPr>
          <w:p w14:paraId="3B8925FD">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7D92447C">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1" w:type="dxa"/>
            <w:noWrap w:val="0"/>
            <w:vAlign w:val="center"/>
          </w:tcPr>
          <w:p w14:paraId="1CA43AA7">
            <w:pPr>
              <w:pStyle w:val="26"/>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152" w:type="dxa"/>
            <w:noWrap w:val="0"/>
            <w:vAlign w:val="center"/>
          </w:tcPr>
          <w:p w14:paraId="7D11B56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B049C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757" w:type="dxa"/>
            <w:noWrap w:val="0"/>
            <w:vAlign w:val="center"/>
          </w:tcPr>
          <w:p w14:paraId="3F294D45">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锌</w:t>
            </w:r>
          </w:p>
        </w:tc>
        <w:tc>
          <w:tcPr>
            <w:tcW w:w="1207" w:type="dxa"/>
            <w:noWrap w:val="0"/>
            <w:vAlign w:val="center"/>
          </w:tcPr>
          <w:p w14:paraId="5FBCFAFF">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34</w:t>
            </w:r>
          </w:p>
        </w:tc>
        <w:tc>
          <w:tcPr>
            <w:tcW w:w="962" w:type="dxa"/>
            <w:shd w:val="clear" w:color="auto" w:fill="auto"/>
            <w:noWrap w:val="0"/>
            <w:vAlign w:val="center"/>
          </w:tcPr>
          <w:p w14:paraId="591C63BF">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32</w:t>
            </w:r>
          </w:p>
        </w:tc>
        <w:tc>
          <w:tcPr>
            <w:tcW w:w="1303" w:type="dxa"/>
            <w:shd w:val="clear" w:color="auto" w:fill="auto"/>
            <w:noWrap w:val="0"/>
            <w:vAlign w:val="center"/>
          </w:tcPr>
          <w:p w14:paraId="6E7922B0">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29</w:t>
            </w:r>
          </w:p>
        </w:tc>
        <w:tc>
          <w:tcPr>
            <w:tcW w:w="1303" w:type="dxa"/>
            <w:shd w:val="clear" w:color="auto" w:fill="auto"/>
            <w:noWrap w:val="0"/>
            <w:vAlign w:val="center"/>
          </w:tcPr>
          <w:p w14:paraId="5FDF47BA">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w:t>
            </w:r>
          </w:p>
        </w:tc>
        <w:tc>
          <w:tcPr>
            <w:tcW w:w="1304" w:type="dxa"/>
            <w:shd w:val="clear" w:color="auto" w:fill="auto"/>
            <w:noWrap w:val="0"/>
            <w:vAlign w:val="center"/>
          </w:tcPr>
          <w:p w14:paraId="6A30AADA">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32</w:t>
            </w:r>
          </w:p>
        </w:tc>
        <w:tc>
          <w:tcPr>
            <w:tcW w:w="1150" w:type="dxa"/>
            <w:shd w:val="clear" w:color="auto" w:fill="auto"/>
            <w:noWrap w:val="0"/>
            <w:vAlign w:val="center"/>
          </w:tcPr>
          <w:p w14:paraId="2C5B43F1">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28</w:t>
            </w:r>
          </w:p>
        </w:tc>
        <w:tc>
          <w:tcPr>
            <w:tcW w:w="1150" w:type="dxa"/>
            <w:shd w:val="clear" w:color="auto" w:fill="auto"/>
            <w:noWrap w:val="0"/>
            <w:vAlign w:val="center"/>
          </w:tcPr>
          <w:p w14:paraId="7EAC341B">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w:t>
            </w:r>
          </w:p>
        </w:tc>
        <w:tc>
          <w:tcPr>
            <w:tcW w:w="1150" w:type="dxa"/>
            <w:shd w:val="clear" w:color="auto" w:fill="auto"/>
            <w:noWrap w:val="0"/>
            <w:vAlign w:val="center"/>
          </w:tcPr>
          <w:p w14:paraId="313FD7D9">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41</w:t>
            </w:r>
          </w:p>
        </w:tc>
        <w:tc>
          <w:tcPr>
            <w:tcW w:w="1151" w:type="dxa"/>
            <w:shd w:val="clear" w:color="auto" w:fill="auto"/>
            <w:noWrap w:val="0"/>
            <w:vAlign w:val="center"/>
          </w:tcPr>
          <w:p w14:paraId="3DFD40B5">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28</w:t>
            </w:r>
          </w:p>
        </w:tc>
        <w:tc>
          <w:tcPr>
            <w:tcW w:w="1151" w:type="dxa"/>
            <w:shd w:val="clear" w:color="auto" w:fill="auto"/>
            <w:noWrap w:val="0"/>
            <w:vAlign w:val="center"/>
          </w:tcPr>
          <w:p w14:paraId="23D45714">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11</w:t>
            </w:r>
          </w:p>
        </w:tc>
        <w:tc>
          <w:tcPr>
            <w:tcW w:w="1152" w:type="dxa"/>
            <w:noWrap w:val="0"/>
            <w:vAlign w:val="center"/>
          </w:tcPr>
          <w:p w14:paraId="4905E1E9">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bl>
    <w:p w14:paraId="2D1071A7">
      <w:pPr>
        <w:bidi w:val="0"/>
        <w:rPr>
          <w:color w:val="000000" w:themeColor="text1"/>
          <w:highlight w:val="none"/>
          <w14:textFill>
            <w14:solidFill>
              <w14:schemeClr w14:val="tx1"/>
            </w14:solidFill>
          </w14:textFill>
        </w:rPr>
      </w:pPr>
    </w:p>
    <w:p w14:paraId="0E745F3E">
      <w:pPr>
        <w:bidi w:val="0"/>
        <w:rPr>
          <w:color w:val="000000" w:themeColor="text1"/>
          <w:highlight w:val="none"/>
          <w14:textFill>
            <w14:solidFill>
              <w14:schemeClr w14:val="tx1"/>
            </w14:solidFill>
          </w14:textFill>
        </w:rPr>
      </w:pPr>
    </w:p>
    <w:p w14:paraId="04EDFAEB">
      <w:pPr>
        <w:bidi w:val="0"/>
        <w:rPr>
          <w:color w:val="000000" w:themeColor="text1"/>
          <w:highlight w:val="none"/>
          <w14:textFill>
            <w14:solidFill>
              <w14:schemeClr w14:val="tx1"/>
            </w14:solidFill>
          </w14:textFill>
        </w:rPr>
      </w:pPr>
    </w:p>
    <w:p w14:paraId="3305D71D">
      <w:pPr>
        <w:bidi w:val="0"/>
        <w:rPr>
          <w:color w:val="000000" w:themeColor="text1"/>
          <w:highlight w:val="none"/>
          <w14:textFill>
            <w14:solidFill>
              <w14:schemeClr w14:val="tx1"/>
            </w14:solidFill>
          </w14:textFill>
        </w:rPr>
      </w:pPr>
    </w:p>
    <w:p w14:paraId="5E891A7C">
      <w:pPr>
        <w:bidi w:val="0"/>
        <w:rPr>
          <w:color w:val="000000" w:themeColor="text1"/>
          <w:highlight w:val="none"/>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0F7813F">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.3.4-</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土壤监测及评价结果</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单位：</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g/kg</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139"/>
        <w:gridCol w:w="2156"/>
        <w:gridCol w:w="1718"/>
        <w:gridCol w:w="2058"/>
      </w:tblGrid>
      <w:tr w14:paraId="65B485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vMerge w:val="restart"/>
            <w:noWrap w:val="0"/>
            <w:vAlign w:val="center"/>
          </w:tcPr>
          <w:p w14:paraId="55B0549A">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监测因子</w:t>
            </w:r>
          </w:p>
        </w:tc>
        <w:tc>
          <w:tcPr>
            <w:tcW w:w="2156" w:type="dxa"/>
            <w:noWrap w:val="0"/>
            <w:vAlign w:val="center"/>
          </w:tcPr>
          <w:p w14:paraId="6A543CF1">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监测结果</w:t>
            </w:r>
          </w:p>
        </w:tc>
        <w:tc>
          <w:tcPr>
            <w:tcW w:w="1718" w:type="dxa"/>
            <w:noWrap w:val="0"/>
            <w:vAlign w:val="center"/>
          </w:tcPr>
          <w:p w14:paraId="1404C8D1">
            <w:pPr>
              <w:pStyle w:val="26"/>
              <w:rPr>
                <w:rFonts w:hint="eastAsia"/>
                <w:b/>
                <w:bCs/>
                <w:color w:val="000000" w:themeColor="text1"/>
                <w:highlight w:val="none"/>
                <w14:textFill>
                  <w14:solidFill>
                    <w14:schemeClr w14:val="tx1"/>
                  </w14:solidFill>
                </w14:textFill>
              </w:rPr>
            </w:pPr>
          </w:p>
        </w:tc>
        <w:tc>
          <w:tcPr>
            <w:tcW w:w="2058" w:type="dxa"/>
            <w:vMerge w:val="restart"/>
            <w:tcBorders>
              <w:bottom w:val="single" w:color="000000" w:sz="12" w:space="0"/>
            </w:tcBorders>
            <w:noWrap w:val="0"/>
            <w:vAlign w:val="center"/>
          </w:tcPr>
          <w:p w14:paraId="55B92E5A">
            <w:pPr>
              <w:pStyle w:val="26"/>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达标情况</w:t>
            </w:r>
          </w:p>
        </w:tc>
      </w:tr>
      <w:tr w14:paraId="24FD41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vMerge w:val="continue"/>
            <w:tcBorders>
              <w:bottom w:val="single" w:color="000000" w:sz="12" w:space="0"/>
            </w:tcBorders>
            <w:noWrap w:val="0"/>
            <w:vAlign w:val="center"/>
          </w:tcPr>
          <w:p w14:paraId="73541155">
            <w:pPr>
              <w:pStyle w:val="26"/>
              <w:rPr>
                <w:b/>
                <w:bCs/>
                <w:color w:val="000000" w:themeColor="text1"/>
                <w:highlight w:val="none"/>
                <w14:textFill>
                  <w14:solidFill>
                    <w14:schemeClr w14:val="tx1"/>
                  </w14:solidFill>
                </w14:textFill>
              </w:rPr>
            </w:pPr>
          </w:p>
        </w:tc>
        <w:tc>
          <w:tcPr>
            <w:tcW w:w="2156" w:type="dxa"/>
            <w:tcBorders>
              <w:bottom w:val="single" w:color="000000" w:sz="12" w:space="0"/>
            </w:tcBorders>
            <w:noWrap w:val="0"/>
            <w:vAlign w:val="center"/>
          </w:tcPr>
          <w:p w14:paraId="485AD695">
            <w:pPr>
              <w:pStyle w:val="26"/>
              <w:rPr>
                <w:rFonts w:hint="eastAsia" w:eastAsia="宋体"/>
                <w:b/>
                <w:bCs/>
                <w:color w:val="000000" w:themeColor="text1"/>
                <w:highlight w:val="none"/>
                <w:lang w:eastAsia="zh-CN"/>
                <w14:textFill>
                  <w14:solidFill>
                    <w14:schemeClr w14:val="tx1"/>
                  </w14:solidFill>
                </w14:textFill>
              </w:rPr>
            </w:pPr>
            <w:r>
              <w:rPr>
                <w:rFonts w:hint="eastAsia"/>
                <w:b/>
                <w:bCs/>
                <w:color w:val="000000" w:themeColor="text1"/>
                <w:highlight w:val="none"/>
                <w14:textFill>
                  <w14:solidFill>
                    <w14:schemeClr w14:val="tx1"/>
                  </w14:solidFill>
                </w14:textFill>
              </w:rPr>
              <w:t>T</w:t>
            </w:r>
            <w:r>
              <w:rPr>
                <w:rFonts w:hint="eastAsia"/>
                <w:b/>
                <w:bCs/>
                <w:color w:val="000000" w:themeColor="text1"/>
                <w:highlight w:val="none"/>
                <w:lang w:val="en-US" w:eastAsia="zh-CN"/>
                <w14:textFill>
                  <w14:solidFill>
                    <w14:schemeClr w14:val="tx1"/>
                  </w14:solidFill>
                </w14:textFill>
              </w:rPr>
              <w:t>5</w:t>
            </w:r>
          </w:p>
        </w:tc>
        <w:tc>
          <w:tcPr>
            <w:tcW w:w="1718" w:type="dxa"/>
            <w:tcBorders>
              <w:bottom w:val="single" w:color="000000" w:sz="12" w:space="0"/>
            </w:tcBorders>
            <w:noWrap w:val="0"/>
            <w:vAlign w:val="center"/>
          </w:tcPr>
          <w:p w14:paraId="3BED6173">
            <w:pPr>
              <w:pStyle w:val="26"/>
              <w:rPr>
                <w:rFonts w:hint="eastAsia" w:eastAsia="宋体"/>
                <w:b/>
                <w:bCs/>
                <w:color w:val="000000" w:themeColor="text1"/>
                <w:highlight w:val="none"/>
                <w:lang w:eastAsia="zh-CN"/>
                <w14:textFill>
                  <w14:solidFill>
                    <w14:schemeClr w14:val="tx1"/>
                  </w14:solidFill>
                </w14:textFill>
              </w:rPr>
            </w:pPr>
            <w:r>
              <w:rPr>
                <w:rFonts w:hint="eastAsia"/>
                <w:b/>
                <w:bCs/>
                <w:color w:val="000000" w:themeColor="text1"/>
                <w:highlight w:val="none"/>
                <w14:textFill>
                  <w14:solidFill>
                    <w14:schemeClr w14:val="tx1"/>
                  </w14:solidFill>
                </w14:textFill>
              </w:rPr>
              <w:t>T</w:t>
            </w:r>
            <w:r>
              <w:rPr>
                <w:rFonts w:hint="eastAsia"/>
                <w:b/>
                <w:bCs/>
                <w:color w:val="000000" w:themeColor="text1"/>
                <w:highlight w:val="none"/>
                <w:lang w:val="en-US" w:eastAsia="zh-CN"/>
                <w14:textFill>
                  <w14:solidFill>
                    <w14:schemeClr w14:val="tx1"/>
                  </w14:solidFill>
                </w14:textFill>
              </w:rPr>
              <w:t>6</w:t>
            </w:r>
          </w:p>
        </w:tc>
        <w:tc>
          <w:tcPr>
            <w:tcW w:w="2058" w:type="dxa"/>
            <w:vMerge w:val="continue"/>
            <w:tcBorders>
              <w:top w:val="single" w:color="000000" w:sz="12" w:space="0"/>
              <w:bottom w:val="single" w:color="000000" w:sz="12" w:space="0"/>
            </w:tcBorders>
            <w:noWrap w:val="0"/>
            <w:vAlign w:val="center"/>
          </w:tcPr>
          <w:p w14:paraId="022F2017">
            <w:pPr>
              <w:pStyle w:val="26"/>
              <w:rPr>
                <w:rFonts w:hint="eastAsia"/>
                <w:color w:val="000000" w:themeColor="text1"/>
                <w:highlight w:val="none"/>
                <w14:textFill>
                  <w14:solidFill>
                    <w14:schemeClr w14:val="tx1"/>
                  </w14:solidFill>
                </w14:textFill>
              </w:rPr>
            </w:pPr>
          </w:p>
        </w:tc>
      </w:tr>
      <w:tr w14:paraId="5090303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tcBorders>
              <w:top w:val="single" w:color="000000" w:sz="12" w:space="0"/>
            </w:tcBorders>
            <w:noWrap w:val="0"/>
            <w:vAlign w:val="center"/>
          </w:tcPr>
          <w:p w14:paraId="4502757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pH（无量纲）</w:t>
            </w:r>
          </w:p>
        </w:tc>
        <w:tc>
          <w:tcPr>
            <w:tcW w:w="2156" w:type="dxa"/>
            <w:tcBorders>
              <w:top w:val="single" w:color="000000" w:sz="12" w:space="0"/>
            </w:tcBorders>
            <w:noWrap w:val="0"/>
            <w:vAlign w:val="center"/>
          </w:tcPr>
          <w:p w14:paraId="6F543233">
            <w:pPr>
              <w:pStyle w:val="26"/>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8.21</w:t>
            </w:r>
          </w:p>
        </w:tc>
        <w:tc>
          <w:tcPr>
            <w:tcW w:w="1718" w:type="dxa"/>
            <w:tcBorders>
              <w:top w:val="single" w:color="000000" w:sz="12" w:space="0"/>
            </w:tcBorders>
            <w:noWrap w:val="0"/>
            <w:vAlign w:val="center"/>
          </w:tcPr>
          <w:p w14:paraId="18E4E14A">
            <w:pPr>
              <w:pStyle w:val="26"/>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8.20</w:t>
            </w:r>
          </w:p>
        </w:tc>
        <w:tc>
          <w:tcPr>
            <w:tcW w:w="2058" w:type="dxa"/>
            <w:tcBorders>
              <w:top w:val="single" w:color="000000" w:sz="12" w:space="0"/>
            </w:tcBorders>
            <w:noWrap w:val="0"/>
            <w:vAlign w:val="center"/>
          </w:tcPr>
          <w:p w14:paraId="6E185A6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r>
      <w:tr w14:paraId="37C3FE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1ABD21A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镉</w:t>
            </w:r>
          </w:p>
        </w:tc>
        <w:tc>
          <w:tcPr>
            <w:tcW w:w="2156" w:type="dxa"/>
            <w:noWrap w:val="0"/>
            <w:vAlign w:val="center"/>
          </w:tcPr>
          <w:p w14:paraId="6B7D3DD7">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0.12</w:t>
            </w:r>
          </w:p>
        </w:tc>
        <w:tc>
          <w:tcPr>
            <w:tcW w:w="1718" w:type="dxa"/>
            <w:noWrap w:val="0"/>
            <w:vAlign w:val="center"/>
          </w:tcPr>
          <w:p w14:paraId="338F665F">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0.1</w:t>
            </w:r>
          </w:p>
        </w:tc>
        <w:tc>
          <w:tcPr>
            <w:tcW w:w="2058" w:type="dxa"/>
            <w:noWrap w:val="0"/>
            <w:vAlign w:val="center"/>
          </w:tcPr>
          <w:p w14:paraId="7F1ECFBD">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达标</w:t>
            </w:r>
          </w:p>
        </w:tc>
      </w:tr>
      <w:tr w14:paraId="31FAF65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22276B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铜</w:t>
            </w:r>
          </w:p>
        </w:tc>
        <w:tc>
          <w:tcPr>
            <w:tcW w:w="2156" w:type="dxa"/>
            <w:noWrap w:val="0"/>
            <w:vAlign w:val="center"/>
          </w:tcPr>
          <w:p w14:paraId="0D2106A3">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24</w:t>
            </w:r>
          </w:p>
        </w:tc>
        <w:tc>
          <w:tcPr>
            <w:tcW w:w="1718" w:type="dxa"/>
            <w:noWrap w:val="0"/>
            <w:vAlign w:val="center"/>
          </w:tcPr>
          <w:p w14:paraId="6106606E">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23</w:t>
            </w:r>
          </w:p>
        </w:tc>
        <w:tc>
          <w:tcPr>
            <w:tcW w:w="2058" w:type="dxa"/>
            <w:noWrap w:val="0"/>
            <w:vAlign w:val="center"/>
          </w:tcPr>
          <w:p w14:paraId="6D41D8FA">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达标</w:t>
            </w:r>
          </w:p>
        </w:tc>
      </w:tr>
      <w:tr w14:paraId="05D165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651B076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六价铬</w:t>
            </w:r>
          </w:p>
        </w:tc>
        <w:tc>
          <w:tcPr>
            <w:tcW w:w="2156" w:type="dxa"/>
            <w:noWrap w:val="0"/>
            <w:vAlign w:val="center"/>
          </w:tcPr>
          <w:p w14:paraId="7794CA14">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未检出</w:t>
            </w:r>
          </w:p>
        </w:tc>
        <w:tc>
          <w:tcPr>
            <w:tcW w:w="1718" w:type="dxa"/>
            <w:noWrap w:val="0"/>
            <w:vAlign w:val="center"/>
          </w:tcPr>
          <w:p w14:paraId="17CDF3DB">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未检出</w:t>
            </w:r>
          </w:p>
        </w:tc>
        <w:tc>
          <w:tcPr>
            <w:tcW w:w="2058" w:type="dxa"/>
            <w:noWrap w:val="0"/>
            <w:vAlign w:val="center"/>
          </w:tcPr>
          <w:p w14:paraId="78C78348">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达标</w:t>
            </w:r>
          </w:p>
        </w:tc>
      </w:tr>
      <w:tr w14:paraId="45DF05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696AF25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铅</w:t>
            </w:r>
          </w:p>
        </w:tc>
        <w:tc>
          <w:tcPr>
            <w:tcW w:w="2156" w:type="dxa"/>
            <w:noWrap w:val="0"/>
            <w:vAlign w:val="center"/>
          </w:tcPr>
          <w:p w14:paraId="3CC07056">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14.1</w:t>
            </w:r>
          </w:p>
        </w:tc>
        <w:tc>
          <w:tcPr>
            <w:tcW w:w="1718" w:type="dxa"/>
            <w:noWrap w:val="0"/>
            <w:vAlign w:val="center"/>
          </w:tcPr>
          <w:p w14:paraId="6BD32A67">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14.9</w:t>
            </w:r>
          </w:p>
        </w:tc>
        <w:tc>
          <w:tcPr>
            <w:tcW w:w="2058" w:type="dxa"/>
            <w:noWrap w:val="0"/>
            <w:vAlign w:val="center"/>
          </w:tcPr>
          <w:p w14:paraId="51963AF0">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达标</w:t>
            </w:r>
          </w:p>
        </w:tc>
      </w:tr>
      <w:tr w14:paraId="29C3A8B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0C9DF3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镍</w:t>
            </w:r>
          </w:p>
        </w:tc>
        <w:tc>
          <w:tcPr>
            <w:tcW w:w="2156" w:type="dxa"/>
            <w:noWrap w:val="0"/>
            <w:vAlign w:val="center"/>
          </w:tcPr>
          <w:p w14:paraId="4FEF9F33">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23</w:t>
            </w:r>
          </w:p>
        </w:tc>
        <w:tc>
          <w:tcPr>
            <w:tcW w:w="1718" w:type="dxa"/>
            <w:noWrap w:val="0"/>
            <w:vAlign w:val="center"/>
          </w:tcPr>
          <w:p w14:paraId="2EAB52A5">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22</w:t>
            </w:r>
          </w:p>
        </w:tc>
        <w:tc>
          <w:tcPr>
            <w:tcW w:w="2058" w:type="dxa"/>
            <w:noWrap w:val="0"/>
            <w:vAlign w:val="center"/>
          </w:tcPr>
          <w:p w14:paraId="71681D34">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达标</w:t>
            </w:r>
          </w:p>
        </w:tc>
      </w:tr>
      <w:tr w14:paraId="7A28D6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CF2F13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砷</w:t>
            </w:r>
          </w:p>
        </w:tc>
        <w:tc>
          <w:tcPr>
            <w:tcW w:w="2156" w:type="dxa"/>
            <w:noWrap w:val="0"/>
            <w:vAlign w:val="center"/>
          </w:tcPr>
          <w:p w14:paraId="14122E7A">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12.7</w:t>
            </w:r>
          </w:p>
        </w:tc>
        <w:tc>
          <w:tcPr>
            <w:tcW w:w="1718" w:type="dxa"/>
            <w:noWrap w:val="0"/>
            <w:vAlign w:val="center"/>
          </w:tcPr>
          <w:p w14:paraId="44B3EA3B">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12.5</w:t>
            </w:r>
          </w:p>
        </w:tc>
        <w:tc>
          <w:tcPr>
            <w:tcW w:w="2058" w:type="dxa"/>
            <w:noWrap w:val="0"/>
            <w:vAlign w:val="center"/>
          </w:tcPr>
          <w:p w14:paraId="0A8B3D0C">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达标</w:t>
            </w:r>
          </w:p>
        </w:tc>
      </w:tr>
      <w:tr w14:paraId="062AAAB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66DEEFCB">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汞</w:t>
            </w:r>
          </w:p>
        </w:tc>
        <w:tc>
          <w:tcPr>
            <w:tcW w:w="2156" w:type="dxa"/>
            <w:noWrap w:val="0"/>
            <w:vAlign w:val="center"/>
          </w:tcPr>
          <w:p w14:paraId="5731A02B">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0.043</w:t>
            </w:r>
          </w:p>
        </w:tc>
        <w:tc>
          <w:tcPr>
            <w:tcW w:w="1718" w:type="dxa"/>
            <w:noWrap w:val="0"/>
            <w:vAlign w:val="center"/>
          </w:tcPr>
          <w:p w14:paraId="7428FDFB">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0.039</w:t>
            </w:r>
          </w:p>
        </w:tc>
        <w:tc>
          <w:tcPr>
            <w:tcW w:w="2058" w:type="dxa"/>
            <w:noWrap w:val="0"/>
            <w:vAlign w:val="center"/>
          </w:tcPr>
          <w:p w14:paraId="0B96E162">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达标</w:t>
            </w:r>
          </w:p>
        </w:tc>
      </w:tr>
      <w:tr w14:paraId="36DE23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20BBF47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石油烃</w:t>
            </w:r>
          </w:p>
        </w:tc>
        <w:tc>
          <w:tcPr>
            <w:tcW w:w="2156" w:type="dxa"/>
            <w:noWrap w:val="0"/>
            <w:vAlign w:val="center"/>
          </w:tcPr>
          <w:p w14:paraId="4A5220F7">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58</w:t>
            </w:r>
          </w:p>
        </w:tc>
        <w:tc>
          <w:tcPr>
            <w:tcW w:w="1718" w:type="dxa"/>
            <w:noWrap w:val="0"/>
            <w:vAlign w:val="center"/>
          </w:tcPr>
          <w:p w14:paraId="0A4326F2">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46</w:t>
            </w:r>
          </w:p>
        </w:tc>
        <w:tc>
          <w:tcPr>
            <w:tcW w:w="2058" w:type="dxa"/>
            <w:noWrap w:val="0"/>
            <w:vAlign w:val="center"/>
          </w:tcPr>
          <w:p w14:paraId="0D484845">
            <w:pPr>
              <w:pStyle w:val="26"/>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达标</w:t>
            </w:r>
          </w:p>
        </w:tc>
      </w:tr>
      <w:tr w14:paraId="1DF69D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457D872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2-氯苯酚</w:t>
            </w:r>
          </w:p>
        </w:tc>
        <w:tc>
          <w:tcPr>
            <w:tcW w:w="2156" w:type="dxa"/>
            <w:noWrap w:val="0"/>
            <w:vAlign w:val="center"/>
          </w:tcPr>
          <w:p w14:paraId="48652DA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0CD051F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6C9E58E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7BDC1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1D66725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硝基苯</w:t>
            </w:r>
          </w:p>
        </w:tc>
        <w:tc>
          <w:tcPr>
            <w:tcW w:w="2156" w:type="dxa"/>
            <w:noWrap w:val="0"/>
            <w:vAlign w:val="center"/>
          </w:tcPr>
          <w:p w14:paraId="25A2259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090051A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7D04DEC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3D7C19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330245C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萘</w:t>
            </w:r>
          </w:p>
        </w:tc>
        <w:tc>
          <w:tcPr>
            <w:tcW w:w="2156" w:type="dxa"/>
            <w:noWrap w:val="0"/>
            <w:vAlign w:val="center"/>
          </w:tcPr>
          <w:p w14:paraId="7107CAB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1CD39BC9">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2FEE89A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3612EA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99CEBF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4-氯苯胺</w:t>
            </w:r>
          </w:p>
        </w:tc>
        <w:tc>
          <w:tcPr>
            <w:tcW w:w="2156" w:type="dxa"/>
            <w:noWrap w:val="0"/>
            <w:vAlign w:val="center"/>
          </w:tcPr>
          <w:p w14:paraId="105CE3B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5FE3654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21A4FE9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E57E1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30A9CDA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2-硝基苯胺</w:t>
            </w:r>
          </w:p>
        </w:tc>
        <w:tc>
          <w:tcPr>
            <w:tcW w:w="2156" w:type="dxa"/>
            <w:noWrap w:val="0"/>
            <w:vAlign w:val="center"/>
          </w:tcPr>
          <w:p w14:paraId="3989AE1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6EB0864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5E473DA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E37EB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4A07C2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3-硝基苯胺</w:t>
            </w:r>
          </w:p>
        </w:tc>
        <w:tc>
          <w:tcPr>
            <w:tcW w:w="2156" w:type="dxa"/>
            <w:noWrap w:val="0"/>
            <w:vAlign w:val="center"/>
          </w:tcPr>
          <w:p w14:paraId="3659DDA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5277961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31EFCF0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75BA41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4C9B07F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4-硝基苯胺</w:t>
            </w:r>
          </w:p>
        </w:tc>
        <w:tc>
          <w:tcPr>
            <w:tcW w:w="2156" w:type="dxa"/>
            <w:noWrap w:val="0"/>
            <w:vAlign w:val="center"/>
          </w:tcPr>
          <w:p w14:paraId="14BE889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611E9F6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250DF0A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062E6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745C9C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苯并（a）蒽</w:t>
            </w:r>
          </w:p>
        </w:tc>
        <w:tc>
          <w:tcPr>
            <w:tcW w:w="2156" w:type="dxa"/>
            <w:noWrap w:val="0"/>
            <w:vAlign w:val="center"/>
          </w:tcPr>
          <w:p w14:paraId="0B7F6BB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546333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61FE0EA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00FDE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4EC72EC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䓛</w:t>
            </w:r>
          </w:p>
        </w:tc>
        <w:tc>
          <w:tcPr>
            <w:tcW w:w="2156" w:type="dxa"/>
            <w:noWrap w:val="0"/>
            <w:vAlign w:val="center"/>
          </w:tcPr>
          <w:p w14:paraId="30F022A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01F4DF0F">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3C43698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80CE6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29B19F1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二苯并（a，h）蒽</w:t>
            </w:r>
          </w:p>
        </w:tc>
        <w:tc>
          <w:tcPr>
            <w:tcW w:w="2156" w:type="dxa"/>
            <w:noWrap w:val="0"/>
            <w:vAlign w:val="center"/>
          </w:tcPr>
          <w:p w14:paraId="3E4F3ED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1C1AA0B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6B765FE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5BB4AB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165EF2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苯并（a）芘</w:t>
            </w:r>
          </w:p>
        </w:tc>
        <w:tc>
          <w:tcPr>
            <w:tcW w:w="2156" w:type="dxa"/>
            <w:noWrap w:val="0"/>
            <w:vAlign w:val="center"/>
          </w:tcPr>
          <w:p w14:paraId="684393A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FC4602F">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1DB0CC0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290EB2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4D3006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苯并（b）荧蒽</w:t>
            </w:r>
          </w:p>
        </w:tc>
        <w:tc>
          <w:tcPr>
            <w:tcW w:w="2156" w:type="dxa"/>
            <w:noWrap w:val="0"/>
            <w:vAlign w:val="center"/>
          </w:tcPr>
          <w:p w14:paraId="2082F4E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4DC3D018">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4E11BE2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C6F9F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4DBFCCB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苯并（k）荧蒽</w:t>
            </w:r>
          </w:p>
        </w:tc>
        <w:tc>
          <w:tcPr>
            <w:tcW w:w="2156" w:type="dxa"/>
            <w:noWrap w:val="0"/>
            <w:vAlign w:val="center"/>
          </w:tcPr>
          <w:p w14:paraId="59A8A56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52F8A68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71D5D57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3212A0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3CF05A4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茚并（1，2，3-cd）芘</w:t>
            </w:r>
          </w:p>
        </w:tc>
        <w:tc>
          <w:tcPr>
            <w:tcW w:w="2156" w:type="dxa"/>
            <w:noWrap w:val="0"/>
            <w:vAlign w:val="center"/>
          </w:tcPr>
          <w:p w14:paraId="7AB714D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473E536">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5F4B6DA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45C49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B32ACB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氯甲烷</w:t>
            </w:r>
          </w:p>
        </w:tc>
        <w:tc>
          <w:tcPr>
            <w:tcW w:w="2156" w:type="dxa"/>
            <w:noWrap w:val="0"/>
            <w:vAlign w:val="center"/>
          </w:tcPr>
          <w:p w14:paraId="042D17F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61C552A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5E06FC9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E446EC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9E9395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氯乙烯</w:t>
            </w:r>
          </w:p>
        </w:tc>
        <w:tc>
          <w:tcPr>
            <w:tcW w:w="2156" w:type="dxa"/>
            <w:noWrap w:val="0"/>
            <w:vAlign w:val="center"/>
          </w:tcPr>
          <w:p w14:paraId="464420C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6D57516F">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728E597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DABD0E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CDD3BAC">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1-二氯乙烯</w:t>
            </w:r>
          </w:p>
        </w:tc>
        <w:tc>
          <w:tcPr>
            <w:tcW w:w="2156" w:type="dxa"/>
            <w:noWrap w:val="0"/>
            <w:vAlign w:val="center"/>
          </w:tcPr>
          <w:p w14:paraId="3B0E849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528E3682">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2B954BA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72949D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19EC58D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二氯甲烷</w:t>
            </w:r>
            <w:r>
              <w:rPr>
                <w:color w:val="000000" w:themeColor="text1"/>
                <w:highlight w:val="none"/>
                <w14:textFill>
                  <w14:solidFill>
                    <w14:schemeClr w14:val="tx1"/>
                  </w14:solidFill>
                </w14:textFill>
              </w:rPr>
              <w:t>（mg/kg）</w:t>
            </w:r>
          </w:p>
        </w:tc>
        <w:tc>
          <w:tcPr>
            <w:tcW w:w="2156" w:type="dxa"/>
            <w:noWrap w:val="0"/>
            <w:vAlign w:val="center"/>
          </w:tcPr>
          <w:p w14:paraId="516F4F9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E4C351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54A6373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664EC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A56586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反式-1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2-二氯乙烯</w:t>
            </w:r>
          </w:p>
        </w:tc>
        <w:tc>
          <w:tcPr>
            <w:tcW w:w="2156" w:type="dxa"/>
            <w:noWrap w:val="0"/>
            <w:vAlign w:val="center"/>
          </w:tcPr>
          <w:p w14:paraId="54ADB6D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02FAC0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0D2BBAD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27465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1476BEF">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1-二氯乙烷</w:t>
            </w:r>
          </w:p>
        </w:tc>
        <w:tc>
          <w:tcPr>
            <w:tcW w:w="2156" w:type="dxa"/>
            <w:noWrap w:val="0"/>
            <w:vAlign w:val="center"/>
          </w:tcPr>
          <w:p w14:paraId="0FB3049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8C693E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6457C45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B587D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C1CA85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顺式-1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2-二氯乙烯</w:t>
            </w:r>
          </w:p>
        </w:tc>
        <w:tc>
          <w:tcPr>
            <w:tcW w:w="2156" w:type="dxa"/>
            <w:noWrap w:val="0"/>
            <w:vAlign w:val="center"/>
          </w:tcPr>
          <w:p w14:paraId="6A9106B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159AA354">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73F492C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D3418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4C7A786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氯仿</w:t>
            </w:r>
          </w:p>
        </w:tc>
        <w:tc>
          <w:tcPr>
            <w:tcW w:w="2156" w:type="dxa"/>
            <w:noWrap w:val="0"/>
            <w:vAlign w:val="center"/>
          </w:tcPr>
          <w:p w14:paraId="79D1FE4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27B91C8A">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60157E5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E01B5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16C8C9A">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1-三氯乙烷</w:t>
            </w:r>
          </w:p>
        </w:tc>
        <w:tc>
          <w:tcPr>
            <w:tcW w:w="2156" w:type="dxa"/>
            <w:noWrap w:val="0"/>
            <w:vAlign w:val="center"/>
          </w:tcPr>
          <w:p w14:paraId="5784A73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155ADFA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3338FD7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F2CB4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94BA04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四氯化碳</w:t>
            </w:r>
          </w:p>
        </w:tc>
        <w:tc>
          <w:tcPr>
            <w:tcW w:w="2156" w:type="dxa"/>
            <w:noWrap w:val="0"/>
            <w:vAlign w:val="center"/>
          </w:tcPr>
          <w:p w14:paraId="304EBAE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1559A75">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49BE177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1EF199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2844AD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w:t>
            </w:r>
          </w:p>
        </w:tc>
        <w:tc>
          <w:tcPr>
            <w:tcW w:w="2156" w:type="dxa"/>
            <w:noWrap w:val="0"/>
            <w:vAlign w:val="center"/>
          </w:tcPr>
          <w:p w14:paraId="254D809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63C0D57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25E0A36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223ECF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ECCA28A">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2-二氯乙烷</w:t>
            </w:r>
          </w:p>
        </w:tc>
        <w:tc>
          <w:tcPr>
            <w:tcW w:w="2156" w:type="dxa"/>
            <w:noWrap w:val="0"/>
            <w:vAlign w:val="center"/>
          </w:tcPr>
          <w:p w14:paraId="1176B52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6399BCAB">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3AACD44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73AD18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A2971C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三氯乙烯</w:t>
            </w:r>
          </w:p>
        </w:tc>
        <w:tc>
          <w:tcPr>
            <w:tcW w:w="2156" w:type="dxa"/>
            <w:noWrap w:val="0"/>
            <w:vAlign w:val="center"/>
          </w:tcPr>
          <w:p w14:paraId="0BF526F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DF9C0E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1C30C1D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D36E6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9A01D39">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2-二氯丙烷</w:t>
            </w:r>
          </w:p>
        </w:tc>
        <w:tc>
          <w:tcPr>
            <w:tcW w:w="2156" w:type="dxa"/>
            <w:noWrap w:val="0"/>
            <w:vAlign w:val="center"/>
          </w:tcPr>
          <w:p w14:paraId="2CB61F8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7374E7AA">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721ADAA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85C26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50A378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甲苯</w:t>
            </w:r>
          </w:p>
        </w:tc>
        <w:tc>
          <w:tcPr>
            <w:tcW w:w="2156" w:type="dxa"/>
            <w:noWrap w:val="0"/>
            <w:vAlign w:val="center"/>
          </w:tcPr>
          <w:p w14:paraId="60EB471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4F39E411">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4627FFC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BF8FA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46B08BE">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1，2-三氯乙烷</w:t>
            </w:r>
          </w:p>
        </w:tc>
        <w:tc>
          <w:tcPr>
            <w:tcW w:w="2156" w:type="dxa"/>
            <w:noWrap w:val="0"/>
            <w:vAlign w:val="center"/>
          </w:tcPr>
          <w:p w14:paraId="20BF87E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6A8A7D5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1CE6D8D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73A6534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715234E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四氯乙烯</w:t>
            </w:r>
          </w:p>
        </w:tc>
        <w:tc>
          <w:tcPr>
            <w:tcW w:w="2156" w:type="dxa"/>
            <w:noWrap w:val="0"/>
            <w:vAlign w:val="center"/>
          </w:tcPr>
          <w:p w14:paraId="5C292B1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77184DE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21F9047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AC66C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0F7656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氯苯</w:t>
            </w:r>
          </w:p>
        </w:tc>
        <w:tc>
          <w:tcPr>
            <w:tcW w:w="2156" w:type="dxa"/>
            <w:noWrap w:val="0"/>
            <w:vAlign w:val="center"/>
          </w:tcPr>
          <w:p w14:paraId="0043ADB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5D8CA5C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021BF37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4E2D66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48176E3C">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1，1，2-四氯乙烷</w:t>
            </w:r>
          </w:p>
        </w:tc>
        <w:tc>
          <w:tcPr>
            <w:tcW w:w="2156" w:type="dxa"/>
            <w:noWrap w:val="0"/>
            <w:vAlign w:val="center"/>
          </w:tcPr>
          <w:p w14:paraId="26313FA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63C5A128">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6493A4A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FCFBB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C16203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乙苯</w:t>
            </w:r>
          </w:p>
        </w:tc>
        <w:tc>
          <w:tcPr>
            <w:tcW w:w="2156" w:type="dxa"/>
            <w:noWrap w:val="0"/>
            <w:vAlign w:val="center"/>
          </w:tcPr>
          <w:p w14:paraId="15BF9EB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81647B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794DE7A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21CD8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BDE065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间，对-二甲苯</w:t>
            </w:r>
          </w:p>
        </w:tc>
        <w:tc>
          <w:tcPr>
            <w:tcW w:w="2156" w:type="dxa"/>
            <w:noWrap w:val="0"/>
            <w:vAlign w:val="center"/>
          </w:tcPr>
          <w:p w14:paraId="7E43DE2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03F9917C">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2724228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E316F5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BAE0DB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邻-二甲苯</w:t>
            </w:r>
          </w:p>
        </w:tc>
        <w:tc>
          <w:tcPr>
            <w:tcW w:w="2156" w:type="dxa"/>
            <w:noWrap w:val="0"/>
            <w:vAlign w:val="center"/>
          </w:tcPr>
          <w:p w14:paraId="79E7FC4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1D6A66F7">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4C824D2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60C44A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2C26240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苯乙烯</w:t>
            </w:r>
          </w:p>
        </w:tc>
        <w:tc>
          <w:tcPr>
            <w:tcW w:w="2156" w:type="dxa"/>
            <w:noWrap w:val="0"/>
            <w:vAlign w:val="center"/>
          </w:tcPr>
          <w:p w14:paraId="3D8B5ED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154332D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5E28692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0519A5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5890F7ED">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1，2，2-四氯乙烷</w:t>
            </w:r>
          </w:p>
        </w:tc>
        <w:tc>
          <w:tcPr>
            <w:tcW w:w="2156" w:type="dxa"/>
            <w:noWrap w:val="0"/>
            <w:vAlign w:val="center"/>
          </w:tcPr>
          <w:p w14:paraId="08A20AE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18FE61CA">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0BF1B96F">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48F7A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040DFE56">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2，3-三氯丙烷</w:t>
            </w:r>
          </w:p>
        </w:tc>
        <w:tc>
          <w:tcPr>
            <w:tcW w:w="2156" w:type="dxa"/>
            <w:noWrap w:val="0"/>
            <w:vAlign w:val="center"/>
          </w:tcPr>
          <w:p w14:paraId="02ABE29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33E43D35">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1147348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4C6D9B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4B5B49E8">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4-二氯苯</w:t>
            </w:r>
          </w:p>
        </w:tc>
        <w:tc>
          <w:tcPr>
            <w:tcW w:w="2156" w:type="dxa"/>
            <w:noWrap w:val="0"/>
            <w:vAlign w:val="center"/>
          </w:tcPr>
          <w:p w14:paraId="4CAA3A1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7CEEE5C0">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08725DB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16AACD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416E96F8">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1.</w:t>
            </w:r>
            <w:r>
              <w:rPr>
                <w:rFonts w:hint="eastAsia"/>
                <w:color w:val="000000" w:themeColor="text1"/>
                <w:highlight w:val="none"/>
                <w14:textFill>
                  <w14:solidFill>
                    <w14:schemeClr w14:val="tx1"/>
                  </w14:solidFill>
                </w14:textFill>
              </w:rPr>
              <w:t>2-二氯苯</w:t>
            </w:r>
          </w:p>
        </w:tc>
        <w:tc>
          <w:tcPr>
            <w:tcW w:w="2156" w:type="dxa"/>
            <w:noWrap w:val="0"/>
            <w:vAlign w:val="center"/>
          </w:tcPr>
          <w:p w14:paraId="18B5649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1718" w:type="dxa"/>
            <w:shd w:val="clear" w:color="auto" w:fill="auto"/>
            <w:noWrap w:val="0"/>
            <w:vAlign w:val="center"/>
          </w:tcPr>
          <w:p w14:paraId="05ECBAED">
            <w:pPr>
              <w:pStyle w:val="26"/>
              <w:ind w:left="0" w:leftChars="0" w:right="0" w:rightChars="0" w:firstLine="0" w:firstLineChars="0"/>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未检出</w:t>
            </w:r>
          </w:p>
        </w:tc>
        <w:tc>
          <w:tcPr>
            <w:tcW w:w="2058" w:type="dxa"/>
            <w:noWrap w:val="0"/>
            <w:vAlign w:val="center"/>
          </w:tcPr>
          <w:p w14:paraId="2A7BB0F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达标</w:t>
            </w:r>
          </w:p>
        </w:tc>
      </w:tr>
      <w:tr w14:paraId="509828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139" w:type="dxa"/>
            <w:noWrap w:val="0"/>
            <w:vAlign w:val="center"/>
          </w:tcPr>
          <w:p w14:paraId="68DFC2FB">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锌</w:t>
            </w:r>
          </w:p>
        </w:tc>
        <w:tc>
          <w:tcPr>
            <w:tcW w:w="2156" w:type="dxa"/>
            <w:shd w:val="clear" w:color="auto" w:fill="auto"/>
            <w:noWrap w:val="0"/>
            <w:vAlign w:val="center"/>
          </w:tcPr>
          <w:p w14:paraId="13DD30F7">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41</w:t>
            </w:r>
          </w:p>
        </w:tc>
        <w:tc>
          <w:tcPr>
            <w:tcW w:w="1718" w:type="dxa"/>
            <w:shd w:val="clear" w:color="auto" w:fill="auto"/>
            <w:noWrap w:val="0"/>
            <w:vAlign w:val="center"/>
          </w:tcPr>
          <w:p w14:paraId="0BC53B2D">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30</w:t>
            </w:r>
          </w:p>
        </w:tc>
        <w:tc>
          <w:tcPr>
            <w:tcW w:w="2058" w:type="dxa"/>
            <w:noWrap w:val="0"/>
            <w:vAlign w:val="center"/>
          </w:tcPr>
          <w:p w14:paraId="6125C37A">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tc>
      </w:tr>
    </w:tbl>
    <w:p w14:paraId="6F4F03BE">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由上表土壤监测结果可知，该地区土壤中各监测因子均符合</w:t>
      </w:r>
      <w:r>
        <w:rPr>
          <w:rFonts w:hint="eastAsia"/>
          <w:color w:val="000000" w:themeColor="text1"/>
          <w:highlight w:val="none"/>
          <w:lang w:eastAsia="zh-CN"/>
          <w14:textFill>
            <w14:solidFill>
              <w14:schemeClr w14:val="tx1"/>
            </w14:solidFill>
          </w14:textFill>
        </w:rPr>
        <w:t>《土壤环境质量——建设用地土壤污染风险管控标准（试行）》</w:t>
      </w:r>
      <w:r>
        <w:rPr>
          <w:rFonts w:hint="eastAsia"/>
          <w:color w:val="000000" w:themeColor="text1"/>
          <w:highlight w:val="none"/>
          <w14:textFill>
            <w14:solidFill>
              <w14:schemeClr w14:val="tx1"/>
            </w14:solidFill>
          </w14:textFill>
        </w:rPr>
        <w:t>（GB36600-2018）中的筛选值，表明评价区域土壤环境质量良好</w:t>
      </w:r>
    </w:p>
    <w:p w14:paraId="1A748C90">
      <w:pPr>
        <w:pStyle w:val="4"/>
        <w:rPr>
          <w:color w:val="000000" w:themeColor="text1"/>
          <w:highlight w:val="none"/>
          <w14:textFill>
            <w14:solidFill>
              <w14:schemeClr w14:val="tx1"/>
            </w14:solidFill>
          </w14:textFill>
        </w:rPr>
      </w:pPr>
      <w:bookmarkStart w:id="917" w:name="_Toc25204"/>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t>生态环境现状调查评价</w:t>
      </w:r>
      <w:bookmarkEnd w:id="917"/>
    </w:p>
    <w:p w14:paraId="22B56A6D">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.3.5.1生态功能规划</w:t>
      </w:r>
    </w:p>
    <w:p w14:paraId="7472FF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000000" w:themeColor="text1"/>
          <w:sz w:val="24"/>
          <w:szCs w:val="24"/>
          <w:highlight w:val="none"/>
          <w:lang w:val="en-US" w:eastAsia="zh-CN"/>
          <w14:textFill>
            <w14:solidFill>
              <w14:schemeClr w14:val="tx1"/>
            </w14:solidFill>
          </w14:textFill>
        </w:rPr>
      </w:pPr>
      <w:r>
        <w:rPr>
          <w:color w:val="000000" w:themeColor="text1"/>
          <w:highlight w:val="none"/>
          <w14:textFill>
            <w14:solidFill>
              <w14:schemeClr w14:val="tx1"/>
            </w14:solidFill>
          </w14:textFill>
        </w:rPr>
        <w:t>根据《新疆生态功能区划》，</w:t>
      </w:r>
      <w:r>
        <w:rPr>
          <w:rFonts w:hint="eastAsia"/>
          <w:color w:val="000000" w:themeColor="text1"/>
          <w:highlight w:val="none"/>
          <w:lang w:val="en-US" w:eastAsia="zh-CN"/>
          <w14:textFill>
            <w14:solidFill>
              <w14:schemeClr w14:val="tx1"/>
            </w14:solidFill>
          </w14:textFill>
        </w:rPr>
        <w:t>项目</w:t>
      </w:r>
      <w:r>
        <w:rPr>
          <w:rFonts w:hint="eastAsia"/>
          <w:color w:val="000000" w:themeColor="text1"/>
          <w:sz w:val="24"/>
          <w:szCs w:val="24"/>
          <w:highlight w:val="none"/>
          <w:lang w:val="en-US" w:eastAsia="zh-CN"/>
          <w14:textFill>
            <w14:solidFill>
              <w14:schemeClr w14:val="tx1"/>
            </w14:solidFill>
          </w14:textFill>
        </w:rPr>
        <w:t>位于准噶尔盆地温性荒漠与绿洲农业生态区，准噶尔盆地南部灌木半灌木荒漠绿洲农业生态亚区，乌苏—石河子—昌吉城镇与绿洲农业生态功能区，主要生态服务功能、生态敏感因子、主要生态问题和主要保护目标见表4.3.5-1、图4.3-1。</w:t>
      </w:r>
    </w:p>
    <w:p w14:paraId="7643ACF8">
      <w:pPr>
        <w:pStyle w:val="2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表4.3.5-1    园区生态功能区划</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81"/>
        <w:gridCol w:w="1355"/>
        <w:gridCol w:w="6635"/>
      </w:tblGrid>
      <w:tr w14:paraId="5ED994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tcBorders>
              <w:tl2br w:val="nil"/>
              <w:tr2bl w:val="nil"/>
            </w:tcBorders>
            <w:vAlign w:val="center"/>
          </w:tcPr>
          <w:p w14:paraId="464D1F6D">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生态功能分区单元</w:t>
            </w:r>
          </w:p>
        </w:tc>
        <w:tc>
          <w:tcPr>
            <w:tcW w:w="1355" w:type="dxa"/>
            <w:tcBorders>
              <w:tl2br w:val="nil"/>
              <w:tr2bl w:val="nil"/>
            </w:tcBorders>
            <w:vAlign w:val="center"/>
          </w:tcPr>
          <w:p w14:paraId="5CDD91DC">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生态区</w:t>
            </w:r>
          </w:p>
        </w:tc>
        <w:tc>
          <w:tcPr>
            <w:tcW w:w="6635" w:type="dxa"/>
            <w:tcBorders>
              <w:tl2br w:val="nil"/>
              <w:tr2bl w:val="nil"/>
            </w:tcBorders>
            <w:vAlign w:val="center"/>
          </w:tcPr>
          <w:p w14:paraId="56BF86E3">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Ⅱ准噶尔盆地温带干旱荒漠与绿洲生态功能区</w:t>
            </w:r>
          </w:p>
        </w:tc>
      </w:tr>
      <w:tr w14:paraId="4FC235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l2br w:val="nil"/>
              <w:tr2bl w:val="nil"/>
            </w:tcBorders>
            <w:vAlign w:val="center"/>
          </w:tcPr>
          <w:p w14:paraId="0DE15545">
            <w:pPr>
              <w:pStyle w:val="26"/>
              <w:bidi w:val="0"/>
              <w:rPr>
                <w:rFonts w:hint="eastAsia"/>
                <w:color w:val="000000" w:themeColor="text1"/>
                <w:highlight w:val="none"/>
                <w:lang w:val="en-US" w:eastAsia="zh-CN"/>
                <w14:textFill>
                  <w14:solidFill>
                    <w14:schemeClr w14:val="tx1"/>
                  </w14:solidFill>
                </w14:textFill>
              </w:rPr>
            </w:pPr>
          </w:p>
        </w:tc>
        <w:tc>
          <w:tcPr>
            <w:tcW w:w="1355" w:type="dxa"/>
            <w:tcBorders>
              <w:tl2br w:val="nil"/>
              <w:tr2bl w:val="nil"/>
            </w:tcBorders>
            <w:vAlign w:val="center"/>
          </w:tcPr>
          <w:p w14:paraId="65D0A646">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生态亚区</w:t>
            </w:r>
          </w:p>
        </w:tc>
        <w:tc>
          <w:tcPr>
            <w:tcW w:w="6635" w:type="dxa"/>
            <w:tcBorders>
              <w:tl2br w:val="nil"/>
              <w:tr2bl w:val="nil"/>
            </w:tcBorders>
            <w:vAlign w:val="center"/>
          </w:tcPr>
          <w:p w14:paraId="244C48C9">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Ⅱ5 准噶尔盆地南部灌木半灌木荒漠绿洲农业生态亚区</w:t>
            </w:r>
          </w:p>
        </w:tc>
      </w:tr>
      <w:tr w14:paraId="48920F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l2br w:val="nil"/>
              <w:tr2bl w:val="nil"/>
            </w:tcBorders>
            <w:vAlign w:val="center"/>
          </w:tcPr>
          <w:p w14:paraId="50459A31">
            <w:pPr>
              <w:pStyle w:val="26"/>
              <w:bidi w:val="0"/>
              <w:rPr>
                <w:rFonts w:hint="eastAsia"/>
                <w:color w:val="000000" w:themeColor="text1"/>
                <w:highlight w:val="none"/>
                <w:lang w:val="en-US" w:eastAsia="zh-CN"/>
                <w14:textFill>
                  <w14:solidFill>
                    <w14:schemeClr w14:val="tx1"/>
                  </w14:solidFill>
                </w14:textFill>
              </w:rPr>
            </w:pPr>
          </w:p>
        </w:tc>
        <w:tc>
          <w:tcPr>
            <w:tcW w:w="1355" w:type="dxa"/>
            <w:tcBorders>
              <w:tl2br w:val="nil"/>
              <w:tr2bl w:val="nil"/>
            </w:tcBorders>
            <w:vAlign w:val="center"/>
          </w:tcPr>
          <w:p w14:paraId="6C479286">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生态功能区</w:t>
            </w:r>
          </w:p>
        </w:tc>
        <w:tc>
          <w:tcPr>
            <w:tcW w:w="6635" w:type="dxa"/>
            <w:tcBorders>
              <w:tl2br w:val="nil"/>
              <w:tr2bl w:val="nil"/>
            </w:tcBorders>
            <w:vAlign w:val="center"/>
          </w:tcPr>
          <w:p w14:paraId="5A7746FD">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乌苏—石河子—昌吉城镇与绿洲农业生态功能区</w:t>
            </w:r>
          </w:p>
        </w:tc>
      </w:tr>
      <w:tr w14:paraId="7B6FE8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gridSpan w:val="2"/>
            <w:tcBorders>
              <w:tl2br w:val="nil"/>
              <w:tr2bl w:val="nil"/>
            </w:tcBorders>
            <w:vAlign w:val="center"/>
          </w:tcPr>
          <w:p w14:paraId="6E682E48">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主要生态服务功能</w:t>
            </w:r>
          </w:p>
        </w:tc>
        <w:tc>
          <w:tcPr>
            <w:tcW w:w="6635" w:type="dxa"/>
            <w:tcBorders>
              <w:tl2br w:val="nil"/>
              <w:tr2bl w:val="nil"/>
            </w:tcBorders>
            <w:vAlign w:val="center"/>
          </w:tcPr>
          <w:p w14:paraId="0E4CF64A">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工农畜产品生产、人居环境、荒漠化控制</w:t>
            </w:r>
          </w:p>
        </w:tc>
      </w:tr>
      <w:tr w14:paraId="1DC0DE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gridSpan w:val="2"/>
            <w:tcBorders>
              <w:tl2br w:val="nil"/>
              <w:tr2bl w:val="nil"/>
            </w:tcBorders>
            <w:vAlign w:val="center"/>
          </w:tcPr>
          <w:p w14:paraId="3234A70C">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主要生态环境问题</w:t>
            </w:r>
          </w:p>
        </w:tc>
        <w:tc>
          <w:tcPr>
            <w:tcW w:w="6635" w:type="dxa"/>
            <w:tcBorders>
              <w:tl2br w:val="nil"/>
              <w:tr2bl w:val="nil"/>
            </w:tcBorders>
            <w:vAlign w:val="center"/>
          </w:tcPr>
          <w:p w14:paraId="27B9AEAA">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地下水超采、荒漠植被退化、土地荒漠化与盐渍化、大气和水质及土壤污染、良田减少、绿洲外围受到沙漠化威胁</w:t>
            </w:r>
          </w:p>
        </w:tc>
      </w:tr>
      <w:tr w14:paraId="5D92FE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gridSpan w:val="2"/>
            <w:tcBorders>
              <w:tl2br w:val="nil"/>
              <w:tr2bl w:val="nil"/>
            </w:tcBorders>
            <w:vAlign w:val="center"/>
          </w:tcPr>
          <w:p w14:paraId="13A9111C">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生态敏感因子敏感程度</w:t>
            </w:r>
          </w:p>
        </w:tc>
        <w:tc>
          <w:tcPr>
            <w:tcW w:w="6635" w:type="dxa"/>
            <w:tcBorders>
              <w:tl2br w:val="nil"/>
              <w:tr2bl w:val="nil"/>
            </w:tcBorders>
            <w:vAlign w:val="center"/>
          </w:tcPr>
          <w:p w14:paraId="56B9EFED">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生物多样性和生境中度敏感，土地沙漠化、土壤侵蚀不敏感，土壤盐渍化不敏感\轻度敏感。</w:t>
            </w:r>
          </w:p>
        </w:tc>
      </w:tr>
      <w:tr w14:paraId="377386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gridSpan w:val="2"/>
            <w:tcBorders>
              <w:tl2br w:val="nil"/>
              <w:tr2bl w:val="nil"/>
            </w:tcBorders>
            <w:vAlign w:val="center"/>
          </w:tcPr>
          <w:p w14:paraId="18220116">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保护目标</w:t>
            </w:r>
          </w:p>
        </w:tc>
        <w:tc>
          <w:tcPr>
            <w:tcW w:w="6635" w:type="dxa"/>
            <w:tcBorders>
              <w:tl2br w:val="nil"/>
              <w:tr2bl w:val="nil"/>
            </w:tcBorders>
            <w:vAlign w:val="center"/>
          </w:tcPr>
          <w:p w14:paraId="38DDE259">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保护绿洲农田、保护城市大气和水环境质量、保护荒漠植被、保护农田土壤环境质量</w:t>
            </w:r>
          </w:p>
        </w:tc>
      </w:tr>
      <w:tr w14:paraId="7277F8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gridSpan w:val="2"/>
            <w:tcBorders>
              <w:tl2br w:val="nil"/>
              <w:tr2bl w:val="nil"/>
            </w:tcBorders>
            <w:vAlign w:val="center"/>
          </w:tcPr>
          <w:p w14:paraId="3660ED4E">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保护措施</w:t>
            </w:r>
          </w:p>
        </w:tc>
        <w:tc>
          <w:tcPr>
            <w:tcW w:w="6635" w:type="dxa"/>
            <w:tcBorders>
              <w:tl2br w:val="nil"/>
              <w:tr2bl w:val="nil"/>
            </w:tcBorders>
            <w:vAlign w:val="center"/>
          </w:tcPr>
          <w:p w14:paraId="50A5D4B0">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节水灌溉、严格控制地下水开采、污染物达标排放、提高城镇建设规划水平、控制城镇建设用地、荒漠草场禁牧休牧、完善防护林体系、加强农田投入品的使用管理</w:t>
            </w:r>
          </w:p>
        </w:tc>
      </w:tr>
      <w:tr w14:paraId="487DF8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gridSpan w:val="2"/>
            <w:tcBorders>
              <w:tl2br w:val="nil"/>
              <w:tr2bl w:val="nil"/>
            </w:tcBorders>
            <w:vAlign w:val="center"/>
          </w:tcPr>
          <w:p w14:paraId="49B3FA4A">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发展方向</w:t>
            </w:r>
          </w:p>
        </w:tc>
        <w:tc>
          <w:tcPr>
            <w:tcW w:w="6635" w:type="dxa"/>
            <w:tcBorders>
              <w:tl2br w:val="nil"/>
              <w:tr2bl w:val="nil"/>
            </w:tcBorders>
            <w:vAlign w:val="center"/>
          </w:tcPr>
          <w:p w14:paraId="02D90CBA">
            <w:pPr>
              <w:pStyle w:val="26"/>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发展优质高效农牧业，美化城市环境，建设健康、稳定的城乡生态系统与人居环境。</w:t>
            </w:r>
          </w:p>
        </w:tc>
      </w:tr>
    </w:tbl>
    <w:p w14:paraId="479A317F">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 xml:space="preserve">.3.5.2 </w:t>
      </w:r>
      <w:r>
        <w:rPr>
          <w:rFonts w:hint="eastAsia"/>
          <w:color w:val="000000" w:themeColor="text1"/>
          <w:highlight w:val="none"/>
          <w14:textFill>
            <w14:solidFill>
              <w14:schemeClr w14:val="tx1"/>
            </w14:solidFill>
          </w14:textFill>
        </w:rPr>
        <w:t xml:space="preserve">生态环境现状调查与评价 </w:t>
      </w:r>
    </w:p>
    <w:p w14:paraId="25B9F135">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）土地利用现状</w:t>
      </w:r>
    </w:p>
    <w:p w14:paraId="05A4E0B7">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本项目所占用地块属于工业用地，土地利用类型为</w:t>
      </w:r>
      <w:r>
        <w:rPr>
          <w:rFonts w:hint="eastAsia"/>
          <w:color w:val="000000" w:themeColor="text1"/>
          <w:highlight w:val="none"/>
          <w:lang w:val="en-US" w:eastAsia="zh-CN"/>
          <w14:textFill>
            <w14:solidFill>
              <w14:schemeClr w14:val="tx1"/>
            </w14:solidFill>
          </w14:textFill>
        </w:rPr>
        <w:t>二</w:t>
      </w:r>
      <w:r>
        <w:rPr>
          <w:rFonts w:hint="eastAsia"/>
          <w:color w:val="000000" w:themeColor="text1"/>
          <w:highlight w:val="none"/>
          <w14:textFill>
            <w14:solidFill>
              <w14:schemeClr w14:val="tx1"/>
            </w14:solidFill>
          </w14:textFill>
        </w:rPr>
        <w:t>类工业用地。</w:t>
      </w:r>
    </w:p>
    <w:p w14:paraId="4012682B">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 xml:space="preserve">）植被 </w:t>
      </w:r>
    </w:p>
    <w:p w14:paraId="47D9AE42">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本项目区内生态系统主要表现为人工生态系统，通过调查，该地区人类活动较多，基本无原始的自然植被。 </w:t>
      </w:r>
    </w:p>
    <w:p w14:paraId="32DB06BF">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 xml:space="preserve">）动物 </w:t>
      </w:r>
    </w:p>
    <w:p w14:paraId="1DD3A9DA">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根据现场调查访问，项目区及其可能影响范围内，受人类的生产活动影响，野生动物稀少，仅有少量的啮齿类、爬行类和禽类动物出现，常见的有野兔、麻雀等。</w:t>
      </w:r>
    </w:p>
    <w:p w14:paraId="4979D84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评价区无国家和自治区重点保护野生动植物。</w:t>
      </w:r>
    </w:p>
    <w:p w14:paraId="7C924FEB">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水土流失现状</w:t>
      </w:r>
    </w:p>
    <w:p w14:paraId="1C3CA572">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区域水土流失</w:t>
      </w:r>
      <w:r>
        <w:rPr>
          <w:rFonts w:hint="eastAsia"/>
          <w:color w:val="000000" w:themeColor="text1"/>
          <w:highlight w:val="none"/>
          <w:lang w:val="en-US" w:eastAsia="zh-CN"/>
          <w14:textFill>
            <w14:solidFill>
              <w14:schemeClr w14:val="tx1"/>
            </w14:solidFill>
          </w14:textFill>
        </w:rPr>
        <w:t>以风力侵蚀为主</w:t>
      </w:r>
      <w:r>
        <w:rPr>
          <w:rFonts w:hint="default"/>
          <w:color w:val="000000" w:themeColor="text1"/>
          <w:highlight w:val="none"/>
          <w:lang w:val="en-US" w:eastAsia="zh-CN"/>
          <w14:textFill>
            <w14:solidFill>
              <w14:schemeClr w14:val="tx1"/>
            </w14:solidFill>
          </w14:textFill>
        </w:rPr>
        <w:t>，主要为动土过程中的侵蚀，动土过</w:t>
      </w:r>
      <w:r>
        <w:rPr>
          <w:rFonts w:hint="eastAsia"/>
          <w:color w:val="000000" w:themeColor="text1"/>
          <w:highlight w:val="none"/>
          <w:lang w:val="en-US" w:eastAsia="zh-CN"/>
          <w14:textFill>
            <w14:solidFill>
              <w14:schemeClr w14:val="tx1"/>
            </w14:solidFill>
          </w14:textFill>
        </w:rPr>
        <w:t>程中</w:t>
      </w:r>
      <w:r>
        <w:rPr>
          <w:rFonts w:hint="default"/>
          <w:color w:val="000000" w:themeColor="text1"/>
          <w:highlight w:val="none"/>
          <w:lang w:val="en-US" w:eastAsia="zh-CN"/>
          <w14:textFill>
            <w14:solidFill>
              <w14:schemeClr w14:val="tx1"/>
            </w14:solidFill>
          </w14:textFill>
        </w:rPr>
        <w:t>地表植被大面积破坏，表层原始土层松动，尤其是在春夏之交，干旱气候条件下，当地表土壤十分干燥时，大风可造成地面严重吹蚀。在严格控制施工条件及做好防护措施，风力侵蚀对区域水土流失影响较轻。</w:t>
      </w:r>
    </w:p>
    <w:p w14:paraId="4562FF28">
      <w:pPr>
        <w:bidi w:val="0"/>
        <w:rPr>
          <w:rFonts w:hint="default"/>
          <w:color w:val="000000" w:themeColor="text1"/>
          <w:highlight w:val="none"/>
          <w:lang w:val="en-US" w:eastAsia="zh-CN"/>
          <w14:textFill>
            <w14:solidFill>
              <w14:schemeClr w14:val="tx1"/>
            </w14:solidFill>
          </w14:textFill>
        </w:rPr>
      </w:pPr>
    </w:p>
    <w:p w14:paraId="6CFEC3DB">
      <w:pPr>
        <w:bidi w:val="0"/>
        <w:rPr>
          <w:rFonts w:hint="default"/>
          <w:color w:val="000000" w:themeColor="text1"/>
          <w:highlight w:val="none"/>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A4DE067">
      <w:pPr>
        <w:pStyle w:val="2"/>
        <w:numPr>
          <w:ilvl w:val="0"/>
          <w:numId w:val="0"/>
        </w:numPr>
        <w:bidi w:val="0"/>
        <w:rPr>
          <w:color w:val="000000" w:themeColor="text1"/>
          <w:highlight w:val="none"/>
          <w14:textFill>
            <w14:solidFill>
              <w14:schemeClr w14:val="tx1"/>
            </w14:solidFill>
          </w14:textFill>
        </w:rPr>
      </w:pPr>
      <w:bookmarkStart w:id="918" w:name="_Toc7077"/>
      <w:bookmarkStart w:id="919" w:name="_Toc4077"/>
      <w:bookmarkStart w:id="920" w:name="_Toc25573"/>
      <w:bookmarkStart w:id="921" w:name="_Toc28767"/>
      <w:bookmarkStart w:id="922" w:name="_Toc23996"/>
      <w:bookmarkStart w:id="923" w:name="_Toc5014"/>
      <w:bookmarkStart w:id="924" w:name="_Toc1190"/>
      <w:bookmarkStart w:id="925" w:name="_Toc6565"/>
      <w:bookmarkStart w:id="926" w:name="_Toc30526"/>
      <w:bookmarkStart w:id="927" w:name="_Toc7404"/>
      <w:bookmarkStart w:id="928" w:name="_Toc29698"/>
      <w:bookmarkStart w:id="929" w:name="_Toc7272"/>
      <w:bookmarkStart w:id="930" w:name="_Toc767"/>
      <w:bookmarkStart w:id="931" w:name="_Toc25981"/>
      <w:bookmarkStart w:id="932" w:name="_Toc32182"/>
      <w:bookmarkStart w:id="933" w:name="_Toc15051"/>
      <w:bookmarkStart w:id="934" w:name="_Toc24114"/>
      <w:bookmarkStart w:id="935" w:name="_Toc14974"/>
      <w:bookmarkStart w:id="936" w:name="_Toc19342"/>
      <w:bookmarkStart w:id="937" w:name="_Toc7820"/>
      <w:bookmarkStart w:id="938" w:name="_Toc10567"/>
      <w:bookmarkStart w:id="939" w:name="_Toc25499"/>
      <w:bookmarkStart w:id="940" w:name="_Toc18481"/>
      <w:bookmarkStart w:id="941" w:name="_Toc25571"/>
      <w:bookmarkStart w:id="942" w:name="_Toc2112"/>
      <w:bookmarkStart w:id="943" w:name="_Toc10741"/>
      <w:bookmarkStart w:id="944" w:name="_Toc24394"/>
      <w:bookmarkStart w:id="945" w:name="_Toc9050"/>
      <w:bookmarkStart w:id="946" w:name="_Toc14937"/>
      <w:bookmarkStart w:id="947" w:name="_Toc1898"/>
      <w:bookmarkStart w:id="948" w:name="_Toc5784"/>
      <w:r>
        <w:rPr>
          <w:rFonts w:hint="eastAsia"/>
          <w:color w:val="000000" w:themeColor="text1"/>
          <w:highlight w:val="none"/>
          <w:lang w:val="en-US" w:eastAsia="zh-CN"/>
          <w14:textFill>
            <w14:solidFill>
              <w14:schemeClr w14:val="tx1"/>
            </w14:solidFill>
          </w14:textFill>
        </w:rPr>
        <w:t xml:space="preserve">5 </w:t>
      </w:r>
      <w:r>
        <w:rPr>
          <w:color w:val="000000" w:themeColor="text1"/>
          <w:highlight w:val="none"/>
          <w14:textFill>
            <w14:solidFill>
              <w14:schemeClr w14:val="tx1"/>
            </w14:solidFill>
          </w14:textFill>
        </w:rPr>
        <w:t>环境影响预测与评价</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14:paraId="49F22685">
      <w:pPr>
        <w:pStyle w:val="3"/>
        <w:rPr>
          <w:color w:val="000000" w:themeColor="text1"/>
          <w:highlight w:val="none"/>
          <w14:textFill>
            <w14:solidFill>
              <w14:schemeClr w14:val="tx1"/>
            </w14:solidFill>
          </w14:textFill>
        </w:rPr>
      </w:pPr>
      <w:bookmarkStart w:id="949" w:name="_Toc759"/>
      <w:bookmarkStart w:id="950" w:name="_Toc2639"/>
      <w:bookmarkStart w:id="951" w:name="_Toc11558"/>
      <w:bookmarkStart w:id="952" w:name="_Toc22784"/>
      <w:bookmarkStart w:id="953" w:name="_Toc10707"/>
      <w:bookmarkStart w:id="954" w:name="_Toc8759"/>
      <w:bookmarkStart w:id="955" w:name="_Toc15171"/>
      <w:bookmarkStart w:id="956" w:name="_Toc25389"/>
      <w:bookmarkStart w:id="957" w:name="_Toc27424"/>
      <w:bookmarkStart w:id="958" w:name="_Toc28493"/>
      <w:bookmarkStart w:id="959" w:name="_Toc8513"/>
      <w:bookmarkStart w:id="960" w:name="_Toc1974"/>
      <w:bookmarkStart w:id="961" w:name="_Toc25811"/>
      <w:bookmarkStart w:id="962" w:name="_Toc2691"/>
      <w:bookmarkStart w:id="963" w:name="_Toc30382"/>
      <w:bookmarkStart w:id="964" w:name="_Toc8234"/>
      <w:bookmarkStart w:id="965" w:name="_Toc30166"/>
      <w:bookmarkStart w:id="966" w:name="_Toc19469"/>
      <w:bookmarkStart w:id="967" w:name="_Toc5530"/>
      <w:bookmarkStart w:id="968" w:name="_Toc7105"/>
      <w:bookmarkStart w:id="969" w:name="_Toc26771"/>
      <w:bookmarkStart w:id="970" w:name="_Toc29782"/>
      <w:bookmarkStart w:id="971" w:name="_Toc3357"/>
      <w:bookmarkStart w:id="972" w:name="_Toc24582"/>
      <w:bookmarkStart w:id="973" w:name="_Toc9219"/>
      <w:bookmarkStart w:id="974" w:name="_Toc18704"/>
      <w:bookmarkStart w:id="975" w:name="_Toc4481"/>
      <w:bookmarkStart w:id="976" w:name="_Toc24838"/>
      <w:bookmarkStart w:id="977" w:name="_Toc32541"/>
      <w:bookmarkStart w:id="978" w:name="_Toc3089"/>
      <w:bookmarkStart w:id="979" w:name="_Toc19109"/>
      <w:bookmarkStart w:id="980" w:name="_Toc1459"/>
      <w:bookmarkStart w:id="981" w:name="_Toc21009"/>
      <w:bookmarkStart w:id="982" w:name="_Toc32104"/>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施工期环境影响分析</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14:paraId="4784878A">
      <w:pPr>
        <w:pStyle w:val="4"/>
        <w:bidi w:val="0"/>
        <w:rPr>
          <w:color w:val="000000" w:themeColor="text1"/>
          <w:highlight w:val="none"/>
          <w14:textFill>
            <w14:solidFill>
              <w14:schemeClr w14:val="tx1"/>
            </w14:solidFill>
          </w14:textFill>
        </w:rPr>
      </w:pPr>
      <w:bookmarkStart w:id="983" w:name="_Toc3743"/>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.1.1施工期大气环境影响分析</w:t>
      </w:r>
      <w:bookmarkEnd w:id="983"/>
      <w:r>
        <w:rPr>
          <w:rFonts w:hint="eastAsia"/>
          <w:color w:val="000000" w:themeColor="text1"/>
          <w:highlight w:val="none"/>
          <w14:textFill>
            <w14:solidFill>
              <w14:schemeClr w14:val="tx1"/>
            </w14:solidFill>
          </w14:textFill>
        </w:rPr>
        <w:t xml:space="preserve"> </w:t>
      </w:r>
    </w:p>
    <w:p w14:paraId="1F80E703">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租赁厂房</w:t>
      </w:r>
      <w:r>
        <w:rPr>
          <w:color w:val="000000" w:themeColor="text1"/>
          <w:highlight w:val="none"/>
          <w14:textFill>
            <w14:solidFill>
              <w14:schemeClr w14:val="tx1"/>
            </w14:solidFill>
          </w14:textFill>
        </w:rPr>
        <w:t>，施工内容主要为</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原有生产线拆除、设备清运及新设备安装调试。</w:t>
      </w:r>
    </w:p>
    <w:p w14:paraId="753C144F">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施工期废气主要来源为</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原有生产线拆除作业产生的少量粉尘、物料运输车辆扬尘及机动车尾气。</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拆除作业过程中会产生短时粉尘；</w:t>
      </w:r>
      <w:r>
        <w:rPr>
          <w:rFonts w:hint="eastAsia"/>
          <w:color w:val="000000" w:themeColor="text1"/>
          <w:highlight w:val="none"/>
          <w:lang w:val="en-US" w:eastAsia="zh-CN"/>
          <w14:textFill>
            <w14:solidFill>
              <w14:schemeClr w14:val="tx1"/>
            </w14:solidFill>
          </w14:textFill>
        </w:rPr>
        <w:t>基础施工材料、新增设备</w:t>
      </w:r>
      <w:r>
        <w:rPr>
          <w:color w:val="000000" w:themeColor="text1"/>
          <w:highlight w:val="none"/>
          <w14:textFill>
            <w14:solidFill>
              <w14:schemeClr w14:val="tx1"/>
            </w14:solidFill>
          </w14:textFill>
        </w:rPr>
        <w:t>、拆除构件运输车辆行驶易引发道路二次扬尘，扬尘影响程度与车辆行驶速度、风速、路面积尘量、路面湿度相关，风速直接影响扬尘扩散距离。</w:t>
      </w:r>
    </w:p>
    <w:p w14:paraId="646E06E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拆除及施工阶段，对拆除作业面采取湿法抑尘，施工进出口及场内运输道路勤洒水，可使空气中粉尘量削减约70%，有效控制无组织粉尘排放。</w:t>
      </w:r>
      <w:r>
        <w:rPr>
          <w:rFonts w:hint="eastAsia"/>
          <w:color w:val="000000" w:themeColor="text1"/>
          <w:highlight w:val="none"/>
          <w:lang w:val="en-US" w:eastAsia="zh-CN"/>
          <w14:textFill>
            <w14:solidFill>
              <w14:schemeClr w14:val="tx1"/>
            </w14:solidFill>
          </w14:textFill>
        </w:rPr>
        <w:t>新增生产线和设备基础施工阶段</w:t>
      </w:r>
      <w:r>
        <w:rPr>
          <w:color w:val="000000" w:themeColor="text1"/>
          <w:highlight w:val="none"/>
          <w14:textFill>
            <w14:solidFill>
              <w14:schemeClr w14:val="tx1"/>
            </w14:solidFill>
          </w14:textFill>
        </w:rPr>
        <w:t>运输车辆密闭遮盖，车辆出场冲洗，减少带泥上路。施工运输车辆排放尾气含NOx、CO 等污染物，对周边环境空气产生短时影响；项目施工周期短、作业间断，污染物排放浓度低，影响有限。施工单位合理安排拆除构件、设备运输计划，大宗物料及构件运输尽量避开交通高峰期，并配合交通管理部门做好现场交通疏导，避免车辆长时间怠速，降低尾气累积影响。</w:t>
      </w:r>
    </w:p>
    <w:p w14:paraId="7963F4A1">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综上，落实抑尘、车辆管控措施后，</w:t>
      </w:r>
      <w:r>
        <w:rPr>
          <w:rFonts w:hint="eastAsia"/>
          <w:color w:val="000000" w:themeColor="text1"/>
          <w:highlight w:val="none"/>
          <w:lang w:val="en-US" w:eastAsia="zh-CN"/>
          <w14:textFill>
            <w14:solidFill>
              <w14:schemeClr w14:val="tx1"/>
            </w14:solidFill>
          </w14:textFill>
        </w:rPr>
        <w:t>新增生产线和设备基础施工产生得扬尘、</w:t>
      </w:r>
      <w:r>
        <w:rPr>
          <w:color w:val="000000" w:themeColor="text1"/>
          <w:highlight w:val="none"/>
          <w14:textFill>
            <w14:solidFill>
              <w14:schemeClr w14:val="tx1"/>
            </w14:solidFill>
          </w14:textFill>
        </w:rPr>
        <w:t>拆除粉尘、运输扬尘及尾气对周边大气环境影响较小，施工结束污染随之消失。</w:t>
      </w:r>
    </w:p>
    <w:p w14:paraId="2834E66E">
      <w:pPr>
        <w:pStyle w:val="4"/>
        <w:rPr>
          <w:color w:val="000000" w:themeColor="text1"/>
          <w:highlight w:val="none"/>
          <w14:textFill>
            <w14:solidFill>
              <w14:schemeClr w14:val="tx1"/>
            </w14:solidFill>
          </w14:textFill>
        </w:rPr>
      </w:pPr>
      <w:bookmarkStart w:id="984" w:name="_Toc21608"/>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.1.2</w:t>
      </w:r>
      <w:r>
        <w:rPr>
          <w:rFonts w:hint="eastAsia"/>
          <w:color w:val="000000" w:themeColor="text1"/>
          <w:highlight w:val="none"/>
          <w14:textFill>
            <w14:solidFill>
              <w14:schemeClr w14:val="tx1"/>
            </w14:solidFill>
          </w14:textFill>
        </w:rPr>
        <w:t>施工期噪声影响分析</w:t>
      </w:r>
      <w:bookmarkEnd w:id="984"/>
    </w:p>
    <w:p w14:paraId="334FAE14">
      <w:pPr>
        <w:bidi w:val="0"/>
        <w:rPr>
          <w:rFonts w:hint="default" w:ascii="Times New Roman" w:hAnsi="Times New Roman" w:cs="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租赁厂房，</w:t>
      </w:r>
      <w:r>
        <w:rPr>
          <w:color w:val="000000" w:themeColor="text1"/>
          <w:highlight w:val="none"/>
          <w14:textFill>
            <w14:solidFill>
              <w14:schemeClr w14:val="tx1"/>
            </w14:solidFill>
          </w14:textFill>
        </w:rPr>
        <w:t>施工内容主要为</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原有生产线拆除、设备清运及新设备安装调试。</w:t>
      </w:r>
      <w:r>
        <w:rPr>
          <w:rFonts w:hint="default" w:ascii="Times New Roman" w:hAnsi="Times New Roman" w:cs="Times New Roman"/>
          <w:color w:val="000000" w:themeColor="text1"/>
          <w:highlight w:val="none"/>
          <w14:textFill>
            <w14:solidFill>
              <w14:schemeClr w14:val="tx1"/>
            </w14:solidFill>
          </w14:textFill>
        </w:rPr>
        <w:t>施工噪声主要来自原有生产线拆除、</w:t>
      </w:r>
      <w:r>
        <w:rPr>
          <w:rFonts w:hint="eastAsia"/>
          <w:color w:val="000000" w:themeColor="text1"/>
          <w:highlight w:val="none"/>
          <w:lang w:val="en-US" w:eastAsia="zh-CN"/>
          <w14:textFill>
            <w14:solidFill>
              <w14:schemeClr w14:val="tx1"/>
            </w14:solidFill>
          </w14:textFill>
        </w:rPr>
        <w:t>新增生产线和设备基础施工、生产</w:t>
      </w:r>
      <w:r>
        <w:rPr>
          <w:rFonts w:hint="default" w:ascii="Times New Roman" w:hAnsi="Times New Roman" w:cs="Times New Roman"/>
          <w:color w:val="000000" w:themeColor="text1"/>
          <w:highlight w:val="none"/>
          <w14:textFill>
            <w14:solidFill>
              <w14:schemeClr w14:val="tx1"/>
            </w14:solidFill>
          </w14:textFill>
        </w:rPr>
        <w:t>设备吊装、叉车转运及运输车辆，主要产噪设备包括吊车、叉车、切割机、运输汽车等，噪声源强约85dB（A）～95dB（A）。为降低噪声对周边敏感目标影响，拟采取以下噪声控制措施：</w:t>
      </w:r>
    </w:p>
    <w:p w14:paraId="4E2D325E">
      <w:pPr>
        <w:numPr>
          <w:ilvl w:val="0"/>
          <w:numId w:val="5"/>
        </w:numPr>
        <w:bidi w:val="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合理规划拆除作业平面布局，高噪声拆除、切割作业尽量布置在远离噪声敏感点一侧；优先选用低噪声拆除工具，严格管控施工时间，禁止夜间施工。</w:t>
      </w:r>
    </w:p>
    <w:p w14:paraId="44350275">
      <w:pPr>
        <w:numPr>
          <w:ilvl w:val="0"/>
          <w:numId w:val="5"/>
        </w:numPr>
        <w:bidi w:val="0"/>
        <w:ind w:left="0" w:leftChars="0"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施工全过程严格执行《建筑施工场界环境噪声排放标准》（GB12523-2025），定期监测场界噪声，杜绝噪声超标，严禁夜间拆除作业。</w:t>
      </w:r>
    </w:p>
    <w:p w14:paraId="3D51D9B3">
      <w:pPr>
        <w:numPr>
          <w:ilvl w:val="0"/>
          <w:numId w:val="0"/>
        </w:numPr>
        <w:bidi w:val="0"/>
        <w:ind w:firstLine="48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（3）科学编制拆除施工方案，压缩高噪声工序作业时长；靠近噪声敏感点区域作业时，设置移动式隔声围挡，降低噪声传播。</w:t>
      </w:r>
    </w:p>
    <w:p w14:paraId="47C4FF4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本项目仅昼间作业，拆除及安装工期短，噪声为短时扰动，落实降噪措施后，施工噪声对周边声环境影响较小。</w:t>
      </w:r>
    </w:p>
    <w:p w14:paraId="70E2456E">
      <w:pPr>
        <w:pStyle w:val="4"/>
        <w:rPr>
          <w:color w:val="000000" w:themeColor="text1"/>
          <w:highlight w:val="none"/>
          <w14:textFill>
            <w14:solidFill>
              <w14:schemeClr w14:val="tx1"/>
            </w14:solidFill>
          </w14:textFill>
        </w:rPr>
      </w:pPr>
      <w:bookmarkStart w:id="985" w:name="_Toc7805"/>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.1.3施工废水影响分析</w:t>
      </w:r>
      <w:bookmarkEnd w:id="985"/>
      <w:r>
        <w:rPr>
          <w:rFonts w:hint="eastAsia"/>
          <w:color w:val="000000" w:themeColor="text1"/>
          <w:highlight w:val="none"/>
          <w14:textFill>
            <w14:solidFill>
              <w14:schemeClr w14:val="tx1"/>
            </w14:solidFill>
          </w14:textFill>
        </w:rPr>
        <w:t xml:space="preserve"> </w:t>
      </w:r>
    </w:p>
    <w:p w14:paraId="0B173860">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租赁厂房，</w:t>
      </w:r>
      <w:r>
        <w:rPr>
          <w:color w:val="000000" w:themeColor="text1"/>
          <w:highlight w:val="none"/>
          <w14:textFill>
            <w14:solidFill>
              <w14:schemeClr w14:val="tx1"/>
            </w14:solidFill>
          </w14:textFill>
        </w:rPr>
        <w:t>施工内容主要为</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原有生产线拆除、设备清运及新设备安装调试。施工期废水主要为施工人员生活污水，拆除作业基本不产生施工生产废水。施工人员生活污水依托厂区现有污水管网收集处置；</w:t>
      </w:r>
      <w:r>
        <w:rPr>
          <w:rFonts w:hint="eastAsia"/>
          <w:color w:val="000000" w:themeColor="text1"/>
          <w:highlight w:val="none"/>
          <w:lang w:val="en-US" w:eastAsia="zh-CN"/>
          <w14:textFill>
            <w14:solidFill>
              <w14:schemeClr w14:val="tx1"/>
            </w14:solidFill>
          </w14:textFill>
        </w:rPr>
        <w:t>施工</w:t>
      </w:r>
      <w:r>
        <w:rPr>
          <w:color w:val="000000" w:themeColor="text1"/>
          <w:highlight w:val="none"/>
          <w14:textFill>
            <w14:solidFill>
              <w14:schemeClr w14:val="tx1"/>
            </w14:solidFill>
          </w14:textFill>
        </w:rPr>
        <w:t>作业场地产生少量</w:t>
      </w:r>
      <w:r>
        <w:rPr>
          <w:rFonts w:hint="eastAsia"/>
          <w:color w:val="000000" w:themeColor="text1"/>
          <w:highlight w:val="none"/>
          <w:lang w:val="en-US" w:eastAsia="zh-CN"/>
          <w14:textFill>
            <w14:solidFill>
              <w14:schemeClr w14:val="tx1"/>
            </w14:solidFill>
          </w14:textFill>
        </w:rPr>
        <w:t>设备、车辆</w:t>
      </w:r>
      <w:r>
        <w:rPr>
          <w:color w:val="000000" w:themeColor="text1"/>
          <w:highlight w:val="none"/>
          <w14:textFill>
            <w14:solidFill>
              <w14:schemeClr w14:val="tx1"/>
            </w14:solidFill>
          </w14:textFill>
        </w:rPr>
        <w:t>冲洗废水，在厂区设置临时沉淀池，经沉淀处理后全部回用至场地洒水抑尘，不外排。因此施工期废水对外环境影响较小。</w:t>
      </w:r>
    </w:p>
    <w:p w14:paraId="591061F3">
      <w:pPr>
        <w:pStyle w:val="4"/>
        <w:rPr>
          <w:color w:val="000000" w:themeColor="text1"/>
          <w:highlight w:val="none"/>
          <w14:textFill>
            <w14:solidFill>
              <w14:schemeClr w14:val="tx1"/>
            </w14:solidFill>
          </w14:textFill>
        </w:rPr>
      </w:pPr>
      <w:bookmarkStart w:id="986" w:name="_Toc25119"/>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.1.4</w:t>
      </w:r>
      <w:r>
        <w:rPr>
          <w:rFonts w:hint="eastAsia"/>
          <w:color w:val="000000" w:themeColor="text1"/>
          <w:highlight w:val="none"/>
          <w14:textFill>
            <w14:solidFill>
              <w14:schemeClr w14:val="tx1"/>
            </w14:solidFill>
          </w14:textFill>
        </w:rPr>
        <w:t>施工期固废对环境的影响分析</w:t>
      </w:r>
      <w:bookmarkEnd w:id="986"/>
      <w:r>
        <w:rPr>
          <w:rFonts w:hint="eastAsia"/>
          <w:color w:val="000000" w:themeColor="text1"/>
          <w:highlight w:val="none"/>
          <w14:textFill>
            <w14:solidFill>
              <w14:schemeClr w14:val="tx1"/>
            </w14:solidFill>
          </w14:textFill>
        </w:rPr>
        <w:t xml:space="preserve"> </w:t>
      </w:r>
    </w:p>
    <w:p w14:paraId="4CC0B0F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本项目施工期固废主要包括</w:t>
      </w:r>
      <w:r>
        <w:rPr>
          <w:rFonts w:hint="eastAsia"/>
          <w:color w:val="000000" w:themeColor="text1"/>
          <w:highlight w:val="none"/>
          <w:lang w:val="en-US" w:eastAsia="zh-CN"/>
          <w14:textFill>
            <w14:solidFill>
              <w14:schemeClr w14:val="tx1"/>
            </w14:solidFill>
          </w14:textFill>
        </w:rPr>
        <w:t>新增生产线和设备基础施工、</w:t>
      </w:r>
      <w:r>
        <w:rPr>
          <w:color w:val="000000" w:themeColor="text1"/>
          <w:highlight w:val="none"/>
          <w14:textFill>
            <w14:solidFill>
              <w14:schemeClr w14:val="tx1"/>
            </w14:solidFill>
          </w14:textFill>
        </w:rPr>
        <w:t>原有生产线拆除产生的建筑垃圾、废设备构件，以及施工人员生活垃圾。依据《建筑垃圾污染控制技术规范》（GB/T 55518-2021）要求，落实建筑垃圾产生、收集、贮存、转运、处置全链条管理。</w:t>
      </w:r>
    </w:p>
    <w:p w14:paraId="41ED04A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（1）拆除建筑垃圾（原有生产线拆迁固废）</w:t>
      </w:r>
    </w:p>
    <w:p w14:paraId="508D9A1F">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拆除固废主要为原有生产线钢结构支架、废旧设备壳体、废管道、破损平台板材等，拆除作业采取分段拆除，减少构件破碎，降低粉尘与固废无序散落；拆除前对场内固废堆放区域进行硬化、围挡，设置防雨防渗临时堆放点，分区存放可回收、不可回收建筑垃圾，张贴标识。</w:t>
      </w:r>
    </w:p>
    <w:p w14:paraId="4584113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拆除建筑垃圾在厂区内集中收集、分类堆放，不得随意倾倒、混合堆放；堆放场地设置围挡、防雨覆盖，防止雨水冲刷造成二次污染。</w:t>
      </w:r>
    </w:p>
    <w:p w14:paraId="1976F5D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可回收金属构件、废旧设备交由具备资质物资回收单位回收利用；不可回收建筑垃圾清运至合规建筑垃圾消纳场处置，建立建筑垃圾管理台账，记录产生量、种类、出场时间、运输单位、接收消纳场所，落实转运联单制度，全程可追溯。运输车辆密闭，防止遗撒。</w:t>
      </w:r>
    </w:p>
    <w:p w14:paraId="2E46259B">
      <w:pPr>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2）新增生产线和设备基础施工产生的废物</w:t>
      </w:r>
    </w:p>
    <w:p w14:paraId="3BFB2BCD">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新增生产线和设备基础施工</w:t>
      </w:r>
      <w:r>
        <w:rPr>
          <w:rFonts w:ascii="宋体" w:hAnsi="宋体" w:eastAsia="宋体" w:cs="宋体"/>
          <w:color w:val="000000" w:themeColor="text1"/>
          <w:sz w:val="24"/>
          <w:szCs w:val="24"/>
          <w:highlight w:val="none"/>
          <w14:textFill>
            <w14:solidFill>
              <w14:schemeClr w14:val="tx1"/>
            </w14:solidFill>
          </w14:textFill>
        </w:rPr>
        <w:t>过程会产生少量土方、混凝土碎块、砂石废料等建筑垃圾</w:t>
      </w:r>
      <w:r>
        <w:rPr>
          <w:rFonts w:hint="eastAsia" w:eastAsia="宋体"/>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项目施工期固体废物均进行分类收集、分区堆放、规范处置：土建施工产生的废土方、混凝土块、砂石等建筑垃圾统一收集后，优先用于场地平整、基坑回填，剩余可综合利用建筑垃圾委托合规单位清运处置；</w:t>
      </w:r>
    </w:p>
    <w:p w14:paraId="24B9D2B7">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）生活垃圾</w:t>
      </w:r>
    </w:p>
    <w:p w14:paraId="655032A4">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施工人员产生的生活垃圾，设置专用垃圾桶统一收集，交由厂区现有环卫系统清运至生活垃圾填埋场处置，严禁随意丢弃。</w:t>
      </w:r>
    </w:p>
    <w:p w14:paraId="650AD2C4">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拆除施工结束后，及时清理现场，清运全部固废。施工期固废均得到妥善处置，不会对周边环境造成长期不利影响。</w:t>
      </w:r>
    </w:p>
    <w:p w14:paraId="1B24E14A">
      <w:pPr>
        <w:widowControl/>
        <w:ind w:firstLine="0" w:firstLineChars="0"/>
        <w:jc w:val="left"/>
        <w:rPr>
          <w:color w:val="000000" w:themeColor="text1"/>
          <w:highlight w:val="none"/>
          <w14:textFill>
            <w14:solidFill>
              <w14:schemeClr w14:val="tx1"/>
            </w14:solidFill>
          </w14:textFill>
        </w:rPr>
      </w:pPr>
      <w:bookmarkStart w:id="987" w:name="_Toc5380"/>
      <w:r>
        <w:rPr>
          <w:rStyle w:val="28"/>
          <w:rFonts w:hint="eastAsia" w:eastAsia="宋体"/>
          <w:color w:val="000000" w:themeColor="text1"/>
          <w:highlight w:val="none"/>
          <w:lang w:val="en-US" w:eastAsia="zh-CN"/>
          <w14:textFill>
            <w14:solidFill>
              <w14:schemeClr w14:val="tx1"/>
            </w14:solidFill>
          </w14:textFill>
        </w:rPr>
        <w:t>5</w:t>
      </w:r>
      <w:r>
        <w:rPr>
          <w:rStyle w:val="28"/>
          <w:color w:val="000000" w:themeColor="text1"/>
          <w:highlight w:val="none"/>
          <w14:textFill>
            <w14:solidFill>
              <w14:schemeClr w14:val="tx1"/>
            </w14:solidFill>
          </w14:textFill>
        </w:rPr>
        <w:t>.1.5</w:t>
      </w:r>
      <w:r>
        <w:rPr>
          <w:rStyle w:val="28"/>
          <w:rFonts w:hint="eastAsia"/>
          <w:color w:val="000000" w:themeColor="text1"/>
          <w:highlight w:val="none"/>
          <w14:textFill>
            <w14:solidFill>
              <w14:schemeClr w14:val="tx1"/>
            </w14:solidFill>
          </w14:textFill>
        </w:rPr>
        <w:t>施工期对生态的影响</w:t>
      </w:r>
      <w:bookmarkEnd w:id="987"/>
      <w:r>
        <w:rPr>
          <w:rFonts w:hint="eastAsia" w:ascii="宋体" w:hAnsi="宋体" w:cs="宋体"/>
          <w:b/>
          <w:bCs/>
          <w:color w:val="000000" w:themeColor="text1"/>
          <w:kern w:val="0"/>
          <w:sz w:val="31"/>
          <w:szCs w:val="31"/>
          <w:highlight w:val="none"/>
          <w:lang w:bidi="ar"/>
          <w14:textFill>
            <w14:solidFill>
              <w14:schemeClr w14:val="tx1"/>
            </w14:solidFill>
          </w14:textFill>
        </w:rPr>
        <w:t xml:space="preserve"> </w:t>
      </w:r>
    </w:p>
    <w:p w14:paraId="527AAE28">
      <w:pPr>
        <w:bidi w:val="0"/>
        <w:rPr>
          <w:color w:val="000000" w:themeColor="text1"/>
          <w:highlight w:val="none"/>
          <w14:textFill>
            <w14:solidFill>
              <w14:schemeClr w14:val="tx1"/>
            </w14:solidFill>
          </w14:textFill>
        </w:rPr>
      </w:pPr>
      <w:bookmarkStart w:id="988" w:name="_Toc21723"/>
      <w:bookmarkStart w:id="989" w:name="_Toc24072"/>
      <w:bookmarkStart w:id="990" w:name="_Toc2401"/>
      <w:bookmarkStart w:id="991" w:name="_Toc6313"/>
      <w:bookmarkStart w:id="992" w:name="_Toc15948"/>
      <w:bookmarkStart w:id="993" w:name="_Toc1822"/>
      <w:bookmarkStart w:id="994" w:name="_Toc23846"/>
      <w:bookmarkStart w:id="995" w:name="_Toc13612"/>
      <w:bookmarkStart w:id="996" w:name="_Toc13741"/>
      <w:bookmarkStart w:id="997" w:name="_Toc22333"/>
      <w:bookmarkStart w:id="998" w:name="_Toc26043"/>
      <w:bookmarkStart w:id="999" w:name="_Toc23836"/>
      <w:bookmarkStart w:id="1000" w:name="_Toc3933"/>
      <w:bookmarkStart w:id="1001" w:name="_Toc25595"/>
      <w:bookmarkStart w:id="1002" w:name="_Toc28153"/>
      <w:bookmarkStart w:id="1003" w:name="_Toc6234"/>
      <w:bookmarkStart w:id="1004" w:name="_Toc32459"/>
      <w:bookmarkStart w:id="1005" w:name="_Toc30364"/>
      <w:bookmarkStart w:id="1006" w:name="_Toc31965"/>
      <w:bookmarkStart w:id="1007" w:name="_Toc16394"/>
      <w:bookmarkStart w:id="1008" w:name="_Toc2774"/>
      <w:bookmarkStart w:id="1009" w:name="_Toc20488"/>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施工期主要为新增生产线和设备基础施工和</w:t>
      </w:r>
      <w:r>
        <w:rPr>
          <w:color w:val="000000" w:themeColor="text1"/>
          <w:highlight w:val="none"/>
          <w14:textFill>
            <w14:solidFill>
              <w14:schemeClr w14:val="tx1"/>
            </w14:solidFill>
          </w14:textFill>
        </w:rPr>
        <w:t>原有生产线拆除及设备安装工作，</w:t>
      </w:r>
      <w:r>
        <w:rPr>
          <w:rFonts w:hint="eastAsia"/>
          <w:color w:val="000000" w:themeColor="text1"/>
          <w:highlight w:val="none"/>
          <w:lang w:val="en-US" w:eastAsia="zh-CN"/>
          <w14:textFill>
            <w14:solidFill>
              <w14:schemeClr w14:val="tx1"/>
            </w14:solidFill>
          </w14:textFill>
        </w:rPr>
        <w:t>均在现有厂区内进行，</w:t>
      </w:r>
      <w:r>
        <w:rPr>
          <w:color w:val="000000" w:themeColor="text1"/>
          <w:highlight w:val="none"/>
          <w14:textFill>
            <w14:solidFill>
              <w14:schemeClr w14:val="tx1"/>
            </w14:solidFill>
          </w14:textFill>
        </w:rPr>
        <w:t>不扰动场外土地。项目评价范围内无自然保护区、风景名胜区、野生动物重要栖息地、重点保护野生植物生长繁殖地等生态敏感区。项目区域长期受人为活动干扰，野生动物以啮齿类、爬行类小型动物、鸟类及昆虫为主；用地范围内地表植被覆盖率低，植被类型简单，无重要保护动植物分布。</w:t>
      </w:r>
    </w:p>
    <w:p w14:paraId="54AB540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施工活动局限于厂区已硬化区域，不破坏原生植被，无土方开挖扰动，施工结束后及时平整场地、清理杂物。因此施工期对区域生态环境影响很小。</w:t>
      </w:r>
    </w:p>
    <w:p w14:paraId="04E7E359">
      <w:pPr>
        <w:pStyle w:val="3"/>
        <w:rPr>
          <w:color w:val="000000" w:themeColor="text1"/>
          <w:highlight w:val="none"/>
          <w14:textFill>
            <w14:solidFill>
              <w14:schemeClr w14:val="tx1"/>
            </w14:solidFill>
          </w14:textFill>
        </w:rPr>
      </w:pPr>
      <w:bookmarkStart w:id="1010" w:name="_Toc11896"/>
      <w:r>
        <w:rPr>
          <w:rFonts w:hint="eastAsia"/>
          <w:color w:val="000000" w:themeColor="text1"/>
          <w:highlight w:val="none"/>
          <w:lang w:val="en-US" w:eastAsia="zh-CN"/>
          <w14:textFill>
            <w14:solidFill>
              <w14:schemeClr w14:val="tx1"/>
            </w14:solidFill>
          </w14:textFill>
        </w:rPr>
        <w:t>5</w:t>
      </w:r>
      <w:r>
        <w:rPr>
          <w:color w:val="000000" w:themeColor="text1"/>
          <w:highlight w:val="none"/>
          <w:lang w:val="en-US"/>
          <w14:textFill>
            <w14:solidFill>
              <w14:schemeClr w14:val="tx1"/>
            </w14:solidFill>
          </w14:textFill>
        </w:rPr>
        <w:t xml:space="preserve">.2 </w:t>
      </w:r>
      <w:r>
        <w:rPr>
          <w:rFonts w:hint="eastAsia"/>
          <w:color w:val="000000" w:themeColor="text1"/>
          <w:highlight w:val="none"/>
          <w:lang w:val="en-US"/>
          <w14:textFill>
            <w14:solidFill>
              <w14:schemeClr w14:val="tx1"/>
            </w14:solidFill>
          </w14:textFill>
        </w:rPr>
        <w:t>运营期环境影响预测与分析</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14:paraId="7B665657">
      <w:pPr>
        <w:pStyle w:val="4"/>
        <w:bidi w:val="0"/>
        <w:rPr>
          <w:rFonts w:hint="default"/>
          <w:color w:val="000000" w:themeColor="text1"/>
          <w:highlight w:val="none"/>
          <w:lang w:val="en-US" w:eastAsia="zh-CN"/>
          <w14:textFill>
            <w14:solidFill>
              <w14:schemeClr w14:val="tx1"/>
            </w14:solidFill>
          </w14:textFill>
        </w:rPr>
      </w:pPr>
      <w:bookmarkStart w:id="1011" w:name="_Toc15025"/>
      <w:bookmarkStart w:id="1012" w:name="_Toc163"/>
      <w:bookmarkStart w:id="1013" w:name="_Toc30501"/>
      <w:bookmarkStart w:id="1014" w:name="_Toc14257"/>
      <w:r>
        <w:rPr>
          <w:rFonts w:hint="eastAsia"/>
          <w:color w:val="000000" w:themeColor="text1"/>
          <w:highlight w:val="none"/>
          <w:lang w:val="en-US" w:eastAsia="zh-CN"/>
          <w14:textFill>
            <w14:solidFill>
              <w14:schemeClr w14:val="tx1"/>
            </w14:solidFill>
          </w14:textFill>
        </w:rPr>
        <w:t>5.2.1</w:t>
      </w:r>
      <w:bookmarkEnd w:id="1011"/>
      <w:bookmarkEnd w:id="1012"/>
      <w:bookmarkEnd w:id="1013"/>
      <w:r>
        <w:rPr>
          <w:rFonts w:hint="eastAsia"/>
          <w:color w:val="000000" w:themeColor="text1"/>
          <w:highlight w:val="none"/>
          <w:lang w:val="en-US" w:eastAsia="zh-CN"/>
          <w14:textFill>
            <w14:solidFill>
              <w14:schemeClr w14:val="tx1"/>
            </w14:solidFill>
          </w14:textFill>
        </w:rPr>
        <w:t>大气环境影响分析</w:t>
      </w:r>
    </w:p>
    <w:p w14:paraId="50621474">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5.2.1.1</w:t>
      </w:r>
      <w:r>
        <w:rPr>
          <w:rFonts w:hint="default"/>
          <w:color w:val="000000" w:themeColor="text1"/>
          <w:highlight w:val="none"/>
          <w:lang w:val="en-US" w:eastAsia="zh-CN"/>
          <w14:textFill>
            <w14:solidFill>
              <w14:schemeClr w14:val="tx1"/>
            </w14:solidFill>
          </w14:textFill>
        </w:rPr>
        <w:t>预测</w:t>
      </w:r>
      <w:r>
        <w:rPr>
          <w:rFonts w:hint="default"/>
          <w:color w:val="000000" w:themeColor="text1"/>
          <w:highlight w:val="none"/>
          <w14:textFill>
            <w14:solidFill>
              <w14:schemeClr w14:val="tx1"/>
            </w14:solidFill>
          </w14:textFill>
        </w:rPr>
        <w:t>因子</w:t>
      </w:r>
      <w:r>
        <w:rPr>
          <w:rFonts w:hint="default"/>
          <w:color w:val="000000" w:themeColor="text1"/>
          <w:highlight w:val="none"/>
          <w:lang w:val="en-US" w:eastAsia="zh-CN"/>
          <w14:textFill>
            <w14:solidFill>
              <w14:schemeClr w14:val="tx1"/>
            </w14:solidFill>
          </w14:textFill>
        </w:rPr>
        <w:t>及评价标准</w:t>
      </w:r>
      <w:bookmarkEnd w:id="1014"/>
    </w:p>
    <w:p w14:paraId="5D08F4C5">
      <w:pPr>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根据工程分析，结合《环境影响评价技术导则 大气环境》（HJ2.2-2018）要求，选取</w:t>
      </w:r>
      <w:r>
        <w:rPr>
          <w:rFonts w:hint="eastAsia"/>
          <w:color w:val="000000" w:themeColor="text1"/>
          <w:highlight w:val="none"/>
          <w:lang w:val="en-US" w:eastAsia="zh-CN"/>
          <w14:textFill>
            <w14:solidFill>
              <w14:schemeClr w14:val="tx1"/>
            </w14:solidFill>
          </w14:textFill>
        </w:rPr>
        <w:t>硫酸雾、氟化物、TSP、非甲烷总烃</w:t>
      </w:r>
      <w:r>
        <w:rPr>
          <w:rFonts w:hint="default"/>
          <w:color w:val="000000" w:themeColor="text1"/>
          <w:highlight w:val="none"/>
          <w14:textFill>
            <w14:solidFill>
              <w14:schemeClr w14:val="tx1"/>
            </w14:solidFill>
          </w14:textFill>
        </w:rPr>
        <w:t>作为评价因子，评价标准见表</w:t>
      </w:r>
      <w:r>
        <w:rPr>
          <w:rFonts w:hint="eastAsia"/>
          <w:color w:val="000000" w:themeColor="text1"/>
          <w:highlight w:val="none"/>
          <w:lang w:val="en-US" w:eastAsia="zh-CN"/>
          <w14:textFill>
            <w14:solidFill>
              <w14:schemeClr w14:val="tx1"/>
            </w14:solidFill>
          </w14:textFill>
        </w:rPr>
        <w:t>5.2.1-1</w:t>
      </w:r>
      <w:r>
        <w:rPr>
          <w:rFonts w:hint="default"/>
          <w:color w:val="000000" w:themeColor="text1"/>
          <w:highlight w:val="none"/>
          <w14:textFill>
            <w14:solidFill>
              <w14:schemeClr w14:val="tx1"/>
            </w14:solidFill>
          </w14:textFill>
        </w:rPr>
        <w:t>。</w:t>
      </w:r>
    </w:p>
    <w:p w14:paraId="01B25F45">
      <w:pPr>
        <w:pStyle w:val="25"/>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表5.2.1-1</w:t>
      </w:r>
      <w:r>
        <w:rPr>
          <w:rFonts w:hint="default"/>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14:textFill>
            <w14:solidFill>
              <w14:schemeClr w14:val="tx1"/>
            </w14:solidFill>
          </w14:textFill>
        </w:rPr>
        <w:t>评价因子和评价标准表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82"/>
        <w:gridCol w:w="1339"/>
        <w:gridCol w:w="2035"/>
        <w:gridCol w:w="4415"/>
      </w:tblGrid>
      <w:tr w14:paraId="2AD965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2" w:type="dxa"/>
            <w:tcBorders>
              <w:bottom w:val="single" w:color="auto" w:sz="12" w:space="0"/>
            </w:tcBorders>
            <w:noWrap/>
            <w:vAlign w:val="center"/>
          </w:tcPr>
          <w:p w14:paraId="309B93DC">
            <w:pPr>
              <w:pStyle w:val="26"/>
              <w:bidi w:val="0"/>
              <w:rPr>
                <w:rFonts w:hint="default"/>
                <w:b/>
                <w:bCs/>
                <w:color w:val="000000" w:themeColor="text1"/>
                <w:highlight w:val="none"/>
                <w:lang w:eastAsia="en-US"/>
                <w14:textFill>
                  <w14:solidFill>
                    <w14:schemeClr w14:val="tx1"/>
                  </w14:solidFill>
                </w14:textFill>
              </w:rPr>
            </w:pPr>
            <w:r>
              <w:rPr>
                <w:rFonts w:hint="default"/>
                <w:b/>
                <w:bCs/>
                <w:color w:val="000000" w:themeColor="text1"/>
                <w:highlight w:val="none"/>
                <w:lang w:eastAsia="en-US"/>
                <w14:textFill>
                  <w14:solidFill>
                    <w14:schemeClr w14:val="tx1"/>
                  </w14:solidFill>
                </w14:textFill>
              </w:rPr>
              <w:t>评价因子</w:t>
            </w:r>
          </w:p>
        </w:tc>
        <w:tc>
          <w:tcPr>
            <w:tcW w:w="1339" w:type="dxa"/>
            <w:tcBorders>
              <w:bottom w:val="single" w:color="auto" w:sz="12" w:space="0"/>
            </w:tcBorders>
            <w:noWrap/>
            <w:vAlign w:val="center"/>
          </w:tcPr>
          <w:p w14:paraId="02B2BD4F">
            <w:pPr>
              <w:pStyle w:val="26"/>
              <w:bidi w:val="0"/>
              <w:rPr>
                <w:rFonts w:hint="default"/>
                <w:b/>
                <w:bCs/>
                <w:color w:val="000000" w:themeColor="text1"/>
                <w:highlight w:val="none"/>
                <w:lang w:eastAsia="en-US"/>
                <w14:textFill>
                  <w14:solidFill>
                    <w14:schemeClr w14:val="tx1"/>
                  </w14:solidFill>
                </w14:textFill>
              </w:rPr>
            </w:pPr>
            <w:r>
              <w:rPr>
                <w:rFonts w:hint="default"/>
                <w:b/>
                <w:bCs/>
                <w:color w:val="000000" w:themeColor="text1"/>
                <w:highlight w:val="none"/>
                <w:lang w:eastAsia="en-US"/>
                <w14:textFill>
                  <w14:solidFill>
                    <w14:schemeClr w14:val="tx1"/>
                  </w14:solidFill>
                </w14:textFill>
              </w:rPr>
              <w:t>平均时段</w:t>
            </w:r>
          </w:p>
        </w:tc>
        <w:tc>
          <w:tcPr>
            <w:tcW w:w="2035" w:type="dxa"/>
            <w:tcBorders>
              <w:bottom w:val="single" w:color="auto" w:sz="12" w:space="0"/>
            </w:tcBorders>
            <w:noWrap/>
            <w:vAlign w:val="center"/>
          </w:tcPr>
          <w:p w14:paraId="1929C87D">
            <w:pPr>
              <w:pStyle w:val="26"/>
              <w:bidi w:val="0"/>
              <w:rPr>
                <w:rFonts w:hint="default"/>
                <w:b/>
                <w:bCs/>
                <w:color w:val="000000" w:themeColor="text1"/>
                <w:highlight w:val="none"/>
                <w14:textFill>
                  <w14:solidFill>
                    <w14:schemeClr w14:val="tx1"/>
                  </w14:solidFill>
                </w14:textFill>
              </w:rPr>
            </w:pPr>
            <w:r>
              <w:rPr>
                <w:rFonts w:hint="default"/>
                <w:b/>
                <w:bCs/>
                <w:color w:val="000000" w:themeColor="text1"/>
                <w:highlight w:val="none"/>
                <w:lang w:eastAsia="en-US"/>
                <w14:textFill>
                  <w14:solidFill>
                    <w14:schemeClr w14:val="tx1"/>
                  </w14:solidFill>
                </w14:textFill>
              </w:rPr>
              <w:t>标准值</w:t>
            </w:r>
            <w:r>
              <w:rPr>
                <w:rFonts w:hint="default"/>
                <w:b/>
                <w:bCs/>
                <w:color w:val="000000" w:themeColor="text1"/>
                <w:highlight w:val="none"/>
                <w14:textFill>
                  <w14:solidFill>
                    <w14:schemeClr w14:val="tx1"/>
                  </w14:solidFill>
                </w14:textFill>
              </w:rPr>
              <w:t>（</w:t>
            </w:r>
            <w:r>
              <w:rPr>
                <w:rFonts w:hint="eastAsia"/>
                <w:b/>
                <w:bCs/>
                <w:color w:val="000000" w:themeColor="text1"/>
                <w:highlight w:val="none"/>
                <w:lang w:eastAsia="zh-CN"/>
                <w14:textFill>
                  <w14:solidFill>
                    <w14:schemeClr w14:val="tx1"/>
                  </w14:solidFill>
                </w14:textFill>
              </w:rPr>
              <w:t>m</w:t>
            </w:r>
            <w:r>
              <w:rPr>
                <w:rFonts w:hint="default"/>
                <w:b/>
                <w:bCs/>
                <w:color w:val="000000" w:themeColor="text1"/>
                <w:highlight w:val="none"/>
                <w14:textFill>
                  <w14:solidFill>
                    <w14:schemeClr w14:val="tx1"/>
                  </w14:solidFill>
                </w14:textFill>
              </w:rPr>
              <w:t>g</w:t>
            </w:r>
            <w:r>
              <w:rPr>
                <w:rFonts w:hint="default"/>
                <w:b/>
                <w:bCs/>
                <w:color w:val="000000" w:themeColor="text1"/>
                <w:highlight w:val="none"/>
                <w:lang w:eastAsia="en-US"/>
                <w14:textFill>
                  <w14:solidFill>
                    <w14:schemeClr w14:val="tx1"/>
                  </w14:solidFill>
                </w14:textFill>
              </w:rPr>
              <w:t>/</w:t>
            </w:r>
            <w:r>
              <w:rPr>
                <w:rFonts w:hint="eastAsia"/>
                <w:b/>
                <w:bCs/>
                <w:color w:val="000000" w:themeColor="text1"/>
                <w:highlight w:val="none"/>
                <w:lang w:eastAsia="zh-CN"/>
                <w14:textFill>
                  <w14:solidFill>
                    <w14:schemeClr w14:val="tx1"/>
                  </w14:solidFill>
                </w14:textFill>
              </w:rPr>
              <w:t>m</w:t>
            </w:r>
            <w:r>
              <w:rPr>
                <w:rFonts w:hint="eastAsia"/>
                <w:b/>
                <w:bCs/>
                <w:color w:val="000000" w:themeColor="text1"/>
                <w:highlight w:val="none"/>
                <w:vertAlign w:val="superscript"/>
                <w:lang w:eastAsia="zh-CN"/>
                <w14:textFill>
                  <w14:solidFill>
                    <w14:schemeClr w14:val="tx1"/>
                  </w14:solidFill>
                </w14:textFill>
              </w:rPr>
              <w:t>3</w:t>
            </w:r>
            <w:r>
              <w:rPr>
                <w:rFonts w:hint="default"/>
                <w:b/>
                <w:bCs/>
                <w:color w:val="000000" w:themeColor="text1"/>
                <w:highlight w:val="none"/>
                <w14:textFill>
                  <w14:solidFill>
                    <w14:schemeClr w14:val="tx1"/>
                  </w14:solidFill>
                </w14:textFill>
              </w:rPr>
              <w:t>）</w:t>
            </w:r>
          </w:p>
        </w:tc>
        <w:tc>
          <w:tcPr>
            <w:tcW w:w="4415" w:type="dxa"/>
            <w:tcBorders>
              <w:bottom w:val="single" w:color="auto" w:sz="12" w:space="0"/>
            </w:tcBorders>
            <w:noWrap/>
            <w:vAlign w:val="center"/>
          </w:tcPr>
          <w:p w14:paraId="5C2FE40F">
            <w:pPr>
              <w:pStyle w:val="26"/>
              <w:bidi w:val="0"/>
              <w:rPr>
                <w:rFonts w:hint="default"/>
                <w:b/>
                <w:bCs/>
                <w:color w:val="000000" w:themeColor="text1"/>
                <w:highlight w:val="none"/>
                <w:lang w:eastAsia="en-US"/>
                <w14:textFill>
                  <w14:solidFill>
                    <w14:schemeClr w14:val="tx1"/>
                  </w14:solidFill>
                </w14:textFill>
              </w:rPr>
            </w:pPr>
            <w:r>
              <w:rPr>
                <w:rFonts w:hint="default"/>
                <w:b/>
                <w:bCs/>
                <w:color w:val="000000" w:themeColor="text1"/>
                <w:highlight w:val="none"/>
                <w:lang w:eastAsia="en-US"/>
                <w14:textFill>
                  <w14:solidFill>
                    <w14:schemeClr w14:val="tx1"/>
                  </w14:solidFill>
                </w14:textFill>
              </w:rPr>
              <w:t>标准来源</w:t>
            </w:r>
          </w:p>
        </w:tc>
      </w:tr>
      <w:tr w14:paraId="1E8DBB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2" w:type="dxa"/>
            <w:tcBorders>
              <w:tl2br w:val="nil"/>
              <w:tr2bl w:val="nil"/>
            </w:tcBorders>
            <w:noWrap/>
            <w:vAlign w:val="center"/>
          </w:tcPr>
          <w:p w14:paraId="6F3B930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TSP</w:t>
            </w:r>
          </w:p>
        </w:tc>
        <w:tc>
          <w:tcPr>
            <w:tcW w:w="1339" w:type="dxa"/>
            <w:tcBorders>
              <w:tl2br w:val="nil"/>
              <w:tr2bl w:val="nil"/>
            </w:tcBorders>
            <w:noWrap/>
            <w:vAlign w:val="center"/>
          </w:tcPr>
          <w:p w14:paraId="38A54A9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日均值</w:t>
            </w:r>
          </w:p>
        </w:tc>
        <w:tc>
          <w:tcPr>
            <w:tcW w:w="2035" w:type="dxa"/>
            <w:tcBorders>
              <w:tl2br w:val="nil"/>
              <w:tr2bl w:val="nil"/>
            </w:tcBorders>
            <w:noWrap/>
            <w:vAlign w:val="center"/>
          </w:tcPr>
          <w:p w14:paraId="0E334083">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w:t>
            </w:r>
          </w:p>
        </w:tc>
        <w:tc>
          <w:tcPr>
            <w:tcW w:w="4415" w:type="dxa"/>
            <w:vMerge w:val="restart"/>
            <w:tcBorders>
              <w:tl2br w:val="nil"/>
              <w:tr2bl w:val="nil"/>
            </w:tcBorders>
            <w:noWrap/>
            <w:vAlign w:val="center"/>
          </w:tcPr>
          <w:p w14:paraId="78AC66A0">
            <w:pPr>
              <w:pStyle w:val="26"/>
              <w:bidi w:val="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《环境空气质量标准》（GB3095-2026）表2中二级标准限值</w:t>
            </w:r>
          </w:p>
        </w:tc>
      </w:tr>
      <w:tr w14:paraId="2DDED1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2" w:type="dxa"/>
            <w:tcBorders>
              <w:tl2br w:val="nil"/>
              <w:tr2bl w:val="nil"/>
            </w:tcBorders>
            <w:noWrap/>
            <w:vAlign w:val="center"/>
          </w:tcPr>
          <w:p w14:paraId="2039E126">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氟化物</w:t>
            </w:r>
          </w:p>
        </w:tc>
        <w:tc>
          <w:tcPr>
            <w:tcW w:w="1339" w:type="dxa"/>
            <w:tcBorders>
              <w:tl2br w:val="nil"/>
              <w:tr2bl w:val="nil"/>
            </w:tcBorders>
            <w:noWrap/>
            <w:vAlign w:val="center"/>
          </w:tcPr>
          <w:p w14:paraId="71DA7B4C">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14:textFill>
                  <w14:solidFill>
                    <w14:schemeClr w14:val="tx1"/>
                  </w14:solidFill>
                </w14:textFill>
              </w:rPr>
              <w:t>1h平均</w:t>
            </w:r>
          </w:p>
        </w:tc>
        <w:tc>
          <w:tcPr>
            <w:tcW w:w="2035" w:type="dxa"/>
            <w:tcBorders>
              <w:tl2br w:val="nil"/>
              <w:tr2bl w:val="nil"/>
            </w:tcBorders>
            <w:noWrap/>
            <w:vAlign w:val="center"/>
          </w:tcPr>
          <w:p w14:paraId="1CDA99A3">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w:t>
            </w:r>
            <w:r>
              <w:rPr>
                <w:rFonts w:hint="default"/>
                <w:color w:val="000000" w:themeColor="text1"/>
                <w:highlight w:val="none"/>
                <w:lang w:val="en-US" w:eastAsia="zh-CN"/>
                <w14:textFill>
                  <w14:solidFill>
                    <w14:schemeClr w14:val="tx1"/>
                  </w14:solidFill>
                </w14:textFill>
              </w:rPr>
              <w:t>2</w:t>
            </w:r>
          </w:p>
        </w:tc>
        <w:tc>
          <w:tcPr>
            <w:tcW w:w="4415" w:type="dxa"/>
            <w:vMerge w:val="continue"/>
            <w:tcBorders>
              <w:tl2br w:val="nil"/>
              <w:tr2bl w:val="nil"/>
            </w:tcBorders>
            <w:noWrap/>
            <w:vAlign w:val="center"/>
          </w:tcPr>
          <w:p w14:paraId="74E4BD55">
            <w:pPr>
              <w:pStyle w:val="26"/>
              <w:bidi w:val="0"/>
              <w:jc w:val="both"/>
              <w:rPr>
                <w:rFonts w:hint="default"/>
                <w:color w:val="000000" w:themeColor="text1"/>
                <w:highlight w:val="none"/>
                <w:lang w:val="en-US" w:eastAsia="zh-CN"/>
                <w14:textFill>
                  <w14:solidFill>
                    <w14:schemeClr w14:val="tx1"/>
                  </w14:solidFill>
                </w14:textFill>
              </w:rPr>
            </w:pPr>
          </w:p>
        </w:tc>
      </w:tr>
      <w:tr w14:paraId="18E25E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2" w:type="dxa"/>
            <w:tcBorders>
              <w:tl2br w:val="nil"/>
              <w:tr2bl w:val="nil"/>
            </w:tcBorders>
            <w:noWrap/>
            <w:vAlign w:val="center"/>
          </w:tcPr>
          <w:p w14:paraId="47E1A107">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w:t>
            </w:r>
          </w:p>
        </w:tc>
        <w:tc>
          <w:tcPr>
            <w:tcW w:w="1339" w:type="dxa"/>
            <w:tcBorders>
              <w:tl2br w:val="nil"/>
              <w:tr2bl w:val="nil"/>
            </w:tcBorders>
            <w:noWrap/>
            <w:vAlign w:val="center"/>
          </w:tcPr>
          <w:p w14:paraId="66ED569F">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1h平均</w:t>
            </w:r>
          </w:p>
        </w:tc>
        <w:tc>
          <w:tcPr>
            <w:tcW w:w="2035" w:type="dxa"/>
            <w:tcBorders>
              <w:tl2br w:val="nil"/>
              <w:tr2bl w:val="nil"/>
            </w:tcBorders>
            <w:noWrap/>
            <w:vAlign w:val="center"/>
          </w:tcPr>
          <w:p w14:paraId="1C5B9C4D">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w:t>
            </w:r>
          </w:p>
        </w:tc>
        <w:tc>
          <w:tcPr>
            <w:tcW w:w="4415" w:type="dxa"/>
            <w:tcBorders>
              <w:tl2br w:val="nil"/>
              <w:tr2bl w:val="nil"/>
            </w:tcBorders>
            <w:shd w:val="clear" w:color="auto" w:fill="auto"/>
            <w:noWrap/>
            <w:vAlign w:val="center"/>
          </w:tcPr>
          <w:p w14:paraId="17A2298A">
            <w:pPr>
              <w:pStyle w:val="26"/>
              <w:bidi w:val="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《环境影响评价技术导则 大气环境》（HJ2.2-2018）</w:t>
            </w:r>
            <w:r>
              <w:rPr>
                <w:rFonts w:hint="eastAsia"/>
                <w:color w:val="000000" w:themeColor="text1"/>
                <w:highlight w:val="none"/>
                <w:lang w:val="en-US" w:eastAsia="zh-CN"/>
                <w14:textFill>
                  <w14:solidFill>
                    <w14:schemeClr w14:val="tx1"/>
                  </w14:solidFill>
                </w14:textFill>
              </w:rPr>
              <w:t>附录D</w:t>
            </w:r>
          </w:p>
        </w:tc>
      </w:tr>
      <w:tr w14:paraId="5247AD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2" w:type="dxa"/>
            <w:tcBorders>
              <w:tl2br w:val="nil"/>
              <w:tr2bl w:val="nil"/>
            </w:tcBorders>
            <w:noWrap/>
            <w:vAlign w:val="center"/>
          </w:tcPr>
          <w:p w14:paraId="32A0A899">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非甲烷总烃</w:t>
            </w:r>
          </w:p>
        </w:tc>
        <w:tc>
          <w:tcPr>
            <w:tcW w:w="1339" w:type="dxa"/>
            <w:tcBorders>
              <w:tl2br w:val="nil"/>
              <w:tr2bl w:val="nil"/>
            </w:tcBorders>
            <w:noWrap/>
            <w:vAlign w:val="center"/>
          </w:tcPr>
          <w:p w14:paraId="7D2D32C0">
            <w:pPr>
              <w:pStyle w:val="26"/>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1h平均</w:t>
            </w:r>
          </w:p>
        </w:tc>
        <w:tc>
          <w:tcPr>
            <w:tcW w:w="2035" w:type="dxa"/>
            <w:tcBorders>
              <w:tl2br w:val="nil"/>
              <w:tr2bl w:val="nil"/>
            </w:tcBorders>
            <w:noWrap/>
            <w:vAlign w:val="center"/>
          </w:tcPr>
          <w:p w14:paraId="4F4B752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c>
          <w:tcPr>
            <w:tcW w:w="4415" w:type="dxa"/>
            <w:tcBorders>
              <w:tl2br w:val="nil"/>
              <w:tr2bl w:val="nil"/>
            </w:tcBorders>
            <w:noWrap/>
            <w:vAlign w:val="center"/>
          </w:tcPr>
          <w:p w14:paraId="2AAF5067">
            <w:pPr>
              <w:pStyle w:val="26"/>
              <w:bidi w:val="0"/>
              <w:jc w:val="both"/>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《大气污染物综合排放标准》（</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）详解</w:t>
            </w:r>
          </w:p>
        </w:tc>
      </w:tr>
    </w:tbl>
    <w:p w14:paraId="601269BA">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1.2</w:t>
      </w:r>
      <w:r>
        <w:rPr>
          <w:rFonts w:hint="default"/>
          <w:color w:val="000000" w:themeColor="text1"/>
          <w:highlight w:val="none"/>
          <w:lang w:val="en-US" w:eastAsia="zh-CN"/>
          <w14:textFill>
            <w14:solidFill>
              <w14:schemeClr w14:val="tx1"/>
            </w14:solidFill>
          </w14:textFill>
        </w:rPr>
        <w:t>预测模式及参数选取</w:t>
      </w:r>
    </w:p>
    <w:p w14:paraId="73420791">
      <w:pPr>
        <w:keepNext w:val="0"/>
        <w:keepLines w:val="0"/>
        <w:pageBreakBefore w:val="0"/>
        <w:widowControl w:val="0"/>
        <w:shd w:val="clear" w:color="auto" w:fill="auto"/>
        <w:kinsoku/>
        <w:wordWrap w:val="0"/>
        <w:overflowPunct/>
        <w:topLinePunct w:val="0"/>
        <w:autoSpaceDE/>
        <w:autoSpaceDN/>
        <w:bidi w:val="0"/>
        <w:spacing w:beforeAutospacing="0" w:line="360" w:lineRule="auto"/>
        <w:ind w:left="0" w:leftChars="0" w:right="0" w:rightChars="0" w:firstLine="480" w:firstLineChars="200"/>
        <w:rPr>
          <w:rFonts w:hint="default" w:ascii="Times New Roman" w:hAnsi="Times New Roman" w:eastAsia="宋体" w:cs="Times New Roman"/>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大气环境影响评价预测模式采用《环境影响评价技术导则</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大气环境》（HJ2.2-2018）所推荐EIAProA2018大气环评专业辅助系统的AER</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S</w:t>
      </w:r>
      <w:r>
        <w:rPr>
          <w:rFonts w:hint="default" w:ascii="Times New Roman" w:hAnsi="Times New Roman" w:eastAsia="宋体" w:cs="Times New Roman"/>
          <w:color w:val="000000" w:themeColor="text1"/>
          <w:sz w:val="24"/>
          <w:szCs w:val="24"/>
          <w:highlight w:val="none"/>
          <w14:textFill>
            <w14:solidFill>
              <w14:schemeClr w14:val="tx1"/>
            </w14:solidFill>
          </w14:textFill>
        </w:rPr>
        <w:t>CREEN模式系统进行预测的计算。估算模式所用参数见表</w:t>
      </w:r>
      <w:r>
        <w:rPr>
          <w:rFonts w:hint="eastAsia"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1D7652AE">
      <w:pPr>
        <w:pStyle w:val="25"/>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 xml:space="preserve">2   </w:t>
      </w:r>
      <w:r>
        <w:rPr>
          <w:rFonts w:hint="default"/>
          <w:color w:val="000000" w:themeColor="text1"/>
          <w:highlight w:val="none"/>
          <w14:textFill>
            <w14:solidFill>
              <w14:schemeClr w14:val="tx1"/>
            </w14:solidFill>
          </w14:textFill>
        </w:rPr>
        <w:t xml:space="preserve">  估算模型参数表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55"/>
        <w:gridCol w:w="3860"/>
        <w:gridCol w:w="3156"/>
      </w:tblGrid>
      <w:tr w14:paraId="69D56D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gridSpan w:val="2"/>
            <w:tcBorders>
              <w:bottom w:val="single" w:color="auto" w:sz="12" w:space="0"/>
            </w:tcBorders>
            <w:noWrap w:val="0"/>
            <w:vAlign w:val="center"/>
          </w:tcPr>
          <w:p w14:paraId="08A7083F">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参数</w:t>
            </w:r>
          </w:p>
        </w:tc>
        <w:tc>
          <w:tcPr>
            <w:tcW w:w="0" w:type="dxa"/>
            <w:tcBorders>
              <w:bottom w:val="single" w:color="auto" w:sz="12" w:space="0"/>
            </w:tcBorders>
            <w:noWrap w:val="0"/>
            <w:vAlign w:val="center"/>
          </w:tcPr>
          <w:p w14:paraId="2710DFF2">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取值</w:t>
            </w:r>
          </w:p>
        </w:tc>
      </w:tr>
      <w:tr w14:paraId="26810B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vMerge w:val="restart"/>
            <w:tcBorders>
              <w:top w:val="single" w:color="auto" w:sz="12" w:space="0"/>
              <w:tl2br w:val="nil"/>
              <w:tr2bl w:val="nil"/>
            </w:tcBorders>
            <w:noWrap w:val="0"/>
            <w:vAlign w:val="center"/>
          </w:tcPr>
          <w:p w14:paraId="3150E64E">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城市/农村选项</w:t>
            </w:r>
          </w:p>
        </w:tc>
        <w:tc>
          <w:tcPr>
            <w:tcW w:w="0" w:type="dxa"/>
            <w:tcBorders>
              <w:top w:val="single" w:color="auto" w:sz="12" w:space="0"/>
              <w:tl2br w:val="nil"/>
              <w:tr2bl w:val="nil"/>
            </w:tcBorders>
            <w:noWrap w:val="0"/>
            <w:vAlign w:val="center"/>
          </w:tcPr>
          <w:p w14:paraId="19B37AC1">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城市/农村</w:t>
            </w:r>
          </w:p>
        </w:tc>
        <w:tc>
          <w:tcPr>
            <w:tcW w:w="0" w:type="dxa"/>
            <w:tcBorders>
              <w:top w:val="single" w:color="auto" w:sz="12" w:space="0"/>
              <w:tl2br w:val="nil"/>
              <w:tr2bl w:val="nil"/>
            </w:tcBorders>
            <w:noWrap w:val="0"/>
            <w:vAlign w:val="center"/>
          </w:tcPr>
          <w:p w14:paraId="378457CC">
            <w:pPr>
              <w:pStyle w:val="26"/>
              <w:bidi w:val="0"/>
              <w:rPr>
                <w:rFonts w:hint="eastAsia"/>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农村</w:t>
            </w:r>
          </w:p>
        </w:tc>
      </w:tr>
      <w:tr w14:paraId="0F2B36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vMerge w:val="continue"/>
            <w:tcBorders>
              <w:tl2br w:val="nil"/>
              <w:tr2bl w:val="nil"/>
            </w:tcBorders>
            <w:noWrap w:val="0"/>
            <w:vAlign w:val="center"/>
          </w:tcPr>
          <w:p w14:paraId="0CB111E0">
            <w:pPr>
              <w:pStyle w:val="26"/>
              <w:bidi w:val="0"/>
              <w:rPr>
                <w:color w:val="000000" w:themeColor="text1"/>
                <w:highlight w:val="none"/>
                <w14:textFill>
                  <w14:solidFill>
                    <w14:schemeClr w14:val="tx1"/>
                  </w14:solidFill>
                </w14:textFill>
              </w:rPr>
            </w:pPr>
          </w:p>
        </w:tc>
        <w:tc>
          <w:tcPr>
            <w:tcW w:w="0" w:type="dxa"/>
            <w:tcBorders>
              <w:tl2br w:val="nil"/>
              <w:tr2bl w:val="nil"/>
            </w:tcBorders>
            <w:noWrap w:val="0"/>
            <w:vAlign w:val="center"/>
          </w:tcPr>
          <w:p w14:paraId="433E5F15">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人口数</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城市人口数</w:t>
            </w:r>
            <w:r>
              <w:rPr>
                <w:rFonts w:hint="eastAsia"/>
                <w:color w:val="000000" w:themeColor="text1"/>
                <w:highlight w:val="none"/>
                <w:lang w:eastAsia="zh-CN"/>
                <w14:textFill>
                  <w14:solidFill>
                    <w14:schemeClr w14:val="tx1"/>
                  </w14:solidFill>
                </w14:textFill>
              </w:rPr>
              <w:t>）</w:t>
            </w:r>
          </w:p>
        </w:tc>
        <w:tc>
          <w:tcPr>
            <w:tcW w:w="0" w:type="dxa"/>
            <w:tcBorders>
              <w:tl2br w:val="nil"/>
              <w:tr2bl w:val="nil"/>
            </w:tcBorders>
            <w:noWrap w:val="0"/>
            <w:vAlign w:val="center"/>
          </w:tcPr>
          <w:p w14:paraId="765E970D">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413C71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gridSpan w:val="2"/>
            <w:tcBorders>
              <w:tl2br w:val="nil"/>
              <w:tr2bl w:val="nil"/>
            </w:tcBorders>
            <w:noWrap w:val="0"/>
            <w:vAlign w:val="center"/>
          </w:tcPr>
          <w:p w14:paraId="2B049065">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最高环境温度</w:t>
            </w:r>
          </w:p>
        </w:tc>
        <w:tc>
          <w:tcPr>
            <w:tcW w:w="0" w:type="dxa"/>
            <w:tcBorders>
              <w:tl2br w:val="nil"/>
              <w:tr2bl w:val="nil"/>
            </w:tcBorders>
            <w:noWrap w:val="0"/>
            <w:vAlign w:val="center"/>
          </w:tcPr>
          <w:p w14:paraId="57006E99">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42.9</w:t>
            </w:r>
          </w:p>
        </w:tc>
      </w:tr>
      <w:tr w14:paraId="18C2FF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gridSpan w:val="2"/>
            <w:tcBorders>
              <w:tl2br w:val="nil"/>
              <w:tr2bl w:val="nil"/>
            </w:tcBorders>
            <w:noWrap w:val="0"/>
            <w:vAlign w:val="center"/>
          </w:tcPr>
          <w:p w14:paraId="1EFBD10B">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最低环境温度</w:t>
            </w:r>
          </w:p>
        </w:tc>
        <w:tc>
          <w:tcPr>
            <w:tcW w:w="0" w:type="dxa"/>
            <w:tcBorders>
              <w:tl2br w:val="nil"/>
              <w:tr2bl w:val="nil"/>
            </w:tcBorders>
            <w:noWrap w:val="0"/>
            <w:vAlign w:val="center"/>
          </w:tcPr>
          <w:p w14:paraId="6443FA6F">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-36.8</w:t>
            </w:r>
          </w:p>
        </w:tc>
      </w:tr>
      <w:tr w14:paraId="59098C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gridSpan w:val="2"/>
            <w:tcBorders>
              <w:tl2br w:val="nil"/>
              <w:tr2bl w:val="nil"/>
            </w:tcBorders>
            <w:noWrap w:val="0"/>
            <w:vAlign w:val="center"/>
          </w:tcPr>
          <w:p w14:paraId="72AF30FF">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土地利用类型</w:t>
            </w:r>
          </w:p>
        </w:tc>
        <w:tc>
          <w:tcPr>
            <w:tcW w:w="0" w:type="dxa"/>
            <w:tcBorders>
              <w:tl2br w:val="nil"/>
              <w:tr2bl w:val="nil"/>
            </w:tcBorders>
            <w:noWrap w:val="0"/>
            <w:vAlign w:val="center"/>
          </w:tcPr>
          <w:p w14:paraId="234DFEFD">
            <w:pPr>
              <w:pStyle w:val="26"/>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工业用地</w:t>
            </w:r>
          </w:p>
        </w:tc>
      </w:tr>
      <w:tr w14:paraId="408708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gridSpan w:val="2"/>
            <w:tcBorders>
              <w:tl2br w:val="nil"/>
              <w:tr2bl w:val="nil"/>
            </w:tcBorders>
            <w:noWrap w:val="0"/>
            <w:vAlign w:val="center"/>
          </w:tcPr>
          <w:p w14:paraId="5E2FA818">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区域湿度条件</w:t>
            </w:r>
          </w:p>
        </w:tc>
        <w:tc>
          <w:tcPr>
            <w:tcW w:w="0" w:type="dxa"/>
            <w:tcBorders>
              <w:tl2br w:val="nil"/>
              <w:tr2bl w:val="nil"/>
            </w:tcBorders>
            <w:noWrap w:val="0"/>
            <w:vAlign w:val="center"/>
          </w:tcPr>
          <w:p w14:paraId="18648618">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干燥</w:t>
            </w:r>
          </w:p>
        </w:tc>
      </w:tr>
      <w:tr w14:paraId="35ACB8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vMerge w:val="restart"/>
            <w:tcBorders>
              <w:tl2br w:val="nil"/>
              <w:tr2bl w:val="nil"/>
            </w:tcBorders>
            <w:noWrap w:val="0"/>
            <w:vAlign w:val="center"/>
          </w:tcPr>
          <w:p w14:paraId="04D30E26">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是否考虑地形</w:t>
            </w:r>
          </w:p>
        </w:tc>
        <w:tc>
          <w:tcPr>
            <w:tcW w:w="0" w:type="dxa"/>
            <w:tcBorders>
              <w:tl2br w:val="nil"/>
              <w:tr2bl w:val="nil"/>
            </w:tcBorders>
            <w:noWrap w:val="0"/>
            <w:vAlign w:val="center"/>
          </w:tcPr>
          <w:p w14:paraId="4A6C837B">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考虑地形</w:t>
            </w:r>
          </w:p>
        </w:tc>
        <w:tc>
          <w:tcPr>
            <w:tcW w:w="0" w:type="dxa"/>
            <w:tcBorders>
              <w:tl2br w:val="nil"/>
              <w:tr2bl w:val="nil"/>
            </w:tcBorders>
            <w:noWrap w:val="0"/>
            <w:vAlign w:val="center"/>
          </w:tcPr>
          <w:p w14:paraId="73BEF69A">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w:t>
            </w:r>
          </w:p>
        </w:tc>
      </w:tr>
      <w:tr w14:paraId="3E8BB6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vMerge w:val="continue"/>
            <w:tcBorders>
              <w:tl2br w:val="nil"/>
              <w:tr2bl w:val="nil"/>
            </w:tcBorders>
            <w:noWrap w:val="0"/>
            <w:vAlign w:val="center"/>
          </w:tcPr>
          <w:p w14:paraId="72FD0A61">
            <w:pPr>
              <w:pStyle w:val="26"/>
              <w:bidi w:val="0"/>
              <w:rPr>
                <w:color w:val="000000" w:themeColor="text1"/>
                <w:highlight w:val="none"/>
                <w14:textFill>
                  <w14:solidFill>
                    <w14:schemeClr w14:val="tx1"/>
                  </w14:solidFill>
                </w14:textFill>
              </w:rPr>
            </w:pPr>
          </w:p>
        </w:tc>
        <w:tc>
          <w:tcPr>
            <w:tcW w:w="0" w:type="dxa"/>
            <w:tcBorders>
              <w:tl2br w:val="nil"/>
              <w:tr2bl w:val="nil"/>
            </w:tcBorders>
            <w:noWrap w:val="0"/>
            <w:vAlign w:val="center"/>
          </w:tcPr>
          <w:p w14:paraId="0C5DD399">
            <w:pPr>
              <w:pStyle w:val="26"/>
              <w:bidi w:val="0"/>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地形数据分辨率</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m</w:t>
            </w:r>
            <w:r>
              <w:rPr>
                <w:rFonts w:hint="eastAsia"/>
                <w:color w:val="000000" w:themeColor="text1"/>
                <w:highlight w:val="none"/>
                <w:lang w:eastAsia="zh-CN"/>
                <w14:textFill>
                  <w14:solidFill>
                    <w14:schemeClr w14:val="tx1"/>
                  </w14:solidFill>
                </w14:textFill>
              </w:rPr>
              <w:t>）</w:t>
            </w:r>
          </w:p>
        </w:tc>
        <w:tc>
          <w:tcPr>
            <w:tcW w:w="0" w:type="dxa"/>
            <w:tcBorders>
              <w:tl2br w:val="nil"/>
              <w:tr2bl w:val="nil"/>
            </w:tcBorders>
            <w:noWrap w:val="0"/>
            <w:vAlign w:val="center"/>
          </w:tcPr>
          <w:p w14:paraId="2FC2142F">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90</w:t>
            </w:r>
          </w:p>
        </w:tc>
      </w:tr>
      <w:tr w14:paraId="1785B6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vMerge w:val="restart"/>
            <w:tcBorders>
              <w:tl2br w:val="nil"/>
              <w:tr2bl w:val="nil"/>
            </w:tcBorders>
            <w:noWrap w:val="0"/>
            <w:vAlign w:val="center"/>
          </w:tcPr>
          <w:p w14:paraId="6C8F5D19">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是否考虑岸线熏烟</w:t>
            </w:r>
          </w:p>
        </w:tc>
        <w:tc>
          <w:tcPr>
            <w:tcW w:w="0" w:type="dxa"/>
            <w:tcBorders>
              <w:tl2br w:val="nil"/>
              <w:tr2bl w:val="nil"/>
            </w:tcBorders>
            <w:noWrap w:val="0"/>
            <w:vAlign w:val="center"/>
          </w:tcPr>
          <w:p w14:paraId="0B504D56">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考虑岸线熏烟</w:t>
            </w:r>
          </w:p>
        </w:tc>
        <w:tc>
          <w:tcPr>
            <w:tcW w:w="0" w:type="dxa"/>
            <w:tcBorders>
              <w:tl2br w:val="nil"/>
              <w:tr2bl w:val="nil"/>
            </w:tcBorders>
            <w:noWrap w:val="0"/>
            <w:vAlign w:val="center"/>
          </w:tcPr>
          <w:p w14:paraId="22F05333">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否</w:t>
            </w:r>
          </w:p>
        </w:tc>
      </w:tr>
      <w:tr w14:paraId="4CD4E7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vMerge w:val="continue"/>
            <w:tcBorders>
              <w:tl2br w:val="nil"/>
              <w:tr2bl w:val="nil"/>
            </w:tcBorders>
            <w:noWrap w:val="0"/>
            <w:vAlign w:val="center"/>
          </w:tcPr>
          <w:p w14:paraId="21BEFF03">
            <w:pPr>
              <w:pStyle w:val="26"/>
              <w:bidi w:val="0"/>
              <w:rPr>
                <w:color w:val="000000" w:themeColor="text1"/>
                <w:highlight w:val="none"/>
                <w14:textFill>
                  <w14:solidFill>
                    <w14:schemeClr w14:val="tx1"/>
                  </w14:solidFill>
                </w14:textFill>
              </w:rPr>
            </w:pPr>
          </w:p>
        </w:tc>
        <w:tc>
          <w:tcPr>
            <w:tcW w:w="0" w:type="dxa"/>
            <w:tcBorders>
              <w:tl2br w:val="nil"/>
              <w:tr2bl w:val="nil"/>
            </w:tcBorders>
            <w:noWrap w:val="0"/>
            <w:vAlign w:val="center"/>
          </w:tcPr>
          <w:p w14:paraId="53683618">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岸线距离/m</w:t>
            </w:r>
          </w:p>
        </w:tc>
        <w:tc>
          <w:tcPr>
            <w:tcW w:w="0" w:type="dxa"/>
            <w:tcBorders>
              <w:tl2br w:val="nil"/>
              <w:tr2bl w:val="nil"/>
            </w:tcBorders>
            <w:noWrap w:val="0"/>
            <w:vAlign w:val="center"/>
          </w:tcPr>
          <w:p w14:paraId="5642B220">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r w14:paraId="13DD91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dxa"/>
            <w:vMerge w:val="continue"/>
            <w:tcBorders>
              <w:tl2br w:val="nil"/>
              <w:tr2bl w:val="nil"/>
            </w:tcBorders>
            <w:noWrap w:val="0"/>
            <w:vAlign w:val="center"/>
          </w:tcPr>
          <w:p w14:paraId="78873963">
            <w:pPr>
              <w:pStyle w:val="26"/>
              <w:bidi w:val="0"/>
              <w:rPr>
                <w:color w:val="000000" w:themeColor="text1"/>
                <w:highlight w:val="none"/>
                <w14:textFill>
                  <w14:solidFill>
                    <w14:schemeClr w14:val="tx1"/>
                  </w14:solidFill>
                </w14:textFill>
              </w:rPr>
            </w:pPr>
          </w:p>
        </w:tc>
        <w:tc>
          <w:tcPr>
            <w:tcW w:w="0" w:type="dxa"/>
            <w:tcBorders>
              <w:tl2br w:val="nil"/>
              <w:tr2bl w:val="nil"/>
            </w:tcBorders>
            <w:noWrap w:val="0"/>
            <w:vAlign w:val="center"/>
          </w:tcPr>
          <w:p w14:paraId="60717D31">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岸线方向/°</w:t>
            </w:r>
          </w:p>
        </w:tc>
        <w:tc>
          <w:tcPr>
            <w:tcW w:w="0" w:type="dxa"/>
            <w:tcBorders>
              <w:tl2br w:val="nil"/>
              <w:tr2bl w:val="nil"/>
            </w:tcBorders>
            <w:noWrap w:val="0"/>
            <w:vAlign w:val="center"/>
          </w:tcPr>
          <w:p w14:paraId="295D56C6">
            <w:pPr>
              <w:pStyle w:val="26"/>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r>
    </w:tbl>
    <w:p w14:paraId="5E04C40C">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.3大气预测主要污染源参数</w:t>
      </w:r>
    </w:p>
    <w:p w14:paraId="6032B299">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正常工况下</w:t>
      </w:r>
      <w:r>
        <w:rPr>
          <w:rFonts w:hint="default" w:ascii="Times New Roman" w:hAnsi="Times New Roman" w:eastAsia="宋体" w:cs="Times New Roman"/>
          <w:color w:val="000000" w:themeColor="text1"/>
          <w:sz w:val="24"/>
          <w:szCs w:val="24"/>
          <w:highlight w:val="none"/>
          <w14:textFill>
            <w14:solidFill>
              <w14:schemeClr w14:val="tx1"/>
            </w14:solidFill>
          </w14:textFill>
        </w:rPr>
        <w:t>有组织排放源源强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参数</w:t>
      </w:r>
      <w:r>
        <w:rPr>
          <w:rFonts w:hint="default" w:ascii="Times New Roman" w:hAnsi="Times New Roman" w:eastAsia="宋体" w:cs="Times New Roman"/>
          <w:color w:val="000000" w:themeColor="text1"/>
          <w:sz w:val="24"/>
          <w:szCs w:val="24"/>
          <w:highlight w:val="none"/>
          <w14:textFill>
            <w14:solidFill>
              <w14:schemeClr w14:val="tx1"/>
            </w14:solidFill>
          </w14:textFill>
        </w:rPr>
        <w:t>表</w:t>
      </w:r>
      <w:r>
        <w:rPr>
          <w:rFonts w:hint="eastAsia"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，无组织排放源源强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参数</w:t>
      </w:r>
      <w:r>
        <w:rPr>
          <w:rFonts w:hint="default" w:ascii="Times New Roman" w:hAnsi="Times New Roman" w:eastAsia="宋体" w:cs="Times New Roman"/>
          <w:color w:val="000000" w:themeColor="text1"/>
          <w:sz w:val="24"/>
          <w:szCs w:val="24"/>
          <w:highlight w:val="none"/>
          <w14:textFill>
            <w14:solidFill>
              <w14:schemeClr w14:val="tx1"/>
            </w14:solidFill>
          </w14:textFill>
        </w:rPr>
        <w:t>见表</w:t>
      </w:r>
      <w:r>
        <w:rPr>
          <w:rFonts w:hint="eastAsia"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3381B848">
      <w:pPr>
        <w:pStyle w:val="25"/>
        <w:bidi w:val="0"/>
        <w:rPr>
          <w:rFonts w:hint="eastAsia"/>
          <w:color w:val="000000" w:themeColor="text1"/>
          <w:highlight w:val="none"/>
          <w:lang w:eastAsia="zh-CN"/>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 xml:space="preserve">3 </w:t>
      </w:r>
      <w:r>
        <w:rPr>
          <w:rFonts w:hint="default"/>
          <w:color w:val="000000" w:themeColor="text1"/>
          <w:highlight w:val="none"/>
          <w14:textFill>
            <w14:solidFill>
              <w14:schemeClr w14:val="tx1"/>
            </w14:solidFill>
          </w14:textFill>
        </w:rPr>
        <w:t xml:space="preserve">    有组织废气污染源参数一览表</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点源</w:t>
      </w:r>
      <w:r>
        <w:rPr>
          <w:rFonts w:hint="eastAsia"/>
          <w:color w:val="000000" w:themeColor="text1"/>
          <w:highlight w:val="none"/>
          <w:lang w:eastAsia="zh-CN"/>
          <w14:textFill>
            <w14:solidFill>
              <w14:schemeClr w14:val="tx1"/>
            </w14:solidFill>
          </w14:textFill>
        </w:rPr>
        <w:t>）</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8"/>
        <w:gridCol w:w="759"/>
        <w:gridCol w:w="882"/>
        <w:gridCol w:w="880"/>
        <w:gridCol w:w="855"/>
        <w:gridCol w:w="724"/>
        <w:gridCol w:w="704"/>
        <w:gridCol w:w="630"/>
        <w:gridCol w:w="724"/>
        <w:gridCol w:w="412"/>
        <w:gridCol w:w="730"/>
        <w:gridCol w:w="833"/>
      </w:tblGrid>
      <w:tr w14:paraId="052EE8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pct"/>
            <w:vMerge w:val="restart"/>
            <w:noWrap w:val="0"/>
            <w:vAlign w:val="center"/>
          </w:tcPr>
          <w:p w14:paraId="1CA4789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编号</w:t>
            </w:r>
          </w:p>
        </w:tc>
        <w:tc>
          <w:tcPr>
            <w:tcW w:w="904" w:type="pct"/>
            <w:gridSpan w:val="2"/>
            <w:noWrap w:val="0"/>
            <w:vAlign w:val="center"/>
          </w:tcPr>
          <w:p w14:paraId="35C8DF0D">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排气筒底部中心坐标</w:t>
            </w:r>
          </w:p>
        </w:tc>
        <w:tc>
          <w:tcPr>
            <w:tcW w:w="485" w:type="pct"/>
            <w:vMerge w:val="restart"/>
            <w:noWrap w:val="0"/>
            <w:vAlign w:val="center"/>
          </w:tcPr>
          <w:p w14:paraId="73DF3B8D">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排气筒底部海拔高度(m)</w:t>
            </w:r>
          </w:p>
        </w:tc>
        <w:tc>
          <w:tcPr>
            <w:tcW w:w="1605" w:type="pct"/>
            <w:gridSpan w:val="4"/>
            <w:noWrap w:val="0"/>
            <w:vAlign w:val="center"/>
          </w:tcPr>
          <w:p w14:paraId="64A7334C">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排气筒参数</w:t>
            </w:r>
          </w:p>
        </w:tc>
        <w:tc>
          <w:tcPr>
            <w:tcW w:w="626" w:type="pct"/>
            <w:gridSpan w:val="2"/>
            <w:noWrap w:val="0"/>
            <w:vAlign w:val="center"/>
          </w:tcPr>
          <w:p w14:paraId="0AC3D99C">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运行参数</w:t>
            </w:r>
          </w:p>
        </w:tc>
        <w:tc>
          <w:tcPr>
            <w:tcW w:w="861" w:type="pct"/>
            <w:gridSpan w:val="2"/>
            <w:noWrap w:val="0"/>
            <w:vAlign w:val="center"/>
          </w:tcPr>
          <w:p w14:paraId="094D242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污染源参数</w:t>
            </w:r>
          </w:p>
        </w:tc>
      </w:tr>
      <w:tr w14:paraId="1B29A8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pct"/>
            <w:vMerge w:val="continue"/>
            <w:tcBorders>
              <w:bottom w:val="single" w:color="auto" w:sz="12" w:space="0"/>
            </w:tcBorders>
            <w:noWrap w:val="0"/>
            <w:vAlign w:val="center"/>
          </w:tcPr>
          <w:p w14:paraId="71E1D33F">
            <w:pPr>
              <w:pStyle w:val="26"/>
              <w:bidi w:val="0"/>
              <w:rPr>
                <w:rFonts w:hint="default"/>
                <w:color w:val="000000" w:themeColor="text1"/>
                <w:highlight w:val="none"/>
                <w:lang w:val="en-US" w:eastAsia="zh-CN"/>
                <w14:textFill>
                  <w14:solidFill>
                    <w14:schemeClr w14:val="tx1"/>
                  </w14:solidFill>
                </w14:textFill>
              </w:rPr>
            </w:pPr>
          </w:p>
        </w:tc>
        <w:tc>
          <w:tcPr>
            <w:tcW w:w="418" w:type="pct"/>
            <w:tcBorders>
              <w:bottom w:val="single" w:color="auto" w:sz="12" w:space="0"/>
            </w:tcBorders>
            <w:noWrap w:val="0"/>
            <w:vAlign w:val="center"/>
          </w:tcPr>
          <w:p w14:paraId="4C35C3A8">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经度</w:t>
            </w:r>
          </w:p>
        </w:tc>
        <w:tc>
          <w:tcPr>
            <w:tcW w:w="486" w:type="pct"/>
            <w:tcBorders>
              <w:bottom w:val="single" w:color="auto" w:sz="12" w:space="0"/>
            </w:tcBorders>
            <w:noWrap w:val="0"/>
            <w:vAlign w:val="center"/>
          </w:tcPr>
          <w:p w14:paraId="3444E292">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纬度</w:t>
            </w:r>
          </w:p>
        </w:tc>
        <w:tc>
          <w:tcPr>
            <w:tcW w:w="485" w:type="pct"/>
            <w:vMerge w:val="continue"/>
            <w:tcBorders>
              <w:bottom w:val="single" w:color="auto" w:sz="12" w:space="0"/>
            </w:tcBorders>
            <w:noWrap w:val="0"/>
            <w:vAlign w:val="center"/>
          </w:tcPr>
          <w:p w14:paraId="4C14D14C">
            <w:pPr>
              <w:pStyle w:val="26"/>
              <w:bidi w:val="0"/>
              <w:rPr>
                <w:rFonts w:hint="default"/>
                <w:color w:val="000000" w:themeColor="text1"/>
                <w:highlight w:val="none"/>
                <w:lang w:val="en-US" w:eastAsia="zh-CN"/>
                <w14:textFill>
                  <w14:solidFill>
                    <w14:schemeClr w14:val="tx1"/>
                  </w14:solidFill>
                </w14:textFill>
              </w:rPr>
            </w:pPr>
          </w:p>
        </w:tc>
        <w:tc>
          <w:tcPr>
            <w:tcW w:w="471" w:type="pct"/>
            <w:tcBorders>
              <w:bottom w:val="single" w:color="auto" w:sz="12" w:space="0"/>
            </w:tcBorders>
            <w:noWrap w:val="0"/>
            <w:vAlign w:val="center"/>
          </w:tcPr>
          <w:p w14:paraId="14582AF9">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排气筒高度(m)</w:t>
            </w:r>
          </w:p>
        </w:tc>
        <w:tc>
          <w:tcPr>
            <w:tcW w:w="399" w:type="pct"/>
            <w:tcBorders>
              <w:bottom w:val="single" w:color="auto" w:sz="12" w:space="0"/>
            </w:tcBorders>
            <w:noWrap w:val="0"/>
            <w:vAlign w:val="center"/>
          </w:tcPr>
          <w:p w14:paraId="67E96DD9">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排气筒出口内径(m)</w:t>
            </w:r>
          </w:p>
        </w:tc>
        <w:tc>
          <w:tcPr>
            <w:tcW w:w="388" w:type="pct"/>
            <w:tcBorders>
              <w:bottom w:val="single" w:color="auto" w:sz="12" w:space="0"/>
            </w:tcBorders>
            <w:noWrap w:val="0"/>
            <w:vAlign w:val="center"/>
          </w:tcPr>
          <w:p w14:paraId="124E3FCD">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烟气流速(m/s)</w:t>
            </w:r>
          </w:p>
        </w:tc>
        <w:tc>
          <w:tcPr>
            <w:tcW w:w="347" w:type="pct"/>
            <w:tcBorders>
              <w:bottom w:val="single" w:color="auto" w:sz="12" w:space="0"/>
            </w:tcBorders>
            <w:noWrap w:val="0"/>
            <w:vAlign w:val="center"/>
          </w:tcPr>
          <w:p w14:paraId="543702A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烟气温度(℃)</w:t>
            </w:r>
          </w:p>
        </w:tc>
        <w:tc>
          <w:tcPr>
            <w:tcW w:w="399" w:type="pct"/>
            <w:tcBorders>
              <w:bottom w:val="single" w:color="auto" w:sz="12" w:space="0"/>
            </w:tcBorders>
            <w:noWrap w:val="0"/>
            <w:vAlign w:val="center"/>
          </w:tcPr>
          <w:p w14:paraId="378EB98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年排放小时数(h)</w:t>
            </w:r>
          </w:p>
        </w:tc>
        <w:tc>
          <w:tcPr>
            <w:tcW w:w="227" w:type="pct"/>
            <w:tcBorders>
              <w:bottom w:val="single" w:color="auto" w:sz="12" w:space="0"/>
            </w:tcBorders>
            <w:noWrap w:val="0"/>
            <w:vAlign w:val="center"/>
          </w:tcPr>
          <w:p w14:paraId="62344FA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排放工况</w:t>
            </w:r>
          </w:p>
        </w:tc>
        <w:tc>
          <w:tcPr>
            <w:tcW w:w="402" w:type="pct"/>
            <w:tcBorders>
              <w:bottom w:val="single" w:color="auto" w:sz="12" w:space="0"/>
            </w:tcBorders>
            <w:noWrap w:val="0"/>
            <w:vAlign w:val="center"/>
          </w:tcPr>
          <w:p w14:paraId="16B056E4">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污染源名称</w:t>
            </w:r>
          </w:p>
        </w:tc>
        <w:tc>
          <w:tcPr>
            <w:tcW w:w="459" w:type="pct"/>
            <w:tcBorders>
              <w:bottom w:val="single" w:color="auto" w:sz="12" w:space="0"/>
            </w:tcBorders>
            <w:noWrap w:val="0"/>
            <w:vAlign w:val="center"/>
          </w:tcPr>
          <w:p w14:paraId="09278D84">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污染物排放速率(kg/h)</w:t>
            </w:r>
          </w:p>
        </w:tc>
      </w:tr>
      <w:tr w14:paraId="2E1D94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17" w:type="pct"/>
            <w:vMerge w:val="restart"/>
            <w:tcBorders>
              <w:tl2br w:val="nil"/>
              <w:tr2bl w:val="nil"/>
            </w:tcBorders>
            <w:noWrap w:val="0"/>
            <w:vAlign w:val="center"/>
          </w:tcPr>
          <w:p w14:paraId="1BE7463B">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废气</w:t>
            </w:r>
            <w:r>
              <w:rPr>
                <w:rFonts w:hint="default"/>
                <w:color w:val="000000" w:themeColor="text1"/>
                <w:highlight w:val="none"/>
                <w:lang w:val="en-US" w:eastAsia="zh-CN"/>
                <w14:textFill>
                  <w14:solidFill>
                    <w14:schemeClr w14:val="tx1"/>
                  </w14:solidFill>
                </w14:textFill>
              </w:rPr>
              <w:t>排放口DA00</w:t>
            </w:r>
            <w:r>
              <w:rPr>
                <w:rFonts w:hint="eastAsia"/>
                <w:color w:val="000000" w:themeColor="text1"/>
                <w:highlight w:val="none"/>
                <w:lang w:val="en-US" w:eastAsia="zh-CN"/>
                <w14:textFill>
                  <w14:solidFill>
                    <w14:schemeClr w14:val="tx1"/>
                  </w14:solidFill>
                </w14:textFill>
              </w:rPr>
              <w:t>1</w:t>
            </w:r>
          </w:p>
        </w:tc>
        <w:tc>
          <w:tcPr>
            <w:tcW w:w="418" w:type="pct"/>
            <w:vMerge w:val="restart"/>
            <w:tcBorders>
              <w:tl2br w:val="nil"/>
              <w:tr2bl w:val="nil"/>
            </w:tcBorders>
            <w:noWrap w:val="0"/>
            <w:vAlign w:val="center"/>
          </w:tcPr>
          <w:p w14:paraId="743916A0">
            <w:pPr>
              <w:pStyle w:val="26"/>
              <w:bidi w:val="0"/>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en-US"/>
                <w14:textFill>
                  <w14:solidFill>
                    <w14:schemeClr w14:val="tx1"/>
                  </w14:solidFill>
                </w14:textFill>
              </w:rPr>
              <w:t>87.133759</w:t>
            </w:r>
          </w:p>
        </w:tc>
        <w:tc>
          <w:tcPr>
            <w:tcW w:w="486" w:type="pct"/>
            <w:vMerge w:val="restart"/>
            <w:tcBorders>
              <w:tl2br w:val="nil"/>
              <w:tr2bl w:val="nil"/>
            </w:tcBorders>
            <w:noWrap w:val="0"/>
            <w:vAlign w:val="center"/>
          </w:tcPr>
          <w:p w14:paraId="27BA702D">
            <w:pPr>
              <w:pStyle w:val="26"/>
              <w:bidi w:val="0"/>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44.090658</w:t>
            </w:r>
          </w:p>
        </w:tc>
        <w:tc>
          <w:tcPr>
            <w:tcW w:w="485" w:type="pct"/>
            <w:vMerge w:val="restart"/>
            <w:tcBorders>
              <w:tl2br w:val="nil"/>
              <w:tr2bl w:val="nil"/>
            </w:tcBorders>
            <w:noWrap w:val="0"/>
            <w:vAlign w:val="center"/>
          </w:tcPr>
          <w:p w14:paraId="569316C9">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552</w:t>
            </w:r>
          </w:p>
        </w:tc>
        <w:tc>
          <w:tcPr>
            <w:tcW w:w="471" w:type="pct"/>
            <w:vMerge w:val="restart"/>
            <w:tcBorders>
              <w:tl2br w:val="nil"/>
              <w:tr2bl w:val="nil"/>
            </w:tcBorders>
            <w:noWrap w:val="0"/>
            <w:vAlign w:val="center"/>
          </w:tcPr>
          <w:p w14:paraId="1009214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p>
        </w:tc>
        <w:tc>
          <w:tcPr>
            <w:tcW w:w="399" w:type="pct"/>
            <w:vMerge w:val="restart"/>
            <w:tcBorders>
              <w:tl2br w:val="nil"/>
              <w:tr2bl w:val="nil"/>
            </w:tcBorders>
            <w:noWrap w:val="0"/>
            <w:vAlign w:val="center"/>
          </w:tcPr>
          <w:p w14:paraId="703A83CB">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w:t>
            </w:r>
          </w:p>
        </w:tc>
        <w:tc>
          <w:tcPr>
            <w:tcW w:w="388" w:type="pct"/>
            <w:vMerge w:val="restart"/>
            <w:tcBorders>
              <w:tl2br w:val="nil"/>
              <w:tr2bl w:val="nil"/>
            </w:tcBorders>
            <w:noWrap w:val="0"/>
            <w:vAlign w:val="center"/>
          </w:tcPr>
          <w:p w14:paraId="61A2AAD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8.83</w:t>
            </w:r>
          </w:p>
        </w:tc>
        <w:tc>
          <w:tcPr>
            <w:tcW w:w="347" w:type="pct"/>
            <w:vMerge w:val="restart"/>
            <w:tcBorders>
              <w:tl2br w:val="nil"/>
              <w:tr2bl w:val="nil"/>
            </w:tcBorders>
            <w:noWrap w:val="0"/>
            <w:vAlign w:val="center"/>
          </w:tcPr>
          <w:p w14:paraId="07B8E91F">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w:t>
            </w:r>
          </w:p>
        </w:tc>
        <w:tc>
          <w:tcPr>
            <w:tcW w:w="399" w:type="pct"/>
            <w:vMerge w:val="restart"/>
            <w:tcBorders>
              <w:tl2br w:val="nil"/>
              <w:tr2bl w:val="nil"/>
            </w:tcBorders>
            <w:noWrap w:val="0"/>
            <w:vAlign w:val="center"/>
          </w:tcPr>
          <w:p w14:paraId="42479E27">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4320</w:t>
            </w:r>
          </w:p>
        </w:tc>
        <w:tc>
          <w:tcPr>
            <w:tcW w:w="227" w:type="pct"/>
            <w:vMerge w:val="restart"/>
            <w:tcBorders>
              <w:tl2br w:val="nil"/>
              <w:tr2bl w:val="nil"/>
            </w:tcBorders>
            <w:noWrap w:val="0"/>
            <w:vAlign w:val="center"/>
          </w:tcPr>
          <w:p w14:paraId="38C43F81">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正常</w:t>
            </w:r>
          </w:p>
        </w:tc>
        <w:tc>
          <w:tcPr>
            <w:tcW w:w="402" w:type="pct"/>
            <w:tcBorders>
              <w:tl2br w:val="nil"/>
              <w:tr2bl w:val="nil"/>
            </w:tcBorders>
            <w:noWrap w:val="0"/>
            <w:vAlign w:val="center"/>
          </w:tcPr>
          <w:p w14:paraId="49F49DA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459" w:type="pct"/>
            <w:tcBorders>
              <w:tl2br w:val="nil"/>
              <w:tr2bl w:val="nil"/>
            </w:tcBorders>
            <w:noWrap w:val="0"/>
            <w:vAlign w:val="center"/>
          </w:tcPr>
          <w:p w14:paraId="523925F6">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778</w:t>
            </w:r>
          </w:p>
        </w:tc>
      </w:tr>
      <w:tr w14:paraId="30D421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517" w:type="pct"/>
            <w:vMerge w:val="continue"/>
            <w:tcBorders>
              <w:tl2br w:val="nil"/>
              <w:tr2bl w:val="nil"/>
            </w:tcBorders>
            <w:noWrap w:val="0"/>
            <w:vAlign w:val="center"/>
          </w:tcPr>
          <w:p w14:paraId="1548B0E8">
            <w:pPr>
              <w:pStyle w:val="26"/>
              <w:bidi w:val="0"/>
              <w:rPr>
                <w:rFonts w:hint="eastAsia"/>
                <w:color w:val="000000" w:themeColor="text1"/>
                <w:highlight w:val="none"/>
                <w:lang w:val="en-US" w:eastAsia="zh-CN"/>
                <w14:textFill>
                  <w14:solidFill>
                    <w14:schemeClr w14:val="tx1"/>
                  </w14:solidFill>
                </w14:textFill>
              </w:rPr>
            </w:pPr>
          </w:p>
        </w:tc>
        <w:tc>
          <w:tcPr>
            <w:tcW w:w="418" w:type="pct"/>
            <w:vMerge w:val="continue"/>
            <w:tcBorders>
              <w:tl2br w:val="nil"/>
              <w:tr2bl w:val="nil"/>
            </w:tcBorders>
            <w:noWrap w:val="0"/>
            <w:vAlign w:val="center"/>
          </w:tcPr>
          <w:p w14:paraId="338E7B1D">
            <w:pPr>
              <w:pStyle w:val="26"/>
              <w:bidi w:val="0"/>
              <w:rPr>
                <w:rFonts w:hint="default"/>
                <w:color w:val="000000" w:themeColor="text1"/>
                <w:highlight w:val="none"/>
                <w:lang w:val="en-US" w:eastAsia="zh-CN"/>
                <w14:textFill>
                  <w14:solidFill>
                    <w14:schemeClr w14:val="tx1"/>
                  </w14:solidFill>
                </w14:textFill>
              </w:rPr>
            </w:pPr>
          </w:p>
        </w:tc>
        <w:tc>
          <w:tcPr>
            <w:tcW w:w="486" w:type="pct"/>
            <w:vMerge w:val="continue"/>
            <w:tcBorders>
              <w:tl2br w:val="nil"/>
              <w:tr2bl w:val="nil"/>
            </w:tcBorders>
            <w:noWrap w:val="0"/>
            <w:vAlign w:val="center"/>
          </w:tcPr>
          <w:p w14:paraId="1154A0DB">
            <w:pPr>
              <w:pStyle w:val="26"/>
              <w:bidi w:val="0"/>
              <w:rPr>
                <w:rFonts w:hint="default"/>
                <w:color w:val="000000" w:themeColor="text1"/>
                <w:highlight w:val="none"/>
                <w:lang w:val="en-US" w:eastAsia="zh-CN"/>
                <w14:textFill>
                  <w14:solidFill>
                    <w14:schemeClr w14:val="tx1"/>
                  </w14:solidFill>
                </w14:textFill>
              </w:rPr>
            </w:pPr>
          </w:p>
        </w:tc>
        <w:tc>
          <w:tcPr>
            <w:tcW w:w="485" w:type="pct"/>
            <w:vMerge w:val="continue"/>
            <w:tcBorders>
              <w:tl2br w:val="nil"/>
              <w:tr2bl w:val="nil"/>
            </w:tcBorders>
            <w:noWrap w:val="0"/>
            <w:vAlign w:val="center"/>
          </w:tcPr>
          <w:p w14:paraId="584A0CDA">
            <w:pPr>
              <w:pStyle w:val="26"/>
              <w:bidi w:val="0"/>
              <w:rPr>
                <w:rFonts w:hint="eastAsia"/>
                <w:color w:val="000000" w:themeColor="text1"/>
                <w:highlight w:val="none"/>
                <w:lang w:val="en-US" w:eastAsia="zh-CN"/>
                <w14:textFill>
                  <w14:solidFill>
                    <w14:schemeClr w14:val="tx1"/>
                  </w14:solidFill>
                </w14:textFill>
              </w:rPr>
            </w:pPr>
          </w:p>
        </w:tc>
        <w:tc>
          <w:tcPr>
            <w:tcW w:w="471" w:type="pct"/>
            <w:vMerge w:val="continue"/>
            <w:tcBorders>
              <w:tl2br w:val="nil"/>
              <w:tr2bl w:val="nil"/>
            </w:tcBorders>
            <w:noWrap w:val="0"/>
            <w:vAlign w:val="center"/>
          </w:tcPr>
          <w:p w14:paraId="14AFADD8">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68A164A7">
            <w:pPr>
              <w:pStyle w:val="26"/>
              <w:bidi w:val="0"/>
              <w:rPr>
                <w:rFonts w:hint="eastAsia"/>
                <w:color w:val="000000" w:themeColor="text1"/>
                <w:highlight w:val="none"/>
                <w:lang w:val="en-US" w:eastAsia="zh-CN"/>
                <w14:textFill>
                  <w14:solidFill>
                    <w14:schemeClr w14:val="tx1"/>
                  </w14:solidFill>
                </w14:textFill>
              </w:rPr>
            </w:pPr>
          </w:p>
        </w:tc>
        <w:tc>
          <w:tcPr>
            <w:tcW w:w="388" w:type="pct"/>
            <w:vMerge w:val="continue"/>
            <w:tcBorders>
              <w:tl2br w:val="nil"/>
              <w:tr2bl w:val="nil"/>
            </w:tcBorders>
            <w:noWrap w:val="0"/>
            <w:vAlign w:val="center"/>
          </w:tcPr>
          <w:p w14:paraId="0B42A6C1">
            <w:pPr>
              <w:pStyle w:val="26"/>
              <w:bidi w:val="0"/>
              <w:rPr>
                <w:rFonts w:hint="eastAsia"/>
                <w:color w:val="000000" w:themeColor="text1"/>
                <w:highlight w:val="none"/>
                <w:lang w:val="en-US" w:eastAsia="zh-CN"/>
                <w14:textFill>
                  <w14:solidFill>
                    <w14:schemeClr w14:val="tx1"/>
                  </w14:solidFill>
                </w14:textFill>
              </w:rPr>
            </w:pPr>
          </w:p>
        </w:tc>
        <w:tc>
          <w:tcPr>
            <w:tcW w:w="347" w:type="pct"/>
            <w:vMerge w:val="continue"/>
            <w:tcBorders>
              <w:tl2br w:val="nil"/>
              <w:tr2bl w:val="nil"/>
            </w:tcBorders>
            <w:noWrap w:val="0"/>
            <w:vAlign w:val="center"/>
          </w:tcPr>
          <w:p w14:paraId="237E1C9E">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79987BD9">
            <w:pPr>
              <w:pStyle w:val="26"/>
              <w:bidi w:val="0"/>
              <w:rPr>
                <w:rFonts w:hint="eastAsia"/>
                <w:color w:val="000000" w:themeColor="text1"/>
                <w:highlight w:val="none"/>
                <w:lang w:val="en-US" w:eastAsia="zh-CN"/>
                <w14:textFill>
                  <w14:solidFill>
                    <w14:schemeClr w14:val="tx1"/>
                  </w14:solidFill>
                </w14:textFill>
              </w:rPr>
            </w:pPr>
          </w:p>
        </w:tc>
        <w:tc>
          <w:tcPr>
            <w:tcW w:w="227" w:type="pct"/>
            <w:vMerge w:val="continue"/>
            <w:tcBorders>
              <w:tl2br w:val="nil"/>
              <w:tr2bl w:val="nil"/>
            </w:tcBorders>
            <w:noWrap w:val="0"/>
            <w:vAlign w:val="center"/>
          </w:tcPr>
          <w:p w14:paraId="7463D11E">
            <w:pPr>
              <w:pStyle w:val="26"/>
              <w:bidi w:val="0"/>
              <w:rPr>
                <w:rFonts w:hint="default"/>
                <w:color w:val="000000" w:themeColor="text1"/>
                <w:highlight w:val="none"/>
                <w:lang w:val="en-US" w:eastAsia="zh-CN"/>
                <w14:textFill>
                  <w14:solidFill>
                    <w14:schemeClr w14:val="tx1"/>
                  </w14:solidFill>
                </w14:textFill>
              </w:rPr>
            </w:pPr>
          </w:p>
        </w:tc>
        <w:tc>
          <w:tcPr>
            <w:tcW w:w="402" w:type="pct"/>
            <w:tcBorders>
              <w:tl2br w:val="nil"/>
              <w:tr2bl w:val="nil"/>
            </w:tcBorders>
            <w:noWrap w:val="0"/>
            <w:vAlign w:val="center"/>
          </w:tcPr>
          <w:p w14:paraId="2B47899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非甲烷总烃</w:t>
            </w:r>
          </w:p>
        </w:tc>
        <w:tc>
          <w:tcPr>
            <w:tcW w:w="459" w:type="pct"/>
            <w:tcBorders>
              <w:tl2br w:val="nil"/>
              <w:tr2bl w:val="nil"/>
            </w:tcBorders>
            <w:noWrap w:val="0"/>
            <w:vAlign w:val="center"/>
          </w:tcPr>
          <w:p w14:paraId="067986F9">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0.134</w:t>
            </w:r>
          </w:p>
        </w:tc>
      </w:tr>
      <w:tr w14:paraId="676D34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pct"/>
            <w:vMerge w:val="continue"/>
            <w:tcBorders>
              <w:tl2br w:val="nil"/>
              <w:tr2bl w:val="nil"/>
            </w:tcBorders>
            <w:noWrap w:val="0"/>
            <w:vAlign w:val="center"/>
          </w:tcPr>
          <w:p w14:paraId="63F913C2">
            <w:pPr>
              <w:pStyle w:val="26"/>
              <w:bidi w:val="0"/>
              <w:rPr>
                <w:rFonts w:hint="eastAsia"/>
                <w:color w:val="000000" w:themeColor="text1"/>
                <w:highlight w:val="none"/>
                <w:lang w:val="en-US" w:eastAsia="zh-CN"/>
                <w14:textFill>
                  <w14:solidFill>
                    <w14:schemeClr w14:val="tx1"/>
                  </w14:solidFill>
                </w14:textFill>
              </w:rPr>
            </w:pPr>
          </w:p>
        </w:tc>
        <w:tc>
          <w:tcPr>
            <w:tcW w:w="418" w:type="pct"/>
            <w:vMerge w:val="continue"/>
            <w:tcBorders>
              <w:tl2br w:val="nil"/>
              <w:tr2bl w:val="nil"/>
            </w:tcBorders>
            <w:noWrap w:val="0"/>
            <w:vAlign w:val="center"/>
          </w:tcPr>
          <w:p w14:paraId="45E8C704">
            <w:pPr>
              <w:pStyle w:val="26"/>
              <w:bidi w:val="0"/>
              <w:rPr>
                <w:rFonts w:hint="default"/>
                <w:color w:val="000000" w:themeColor="text1"/>
                <w:highlight w:val="none"/>
                <w:lang w:val="en-US" w:eastAsia="zh-CN"/>
                <w14:textFill>
                  <w14:solidFill>
                    <w14:schemeClr w14:val="tx1"/>
                  </w14:solidFill>
                </w14:textFill>
              </w:rPr>
            </w:pPr>
          </w:p>
        </w:tc>
        <w:tc>
          <w:tcPr>
            <w:tcW w:w="486" w:type="pct"/>
            <w:vMerge w:val="continue"/>
            <w:tcBorders>
              <w:tl2br w:val="nil"/>
              <w:tr2bl w:val="nil"/>
            </w:tcBorders>
            <w:noWrap w:val="0"/>
            <w:vAlign w:val="center"/>
          </w:tcPr>
          <w:p w14:paraId="6E083128">
            <w:pPr>
              <w:pStyle w:val="26"/>
              <w:bidi w:val="0"/>
              <w:rPr>
                <w:rFonts w:hint="default"/>
                <w:color w:val="000000" w:themeColor="text1"/>
                <w:highlight w:val="none"/>
                <w:lang w:val="en-US" w:eastAsia="zh-CN"/>
                <w14:textFill>
                  <w14:solidFill>
                    <w14:schemeClr w14:val="tx1"/>
                  </w14:solidFill>
                </w14:textFill>
              </w:rPr>
            </w:pPr>
          </w:p>
        </w:tc>
        <w:tc>
          <w:tcPr>
            <w:tcW w:w="485" w:type="pct"/>
            <w:vMerge w:val="continue"/>
            <w:tcBorders>
              <w:tl2br w:val="nil"/>
              <w:tr2bl w:val="nil"/>
            </w:tcBorders>
            <w:noWrap w:val="0"/>
            <w:vAlign w:val="center"/>
          </w:tcPr>
          <w:p w14:paraId="3293309A">
            <w:pPr>
              <w:pStyle w:val="26"/>
              <w:bidi w:val="0"/>
              <w:rPr>
                <w:rFonts w:hint="eastAsia"/>
                <w:color w:val="000000" w:themeColor="text1"/>
                <w:highlight w:val="none"/>
                <w:lang w:val="en-US" w:eastAsia="zh-CN"/>
                <w14:textFill>
                  <w14:solidFill>
                    <w14:schemeClr w14:val="tx1"/>
                  </w14:solidFill>
                </w14:textFill>
              </w:rPr>
            </w:pPr>
          </w:p>
        </w:tc>
        <w:tc>
          <w:tcPr>
            <w:tcW w:w="471" w:type="pct"/>
            <w:vMerge w:val="continue"/>
            <w:tcBorders>
              <w:tl2br w:val="nil"/>
              <w:tr2bl w:val="nil"/>
            </w:tcBorders>
            <w:noWrap w:val="0"/>
            <w:vAlign w:val="center"/>
          </w:tcPr>
          <w:p w14:paraId="73AA91EE">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68263339">
            <w:pPr>
              <w:pStyle w:val="26"/>
              <w:bidi w:val="0"/>
              <w:rPr>
                <w:rFonts w:hint="eastAsia"/>
                <w:color w:val="000000" w:themeColor="text1"/>
                <w:highlight w:val="none"/>
                <w:lang w:val="en-US" w:eastAsia="zh-CN"/>
                <w14:textFill>
                  <w14:solidFill>
                    <w14:schemeClr w14:val="tx1"/>
                  </w14:solidFill>
                </w14:textFill>
              </w:rPr>
            </w:pPr>
          </w:p>
        </w:tc>
        <w:tc>
          <w:tcPr>
            <w:tcW w:w="388" w:type="pct"/>
            <w:vMerge w:val="continue"/>
            <w:tcBorders>
              <w:tl2br w:val="nil"/>
              <w:tr2bl w:val="nil"/>
            </w:tcBorders>
            <w:noWrap w:val="0"/>
            <w:vAlign w:val="center"/>
          </w:tcPr>
          <w:p w14:paraId="1B95FB89">
            <w:pPr>
              <w:pStyle w:val="26"/>
              <w:bidi w:val="0"/>
              <w:rPr>
                <w:rFonts w:hint="eastAsia"/>
                <w:color w:val="000000" w:themeColor="text1"/>
                <w:highlight w:val="none"/>
                <w:lang w:val="en-US" w:eastAsia="zh-CN"/>
                <w14:textFill>
                  <w14:solidFill>
                    <w14:schemeClr w14:val="tx1"/>
                  </w14:solidFill>
                </w14:textFill>
              </w:rPr>
            </w:pPr>
          </w:p>
        </w:tc>
        <w:tc>
          <w:tcPr>
            <w:tcW w:w="347" w:type="pct"/>
            <w:vMerge w:val="continue"/>
            <w:tcBorders>
              <w:tl2br w:val="nil"/>
              <w:tr2bl w:val="nil"/>
            </w:tcBorders>
            <w:noWrap w:val="0"/>
            <w:vAlign w:val="center"/>
          </w:tcPr>
          <w:p w14:paraId="77393AB8">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15E8C47D">
            <w:pPr>
              <w:pStyle w:val="26"/>
              <w:bidi w:val="0"/>
              <w:rPr>
                <w:rFonts w:hint="eastAsia"/>
                <w:color w:val="000000" w:themeColor="text1"/>
                <w:highlight w:val="none"/>
                <w:lang w:val="en-US" w:eastAsia="zh-CN"/>
                <w14:textFill>
                  <w14:solidFill>
                    <w14:schemeClr w14:val="tx1"/>
                  </w14:solidFill>
                </w14:textFill>
              </w:rPr>
            </w:pPr>
          </w:p>
        </w:tc>
        <w:tc>
          <w:tcPr>
            <w:tcW w:w="227" w:type="pct"/>
            <w:vMerge w:val="continue"/>
            <w:tcBorders>
              <w:tl2br w:val="nil"/>
              <w:tr2bl w:val="nil"/>
            </w:tcBorders>
            <w:noWrap w:val="0"/>
            <w:vAlign w:val="center"/>
          </w:tcPr>
          <w:p w14:paraId="35C8071A">
            <w:pPr>
              <w:pStyle w:val="26"/>
              <w:bidi w:val="0"/>
              <w:rPr>
                <w:rFonts w:hint="default"/>
                <w:color w:val="000000" w:themeColor="text1"/>
                <w:highlight w:val="none"/>
                <w:lang w:val="en-US" w:eastAsia="zh-CN"/>
                <w14:textFill>
                  <w14:solidFill>
                    <w14:schemeClr w14:val="tx1"/>
                  </w14:solidFill>
                </w14:textFill>
              </w:rPr>
            </w:pPr>
          </w:p>
        </w:tc>
        <w:tc>
          <w:tcPr>
            <w:tcW w:w="402" w:type="pct"/>
            <w:tcBorders>
              <w:tl2br w:val="nil"/>
              <w:tr2bl w:val="nil"/>
            </w:tcBorders>
            <w:noWrap w:val="0"/>
            <w:vAlign w:val="center"/>
          </w:tcPr>
          <w:p w14:paraId="0CE956CB">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w:t>
            </w:r>
          </w:p>
        </w:tc>
        <w:tc>
          <w:tcPr>
            <w:tcW w:w="459" w:type="pct"/>
            <w:tcBorders>
              <w:tl2br w:val="nil"/>
              <w:tr2bl w:val="nil"/>
            </w:tcBorders>
            <w:noWrap w:val="0"/>
            <w:vAlign w:val="center"/>
          </w:tcPr>
          <w:p w14:paraId="5EBC0A0F">
            <w:pPr>
              <w:pStyle w:val="26"/>
              <w:bidi w:val="0"/>
              <w:jc w:val="center"/>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0.022</w:t>
            </w:r>
          </w:p>
        </w:tc>
      </w:tr>
      <w:tr w14:paraId="3DB8E1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7" w:type="pct"/>
            <w:vMerge w:val="continue"/>
            <w:tcBorders>
              <w:tl2br w:val="nil"/>
              <w:tr2bl w:val="nil"/>
            </w:tcBorders>
            <w:noWrap w:val="0"/>
            <w:vAlign w:val="center"/>
          </w:tcPr>
          <w:p w14:paraId="5C47F972">
            <w:pPr>
              <w:pStyle w:val="26"/>
              <w:bidi w:val="0"/>
              <w:rPr>
                <w:rFonts w:hint="eastAsia"/>
                <w:color w:val="000000" w:themeColor="text1"/>
                <w:highlight w:val="none"/>
                <w:lang w:val="en-US" w:eastAsia="zh-CN"/>
                <w14:textFill>
                  <w14:solidFill>
                    <w14:schemeClr w14:val="tx1"/>
                  </w14:solidFill>
                </w14:textFill>
              </w:rPr>
            </w:pPr>
          </w:p>
        </w:tc>
        <w:tc>
          <w:tcPr>
            <w:tcW w:w="418" w:type="pct"/>
            <w:vMerge w:val="continue"/>
            <w:tcBorders>
              <w:tl2br w:val="nil"/>
              <w:tr2bl w:val="nil"/>
            </w:tcBorders>
            <w:noWrap w:val="0"/>
            <w:vAlign w:val="center"/>
          </w:tcPr>
          <w:p w14:paraId="1A5B96A1">
            <w:pPr>
              <w:pStyle w:val="26"/>
              <w:bidi w:val="0"/>
              <w:rPr>
                <w:rFonts w:hint="default"/>
                <w:color w:val="000000" w:themeColor="text1"/>
                <w:highlight w:val="none"/>
                <w:lang w:val="en-US" w:eastAsia="zh-CN"/>
                <w14:textFill>
                  <w14:solidFill>
                    <w14:schemeClr w14:val="tx1"/>
                  </w14:solidFill>
                </w14:textFill>
              </w:rPr>
            </w:pPr>
          </w:p>
        </w:tc>
        <w:tc>
          <w:tcPr>
            <w:tcW w:w="486" w:type="pct"/>
            <w:vMerge w:val="continue"/>
            <w:tcBorders>
              <w:tl2br w:val="nil"/>
              <w:tr2bl w:val="nil"/>
            </w:tcBorders>
            <w:noWrap w:val="0"/>
            <w:vAlign w:val="center"/>
          </w:tcPr>
          <w:p w14:paraId="04E165F5">
            <w:pPr>
              <w:pStyle w:val="26"/>
              <w:bidi w:val="0"/>
              <w:rPr>
                <w:rFonts w:hint="default"/>
                <w:color w:val="000000" w:themeColor="text1"/>
                <w:highlight w:val="none"/>
                <w:lang w:val="en-US" w:eastAsia="zh-CN"/>
                <w14:textFill>
                  <w14:solidFill>
                    <w14:schemeClr w14:val="tx1"/>
                  </w14:solidFill>
                </w14:textFill>
              </w:rPr>
            </w:pPr>
          </w:p>
        </w:tc>
        <w:tc>
          <w:tcPr>
            <w:tcW w:w="485" w:type="pct"/>
            <w:vMerge w:val="continue"/>
            <w:tcBorders>
              <w:tl2br w:val="nil"/>
              <w:tr2bl w:val="nil"/>
            </w:tcBorders>
            <w:noWrap w:val="0"/>
            <w:vAlign w:val="center"/>
          </w:tcPr>
          <w:p w14:paraId="5E2AF666">
            <w:pPr>
              <w:pStyle w:val="26"/>
              <w:bidi w:val="0"/>
              <w:rPr>
                <w:rFonts w:hint="eastAsia"/>
                <w:color w:val="000000" w:themeColor="text1"/>
                <w:highlight w:val="none"/>
                <w:lang w:val="en-US" w:eastAsia="zh-CN"/>
                <w14:textFill>
                  <w14:solidFill>
                    <w14:schemeClr w14:val="tx1"/>
                  </w14:solidFill>
                </w14:textFill>
              </w:rPr>
            </w:pPr>
          </w:p>
        </w:tc>
        <w:tc>
          <w:tcPr>
            <w:tcW w:w="471" w:type="pct"/>
            <w:vMerge w:val="continue"/>
            <w:tcBorders>
              <w:tl2br w:val="nil"/>
              <w:tr2bl w:val="nil"/>
            </w:tcBorders>
            <w:noWrap w:val="0"/>
            <w:vAlign w:val="center"/>
          </w:tcPr>
          <w:p w14:paraId="0D964256">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14E69703">
            <w:pPr>
              <w:pStyle w:val="26"/>
              <w:bidi w:val="0"/>
              <w:rPr>
                <w:rFonts w:hint="eastAsia"/>
                <w:color w:val="000000" w:themeColor="text1"/>
                <w:highlight w:val="none"/>
                <w:lang w:val="en-US" w:eastAsia="zh-CN"/>
                <w14:textFill>
                  <w14:solidFill>
                    <w14:schemeClr w14:val="tx1"/>
                  </w14:solidFill>
                </w14:textFill>
              </w:rPr>
            </w:pPr>
          </w:p>
        </w:tc>
        <w:tc>
          <w:tcPr>
            <w:tcW w:w="388" w:type="pct"/>
            <w:vMerge w:val="continue"/>
            <w:tcBorders>
              <w:tl2br w:val="nil"/>
              <w:tr2bl w:val="nil"/>
            </w:tcBorders>
            <w:noWrap w:val="0"/>
            <w:vAlign w:val="center"/>
          </w:tcPr>
          <w:p w14:paraId="766DF70D">
            <w:pPr>
              <w:pStyle w:val="26"/>
              <w:bidi w:val="0"/>
              <w:rPr>
                <w:rFonts w:hint="eastAsia"/>
                <w:color w:val="000000" w:themeColor="text1"/>
                <w:highlight w:val="none"/>
                <w:lang w:val="en-US" w:eastAsia="zh-CN"/>
                <w14:textFill>
                  <w14:solidFill>
                    <w14:schemeClr w14:val="tx1"/>
                  </w14:solidFill>
                </w14:textFill>
              </w:rPr>
            </w:pPr>
          </w:p>
        </w:tc>
        <w:tc>
          <w:tcPr>
            <w:tcW w:w="347" w:type="pct"/>
            <w:vMerge w:val="continue"/>
            <w:tcBorders>
              <w:tl2br w:val="nil"/>
              <w:tr2bl w:val="nil"/>
            </w:tcBorders>
            <w:noWrap w:val="0"/>
            <w:vAlign w:val="center"/>
          </w:tcPr>
          <w:p w14:paraId="4142036C">
            <w:pPr>
              <w:pStyle w:val="26"/>
              <w:bidi w:val="0"/>
              <w:rPr>
                <w:rFonts w:hint="eastAsia"/>
                <w:color w:val="000000" w:themeColor="text1"/>
                <w:highlight w:val="none"/>
                <w:lang w:val="en-US" w:eastAsia="zh-CN"/>
                <w14:textFill>
                  <w14:solidFill>
                    <w14:schemeClr w14:val="tx1"/>
                  </w14:solidFill>
                </w14:textFill>
              </w:rPr>
            </w:pPr>
          </w:p>
        </w:tc>
        <w:tc>
          <w:tcPr>
            <w:tcW w:w="399" w:type="pct"/>
            <w:vMerge w:val="continue"/>
            <w:tcBorders>
              <w:tl2br w:val="nil"/>
              <w:tr2bl w:val="nil"/>
            </w:tcBorders>
            <w:noWrap w:val="0"/>
            <w:vAlign w:val="center"/>
          </w:tcPr>
          <w:p w14:paraId="7B44A849">
            <w:pPr>
              <w:pStyle w:val="26"/>
              <w:bidi w:val="0"/>
              <w:rPr>
                <w:rFonts w:hint="eastAsia"/>
                <w:color w:val="000000" w:themeColor="text1"/>
                <w:highlight w:val="none"/>
                <w:lang w:val="en-US" w:eastAsia="zh-CN"/>
                <w14:textFill>
                  <w14:solidFill>
                    <w14:schemeClr w14:val="tx1"/>
                  </w14:solidFill>
                </w14:textFill>
              </w:rPr>
            </w:pPr>
          </w:p>
        </w:tc>
        <w:tc>
          <w:tcPr>
            <w:tcW w:w="227" w:type="pct"/>
            <w:vMerge w:val="continue"/>
            <w:tcBorders>
              <w:tl2br w:val="nil"/>
              <w:tr2bl w:val="nil"/>
            </w:tcBorders>
            <w:noWrap w:val="0"/>
            <w:vAlign w:val="center"/>
          </w:tcPr>
          <w:p w14:paraId="57498A82">
            <w:pPr>
              <w:pStyle w:val="26"/>
              <w:bidi w:val="0"/>
              <w:rPr>
                <w:rFonts w:hint="default"/>
                <w:color w:val="000000" w:themeColor="text1"/>
                <w:highlight w:val="none"/>
                <w:lang w:val="en-US" w:eastAsia="zh-CN"/>
                <w14:textFill>
                  <w14:solidFill>
                    <w14:schemeClr w14:val="tx1"/>
                  </w14:solidFill>
                </w14:textFill>
              </w:rPr>
            </w:pPr>
          </w:p>
        </w:tc>
        <w:tc>
          <w:tcPr>
            <w:tcW w:w="402" w:type="pct"/>
            <w:tcBorders>
              <w:tl2br w:val="nil"/>
              <w:tr2bl w:val="nil"/>
            </w:tcBorders>
            <w:noWrap w:val="0"/>
            <w:vAlign w:val="center"/>
          </w:tcPr>
          <w:p w14:paraId="64549A8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氟化物</w:t>
            </w:r>
          </w:p>
        </w:tc>
        <w:tc>
          <w:tcPr>
            <w:tcW w:w="459" w:type="pct"/>
            <w:tcBorders>
              <w:tl2br w:val="nil"/>
              <w:tr2bl w:val="nil"/>
            </w:tcBorders>
            <w:noWrap w:val="0"/>
            <w:vAlign w:val="center"/>
          </w:tcPr>
          <w:p w14:paraId="3EF2C9AD">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0.0001</w:t>
            </w:r>
          </w:p>
        </w:tc>
      </w:tr>
    </w:tbl>
    <w:p w14:paraId="249D3BA3">
      <w:pPr>
        <w:pStyle w:val="25"/>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 xml:space="preserve">4 </w:t>
      </w:r>
      <w:r>
        <w:rPr>
          <w:rFonts w:hint="default"/>
          <w:color w:val="000000" w:themeColor="text1"/>
          <w:highlight w:val="none"/>
          <w14:textFill>
            <w14:solidFill>
              <w14:schemeClr w14:val="tx1"/>
            </w14:solidFill>
          </w14:textFill>
        </w:rPr>
        <w:t xml:space="preserve">   无组织废气污染源参数一览表</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矩形面源</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 xml:space="preserve"> </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97"/>
        <w:gridCol w:w="1320"/>
        <w:gridCol w:w="1300"/>
        <w:gridCol w:w="793"/>
        <w:gridCol w:w="766"/>
        <w:gridCol w:w="929"/>
        <w:gridCol w:w="1004"/>
        <w:gridCol w:w="1056"/>
        <w:gridCol w:w="1006"/>
      </w:tblGrid>
      <w:tr w14:paraId="1C4FCE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jc w:val="center"/>
        </w:trPr>
        <w:tc>
          <w:tcPr>
            <w:tcW w:w="494" w:type="pct"/>
            <w:vMerge w:val="restart"/>
            <w:tcBorders>
              <w:tl2br w:val="nil"/>
              <w:tr2bl w:val="nil"/>
            </w:tcBorders>
            <w:noWrap w:val="0"/>
            <w:vAlign w:val="center"/>
          </w:tcPr>
          <w:p w14:paraId="4A028F47">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面源名称</w:t>
            </w:r>
          </w:p>
        </w:tc>
        <w:tc>
          <w:tcPr>
            <w:tcW w:w="1443" w:type="pct"/>
            <w:gridSpan w:val="2"/>
            <w:tcBorders>
              <w:tl2br w:val="nil"/>
              <w:tr2bl w:val="nil"/>
            </w:tcBorders>
            <w:noWrap w:val="0"/>
            <w:vAlign w:val="center"/>
          </w:tcPr>
          <w:p w14:paraId="49F6937A">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坐标</w:t>
            </w:r>
          </w:p>
        </w:tc>
        <w:tc>
          <w:tcPr>
            <w:tcW w:w="437" w:type="pct"/>
            <w:vMerge w:val="restart"/>
            <w:tcBorders>
              <w:tl2br w:val="nil"/>
              <w:tr2bl w:val="nil"/>
            </w:tcBorders>
            <w:noWrap w:val="0"/>
            <w:vAlign w:val="center"/>
          </w:tcPr>
          <w:p w14:paraId="02573400">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长度</w:t>
            </w:r>
          </w:p>
        </w:tc>
        <w:tc>
          <w:tcPr>
            <w:tcW w:w="422" w:type="pct"/>
            <w:vMerge w:val="restart"/>
            <w:tcBorders>
              <w:tl2br w:val="nil"/>
              <w:tr2bl w:val="nil"/>
            </w:tcBorders>
            <w:noWrap w:val="0"/>
            <w:vAlign w:val="center"/>
          </w:tcPr>
          <w:p w14:paraId="6294073C">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宽度</w:t>
            </w:r>
          </w:p>
        </w:tc>
        <w:tc>
          <w:tcPr>
            <w:tcW w:w="512" w:type="pct"/>
            <w:vMerge w:val="restart"/>
            <w:tcBorders>
              <w:tl2br w:val="nil"/>
              <w:tr2bl w:val="nil"/>
            </w:tcBorders>
            <w:noWrap w:val="0"/>
            <w:vAlign w:val="center"/>
          </w:tcPr>
          <w:p w14:paraId="44C5C445">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有效高度</w:t>
            </w:r>
          </w:p>
        </w:tc>
        <w:tc>
          <w:tcPr>
            <w:tcW w:w="553" w:type="pct"/>
            <w:vMerge w:val="restart"/>
            <w:tcBorders>
              <w:tl2br w:val="nil"/>
              <w:tr2bl w:val="nil"/>
            </w:tcBorders>
            <w:noWrap w:val="0"/>
            <w:vAlign w:val="center"/>
          </w:tcPr>
          <w:p w14:paraId="61B469FD">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年排放小时数</w:t>
            </w:r>
          </w:p>
        </w:tc>
        <w:tc>
          <w:tcPr>
            <w:tcW w:w="1136" w:type="pct"/>
            <w:gridSpan w:val="2"/>
            <w:vMerge w:val="restart"/>
            <w:tcBorders>
              <w:tl2br w:val="nil"/>
              <w:tr2bl w:val="nil"/>
            </w:tcBorders>
            <w:noWrap w:val="0"/>
            <w:vAlign w:val="center"/>
          </w:tcPr>
          <w:p w14:paraId="19AD3755">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污染物排放速率</w:t>
            </w:r>
          </w:p>
          <w:p w14:paraId="739AAA70">
            <w:pPr>
              <w:pStyle w:val="26"/>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w:t>
            </w:r>
            <w:r>
              <w:rPr>
                <w:rFonts w:hint="default"/>
                <w:b/>
                <w:bCs/>
                <w:color w:val="000000" w:themeColor="text1"/>
                <w:highlight w:val="none"/>
                <w:lang w:val="en-US" w:eastAsia="zh-CN"/>
                <w14:textFill>
                  <w14:solidFill>
                    <w14:schemeClr w14:val="tx1"/>
                  </w14:solidFill>
                </w14:textFill>
              </w:rPr>
              <w:t>kg/h</w:t>
            </w:r>
            <w:r>
              <w:rPr>
                <w:rFonts w:hint="eastAsia"/>
                <w:b/>
                <w:bCs/>
                <w:color w:val="000000" w:themeColor="text1"/>
                <w:highlight w:val="none"/>
                <w:lang w:val="en-US" w:eastAsia="zh-CN"/>
                <w14:textFill>
                  <w14:solidFill>
                    <w14:schemeClr w14:val="tx1"/>
                  </w14:solidFill>
                </w14:textFill>
              </w:rPr>
              <w:t>)</w:t>
            </w:r>
          </w:p>
        </w:tc>
      </w:tr>
      <w:tr w14:paraId="50A2E3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4" w:type="pct"/>
            <w:vMerge w:val="continue"/>
            <w:tcBorders>
              <w:bottom w:val="single" w:color="auto" w:sz="12" w:space="0"/>
              <w:tl2br w:val="nil"/>
              <w:tr2bl w:val="nil"/>
            </w:tcBorders>
            <w:noWrap/>
            <w:vAlign w:val="center"/>
          </w:tcPr>
          <w:p w14:paraId="69DD0CA6">
            <w:pPr>
              <w:pStyle w:val="26"/>
              <w:bidi w:val="0"/>
              <w:rPr>
                <w:rFonts w:hint="default"/>
                <w:b/>
                <w:bCs/>
                <w:color w:val="000000" w:themeColor="text1"/>
                <w:highlight w:val="none"/>
                <w:lang w:val="en-US" w:eastAsia="zh-CN"/>
                <w14:textFill>
                  <w14:solidFill>
                    <w14:schemeClr w14:val="tx1"/>
                  </w14:solidFill>
                </w14:textFill>
              </w:rPr>
            </w:pPr>
          </w:p>
        </w:tc>
        <w:tc>
          <w:tcPr>
            <w:tcW w:w="727" w:type="pct"/>
            <w:tcBorders>
              <w:bottom w:val="single" w:color="auto" w:sz="12" w:space="0"/>
              <w:tl2br w:val="nil"/>
              <w:tr2bl w:val="nil"/>
            </w:tcBorders>
            <w:noWrap w:val="0"/>
            <w:vAlign w:val="center"/>
          </w:tcPr>
          <w:p w14:paraId="656CA1FE">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经度</w:t>
            </w:r>
          </w:p>
        </w:tc>
        <w:tc>
          <w:tcPr>
            <w:tcW w:w="716" w:type="pct"/>
            <w:tcBorders>
              <w:bottom w:val="single" w:color="auto" w:sz="12" w:space="0"/>
              <w:tl2br w:val="nil"/>
              <w:tr2bl w:val="nil"/>
            </w:tcBorders>
            <w:noWrap w:val="0"/>
            <w:vAlign w:val="center"/>
          </w:tcPr>
          <w:p w14:paraId="52BC37F9">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纬度</w:t>
            </w:r>
          </w:p>
        </w:tc>
        <w:tc>
          <w:tcPr>
            <w:tcW w:w="437" w:type="pct"/>
            <w:vMerge w:val="continue"/>
            <w:tcBorders>
              <w:bottom w:val="single" w:color="auto" w:sz="12" w:space="0"/>
              <w:tl2br w:val="nil"/>
              <w:tr2bl w:val="nil"/>
            </w:tcBorders>
            <w:noWrap/>
            <w:vAlign w:val="center"/>
          </w:tcPr>
          <w:p w14:paraId="5A788F91">
            <w:pPr>
              <w:pStyle w:val="26"/>
              <w:bidi w:val="0"/>
              <w:rPr>
                <w:rFonts w:hint="default"/>
                <w:color w:val="000000" w:themeColor="text1"/>
                <w:highlight w:val="none"/>
                <w:lang w:val="en-US" w:eastAsia="zh-CN"/>
                <w14:textFill>
                  <w14:solidFill>
                    <w14:schemeClr w14:val="tx1"/>
                  </w14:solidFill>
                </w14:textFill>
              </w:rPr>
            </w:pPr>
          </w:p>
        </w:tc>
        <w:tc>
          <w:tcPr>
            <w:tcW w:w="422" w:type="pct"/>
            <w:vMerge w:val="continue"/>
            <w:tcBorders>
              <w:bottom w:val="single" w:color="auto" w:sz="12" w:space="0"/>
              <w:tl2br w:val="nil"/>
              <w:tr2bl w:val="nil"/>
            </w:tcBorders>
            <w:noWrap/>
            <w:vAlign w:val="center"/>
          </w:tcPr>
          <w:p w14:paraId="3E8BFA31">
            <w:pPr>
              <w:pStyle w:val="26"/>
              <w:bidi w:val="0"/>
              <w:rPr>
                <w:rFonts w:hint="default"/>
                <w:color w:val="000000" w:themeColor="text1"/>
                <w:highlight w:val="none"/>
                <w:lang w:val="en-US" w:eastAsia="zh-CN"/>
                <w14:textFill>
                  <w14:solidFill>
                    <w14:schemeClr w14:val="tx1"/>
                  </w14:solidFill>
                </w14:textFill>
              </w:rPr>
            </w:pPr>
          </w:p>
        </w:tc>
        <w:tc>
          <w:tcPr>
            <w:tcW w:w="512" w:type="pct"/>
            <w:vMerge w:val="continue"/>
            <w:tcBorders>
              <w:bottom w:val="single" w:color="auto" w:sz="12" w:space="0"/>
              <w:tl2br w:val="nil"/>
              <w:tr2bl w:val="nil"/>
            </w:tcBorders>
            <w:noWrap/>
            <w:vAlign w:val="center"/>
          </w:tcPr>
          <w:p w14:paraId="159FE9AE">
            <w:pPr>
              <w:pStyle w:val="26"/>
              <w:bidi w:val="0"/>
              <w:rPr>
                <w:rFonts w:hint="default"/>
                <w:color w:val="000000" w:themeColor="text1"/>
                <w:highlight w:val="none"/>
                <w:lang w:val="en-US" w:eastAsia="zh-CN"/>
                <w14:textFill>
                  <w14:solidFill>
                    <w14:schemeClr w14:val="tx1"/>
                  </w14:solidFill>
                </w14:textFill>
              </w:rPr>
            </w:pPr>
          </w:p>
        </w:tc>
        <w:tc>
          <w:tcPr>
            <w:tcW w:w="553" w:type="pct"/>
            <w:vMerge w:val="continue"/>
            <w:tcBorders>
              <w:bottom w:val="single" w:color="auto" w:sz="12" w:space="0"/>
              <w:tl2br w:val="nil"/>
              <w:tr2bl w:val="nil"/>
            </w:tcBorders>
            <w:noWrap/>
            <w:vAlign w:val="center"/>
          </w:tcPr>
          <w:p w14:paraId="57A57E39">
            <w:pPr>
              <w:pStyle w:val="26"/>
              <w:bidi w:val="0"/>
              <w:rPr>
                <w:rFonts w:hint="default"/>
                <w:color w:val="000000" w:themeColor="text1"/>
                <w:highlight w:val="none"/>
                <w:lang w:val="en-US" w:eastAsia="zh-CN"/>
                <w14:textFill>
                  <w14:solidFill>
                    <w14:schemeClr w14:val="tx1"/>
                  </w14:solidFill>
                </w14:textFill>
              </w:rPr>
            </w:pPr>
          </w:p>
        </w:tc>
        <w:tc>
          <w:tcPr>
            <w:tcW w:w="1136" w:type="pct"/>
            <w:gridSpan w:val="2"/>
            <w:vMerge w:val="continue"/>
            <w:tcBorders>
              <w:bottom w:val="single" w:color="auto" w:sz="12" w:space="0"/>
              <w:tl2br w:val="nil"/>
              <w:tr2bl w:val="nil"/>
            </w:tcBorders>
            <w:noWrap/>
            <w:vAlign w:val="center"/>
          </w:tcPr>
          <w:p w14:paraId="2AFEB8C5">
            <w:pPr>
              <w:pStyle w:val="26"/>
              <w:bidi w:val="0"/>
              <w:rPr>
                <w:rFonts w:hint="default"/>
                <w:color w:val="000000" w:themeColor="text1"/>
                <w:highlight w:val="none"/>
                <w:lang w:val="en-US" w:eastAsia="zh-CN"/>
                <w14:textFill>
                  <w14:solidFill>
                    <w14:schemeClr w14:val="tx1"/>
                  </w14:solidFill>
                </w14:textFill>
              </w:rPr>
            </w:pPr>
          </w:p>
        </w:tc>
      </w:tr>
      <w:tr w14:paraId="782D03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94" w:type="pct"/>
            <w:vMerge w:val="restart"/>
            <w:tcBorders>
              <w:top w:val="single" w:color="auto" w:sz="12" w:space="0"/>
            </w:tcBorders>
            <w:noWrap w:val="0"/>
            <w:vAlign w:val="center"/>
          </w:tcPr>
          <w:p w14:paraId="1897D768">
            <w:pPr>
              <w:pStyle w:val="26"/>
              <w:bidi w:val="0"/>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生产</w:t>
            </w:r>
            <w:r>
              <w:rPr>
                <w:rFonts w:hint="eastAsia"/>
                <w:color w:val="000000" w:themeColor="text1"/>
                <w:highlight w:val="none"/>
                <w:lang w:val="en-US" w:eastAsia="zh-CN"/>
                <w14:textFill>
                  <w14:solidFill>
                    <w14:schemeClr w14:val="tx1"/>
                  </w14:solidFill>
                </w14:textFill>
              </w:rPr>
              <w:t>车间</w:t>
            </w:r>
          </w:p>
        </w:tc>
        <w:tc>
          <w:tcPr>
            <w:tcW w:w="727" w:type="pct"/>
            <w:vMerge w:val="restart"/>
            <w:tcBorders>
              <w:top w:val="single" w:color="auto" w:sz="12" w:space="0"/>
            </w:tcBorders>
            <w:noWrap/>
            <w:vAlign w:val="center"/>
          </w:tcPr>
          <w:p w14:paraId="096D2F5E">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87.134121</w:t>
            </w:r>
          </w:p>
        </w:tc>
        <w:tc>
          <w:tcPr>
            <w:tcW w:w="716" w:type="pct"/>
            <w:vMerge w:val="restart"/>
            <w:tcBorders>
              <w:top w:val="single" w:color="auto" w:sz="12" w:space="0"/>
            </w:tcBorders>
            <w:noWrap/>
            <w:vAlign w:val="center"/>
          </w:tcPr>
          <w:p w14:paraId="0158D842">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44.090663</w:t>
            </w:r>
          </w:p>
        </w:tc>
        <w:tc>
          <w:tcPr>
            <w:tcW w:w="437" w:type="pct"/>
            <w:vMerge w:val="restart"/>
            <w:tcBorders>
              <w:top w:val="single" w:color="auto" w:sz="12" w:space="0"/>
            </w:tcBorders>
            <w:noWrap/>
            <w:vAlign w:val="center"/>
          </w:tcPr>
          <w:p w14:paraId="3D4C4F3B">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70.00</w:t>
            </w:r>
          </w:p>
        </w:tc>
        <w:tc>
          <w:tcPr>
            <w:tcW w:w="422" w:type="pct"/>
            <w:vMerge w:val="restart"/>
            <w:tcBorders>
              <w:top w:val="single" w:color="auto" w:sz="12" w:space="0"/>
            </w:tcBorders>
            <w:noWrap/>
            <w:vAlign w:val="center"/>
          </w:tcPr>
          <w:p w14:paraId="43FABF37">
            <w:pPr>
              <w:pStyle w:val="26"/>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50.00</w:t>
            </w:r>
          </w:p>
        </w:tc>
        <w:tc>
          <w:tcPr>
            <w:tcW w:w="512" w:type="pct"/>
            <w:vMerge w:val="restart"/>
            <w:tcBorders>
              <w:top w:val="single" w:color="auto" w:sz="12" w:space="0"/>
            </w:tcBorders>
            <w:noWrap/>
            <w:vAlign w:val="center"/>
          </w:tcPr>
          <w:p w14:paraId="2E2B1954">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12.00</w:t>
            </w:r>
          </w:p>
        </w:tc>
        <w:tc>
          <w:tcPr>
            <w:tcW w:w="553" w:type="pct"/>
            <w:vMerge w:val="restart"/>
            <w:tcBorders>
              <w:top w:val="single" w:color="auto" w:sz="12" w:space="0"/>
            </w:tcBorders>
            <w:noWrap/>
            <w:vAlign w:val="center"/>
          </w:tcPr>
          <w:p w14:paraId="7CADDE1D">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4320</w:t>
            </w:r>
          </w:p>
        </w:tc>
        <w:tc>
          <w:tcPr>
            <w:tcW w:w="582" w:type="pct"/>
            <w:tcBorders>
              <w:top w:val="single" w:color="auto" w:sz="12" w:space="0"/>
              <w:bottom w:val="single" w:color="auto" w:sz="4" w:space="0"/>
            </w:tcBorders>
            <w:noWrap/>
            <w:vAlign w:val="center"/>
          </w:tcPr>
          <w:p w14:paraId="4925EA26">
            <w:pPr>
              <w:pStyle w:val="26"/>
              <w:bidi w:val="0"/>
              <w:ind w:left="0" w:leftChars="0" w:right="0" w:rightChars="0"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980" w:type="dxa"/>
            <w:tcBorders>
              <w:top w:val="single" w:color="auto" w:sz="12" w:space="0"/>
              <w:bottom w:val="single" w:color="auto" w:sz="4" w:space="0"/>
            </w:tcBorders>
            <w:noWrap/>
            <w:vAlign w:val="center"/>
          </w:tcPr>
          <w:p w14:paraId="7FB424CC">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w:t>
            </w:r>
            <w:r>
              <w:rPr>
                <w:rFonts w:hint="eastAsia" w:cs="Times New Roman"/>
                <w:color w:val="000000" w:themeColor="text1"/>
                <w:highlight w:val="none"/>
                <w:lang w:val="en-US" w:eastAsia="zh-CN"/>
                <w14:textFill>
                  <w14:solidFill>
                    <w14:schemeClr w14:val="tx1"/>
                  </w14:solidFill>
                </w14:textFill>
              </w:rPr>
              <w:t>5</w:t>
            </w:r>
          </w:p>
        </w:tc>
      </w:tr>
      <w:tr w14:paraId="5F48CF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94" w:type="pct"/>
            <w:vMerge w:val="continue"/>
            <w:tcBorders>
              <w:bottom w:val="single" w:color="auto" w:sz="12" w:space="0"/>
            </w:tcBorders>
            <w:noWrap w:val="0"/>
            <w:vAlign w:val="center"/>
          </w:tcPr>
          <w:p w14:paraId="2B4D5AC0">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727" w:type="pct"/>
            <w:vMerge w:val="continue"/>
            <w:tcBorders>
              <w:bottom w:val="single" w:color="auto" w:sz="12" w:space="0"/>
            </w:tcBorders>
            <w:noWrap/>
            <w:vAlign w:val="center"/>
          </w:tcPr>
          <w:p w14:paraId="3135E748">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716" w:type="pct"/>
            <w:vMerge w:val="continue"/>
            <w:tcBorders>
              <w:bottom w:val="single" w:color="auto" w:sz="12" w:space="0"/>
            </w:tcBorders>
            <w:noWrap/>
            <w:vAlign w:val="center"/>
          </w:tcPr>
          <w:p w14:paraId="7AF0B83A">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437" w:type="pct"/>
            <w:vMerge w:val="continue"/>
            <w:tcBorders>
              <w:bottom w:val="single" w:color="auto" w:sz="12" w:space="0"/>
            </w:tcBorders>
            <w:noWrap/>
            <w:vAlign w:val="center"/>
          </w:tcPr>
          <w:p w14:paraId="1D1116EE">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422" w:type="pct"/>
            <w:vMerge w:val="continue"/>
            <w:tcBorders>
              <w:bottom w:val="single" w:color="auto" w:sz="12" w:space="0"/>
            </w:tcBorders>
            <w:noWrap/>
            <w:vAlign w:val="center"/>
          </w:tcPr>
          <w:p w14:paraId="0D25102D">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512" w:type="pct"/>
            <w:vMerge w:val="continue"/>
            <w:tcBorders>
              <w:bottom w:val="single" w:color="auto" w:sz="12" w:space="0"/>
            </w:tcBorders>
            <w:noWrap/>
            <w:vAlign w:val="center"/>
          </w:tcPr>
          <w:p w14:paraId="6AF841E1">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553" w:type="pct"/>
            <w:vMerge w:val="continue"/>
            <w:tcBorders>
              <w:bottom w:val="single" w:color="auto" w:sz="12" w:space="0"/>
            </w:tcBorders>
            <w:noWrap/>
            <w:vAlign w:val="center"/>
          </w:tcPr>
          <w:p w14:paraId="254A75B8">
            <w:pPr>
              <w:pStyle w:val="26"/>
              <w:bidi w:val="0"/>
              <w:ind w:left="0" w:leftChars="0" w:right="0" w:rightChars="0" w:firstLine="0" w:firstLineChars="0"/>
              <w:jc w:val="center"/>
              <w:rPr>
                <w:color w:val="000000" w:themeColor="text1"/>
                <w:highlight w:val="none"/>
                <w14:textFill>
                  <w14:solidFill>
                    <w14:schemeClr w14:val="tx1"/>
                  </w14:solidFill>
                </w14:textFill>
              </w:rPr>
            </w:pPr>
          </w:p>
        </w:tc>
        <w:tc>
          <w:tcPr>
            <w:tcW w:w="582" w:type="pct"/>
            <w:tcBorders>
              <w:top w:val="single" w:color="auto" w:sz="4" w:space="0"/>
              <w:bottom w:val="single" w:color="auto" w:sz="12" w:space="0"/>
            </w:tcBorders>
            <w:noWrap/>
            <w:vAlign w:val="center"/>
          </w:tcPr>
          <w:p w14:paraId="6908ADCD">
            <w:pPr>
              <w:pStyle w:val="26"/>
              <w:bidi w:val="0"/>
              <w:ind w:left="0" w:leftChars="0" w:right="0" w:rightChars="0" w:firstLine="0" w:firstLineChars="0"/>
              <w:jc w:val="center"/>
              <w:rPr>
                <w:rFonts w:hint="default"/>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980" w:type="dxa"/>
            <w:tcBorders>
              <w:top w:val="single" w:color="auto" w:sz="4" w:space="0"/>
              <w:bottom w:val="single" w:color="auto" w:sz="12" w:space="0"/>
            </w:tcBorders>
            <w:noWrap/>
            <w:vAlign w:val="center"/>
          </w:tcPr>
          <w:p w14:paraId="079EDD66">
            <w:pPr>
              <w:pStyle w:val="26"/>
              <w:bidi w:val="0"/>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0.0000</w:t>
            </w:r>
            <w:r>
              <w:rPr>
                <w:rFonts w:hint="eastAsia" w:cs="Times New Roman"/>
                <w:color w:val="000000" w:themeColor="text1"/>
                <w:highlight w:val="none"/>
                <w:lang w:val="en-US" w:eastAsia="zh-CN"/>
                <w14:textFill>
                  <w14:solidFill>
                    <w14:schemeClr w14:val="tx1"/>
                  </w14:solidFill>
                </w14:textFill>
              </w:rPr>
              <w:t>1</w:t>
            </w:r>
          </w:p>
        </w:tc>
      </w:tr>
    </w:tbl>
    <w:p w14:paraId="4529BD37">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正常工况下</w:t>
      </w:r>
      <w:r>
        <w:rPr>
          <w:rFonts w:hint="default"/>
          <w:color w:val="000000" w:themeColor="text1"/>
          <w:highlight w:val="none"/>
          <w:lang w:val="en-US" w:eastAsia="zh-CN"/>
          <w14:textFill>
            <w14:solidFill>
              <w14:schemeClr w14:val="tx1"/>
            </w14:solidFill>
          </w14:textFill>
        </w:rPr>
        <w:t>预测结果</w:t>
      </w:r>
    </w:p>
    <w:p w14:paraId="374F4CCE">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本项目预测主导风向下年平均风速时最大落地浓度、占标率最大出现距离，根据</w:t>
      </w:r>
      <w:r>
        <w:rPr>
          <w:rFonts w:hint="default"/>
          <w:color w:val="000000" w:themeColor="text1"/>
          <w:highlight w:val="none"/>
          <w:lang w:val="en-US" w:eastAsia="zh-CN"/>
          <w14:textFill>
            <w14:solidFill>
              <w14:schemeClr w14:val="tx1"/>
            </w14:solidFill>
          </w14:textFill>
        </w:rPr>
        <w:t>AERSCREEN</w:t>
      </w:r>
      <w:r>
        <w:rPr>
          <w:rFonts w:hint="eastAsia"/>
          <w:color w:val="000000" w:themeColor="text1"/>
          <w:highlight w:val="none"/>
          <w:lang w:val="en-US" w:eastAsia="zh-CN"/>
          <w14:textFill>
            <w14:solidFill>
              <w14:schemeClr w14:val="tx1"/>
            </w14:solidFill>
          </w14:textFill>
        </w:rPr>
        <w:t>预测模型估算，预测结果见表5.2.1-5。</w:t>
      </w:r>
    </w:p>
    <w:p w14:paraId="656F9EE6">
      <w:pPr>
        <w:pStyle w:val="25"/>
        <w:bidi w:val="0"/>
        <w:rPr>
          <w:rFonts w:hint="default" w:eastAsia="宋体"/>
          <w:color w:val="000000" w:themeColor="text1"/>
          <w:highlight w:val="none"/>
          <w:lang w:val="en-US" w:eastAsia="zh-CN"/>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.1-5     项目有组织</w:t>
      </w:r>
      <w:r>
        <w:rPr>
          <w:rFonts w:hint="default"/>
          <w:color w:val="000000" w:themeColor="text1"/>
          <w:highlight w:val="none"/>
          <w14:textFill>
            <w14:solidFill>
              <w14:schemeClr w14:val="tx1"/>
            </w14:solidFill>
          </w14:textFill>
        </w:rPr>
        <w:t>污染物估算模式计算结果</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89"/>
        <w:gridCol w:w="2014"/>
        <w:gridCol w:w="1822"/>
        <w:gridCol w:w="1922"/>
        <w:gridCol w:w="2024"/>
      </w:tblGrid>
      <w:tr w14:paraId="53DCBB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289" w:type="dxa"/>
            <w:vMerge w:val="restart"/>
            <w:noWrap w:val="0"/>
            <w:vAlign w:val="center"/>
          </w:tcPr>
          <w:p w14:paraId="6947B804">
            <w:pPr>
              <w:pStyle w:val="26"/>
              <w:bidi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下风向距离</w:t>
            </w:r>
          </w:p>
        </w:tc>
        <w:tc>
          <w:tcPr>
            <w:tcW w:w="7782" w:type="dxa"/>
            <w:gridSpan w:val="4"/>
            <w:noWrap w:val="0"/>
            <w:vAlign w:val="center"/>
          </w:tcPr>
          <w:p w14:paraId="539541B9">
            <w:pPr>
              <w:pStyle w:val="26"/>
              <w:bidi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DA00</w:t>
            </w:r>
            <w:r>
              <w:rPr>
                <w:rFonts w:hint="eastAsia"/>
                <w:b/>
                <w:bCs/>
                <w:color w:val="000000" w:themeColor="text1"/>
                <w:highlight w:val="none"/>
                <w:lang w:val="en-US" w:eastAsia="zh-CN"/>
                <w14:textFill>
                  <w14:solidFill>
                    <w14:schemeClr w14:val="tx1"/>
                  </w14:solidFill>
                </w14:textFill>
              </w:rPr>
              <w:t>1</w:t>
            </w:r>
          </w:p>
        </w:tc>
      </w:tr>
      <w:tr w14:paraId="03E37C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vMerge w:val="continue"/>
            <w:tcBorders>
              <w:bottom w:val="single" w:color="auto" w:sz="12" w:space="0"/>
            </w:tcBorders>
            <w:noWrap w:val="0"/>
            <w:vAlign w:val="center"/>
          </w:tcPr>
          <w:p w14:paraId="68C17375">
            <w:pPr>
              <w:pStyle w:val="26"/>
              <w:bidi w:val="0"/>
              <w:jc w:val="center"/>
              <w:rPr>
                <w:b/>
                <w:bCs/>
                <w:color w:val="000000" w:themeColor="text1"/>
                <w:highlight w:val="none"/>
                <w14:textFill>
                  <w14:solidFill>
                    <w14:schemeClr w14:val="tx1"/>
                  </w14:solidFill>
                </w14:textFill>
              </w:rPr>
            </w:pPr>
          </w:p>
        </w:tc>
        <w:tc>
          <w:tcPr>
            <w:tcW w:w="2014" w:type="dxa"/>
            <w:tcBorders>
              <w:bottom w:val="single" w:color="auto" w:sz="12" w:space="0"/>
            </w:tcBorders>
            <w:shd w:val="clear" w:color="auto" w:fill="auto"/>
            <w:noWrap w:val="0"/>
            <w:vAlign w:val="center"/>
          </w:tcPr>
          <w:p w14:paraId="3FBB1FA1">
            <w:pPr>
              <w:pStyle w:val="26"/>
              <w:bidi w:val="0"/>
              <w:jc w:val="center"/>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PM</w:t>
            </w:r>
            <w:r>
              <w:rPr>
                <w:rFonts w:ascii="Times New Roman" w:hAnsi="Times New Roman" w:eastAsia="宋体" w:cs="Times New Roman"/>
                <w:b/>
                <w:bCs/>
                <w:color w:val="000000" w:themeColor="text1"/>
                <w:highlight w:val="none"/>
                <w:vertAlign w:val="subscript"/>
                <w14:textFill>
                  <w14:solidFill>
                    <w14:schemeClr w14:val="tx1"/>
                  </w14:solidFill>
                </w14:textFill>
              </w:rPr>
              <w:t>10</w:t>
            </w:r>
            <w:r>
              <w:rPr>
                <w:rFonts w:ascii="Times New Roman" w:hAnsi="Times New Roman" w:eastAsia="宋体" w:cs="Times New Roman"/>
                <w:b/>
                <w:bCs/>
                <w:color w:val="000000" w:themeColor="text1"/>
                <w:highlight w:val="none"/>
                <w14:textFill>
                  <w14:solidFill>
                    <w14:schemeClr w14:val="tx1"/>
                  </w14:solidFill>
                </w14:textFill>
              </w:rPr>
              <w:t>浓度</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r>
              <w:rPr>
                <w:rFonts w:ascii="Times New Roman" w:hAnsi="Times New Roman" w:eastAsia="宋体" w:cs="Times New Roman"/>
                <w:b/>
                <w:bCs/>
                <w:color w:val="000000" w:themeColor="text1"/>
                <w:highlight w:val="none"/>
                <w14:textFill>
                  <w14:solidFill>
                    <w14:schemeClr w14:val="tx1"/>
                  </w14:solidFill>
                </w14:textFill>
              </w:rPr>
              <w:t>μg/m³</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p>
        </w:tc>
        <w:tc>
          <w:tcPr>
            <w:tcW w:w="1822" w:type="dxa"/>
            <w:tcBorders>
              <w:bottom w:val="single" w:color="auto" w:sz="12" w:space="0"/>
            </w:tcBorders>
            <w:shd w:val="clear" w:color="auto" w:fill="auto"/>
            <w:noWrap w:val="0"/>
            <w:vAlign w:val="center"/>
          </w:tcPr>
          <w:p w14:paraId="29820FB0">
            <w:pPr>
              <w:pStyle w:val="26"/>
              <w:bidi w:val="0"/>
              <w:jc w:val="center"/>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PM</w:t>
            </w:r>
            <w:r>
              <w:rPr>
                <w:rFonts w:ascii="Times New Roman" w:hAnsi="Times New Roman" w:eastAsia="宋体" w:cs="Times New Roman"/>
                <w:b/>
                <w:bCs/>
                <w:color w:val="000000" w:themeColor="text1"/>
                <w:highlight w:val="none"/>
                <w:vertAlign w:val="subscript"/>
                <w14:textFill>
                  <w14:solidFill>
                    <w14:schemeClr w14:val="tx1"/>
                  </w14:solidFill>
                </w14:textFill>
              </w:rPr>
              <w:t>10</w:t>
            </w:r>
            <w:r>
              <w:rPr>
                <w:rFonts w:ascii="Times New Roman" w:hAnsi="Times New Roman" w:eastAsia="宋体" w:cs="Times New Roman"/>
                <w:b/>
                <w:bCs/>
                <w:color w:val="000000" w:themeColor="text1"/>
                <w:highlight w:val="none"/>
                <w14:textFill>
                  <w14:solidFill>
                    <w14:schemeClr w14:val="tx1"/>
                  </w14:solidFill>
                </w14:textFill>
              </w:rPr>
              <w:t>占标率</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r>
              <w:rPr>
                <w:rFonts w:ascii="Times New Roman" w:hAnsi="Times New Roman" w:eastAsia="宋体" w:cs="Times New Roman"/>
                <w:b/>
                <w:bCs/>
                <w:color w:val="000000" w:themeColor="text1"/>
                <w:highlight w:val="none"/>
                <w14:textFill>
                  <w14:solidFill>
                    <w14:schemeClr w14:val="tx1"/>
                  </w14:solidFill>
                </w14:textFill>
              </w:rPr>
              <w:t>%</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p>
        </w:tc>
        <w:tc>
          <w:tcPr>
            <w:tcW w:w="1922" w:type="dxa"/>
            <w:tcBorders>
              <w:bottom w:val="single" w:color="auto" w:sz="12" w:space="0"/>
            </w:tcBorders>
            <w:shd w:val="clear" w:color="auto" w:fill="auto"/>
            <w:noWrap w:val="0"/>
            <w:vAlign w:val="center"/>
          </w:tcPr>
          <w:p w14:paraId="6445D9B0">
            <w:pPr>
              <w:pStyle w:val="26"/>
              <w:bidi w:val="0"/>
              <w:jc w:val="center"/>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硫酸浓度</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r>
              <w:rPr>
                <w:rFonts w:ascii="Times New Roman" w:hAnsi="Times New Roman" w:eastAsia="宋体" w:cs="Times New Roman"/>
                <w:b/>
                <w:bCs/>
                <w:color w:val="000000" w:themeColor="text1"/>
                <w:highlight w:val="none"/>
                <w14:textFill>
                  <w14:solidFill>
                    <w14:schemeClr w14:val="tx1"/>
                  </w14:solidFill>
                </w14:textFill>
              </w:rPr>
              <w:t>μg/m³</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p>
        </w:tc>
        <w:tc>
          <w:tcPr>
            <w:tcW w:w="2024" w:type="dxa"/>
            <w:tcBorders>
              <w:bottom w:val="single" w:color="auto" w:sz="12" w:space="0"/>
            </w:tcBorders>
            <w:shd w:val="clear" w:color="auto" w:fill="auto"/>
            <w:noWrap w:val="0"/>
            <w:vAlign w:val="center"/>
          </w:tcPr>
          <w:p w14:paraId="35E70368">
            <w:pPr>
              <w:pStyle w:val="26"/>
              <w:bidi w:val="0"/>
              <w:jc w:val="center"/>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硫酸占标率</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r>
              <w:rPr>
                <w:rFonts w:ascii="Times New Roman" w:hAnsi="Times New Roman" w:eastAsia="宋体" w:cs="Times New Roman"/>
                <w:b/>
                <w:bCs/>
                <w:color w:val="000000" w:themeColor="text1"/>
                <w:highlight w:val="none"/>
                <w14:textFill>
                  <w14:solidFill>
                    <w14:schemeClr w14:val="tx1"/>
                  </w14:solidFill>
                </w14:textFill>
              </w:rPr>
              <w:t>%</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p>
        </w:tc>
      </w:tr>
      <w:tr w14:paraId="312A2C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1289" w:type="dxa"/>
            <w:tcBorders>
              <w:top w:val="single" w:color="auto" w:sz="12" w:space="0"/>
              <w:tl2br w:val="nil"/>
              <w:tr2bl w:val="nil"/>
            </w:tcBorders>
            <w:noWrap w:val="0"/>
            <w:vAlign w:val="center"/>
          </w:tcPr>
          <w:p w14:paraId="617EFEC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w:t>
            </w:r>
          </w:p>
        </w:tc>
        <w:tc>
          <w:tcPr>
            <w:tcW w:w="2014" w:type="dxa"/>
            <w:tcBorders>
              <w:top w:val="single" w:color="auto" w:sz="12" w:space="0"/>
              <w:tl2br w:val="nil"/>
              <w:tr2bl w:val="nil"/>
            </w:tcBorders>
            <w:shd w:val="clear" w:color="auto" w:fill="auto"/>
            <w:noWrap w:val="0"/>
            <w:vAlign w:val="center"/>
          </w:tcPr>
          <w:p w14:paraId="358F604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15.29</w:t>
            </w:r>
          </w:p>
        </w:tc>
        <w:tc>
          <w:tcPr>
            <w:tcW w:w="1822" w:type="dxa"/>
            <w:tcBorders>
              <w:top w:val="single" w:color="auto" w:sz="12" w:space="0"/>
              <w:tl2br w:val="nil"/>
              <w:tr2bl w:val="nil"/>
            </w:tcBorders>
            <w:shd w:val="clear" w:color="auto" w:fill="auto"/>
            <w:noWrap w:val="0"/>
            <w:vAlign w:val="center"/>
          </w:tcPr>
          <w:p w14:paraId="2D1748C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4.25</w:t>
            </w:r>
          </w:p>
        </w:tc>
        <w:tc>
          <w:tcPr>
            <w:tcW w:w="1922" w:type="dxa"/>
            <w:tcBorders>
              <w:top w:val="single" w:color="auto" w:sz="12" w:space="0"/>
              <w:tl2br w:val="nil"/>
              <w:tr2bl w:val="nil"/>
            </w:tcBorders>
            <w:shd w:val="clear" w:color="auto" w:fill="auto"/>
            <w:noWrap w:val="0"/>
            <w:vAlign w:val="center"/>
          </w:tcPr>
          <w:p w14:paraId="5E64D91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0.43</w:t>
            </w:r>
          </w:p>
        </w:tc>
        <w:tc>
          <w:tcPr>
            <w:tcW w:w="2024" w:type="dxa"/>
            <w:tcBorders>
              <w:top w:val="single" w:color="auto" w:sz="12" w:space="0"/>
              <w:tl2br w:val="nil"/>
              <w:tr2bl w:val="nil"/>
            </w:tcBorders>
            <w:shd w:val="clear" w:color="auto" w:fill="auto"/>
            <w:noWrap w:val="0"/>
            <w:vAlign w:val="center"/>
          </w:tcPr>
          <w:p w14:paraId="7C8F3F9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0.14</w:t>
            </w:r>
          </w:p>
        </w:tc>
      </w:tr>
      <w:tr w14:paraId="494932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395083F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w:t>
            </w:r>
          </w:p>
        </w:tc>
        <w:tc>
          <w:tcPr>
            <w:tcW w:w="2014" w:type="dxa"/>
            <w:tcBorders>
              <w:tl2br w:val="nil"/>
              <w:tr2bl w:val="nil"/>
            </w:tcBorders>
            <w:shd w:val="clear" w:color="auto" w:fill="auto"/>
            <w:noWrap w:val="0"/>
            <w:vAlign w:val="center"/>
          </w:tcPr>
          <w:p w14:paraId="7333218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12.67</w:t>
            </w:r>
          </w:p>
        </w:tc>
        <w:tc>
          <w:tcPr>
            <w:tcW w:w="1822" w:type="dxa"/>
            <w:tcBorders>
              <w:tl2br w:val="nil"/>
              <w:tr2bl w:val="nil"/>
            </w:tcBorders>
            <w:shd w:val="clear" w:color="auto" w:fill="auto"/>
            <w:noWrap w:val="0"/>
            <w:vAlign w:val="center"/>
          </w:tcPr>
          <w:p w14:paraId="65A07233">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3.52</w:t>
            </w:r>
          </w:p>
        </w:tc>
        <w:tc>
          <w:tcPr>
            <w:tcW w:w="1922" w:type="dxa"/>
            <w:tcBorders>
              <w:tl2br w:val="nil"/>
              <w:tr2bl w:val="nil"/>
            </w:tcBorders>
            <w:shd w:val="clear" w:color="auto" w:fill="auto"/>
            <w:noWrap w:val="0"/>
            <w:vAlign w:val="center"/>
          </w:tcPr>
          <w:p w14:paraId="56503D2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0.36</w:t>
            </w:r>
          </w:p>
        </w:tc>
        <w:tc>
          <w:tcPr>
            <w:tcW w:w="2024" w:type="dxa"/>
            <w:tcBorders>
              <w:tl2br w:val="nil"/>
              <w:tr2bl w:val="nil"/>
            </w:tcBorders>
            <w:shd w:val="clear" w:color="auto" w:fill="auto"/>
            <w:noWrap w:val="0"/>
            <w:vAlign w:val="center"/>
          </w:tcPr>
          <w:p w14:paraId="0C589DE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r>
      <w:tr w14:paraId="54F6BF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3DBD0CB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2014" w:type="dxa"/>
            <w:tcBorders>
              <w:tl2br w:val="nil"/>
              <w:tr2bl w:val="nil"/>
            </w:tcBorders>
            <w:shd w:val="clear" w:color="auto" w:fill="auto"/>
            <w:noWrap w:val="0"/>
            <w:vAlign w:val="center"/>
          </w:tcPr>
          <w:p w14:paraId="6503AB1B">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17.94</w:t>
            </w:r>
          </w:p>
        </w:tc>
        <w:tc>
          <w:tcPr>
            <w:tcW w:w="1822" w:type="dxa"/>
            <w:tcBorders>
              <w:tl2br w:val="nil"/>
              <w:tr2bl w:val="nil"/>
            </w:tcBorders>
            <w:shd w:val="clear" w:color="auto" w:fill="auto"/>
            <w:noWrap w:val="0"/>
            <w:vAlign w:val="center"/>
          </w:tcPr>
          <w:p w14:paraId="04E4414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4.98</w:t>
            </w:r>
          </w:p>
        </w:tc>
        <w:tc>
          <w:tcPr>
            <w:tcW w:w="1922" w:type="dxa"/>
            <w:tcBorders>
              <w:tl2br w:val="nil"/>
              <w:tr2bl w:val="nil"/>
            </w:tcBorders>
            <w:shd w:val="clear" w:color="auto" w:fill="auto"/>
            <w:noWrap w:val="0"/>
            <w:vAlign w:val="center"/>
          </w:tcPr>
          <w:p w14:paraId="5BE693A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0.51</w:t>
            </w:r>
          </w:p>
        </w:tc>
        <w:tc>
          <w:tcPr>
            <w:tcW w:w="2024" w:type="dxa"/>
            <w:tcBorders>
              <w:tl2br w:val="nil"/>
              <w:tr2bl w:val="nil"/>
            </w:tcBorders>
            <w:shd w:val="clear" w:color="auto" w:fill="auto"/>
            <w:noWrap w:val="0"/>
            <w:vAlign w:val="center"/>
          </w:tcPr>
          <w:p w14:paraId="2E2B356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0.17</w:t>
            </w:r>
          </w:p>
        </w:tc>
      </w:tr>
      <w:tr w14:paraId="77481C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45168AB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w:t>
            </w:r>
          </w:p>
        </w:tc>
        <w:tc>
          <w:tcPr>
            <w:tcW w:w="2014" w:type="dxa"/>
            <w:tcBorders>
              <w:tl2br w:val="nil"/>
              <w:tr2bl w:val="nil"/>
            </w:tcBorders>
            <w:shd w:val="clear" w:color="auto" w:fill="auto"/>
            <w:noWrap w:val="0"/>
            <w:vAlign w:val="center"/>
          </w:tcPr>
          <w:p w14:paraId="78A1C80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17.42</w:t>
            </w:r>
          </w:p>
        </w:tc>
        <w:tc>
          <w:tcPr>
            <w:tcW w:w="1822" w:type="dxa"/>
            <w:tcBorders>
              <w:tl2br w:val="nil"/>
              <w:tr2bl w:val="nil"/>
            </w:tcBorders>
            <w:shd w:val="clear" w:color="auto" w:fill="auto"/>
            <w:noWrap w:val="0"/>
            <w:vAlign w:val="center"/>
          </w:tcPr>
          <w:p w14:paraId="0610867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4.84</w:t>
            </w:r>
          </w:p>
        </w:tc>
        <w:tc>
          <w:tcPr>
            <w:tcW w:w="1922" w:type="dxa"/>
            <w:tcBorders>
              <w:tl2br w:val="nil"/>
              <w:tr2bl w:val="nil"/>
            </w:tcBorders>
            <w:shd w:val="clear" w:color="auto" w:fill="auto"/>
            <w:noWrap w:val="0"/>
            <w:vAlign w:val="center"/>
          </w:tcPr>
          <w:p w14:paraId="3DC998C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0.49</w:t>
            </w:r>
          </w:p>
        </w:tc>
        <w:tc>
          <w:tcPr>
            <w:tcW w:w="2024" w:type="dxa"/>
            <w:tcBorders>
              <w:tl2br w:val="nil"/>
              <w:tr2bl w:val="nil"/>
            </w:tcBorders>
            <w:shd w:val="clear" w:color="auto" w:fill="auto"/>
            <w:noWrap w:val="0"/>
            <w:vAlign w:val="center"/>
          </w:tcPr>
          <w:p w14:paraId="5C173E9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0.16</w:t>
            </w:r>
          </w:p>
        </w:tc>
      </w:tr>
      <w:tr w14:paraId="116317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2CEF1EB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150</w:t>
            </w:r>
          </w:p>
        </w:tc>
        <w:tc>
          <w:tcPr>
            <w:tcW w:w="2014" w:type="dxa"/>
            <w:tcBorders>
              <w:tl2br w:val="nil"/>
              <w:tr2bl w:val="nil"/>
            </w:tcBorders>
            <w:shd w:val="clear" w:color="auto" w:fill="auto"/>
            <w:noWrap w:val="0"/>
            <w:vAlign w:val="center"/>
          </w:tcPr>
          <w:p w14:paraId="354C708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14.84</w:t>
            </w:r>
          </w:p>
        </w:tc>
        <w:tc>
          <w:tcPr>
            <w:tcW w:w="1822" w:type="dxa"/>
            <w:tcBorders>
              <w:tl2br w:val="nil"/>
              <w:tr2bl w:val="nil"/>
            </w:tcBorders>
            <w:shd w:val="clear" w:color="auto" w:fill="auto"/>
            <w:noWrap w:val="0"/>
            <w:vAlign w:val="center"/>
          </w:tcPr>
          <w:p w14:paraId="19AEB92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4.12</w:t>
            </w:r>
          </w:p>
        </w:tc>
        <w:tc>
          <w:tcPr>
            <w:tcW w:w="1922" w:type="dxa"/>
            <w:tcBorders>
              <w:tl2br w:val="nil"/>
              <w:tr2bl w:val="nil"/>
            </w:tcBorders>
            <w:shd w:val="clear" w:color="auto" w:fill="auto"/>
            <w:noWrap w:val="0"/>
            <w:vAlign w:val="center"/>
          </w:tcPr>
          <w:p w14:paraId="193397C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0.42</w:t>
            </w:r>
          </w:p>
        </w:tc>
        <w:tc>
          <w:tcPr>
            <w:tcW w:w="2024" w:type="dxa"/>
            <w:tcBorders>
              <w:tl2br w:val="nil"/>
              <w:tr2bl w:val="nil"/>
            </w:tcBorders>
            <w:shd w:val="clear" w:color="auto" w:fill="auto"/>
            <w:noWrap w:val="0"/>
            <w:vAlign w:val="center"/>
          </w:tcPr>
          <w:p w14:paraId="79F9A82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0.14</w:t>
            </w:r>
          </w:p>
        </w:tc>
      </w:tr>
      <w:tr w14:paraId="2F11BF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06FD2D6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w:t>
            </w:r>
          </w:p>
        </w:tc>
        <w:tc>
          <w:tcPr>
            <w:tcW w:w="2014" w:type="dxa"/>
            <w:tcBorders>
              <w:tl2br w:val="nil"/>
              <w:tr2bl w:val="nil"/>
            </w:tcBorders>
            <w:shd w:val="clear" w:color="auto" w:fill="auto"/>
            <w:noWrap w:val="0"/>
            <w:vAlign w:val="center"/>
          </w:tcPr>
          <w:p w14:paraId="016E6C3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13.90</w:t>
            </w:r>
          </w:p>
        </w:tc>
        <w:tc>
          <w:tcPr>
            <w:tcW w:w="1822" w:type="dxa"/>
            <w:tcBorders>
              <w:tl2br w:val="nil"/>
              <w:tr2bl w:val="nil"/>
            </w:tcBorders>
            <w:shd w:val="clear" w:color="auto" w:fill="auto"/>
            <w:noWrap w:val="0"/>
            <w:vAlign w:val="center"/>
          </w:tcPr>
          <w:p w14:paraId="02D28F9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3.86</w:t>
            </w:r>
          </w:p>
        </w:tc>
        <w:tc>
          <w:tcPr>
            <w:tcW w:w="1922" w:type="dxa"/>
            <w:tcBorders>
              <w:tl2br w:val="nil"/>
              <w:tr2bl w:val="nil"/>
            </w:tcBorders>
            <w:shd w:val="clear" w:color="auto" w:fill="auto"/>
            <w:noWrap w:val="0"/>
            <w:vAlign w:val="center"/>
          </w:tcPr>
          <w:p w14:paraId="3589F98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0.39</w:t>
            </w:r>
          </w:p>
        </w:tc>
        <w:tc>
          <w:tcPr>
            <w:tcW w:w="2024" w:type="dxa"/>
            <w:tcBorders>
              <w:tl2br w:val="nil"/>
              <w:tr2bl w:val="nil"/>
            </w:tcBorders>
            <w:shd w:val="clear" w:color="auto" w:fill="auto"/>
            <w:noWrap w:val="0"/>
            <w:vAlign w:val="center"/>
          </w:tcPr>
          <w:p w14:paraId="3D1B584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0.13</w:t>
            </w:r>
          </w:p>
        </w:tc>
      </w:tr>
      <w:tr w14:paraId="118B1D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59F82CF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250</w:t>
            </w:r>
          </w:p>
        </w:tc>
        <w:tc>
          <w:tcPr>
            <w:tcW w:w="2014" w:type="dxa"/>
            <w:tcBorders>
              <w:tl2br w:val="nil"/>
              <w:tr2bl w:val="nil"/>
            </w:tcBorders>
            <w:shd w:val="clear" w:color="auto" w:fill="auto"/>
            <w:noWrap w:val="0"/>
            <w:vAlign w:val="center"/>
          </w:tcPr>
          <w:p w14:paraId="5B5A491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14.29</w:t>
            </w:r>
          </w:p>
        </w:tc>
        <w:tc>
          <w:tcPr>
            <w:tcW w:w="1822" w:type="dxa"/>
            <w:tcBorders>
              <w:tl2br w:val="nil"/>
              <w:tr2bl w:val="nil"/>
            </w:tcBorders>
            <w:shd w:val="clear" w:color="auto" w:fill="auto"/>
            <w:noWrap w:val="0"/>
            <w:vAlign w:val="center"/>
          </w:tcPr>
          <w:p w14:paraId="045B82C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3.97</w:t>
            </w:r>
          </w:p>
        </w:tc>
        <w:tc>
          <w:tcPr>
            <w:tcW w:w="1922" w:type="dxa"/>
            <w:tcBorders>
              <w:tl2br w:val="nil"/>
              <w:tr2bl w:val="nil"/>
            </w:tcBorders>
            <w:shd w:val="clear" w:color="auto" w:fill="auto"/>
            <w:noWrap w:val="0"/>
            <w:vAlign w:val="center"/>
          </w:tcPr>
          <w:p w14:paraId="6F30D19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0.40</w:t>
            </w:r>
          </w:p>
        </w:tc>
        <w:tc>
          <w:tcPr>
            <w:tcW w:w="2024" w:type="dxa"/>
            <w:tcBorders>
              <w:tl2br w:val="nil"/>
              <w:tr2bl w:val="nil"/>
            </w:tcBorders>
            <w:shd w:val="clear" w:color="auto" w:fill="auto"/>
            <w:noWrap w:val="0"/>
            <w:vAlign w:val="center"/>
          </w:tcPr>
          <w:p w14:paraId="73A2FEB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0.13</w:t>
            </w:r>
          </w:p>
        </w:tc>
      </w:tr>
      <w:tr w14:paraId="273C84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214521A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2014" w:type="dxa"/>
            <w:tcBorders>
              <w:tl2br w:val="nil"/>
              <w:tr2bl w:val="nil"/>
            </w:tcBorders>
            <w:shd w:val="clear" w:color="auto" w:fill="auto"/>
            <w:noWrap w:val="0"/>
            <w:vAlign w:val="center"/>
          </w:tcPr>
          <w:p w14:paraId="4F92223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13.94</w:t>
            </w:r>
          </w:p>
        </w:tc>
        <w:tc>
          <w:tcPr>
            <w:tcW w:w="1822" w:type="dxa"/>
            <w:tcBorders>
              <w:tl2br w:val="nil"/>
              <w:tr2bl w:val="nil"/>
            </w:tcBorders>
            <w:shd w:val="clear" w:color="auto" w:fill="auto"/>
            <w:noWrap w:val="0"/>
            <w:vAlign w:val="center"/>
          </w:tcPr>
          <w:p w14:paraId="06A9CC5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3.87</w:t>
            </w:r>
          </w:p>
        </w:tc>
        <w:tc>
          <w:tcPr>
            <w:tcW w:w="1922" w:type="dxa"/>
            <w:tcBorders>
              <w:tl2br w:val="nil"/>
              <w:tr2bl w:val="nil"/>
            </w:tcBorders>
            <w:shd w:val="clear" w:color="auto" w:fill="auto"/>
            <w:noWrap w:val="0"/>
            <w:vAlign w:val="center"/>
          </w:tcPr>
          <w:p w14:paraId="4EBA372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0.39</w:t>
            </w:r>
          </w:p>
        </w:tc>
        <w:tc>
          <w:tcPr>
            <w:tcW w:w="2024" w:type="dxa"/>
            <w:tcBorders>
              <w:tl2br w:val="nil"/>
              <w:tr2bl w:val="nil"/>
            </w:tcBorders>
            <w:shd w:val="clear" w:color="auto" w:fill="auto"/>
            <w:noWrap w:val="0"/>
            <w:vAlign w:val="center"/>
          </w:tcPr>
          <w:p w14:paraId="4460632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0.13</w:t>
            </w:r>
          </w:p>
        </w:tc>
      </w:tr>
      <w:tr w14:paraId="174262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7671074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350</w:t>
            </w:r>
          </w:p>
        </w:tc>
        <w:tc>
          <w:tcPr>
            <w:tcW w:w="2014" w:type="dxa"/>
            <w:tcBorders>
              <w:tl2br w:val="nil"/>
              <w:tr2bl w:val="nil"/>
            </w:tcBorders>
            <w:shd w:val="clear" w:color="auto" w:fill="auto"/>
            <w:noWrap w:val="0"/>
            <w:vAlign w:val="center"/>
          </w:tcPr>
          <w:p w14:paraId="7BB3668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13.28</w:t>
            </w:r>
          </w:p>
        </w:tc>
        <w:tc>
          <w:tcPr>
            <w:tcW w:w="1822" w:type="dxa"/>
            <w:tcBorders>
              <w:tl2br w:val="nil"/>
              <w:tr2bl w:val="nil"/>
            </w:tcBorders>
            <w:shd w:val="clear" w:color="auto" w:fill="auto"/>
            <w:noWrap w:val="0"/>
            <w:vAlign w:val="center"/>
          </w:tcPr>
          <w:p w14:paraId="0617031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3.69</w:t>
            </w:r>
          </w:p>
        </w:tc>
        <w:tc>
          <w:tcPr>
            <w:tcW w:w="1922" w:type="dxa"/>
            <w:tcBorders>
              <w:tl2br w:val="nil"/>
              <w:tr2bl w:val="nil"/>
            </w:tcBorders>
            <w:shd w:val="clear" w:color="auto" w:fill="auto"/>
            <w:noWrap w:val="0"/>
            <w:vAlign w:val="center"/>
          </w:tcPr>
          <w:p w14:paraId="0272FB6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0.38</w:t>
            </w:r>
          </w:p>
        </w:tc>
        <w:tc>
          <w:tcPr>
            <w:tcW w:w="2024" w:type="dxa"/>
            <w:tcBorders>
              <w:tl2br w:val="nil"/>
              <w:tr2bl w:val="nil"/>
            </w:tcBorders>
            <w:shd w:val="clear" w:color="auto" w:fill="auto"/>
            <w:noWrap w:val="0"/>
            <w:vAlign w:val="center"/>
          </w:tcPr>
          <w:p w14:paraId="3A087F2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0.13</w:t>
            </w:r>
          </w:p>
        </w:tc>
      </w:tr>
      <w:tr w14:paraId="669658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20A54013">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400</w:t>
            </w:r>
          </w:p>
        </w:tc>
        <w:tc>
          <w:tcPr>
            <w:tcW w:w="2014" w:type="dxa"/>
            <w:tcBorders>
              <w:tl2br w:val="nil"/>
              <w:tr2bl w:val="nil"/>
            </w:tcBorders>
            <w:shd w:val="clear" w:color="auto" w:fill="auto"/>
            <w:noWrap w:val="0"/>
            <w:vAlign w:val="center"/>
          </w:tcPr>
          <w:p w14:paraId="181A21D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13.12</w:t>
            </w:r>
          </w:p>
        </w:tc>
        <w:tc>
          <w:tcPr>
            <w:tcW w:w="1822" w:type="dxa"/>
            <w:tcBorders>
              <w:tl2br w:val="nil"/>
              <w:tr2bl w:val="nil"/>
            </w:tcBorders>
            <w:shd w:val="clear" w:color="auto" w:fill="auto"/>
            <w:noWrap w:val="0"/>
            <w:vAlign w:val="center"/>
          </w:tcPr>
          <w:p w14:paraId="62D57F7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3.65</w:t>
            </w:r>
          </w:p>
        </w:tc>
        <w:tc>
          <w:tcPr>
            <w:tcW w:w="1922" w:type="dxa"/>
            <w:tcBorders>
              <w:tl2br w:val="nil"/>
              <w:tr2bl w:val="nil"/>
            </w:tcBorders>
            <w:shd w:val="clear" w:color="auto" w:fill="auto"/>
            <w:noWrap w:val="0"/>
            <w:vAlign w:val="center"/>
          </w:tcPr>
          <w:p w14:paraId="0F59369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0.37</w:t>
            </w:r>
          </w:p>
        </w:tc>
        <w:tc>
          <w:tcPr>
            <w:tcW w:w="2024" w:type="dxa"/>
            <w:tcBorders>
              <w:tl2br w:val="nil"/>
              <w:tr2bl w:val="nil"/>
            </w:tcBorders>
            <w:shd w:val="clear" w:color="auto" w:fill="auto"/>
            <w:noWrap w:val="0"/>
            <w:vAlign w:val="center"/>
          </w:tcPr>
          <w:p w14:paraId="5FE6096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r>
      <w:tr w14:paraId="3899D4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44A7375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450</w:t>
            </w:r>
          </w:p>
        </w:tc>
        <w:tc>
          <w:tcPr>
            <w:tcW w:w="2014" w:type="dxa"/>
            <w:tcBorders>
              <w:tl2br w:val="nil"/>
              <w:tr2bl w:val="nil"/>
            </w:tcBorders>
            <w:shd w:val="clear" w:color="auto" w:fill="auto"/>
            <w:noWrap w:val="0"/>
            <w:vAlign w:val="center"/>
          </w:tcPr>
          <w:p w14:paraId="2C708C8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12.56</w:t>
            </w:r>
          </w:p>
        </w:tc>
        <w:tc>
          <w:tcPr>
            <w:tcW w:w="1822" w:type="dxa"/>
            <w:tcBorders>
              <w:tl2br w:val="nil"/>
              <w:tr2bl w:val="nil"/>
            </w:tcBorders>
            <w:shd w:val="clear" w:color="auto" w:fill="auto"/>
            <w:noWrap w:val="0"/>
            <w:vAlign w:val="center"/>
          </w:tcPr>
          <w:p w14:paraId="0CF5429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3.49</w:t>
            </w:r>
          </w:p>
        </w:tc>
        <w:tc>
          <w:tcPr>
            <w:tcW w:w="1922" w:type="dxa"/>
            <w:tcBorders>
              <w:tl2br w:val="nil"/>
              <w:tr2bl w:val="nil"/>
            </w:tcBorders>
            <w:shd w:val="clear" w:color="auto" w:fill="auto"/>
            <w:noWrap w:val="0"/>
            <w:vAlign w:val="center"/>
          </w:tcPr>
          <w:p w14:paraId="0ECA835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0.36</w:t>
            </w:r>
          </w:p>
        </w:tc>
        <w:tc>
          <w:tcPr>
            <w:tcW w:w="2024" w:type="dxa"/>
            <w:tcBorders>
              <w:tl2br w:val="nil"/>
              <w:tr2bl w:val="nil"/>
            </w:tcBorders>
            <w:shd w:val="clear" w:color="auto" w:fill="auto"/>
            <w:noWrap w:val="0"/>
            <w:vAlign w:val="center"/>
          </w:tcPr>
          <w:p w14:paraId="77A1660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r>
      <w:tr w14:paraId="386A63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1590B2E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500</w:t>
            </w:r>
          </w:p>
        </w:tc>
        <w:tc>
          <w:tcPr>
            <w:tcW w:w="2014" w:type="dxa"/>
            <w:tcBorders>
              <w:tl2br w:val="nil"/>
              <w:tr2bl w:val="nil"/>
            </w:tcBorders>
            <w:shd w:val="clear" w:color="auto" w:fill="auto"/>
            <w:noWrap w:val="0"/>
            <w:vAlign w:val="center"/>
          </w:tcPr>
          <w:p w14:paraId="53E5966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12.20</w:t>
            </w:r>
          </w:p>
        </w:tc>
        <w:tc>
          <w:tcPr>
            <w:tcW w:w="1822" w:type="dxa"/>
            <w:tcBorders>
              <w:tl2br w:val="nil"/>
              <w:tr2bl w:val="nil"/>
            </w:tcBorders>
            <w:shd w:val="clear" w:color="auto" w:fill="auto"/>
            <w:noWrap w:val="0"/>
            <w:vAlign w:val="center"/>
          </w:tcPr>
          <w:p w14:paraId="472822B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3.39</w:t>
            </w:r>
          </w:p>
        </w:tc>
        <w:tc>
          <w:tcPr>
            <w:tcW w:w="1922" w:type="dxa"/>
            <w:tcBorders>
              <w:tl2br w:val="nil"/>
              <w:tr2bl w:val="nil"/>
            </w:tcBorders>
            <w:shd w:val="clear" w:color="auto" w:fill="auto"/>
            <w:noWrap w:val="0"/>
            <w:vAlign w:val="center"/>
          </w:tcPr>
          <w:p w14:paraId="5761156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0.35</w:t>
            </w:r>
          </w:p>
        </w:tc>
        <w:tc>
          <w:tcPr>
            <w:tcW w:w="2024" w:type="dxa"/>
            <w:tcBorders>
              <w:tl2br w:val="nil"/>
              <w:tr2bl w:val="nil"/>
            </w:tcBorders>
            <w:shd w:val="clear" w:color="auto" w:fill="auto"/>
            <w:noWrap w:val="0"/>
            <w:vAlign w:val="center"/>
          </w:tcPr>
          <w:p w14:paraId="7FB12B9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r>
      <w:tr w14:paraId="3B2856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6B8473A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550</w:t>
            </w:r>
          </w:p>
        </w:tc>
        <w:tc>
          <w:tcPr>
            <w:tcW w:w="2014" w:type="dxa"/>
            <w:tcBorders>
              <w:tl2br w:val="nil"/>
              <w:tr2bl w:val="nil"/>
            </w:tcBorders>
            <w:shd w:val="clear" w:color="auto" w:fill="auto"/>
            <w:noWrap w:val="0"/>
            <w:vAlign w:val="center"/>
          </w:tcPr>
          <w:p w14:paraId="1F2317E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11.75</w:t>
            </w:r>
          </w:p>
        </w:tc>
        <w:tc>
          <w:tcPr>
            <w:tcW w:w="1822" w:type="dxa"/>
            <w:tcBorders>
              <w:tl2br w:val="nil"/>
              <w:tr2bl w:val="nil"/>
            </w:tcBorders>
            <w:shd w:val="clear" w:color="auto" w:fill="auto"/>
            <w:noWrap w:val="0"/>
            <w:vAlign w:val="center"/>
          </w:tcPr>
          <w:p w14:paraId="4FEB480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3.26</w:t>
            </w:r>
          </w:p>
        </w:tc>
        <w:tc>
          <w:tcPr>
            <w:tcW w:w="1922" w:type="dxa"/>
            <w:tcBorders>
              <w:tl2br w:val="nil"/>
              <w:tr2bl w:val="nil"/>
            </w:tcBorders>
            <w:shd w:val="clear" w:color="auto" w:fill="auto"/>
            <w:noWrap w:val="0"/>
            <w:vAlign w:val="center"/>
          </w:tcPr>
          <w:p w14:paraId="653500B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0.33</w:t>
            </w:r>
          </w:p>
        </w:tc>
        <w:tc>
          <w:tcPr>
            <w:tcW w:w="2024" w:type="dxa"/>
            <w:tcBorders>
              <w:tl2br w:val="nil"/>
              <w:tr2bl w:val="nil"/>
            </w:tcBorders>
            <w:shd w:val="clear" w:color="auto" w:fill="auto"/>
            <w:noWrap w:val="0"/>
            <w:vAlign w:val="center"/>
          </w:tcPr>
          <w:p w14:paraId="4C19AE0B">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r>
      <w:tr w14:paraId="46ECF0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6DF276B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600</w:t>
            </w:r>
          </w:p>
        </w:tc>
        <w:tc>
          <w:tcPr>
            <w:tcW w:w="2014" w:type="dxa"/>
            <w:tcBorders>
              <w:tl2br w:val="nil"/>
              <w:tr2bl w:val="nil"/>
            </w:tcBorders>
            <w:shd w:val="clear" w:color="auto" w:fill="auto"/>
            <w:noWrap w:val="0"/>
            <w:vAlign w:val="center"/>
          </w:tcPr>
          <w:p w14:paraId="58D6A8F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11.54</w:t>
            </w:r>
          </w:p>
        </w:tc>
        <w:tc>
          <w:tcPr>
            <w:tcW w:w="1822" w:type="dxa"/>
            <w:tcBorders>
              <w:tl2br w:val="nil"/>
              <w:tr2bl w:val="nil"/>
            </w:tcBorders>
            <w:shd w:val="clear" w:color="auto" w:fill="auto"/>
            <w:noWrap w:val="0"/>
            <w:vAlign w:val="center"/>
          </w:tcPr>
          <w:p w14:paraId="6BAABBD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3.21</w:t>
            </w:r>
          </w:p>
        </w:tc>
        <w:tc>
          <w:tcPr>
            <w:tcW w:w="1922" w:type="dxa"/>
            <w:tcBorders>
              <w:tl2br w:val="nil"/>
              <w:tr2bl w:val="nil"/>
            </w:tcBorders>
            <w:shd w:val="clear" w:color="auto" w:fill="auto"/>
            <w:noWrap w:val="0"/>
            <w:vAlign w:val="center"/>
          </w:tcPr>
          <w:p w14:paraId="756F6DD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0.33</w:t>
            </w:r>
          </w:p>
        </w:tc>
        <w:tc>
          <w:tcPr>
            <w:tcW w:w="2024" w:type="dxa"/>
            <w:tcBorders>
              <w:tl2br w:val="nil"/>
              <w:tr2bl w:val="nil"/>
            </w:tcBorders>
            <w:shd w:val="clear" w:color="auto" w:fill="auto"/>
            <w:noWrap w:val="0"/>
            <w:vAlign w:val="center"/>
          </w:tcPr>
          <w:p w14:paraId="0674CB4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r>
      <w:tr w14:paraId="27C32E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0302A1B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650</w:t>
            </w:r>
          </w:p>
        </w:tc>
        <w:tc>
          <w:tcPr>
            <w:tcW w:w="2014" w:type="dxa"/>
            <w:tcBorders>
              <w:tl2br w:val="nil"/>
              <w:tr2bl w:val="nil"/>
            </w:tcBorders>
            <w:shd w:val="clear" w:color="auto" w:fill="auto"/>
            <w:noWrap w:val="0"/>
            <w:vAlign w:val="center"/>
          </w:tcPr>
          <w:p w14:paraId="2203A0F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11.17</w:t>
            </w:r>
          </w:p>
        </w:tc>
        <w:tc>
          <w:tcPr>
            <w:tcW w:w="1822" w:type="dxa"/>
            <w:tcBorders>
              <w:tl2br w:val="nil"/>
              <w:tr2bl w:val="nil"/>
            </w:tcBorders>
            <w:shd w:val="clear" w:color="auto" w:fill="auto"/>
            <w:noWrap w:val="0"/>
            <w:vAlign w:val="center"/>
          </w:tcPr>
          <w:p w14:paraId="66BBA6B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3.10</w:t>
            </w:r>
          </w:p>
        </w:tc>
        <w:tc>
          <w:tcPr>
            <w:tcW w:w="1922" w:type="dxa"/>
            <w:tcBorders>
              <w:tl2br w:val="nil"/>
              <w:tr2bl w:val="nil"/>
            </w:tcBorders>
            <w:shd w:val="clear" w:color="auto" w:fill="auto"/>
            <w:noWrap w:val="0"/>
            <w:vAlign w:val="center"/>
          </w:tcPr>
          <w:p w14:paraId="1261535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0.32</w:t>
            </w:r>
          </w:p>
        </w:tc>
        <w:tc>
          <w:tcPr>
            <w:tcW w:w="2024" w:type="dxa"/>
            <w:tcBorders>
              <w:tl2br w:val="nil"/>
              <w:tr2bl w:val="nil"/>
            </w:tcBorders>
            <w:shd w:val="clear" w:color="auto" w:fill="auto"/>
            <w:noWrap w:val="0"/>
            <w:vAlign w:val="center"/>
          </w:tcPr>
          <w:p w14:paraId="2BC0893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r>
      <w:tr w14:paraId="2D8266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4069D46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700</w:t>
            </w:r>
          </w:p>
        </w:tc>
        <w:tc>
          <w:tcPr>
            <w:tcW w:w="2014" w:type="dxa"/>
            <w:tcBorders>
              <w:tl2br w:val="nil"/>
              <w:tr2bl w:val="nil"/>
            </w:tcBorders>
            <w:shd w:val="clear" w:color="auto" w:fill="auto"/>
            <w:noWrap w:val="0"/>
            <w:vAlign w:val="center"/>
          </w:tcPr>
          <w:p w14:paraId="0928A61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10.81</w:t>
            </w:r>
          </w:p>
        </w:tc>
        <w:tc>
          <w:tcPr>
            <w:tcW w:w="1822" w:type="dxa"/>
            <w:tcBorders>
              <w:tl2br w:val="nil"/>
              <w:tr2bl w:val="nil"/>
            </w:tcBorders>
            <w:shd w:val="clear" w:color="auto" w:fill="auto"/>
            <w:noWrap w:val="0"/>
            <w:vAlign w:val="center"/>
          </w:tcPr>
          <w:p w14:paraId="0FFEFD7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1922" w:type="dxa"/>
            <w:tcBorders>
              <w:tl2br w:val="nil"/>
              <w:tr2bl w:val="nil"/>
            </w:tcBorders>
            <w:shd w:val="clear" w:color="auto" w:fill="auto"/>
            <w:noWrap w:val="0"/>
            <w:vAlign w:val="center"/>
          </w:tcPr>
          <w:p w14:paraId="3B2A4DB3">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0.31</w:t>
            </w:r>
          </w:p>
        </w:tc>
        <w:tc>
          <w:tcPr>
            <w:tcW w:w="2024" w:type="dxa"/>
            <w:tcBorders>
              <w:tl2br w:val="nil"/>
              <w:tr2bl w:val="nil"/>
            </w:tcBorders>
            <w:shd w:val="clear" w:color="auto" w:fill="auto"/>
            <w:noWrap w:val="0"/>
            <w:vAlign w:val="center"/>
          </w:tcPr>
          <w:p w14:paraId="650BB66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r>
      <w:tr w14:paraId="092C55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31ADF68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750</w:t>
            </w:r>
          </w:p>
        </w:tc>
        <w:tc>
          <w:tcPr>
            <w:tcW w:w="2014" w:type="dxa"/>
            <w:tcBorders>
              <w:tl2br w:val="nil"/>
              <w:tr2bl w:val="nil"/>
            </w:tcBorders>
            <w:shd w:val="clear" w:color="auto" w:fill="auto"/>
            <w:noWrap w:val="0"/>
            <w:vAlign w:val="center"/>
          </w:tcPr>
          <w:p w14:paraId="119C2CF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10.35</w:t>
            </w:r>
          </w:p>
        </w:tc>
        <w:tc>
          <w:tcPr>
            <w:tcW w:w="1822" w:type="dxa"/>
            <w:tcBorders>
              <w:tl2br w:val="nil"/>
              <w:tr2bl w:val="nil"/>
            </w:tcBorders>
            <w:shd w:val="clear" w:color="auto" w:fill="auto"/>
            <w:noWrap w:val="0"/>
            <w:vAlign w:val="center"/>
          </w:tcPr>
          <w:p w14:paraId="4A26AB8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2.87</w:t>
            </w:r>
          </w:p>
        </w:tc>
        <w:tc>
          <w:tcPr>
            <w:tcW w:w="1922" w:type="dxa"/>
            <w:tcBorders>
              <w:tl2br w:val="nil"/>
              <w:tr2bl w:val="nil"/>
            </w:tcBorders>
            <w:shd w:val="clear" w:color="auto" w:fill="auto"/>
            <w:noWrap w:val="0"/>
            <w:vAlign w:val="center"/>
          </w:tcPr>
          <w:p w14:paraId="1C528FD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0.29</w:t>
            </w:r>
          </w:p>
        </w:tc>
        <w:tc>
          <w:tcPr>
            <w:tcW w:w="2024" w:type="dxa"/>
            <w:tcBorders>
              <w:tl2br w:val="nil"/>
              <w:tr2bl w:val="nil"/>
            </w:tcBorders>
            <w:shd w:val="clear" w:color="auto" w:fill="auto"/>
            <w:noWrap w:val="0"/>
            <w:vAlign w:val="center"/>
          </w:tcPr>
          <w:p w14:paraId="7304150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r>
      <w:tr w14:paraId="731062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534C1BD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800</w:t>
            </w:r>
          </w:p>
        </w:tc>
        <w:tc>
          <w:tcPr>
            <w:tcW w:w="2014" w:type="dxa"/>
            <w:tcBorders>
              <w:tl2br w:val="nil"/>
              <w:tr2bl w:val="nil"/>
            </w:tcBorders>
            <w:shd w:val="clear" w:color="auto" w:fill="auto"/>
            <w:noWrap w:val="0"/>
            <w:vAlign w:val="center"/>
          </w:tcPr>
          <w:p w14:paraId="581D289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10.29</w:t>
            </w:r>
          </w:p>
        </w:tc>
        <w:tc>
          <w:tcPr>
            <w:tcW w:w="1822" w:type="dxa"/>
            <w:tcBorders>
              <w:tl2br w:val="nil"/>
              <w:tr2bl w:val="nil"/>
            </w:tcBorders>
            <w:shd w:val="clear" w:color="auto" w:fill="auto"/>
            <w:noWrap w:val="0"/>
            <w:vAlign w:val="center"/>
          </w:tcPr>
          <w:p w14:paraId="181B8DF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2.86</w:t>
            </w:r>
          </w:p>
        </w:tc>
        <w:tc>
          <w:tcPr>
            <w:tcW w:w="1922" w:type="dxa"/>
            <w:tcBorders>
              <w:tl2br w:val="nil"/>
              <w:tr2bl w:val="nil"/>
            </w:tcBorders>
            <w:shd w:val="clear" w:color="auto" w:fill="auto"/>
            <w:noWrap w:val="0"/>
            <w:vAlign w:val="center"/>
          </w:tcPr>
          <w:p w14:paraId="3B5AC24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0.29</w:t>
            </w:r>
          </w:p>
        </w:tc>
        <w:tc>
          <w:tcPr>
            <w:tcW w:w="2024" w:type="dxa"/>
            <w:tcBorders>
              <w:tl2br w:val="nil"/>
              <w:tr2bl w:val="nil"/>
            </w:tcBorders>
            <w:shd w:val="clear" w:color="auto" w:fill="auto"/>
            <w:noWrap w:val="0"/>
            <w:vAlign w:val="center"/>
          </w:tcPr>
          <w:p w14:paraId="433564E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r>
      <w:tr w14:paraId="5414CC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6CB71BDB">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850</w:t>
            </w:r>
          </w:p>
        </w:tc>
        <w:tc>
          <w:tcPr>
            <w:tcW w:w="2014" w:type="dxa"/>
            <w:tcBorders>
              <w:tl2br w:val="nil"/>
              <w:tr2bl w:val="nil"/>
            </w:tcBorders>
            <w:shd w:val="clear" w:color="auto" w:fill="auto"/>
            <w:noWrap w:val="0"/>
            <w:vAlign w:val="center"/>
          </w:tcPr>
          <w:p w14:paraId="753C268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10.19</w:t>
            </w:r>
          </w:p>
        </w:tc>
        <w:tc>
          <w:tcPr>
            <w:tcW w:w="1822" w:type="dxa"/>
            <w:tcBorders>
              <w:tl2br w:val="nil"/>
              <w:tr2bl w:val="nil"/>
            </w:tcBorders>
            <w:shd w:val="clear" w:color="auto" w:fill="auto"/>
            <w:noWrap w:val="0"/>
            <w:vAlign w:val="center"/>
          </w:tcPr>
          <w:p w14:paraId="29ABE65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2.83</w:t>
            </w:r>
          </w:p>
        </w:tc>
        <w:tc>
          <w:tcPr>
            <w:tcW w:w="1922" w:type="dxa"/>
            <w:tcBorders>
              <w:tl2br w:val="nil"/>
              <w:tr2bl w:val="nil"/>
            </w:tcBorders>
            <w:shd w:val="clear" w:color="auto" w:fill="auto"/>
            <w:noWrap w:val="0"/>
            <w:vAlign w:val="center"/>
          </w:tcPr>
          <w:p w14:paraId="4726F44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0.29</w:t>
            </w:r>
          </w:p>
        </w:tc>
        <w:tc>
          <w:tcPr>
            <w:tcW w:w="2024" w:type="dxa"/>
            <w:tcBorders>
              <w:tl2br w:val="nil"/>
              <w:tr2bl w:val="nil"/>
            </w:tcBorders>
            <w:shd w:val="clear" w:color="auto" w:fill="auto"/>
            <w:noWrap w:val="0"/>
            <w:vAlign w:val="center"/>
          </w:tcPr>
          <w:p w14:paraId="23DA0E3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r>
      <w:tr w14:paraId="0ED2B8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2678378B">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900</w:t>
            </w:r>
          </w:p>
        </w:tc>
        <w:tc>
          <w:tcPr>
            <w:tcW w:w="2014" w:type="dxa"/>
            <w:tcBorders>
              <w:tl2br w:val="nil"/>
              <w:tr2bl w:val="nil"/>
            </w:tcBorders>
            <w:shd w:val="clear" w:color="auto" w:fill="auto"/>
            <w:noWrap w:val="0"/>
            <w:vAlign w:val="center"/>
          </w:tcPr>
          <w:p w14:paraId="3B75FA4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10.02</w:t>
            </w:r>
          </w:p>
        </w:tc>
        <w:tc>
          <w:tcPr>
            <w:tcW w:w="1822" w:type="dxa"/>
            <w:tcBorders>
              <w:tl2br w:val="nil"/>
              <w:tr2bl w:val="nil"/>
            </w:tcBorders>
            <w:shd w:val="clear" w:color="auto" w:fill="auto"/>
            <w:noWrap w:val="0"/>
            <w:vAlign w:val="center"/>
          </w:tcPr>
          <w:p w14:paraId="66E55B6B">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2.78</w:t>
            </w:r>
          </w:p>
        </w:tc>
        <w:tc>
          <w:tcPr>
            <w:tcW w:w="1922" w:type="dxa"/>
            <w:tcBorders>
              <w:tl2br w:val="nil"/>
              <w:tr2bl w:val="nil"/>
            </w:tcBorders>
            <w:shd w:val="clear" w:color="auto" w:fill="auto"/>
            <w:noWrap w:val="0"/>
            <w:vAlign w:val="center"/>
          </w:tcPr>
          <w:p w14:paraId="63D7FF8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0.28</w:t>
            </w:r>
          </w:p>
        </w:tc>
        <w:tc>
          <w:tcPr>
            <w:tcW w:w="2024" w:type="dxa"/>
            <w:tcBorders>
              <w:tl2br w:val="nil"/>
              <w:tr2bl w:val="nil"/>
            </w:tcBorders>
            <w:shd w:val="clear" w:color="auto" w:fill="auto"/>
            <w:noWrap w:val="0"/>
            <w:vAlign w:val="center"/>
          </w:tcPr>
          <w:p w14:paraId="4DA8575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5FF19C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309502D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950</w:t>
            </w:r>
          </w:p>
        </w:tc>
        <w:tc>
          <w:tcPr>
            <w:tcW w:w="2014" w:type="dxa"/>
            <w:tcBorders>
              <w:tl2br w:val="nil"/>
              <w:tr2bl w:val="nil"/>
            </w:tcBorders>
            <w:shd w:val="clear" w:color="auto" w:fill="auto"/>
            <w:noWrap w:val="0"/>
            <w:vAlign w:val="center"/>
          </w:tcPr>
          <w:p w14:paraId="071A07A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9.79</w:t>
            </w:r>
          </w:p>
        </w:tc>
        <w:tc>
          <w:tcPr>
            <w:tcW w:w="1822" w:type="dxa"/>
            <w:tcBorders>
              <w:tl2br w:val="nil"/>
              <w:tr2bl w:val="nil"/>
            </w:tcBorders>
            <w:shd w:val="clear" w:color="auto" w:fill="auto"/>
            <w:noWrap w:val="0"/>
            <w:vAlign w:val="center"/>
          </w:tcPr>
          <w:p w14:paraId="5D9A5D8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2.72</w:t>
            </w:r>
          </w:p>
        </w:tc>
        <w:tc>
          <w:tcPr>
            <w:tcW w:w="1922" w:type="dxa"/>
            <w:tcBorders>
              <w:tl2br w:val="nil"/>
              <w:tr2bl w:val="nil"/>
            </w:tcBorders>
            <w:shd w:val="clear" w:color="auto" w:fill="auto"/>
            <w:noWrap w:val="0"/>
            <w:vAlign w:val="center"/>
          </w:tcPr>
          <w:p w14:paraId="6373FE8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0.28</w:t>
            </w:r>
          </w:p>
        </w:tc>
        <w:tc>
          <w:tcPr>
            <w:tcW w:w="2024" w:type="dxa"/>
            <w:tcBorders>
              <w:tl2br w:val="nil"/>
              <w:tr2bl w:val="nil"/>
            </w:tcBorders>
            <w:shd w:val="clear" w:color="auto" w:fill="auto"/>
            <w:noWrap w:val="0"/>
            <w:vAlign w:val="center"/>
          </w:tcPr>
          <w:p w14:paraId="5B255F5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7A5347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62946FD3">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1000</w:t>
            </w:r>
          </w:p>
        </w:tc>
        <w:tc>
          <w:tcPr>
            <w:tcW w:w="2014" w:type="dxa"/>
            <w:tcBorders>
              <w:tl2br w:val="nil"/>
              <w:tr2bl w:val="nil"/>
            </w:tcBorders>
            <w:shd w:val="clear" w:color="auto" w:fill="auto"/>
            <w:noWrap w:val="0"/>
            <w:vAlign w:val="center"/>
          </w:tcPr>
          <w:p w14:paraId="6E2218C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9.64</w:t>
            </w:r>
          </w:p>
        </w:tc>
        <w:tc>
          <w:tcPr>
            <w:tcW w:w="1822" w:type="dxa"/>
            <w:tcBorders>
              <w:tl2br w:val="nil"/>
              <w:tr2bl w:val="nil"/>
            </w:tcBorders>
            <w:shd w:val="clear" w:color="auto" w:fill="auto"/>
            <w:noWrap w:val="0"/>
            <w:vAlign w:val="center"/>
          </w:tcPr>
          <w:p w14:paraId="4A94FA5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2.68</w:t>
            </w:r>
          </w:p>
        </w:tc>
        <w:tc>
          <w:tcPr>
            <w:tcW w:w="1922" w:type="dxa"/>
            <w:tcBorders>
              <w:tl2br w:val="nil"/>
              <w:tr2bl w:val="nil"/>
            </w:tcBorders>
            <w:shd w:val="clear" w:color="auto" w:fill="auto"/>
            <w:noWrap w:val="0"/>
            <w:vAlign w:val="center"/>
          </w:tcPr>
          <w:p w14:paraId="3146667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0.27</w:t>
            </w:r>
          </w:p>
        </w:tc>
        <w:tc>
          <w:tcPr>
            <w:tcW w:w="2024" w:type="dxa"/>
            <w:tcBorders>
              <w:tl2br w:val="nil"/>
              <w:tr2bl w:val="nil"/>
            </w:tcBorders>
            <w:shd w:val="clear" w:color="auto" w:fill="auto"/>
            <w:noWrap w:val="0"/>
            <w:vAlign w:val="center"/>
          </w:tcPr>
          <w:p w14:paraId="32DB765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412E2D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115FF2D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1100</w:t>
            </w:r>
          </w:p>
        </w:tc>
        <w:tc>
          <w:tcPr>
            <w:tcW w:w="2014" w:type="dxa"/>
            <w:tcBorders>
              <w:tl2br w:val="nil"/>
              <w:tr2bl w:val="nil"/>
            </w:tcBorders>
            <w:shd w:val="clear" w:color="auto" w:fill="auto"/>
            <w:noWrap w:val="0"/>
            <w:vAlign w:val="center"/>
          </w:tcPr>
          <w:p w14:paraId="00D989D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9.23</w:t>
            </w:r>
          </w:p>
        </w:tc>
        <w:tc>
          <w:tcPr>
            <w:tcW w:w="1822" w:type="dxa"/>
            <w:tcBorders>
              <w:tl2br w:val="nil"/>
              <w:tr2bl w:val="nil"/>
            </w:tcBorders>
            <w:shd w:val="clear" w:color="auto" w:fill="auto"/>
            <w:noWrap w:val="0"/>
            <w:vAlign w:val="center"/>
          </w:tcPr>
          <w:p w14:paraId="59FA7E5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2.56</w:t>
            </w:r>
          </w:p>
        </w:tc>
        <w:tc>
          <w:tcPr>
            <w:tcW w:w="1922" w:type="dxa"/>
            <w:tcBorders>
              <w:tl2br w:val="nil"/>
              <w:tr2bl w:val="nil"/>
            </w:tcBorders>
            <w:shd w:val="clear" w:color="auto" w:fill="auto"/>
            <w:noWrap w:val="0"/>
            <w:vAlign w:val="center"/>
          </w:tcPr>
          <w:p w14:paraId="0AFDAE9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0.26</w:t>
            </w:r>
          </w:p>
        </w:tc>
        <w:tc>
          <w:tcPr>
            <w:tcW w:w="2024" w:type="dxa"/>
            <w:tcBorders>
              <w:tl2br w:val="nil"/>
              <w:tr2bl w:val="nil"/>
            </w:tcBorders>
            <w:shd w:val="clear" w:color="auto" w:fill="auto"/>
            <w:noWrap w:val="0"/>
            <w:vAlign w:val="center"/>
          </w:tcPr>
          <w:p w14:paraId="7F2C059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1C5722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4735BDB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1200</w:t>
            </w:r>
          </w:p>
        </w:tc>
        <w:tc>
          <w:tcPr>
            <w:tcW w:w="2014" w:type="dxa"/>
            <w:tcBorders>
              <w:tl2br w:val="nil"/>
              <w:tr2bl w:val="nil"/>
            </w:tcBorders>
            <w:shd w:val="clear" w:color="auto" w:fill="auto"/>
            <w:noWrap w:val="0"/>
            <w:vAlign w:val="center"/>
          </w:tcPr>
          <w:p w14:paraId="1AAAA41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8.76</w:t>
            </w:r>
          </w:p>
        </w:tc>
        <w:tc>
          <w:tcPr>
            <w:tcW w:w="1822" w:type="dxa"/>
            <w:tcBorders>
              <w:tl2br w:val="nil"/>
              <w:tr2bl w:val="nil"/>
            </w:tcBorders>
            <w:shd w:val="clear" w:color="auto" w:fill="auto"/>
            <w:noWrap w:val="0"/>
            <w:vAlign w:val="center"/>
          </w:tcPr>
          <w:p w14:paraId="0583278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2.43</w:t>
            </w:r>
          </w:p>
        </w:tc>
        <w:tc>
          <w:tcPr>
            <w:tcW w:w="1922" w:type="dxa"/>
            <w:tcBorders>
              <w:tl2br w:val="nil"/>
              <w:tr2bl w:val="nil"/>
            </w:tcBorders>
            <w:shd w:val="clear" w:color="auto" w:fill="auto"/>
            <w:noWrap w:val="0"/>
            <w:vAlign w:val="center"/>
          </w:tcPr>
          <w:p w14:paraId="098B8CF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0.25</w:t>
            </w:r>
          </w:p>
        </w:tc>
        <w:tc>
          <w:tcPr>
            <w:tcW w:w="2024" w:type="dxa"/>
            <w:tcBorders>
              <w:tl2br w:val="nil"/>
              <w:tr2bl w:val="nil"/>
            </w:tcBorders>
            <w:shd w:val="clear" w:color="auto" w:fill="auto"/>
            <w:noWrap w:val="0"/>
            <w:vAlign w:val="center"/>
          </w:tcPr>
          <w:p w14:paraId="39833FC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0.08</w:t>
            </w:r>
          </w:p>
        </w:tc>
      </w:tr>
      <w:tr w14:paraId="11D057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0E2961C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1300</w:t>
            </w:r>
          </w:p>
        </w:tc>
        <w:tc>
          <w:tcPr>
            <w:tcW w:w="2014" w:type="dxa"/>
            <w:tcBorders>
              <w:tl2br w:val="nil"/>
              <w:tr2bl w:val="nil"/>
            </w:tcBorders>
            <w:shd w:val="clear" w:color="auto" w:fill="auto"/>
            <w:noWrap w:val="0"/>
            <w:vAlign w:val="center"/>
          </w:tcPr>
          <w:p w14:paraId="49A9546E">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8.28</w:t>
            </w:r>
          </w:p>
        </w:tc>
        <w:tc>
          <w:tcPr>
            <w:tcW w:w="1822" w:type="dxa"/>
            <w:tcBorders>
              <w:tl2br w:val="nil"/>
              <w:tr2bl w:val="nil"/>
            </w:tcBorders>
            <w:shd w:val="clear" w:color="auto" w:fill="auto"/>
            <w:noWrap w:val="0"/>
            <w:vAlign w:val="center"/>
          </w:tcPr>
          <w:p w14:paraId="3571574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2.30</w:t>
            </w:r>
          </w:p>
        </w:tc>
        <w:tc>
          <w:tcPr>
            <w:tcW w:w="1922" w:type="dxa"/>
            <w:tcBorders>
              <w:tl2br w:val="nil"/>
              <w:tr2bl w:val="nil"/>
            </w:tcBorders>
            <w:shd w:val="clear" w:color="auto" w:fill="auto"/>
            <w:noWrap w:val="0"/>
            <w:vAlign w:val="center"/>
          </w:tcPr>
          <w:p w14:paraId="684902F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0.23</w:t>
            </w:r>
          </w:p>
        </w:tc>
        <w:tc>
          <w:tcPr>
            <w:tcW w:w="2024" w:type="dxa"/>
            <w:tcBorders>
              <w:tl2br w:val="nil"/>
              <w:tr2bl w:val="nil"/>
            </w:tcBorders>
            <w:shd w:val="clear" w:color="auto" w:fill="auto"/>
            <w:noWrap w:val="0"/>
            <w:vAlign w:val="center"/>
          </w:tcPr>
          <w:p w14:paraId="628C9C5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0.08</w:t>
            </w:r>
          </w:p>
        </w:tc>
      </w:tr>
      <w:tr w14:paraId="4BA5E6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0AF309E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1400</w:t>
            </w:r>
          </w:p>
        </w:tc>
        <w:tc>
          <w:tcPr>
            <w:tcW w:w="2014" w:type="dxa"/>
            <w:tcBorders>
              <w:tl2br w:val="nil"/>
              <w:tr2bl w:val="nil"/>
            </w:tcBorders>
            <w:shd w:val="clear" w:color="auto" w:fill="auto"/>
            <w:noWrap w:val="0"/>
            <w:vAlign w:val="center"/>
          </w:tcPr>
          <w:p w14:paraId="76B5C2A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7.85</w:t>
            </w:r>
          </w:p>
        </w:tc>
        <w:tc>
          <w:tcPr>
            <w:tcW w:w="1822" w:type="dxa"/>
            <w:tcBorders>
              <w:tl2br w:val="nil"/>
              <w:tr2bl w:val="nil"/>
            </w:tcBorders>
            <w:shd w:val="clear" w:color="auto" w:fill="auto"/>
            <w:noWrap w:val="0"/>
            <w:vAlign w:val="center"/>
          </w:tcPr>
          <w:p w14:paraId="3B881F2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2.18</w:t>
            </w:r>
          </w:p>
        </w:tc>
        <w:tc>
          <w:tcPr>
            <w:tcW w:w="1922" w:type="dxa"/>
            <w:tcBorders>
              <w:tl2br w:val="nil"/>
              <w:tr2bl w:val="nil"/>
            </w:tcBorders>
            <w:shd w:val="clear" w:color="auto" w:fill="auto"/>
            <w:noWrap w:val="0"/>
            <w:vAlign w:val="center"/>
          </w:tcPr>
          <w:p w14:paraId="2CACAA1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0.22</w:t>
            </w:r>
          </w:p>
        </w:tc>
        <w:tc>
          <w:tcPr>
            <w:tcW w:w="2024" w:type="dxa"/>
            <w:tcBorders>
              <w:tl2br w:val="nil"/>
              <w:tr2bl w:val="nil"/>
            </w:tcBorders>
            <w:shd w:val="clear" w:color="auto" w:fill="auto"/>
            <w:noWrap w:val="0"/>
            <w:vAlign w:val="center"/>
          </w:tcPr>
          <w:p w14:paraId="593CA11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0.07</w:t>
            </w:r>
          </w:p>
        </w:tc>
      </w:tr>
      <w:tr w14:paraId="0CFF73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4871C31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1500</w:t>
            </w:r>
          </w:p>
        </w:tc>
        <w:tc>
          <w:tcPr>
            <w:tcW w:w="2014" w:type="dxa"/>
            <w:tcBorders>
              <w:tl2br w:val="nil"/>
              <w:tr2bl w:val="nil"/>
            </w:tcBorders>
            <w:shd w:val="clear" w:color="auto" w:fill="auto"/>
            <w:noWrap w:val="0"/>
            <w:vAlign w:val="center"/>
          </w:tcPr>
          <w:p w14:paraId="563BDDF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7.40</w:t>
            </w:r>
          </w:p>
        </w:tc>
        <w:tc>
          <w:tcPr>
            <w:tcW w:w="1822" w:type="dxa"/>
            <w:tcBorders>
              <w:tl2br w:val="nil"/>
              <w:tr2bl w:val="nil"/>
            </w:tcBorders>
            <w:shd w:val="clear" w:color="auto" w:fill="auto"/>
            <w:noWrap w:val="0"/>
            <w:vAlign w:val="center"/>
          </w:tcPr>
          <w:p w14:paraId="3E48F82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2.06</w:t>
            </w:r>
          </w:p>
        </w:tc>
        <w:tc>
          <w:tcPr>
            <w:tcW w:w="1922" w:type="dxa"/>
            <w:tcBorders>
              <w:tl2br w:val="nil"/>
              <w:tr2bl w:val="nil"/>
            </w:tcBorders>
            <w:shd w:val="clear" w:color="auto" w:fill="auto"/>
            <w:noWrap w:val="0"/>
            <w:vAlign w:val="center"/>
          </w:tcPr>
          <w:p w14:paraId="1033FB1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0.21</w:t>
            </w:r>
          </w:p>
        </w:tc>
        <w:tc>
          <w:tcPr>
            <w:tcW w:w="2024" w:type="dxa"/>
            <w:tcBorders>
              <w:tl2br w:val="nil"/>
              <w:tr2bl w:val="nil"/>
            </w:tcBorders>
            <w:shd w:val="clear" w:color="auto" w:fill="auto"/>
            <w:noWrap w:val="0"/>
            <w:vAlign w:val="center"/>
          </w:tcPr>
          <w:p w14:paraId="6A8E397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0.07</w:t>
            </w:r>
          </w:p>
        </w:tc>
      </w:tr>
      <w:tr w14:paraId="43DA81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371197D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1600</w:t>
            </w:r>
          </w:p>
        </w:tc>
        <w:tc>
          <w:tcPr>
            <w:tcW w:w="2014" w:type="dxa"/>
            <w:tcBorders>
              <w:tl2br w:val="nil"/>
              <w:tr2bl w:val="nil"/>
            </w:tcBorders>
            <w:shd w:val="clear" w:color="auto" w:fill="auto"/>
            <w:noWrap w:val="0"/>
            <w:vAlign w:val="center"/>
          </w:tcPr>
          <w:p w14:paraId="479871F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7.02</w:t>
            </w:r>
          </w:p>
        </w:tc>
        <w:tc>
          <w:tcPr>
            <w:tcW w:w="1822" w:type="dxa"/>
            <w:tcBorders>
              <w:tl2br w:val="nil"/>
              <w:tr2bl w:val="nil"/>
            </w:tcBorders>
            <w:shd w:val="clear" w:color="auto" w:fill="auto"/>
            <w:noWrap w:val="0"/>
            <w:vAlign w:val="center"/>
          </w:tcPr>
          <w:p w14:paraId="48457DE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1.95</w:t>
            </w:r>
          </w:p>
        </w:tc>
        <w:tc>
          <w:tcPr>
            <w:tcW w:w="1922" w:type="dxa"/>
            <w:tcBorders>
              <w:tl2br w:val="nil"/>
              <w:tr2bl w:val="nil"/>
            </w:tcBorders>
            <w:shd w:val="clear" w:color="auto" w:fill="auto"/>
            <w:noWrap w:val="0"/>
            <w:vAlign w:val="center"/>
          </w:tcPr>
          <w:p w14:paraId="161EF22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0.20</w:t>
            </w:r>
          </w:p>
        </w:tc>
        <w:tc>
          <w:tcPr>
            <w:tcW w:w="2024" w:type="dxa"/>
            <w:tcBorders>
              <w:tl2br w:val="nil"/>
              <w:tr2bl w:val="nil"/>
            </w:tcBorders>
            <w:shd w:val="clear" w:color="auto" w:fill="auto"/>
            <w:noWrap w:val="0"/>
            <w:vAlign w:val="center"/>
          </w:tcPr>
          <w:p w14:paraId="680C3DC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0.07</w:t>
            </w:r>
          </w:p>
        </w:tc>
      </w:tr>
      <w:tr w14:paraId="471A28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6072555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1700</w:t>
            </w:r>
          </w:p>
        </w:tc>
        <w:tc>
          <w:tcPr>
            <w:tcW w:w="2014" w:type="dxa"/>
            <w:tcBorders>
              <w:tl2br w:val="nil"/>
              <w:tr2bl w:val="nil"/>
            </w:tcBorders>
            <w:shd w:val="clear" w:color="auto" w:fill="auto"/>
            <w:noWrap w:val="0"/>
            <w:vAlign w:val="center"/>
          </w:tcPr>
          <w:p w14:paraId="1692F5A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6.69</w:t>
            </w:r>
          </w:p>
        </w:tc>
        <w:tc>
          <w:tcPr>
            <w:tcW w:w="1822" w:type="dxa"/>
            <w:tcBorders>
              <w:tl2br w:val="nil"/>
              <w:tr2bl w:val="nil"/>
            </w:tcBorders>
            <w:shd w:val="clear" w:color="auto" w:fill="auto"/>
            <w:noWrap w:val="0"/>
            <w:vAlign w:val="center"/>
          </w:tcPr>
          <w:p w14:paraId="5BA4C3A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1.86</w:t>
            </w:r>
          </w:p>
        </w:tc>
        <w:tc>
          <w:tcPr>
            <w:tcW w:w="1922" w:type="dxa"/>
            <w:tcBorders>
              <w:tl2br w:val="nil"/>
              <w:tr2bl w:val="nil"/>
            </w:tcBorders>
            <w:shd w:val="clear" w:color="auto" w:fill="auto"/>
            <w:noWrap w:val="0"/>
            <w:vAlign w:val="center"/>
          </w:tcPr>
          <w:p w14:paraId="0EBF98A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0.19</w:t>
            </w:r>
          </w:p>
        </w:tc>
        <w:tc>
          <w:tcPr>
            <w:tcW w:w="2024" w:type="dxa"/>
            <w:tcBorders>
              <w:tl2br w:val="nil"/>
              <w:tr2bl w:val="nil"/>
            </w:tcBorders>
            <w:shd w:val="clear" w:color="auto" w:fill="auto"/>
            <w:noWrap w:val="0"/>
            <w:vAlign w:val="center"/>
          </w:tcPr>
          <w:p w14:paraId="0FACB81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0.06</w:t>
            </w:r>
          </w:p>
        </w:tc>
      </w:tr>
      <w:tr w14:paraId="71D829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3BDE7F9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1800</w:t>
            </w:r>
          </w:p>
        </w:tc>
        <w:tc>
          <w:tcPr>
            <w:tcW w:w="2014" w:type="dxa"/>
            <w:tcBorders>
              <w:tl2br w:val="nil"/>
              <w:tr2bl w:val="nil"/>
            </w:tcBorders>
            <w:shd w:val="clear" w:color="auto" w:fill="auto"/>
            <w:noWrap w:val="0"/>
            <w:vAlign w:val="center"/>
          </w:tcPr>
          <w:p w14:paraId="73C8CFB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6.41</w:t>
            </w:r>
          </w:p>
        </w:tc>
        <w:tc>
          <w:tcPr>
            <w:tcW w:w="1822" w:type="dxa"/>
            <w:tcBorders>
              <w:tl2br w:val="nil"/>
              <w:tr2bl w:val="nil"/>
            </w:tcBorders>
            <w:shd w:val="clear" w:color="auto" w:fill="auto"/>
            <w:noWrap w:val="0"/>
            <w:vAlign w:val="center"/>
          </w:tcPr>
          <w:p w14:paraId="1025383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1.78</w:t>
            </w:r>
          </w:p>
        </w:tc>
        <w:tc>
          <w:tcPr>
            <w:tcW w:w="1922" w:type="dxa"/>
            <w:tcBorders>
              <w:tl2br w:val="nil"/>
              <w:tr2bl w:val="nil"/>
            </w:tcBorders>
            <w:shd w:val="clear" w:color="auto" w:fill="auto"/>
            <w:noWrap w:val="0"/>
            <w:vAlign w:val="center"/>
          </w:tcPr>
          <w:p w14:paraId="3C3B138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0.18</w:t>
            </w:r>
          </w:p>
        </w:tc>
        <w:tc>
          <w:tcPr>
            <w:tcW w:w="2024" w:type="dxa"/>
            <w:tcBorders>
              <w:tl2br w:val="nil"/>
              <w:tr2bl w:val="nil"/>
            </w:tcBorders>
            <w:shd w:val="clear" w:color="auto" w:fill="auto"/>
            <w:noWrap w:val="0"/>
            <w:vAlign w:val="center"/>
          </w:tcPr>
          <w:p w14:paraId="06C92E1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0.06</w:t>
            </w:r>
          </w:p>
        </w:tc>
      </w:tr>
      <w:tr w14:paraId="33B8DB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6ECB596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1900</w:t>
            </w:r>
          </w:p>
        </w:tc>
        <w:tc>
          <w:tcPr>
            <w:tcW w:w="2014" w:type="dxa"/>
            <w:tcBorders>
              <w:tl2br w:val="nil"/>
              <w:tr2bl w:val="nil"/>
            </w:tcBorders>
            <w:shd w:val="clear" w:color="auto" w:fill="auto"/>
            <w:noWrap w:val="0"/>
            <w:vAlign w:val="center"/>
          </w:tcPr>
          <w:p w14:paraId="4ECC361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5.92</w:t>
            </w:r>
          </w:p>
        </w:tc>
        <w:tc>
          <w:tcPr>
            <w:tcW w:w="1822" w:type="dxa"/>
            <w:tcBorders>
              <w:tl2br w:val="nil"/>
              <w:tr2bl w:val="nil"/>
            </w:tcBorders>
            <w:shd w:val="clear" w:color="auto" w:fill="auto"/>
            <w:noWrap w:val="0"/>
            <w:vAlign w:val="center"/>
          </w:tcPr>
          <w:p w14:paraId="7ECB03E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1.65</w:t>
            </w:r>
          </w:p>
        </w:tc>
        <w:tc>
          <w:tcPr>
            <w:tcW w:w="1922" w:type="dxa"/>
            <w:tcBorders>
              <w:tl2br w:val="nil"/>
              <w:tr2bl w:val="nil"/>
            </w:tcBorders>
            <w:shd w:val="clear" w:color="auto" w:fill="auto"/>
            <w:noWrap w:val="0"/>
            <w:vAlign w:val="center"/>
          </w:tcPr>
          <w:p w14:paraId="2C7B8C3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0.17</w:t>
            </w:r>
          </w:p>
        </w:tc>
        <w:tc>
          <w:tcPr>
            <w:tcW w:w="2024" w:type="dxa"/>
            <w:tcBorders>
              <w:tl2br w:val="nil"/>
              <w:tr2bl w:val="nil"/>
            </w:tcBorders>
            <w:shd w:val="clear" w:color="auto" w:fill="auto"/>
            <w:noWrap w:val="0"/>
            <w:vAlign w:val="center"/>
          </w:tcPr>
          <w:p w14:paraId="488569A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0.06</w:t>
            </w:r>
          </w:p>
        </w:tc>
      </w:tr>
      <w:tr w14:paraId="3C1322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530DE80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2000</w:t>
            </w:r>
          </w:p>
        </w:tc>
        <w:tc>
          <w:tcPr>
            <w:tcW w:w="2014" w:type="dxa"/>
            <w:tcBorders>
              <w:tl2br w:val="nil"/>
              <w:tr2bl w:val="nil"/>
            </w:tcBorders>
            <w:shd w:val="clear" w:color="auto" w:fill="auto"/>
            <w:noWrap w:val="0"/>
            <w:vAlign w:val="center"/>
          </w:tcPr>
          <w:p w14:paraId="15182FD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5.36</w:t>
            </w:r>
          </w:p>
        </w:tc>
        <w:tc>
          <w:tcPr>
            <w:tcW w:w="1822" w:type="dxa"/>
            <w:tcBorders>
              <w:tl2br w:val="nil"/>
              <w:tr2bl w:val="nil"/>
            </w:tcBorders>
            <w:shd w:val="clear" w:color="auto" w:fill="auto"/>
            <w:noWrap w:val="0"/>
            <w:vAlign w:val="center"/>
          </w:tcPr>
          <w:p w14:paraId="142166F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1.49</w:t>
            </w:r>
          </w:p>
        </w:tc>
        <w:tc>
          <w:tcPr>
            <w:tcW w:w="1922" w:type="dxa"/>
            <w:tcBorders>
              <w:tl2br w:val="nil"/>
              <w:tr2bl w:val="nil"/>
            </w:tcBorders>
            <w:shd w:val="clear" w:color="auto" w:fill="auto"/>
            <w:noWrap w:val="0"/>
            <w:vAlign w:val="center"/>
          </w:tcPr>
          <w:p w14:paraId="33D4636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0.15</w:t>
            </w:r>
          </w:p>
        </w:tc>
        <w:tc>
          <w:tcPr>
            <w:tcW w:w="2024" w:type="dxa"/>
            <w:tcBorders>
              <w:tl2br w:val="nil"/>
              <w:tr2bl w:val="nil"/>
            </w:tcBorders>
            <w:shd w:val="clear" w:color="auto" w:fill="auto"/>
            <w:noWrap w:val="0"/>
            <w:vAlign w:val="center"/>
          </w:tcPr>
          <w:p w14:paraId="553540D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0.05</w:t>
            </w:r>
          </w:p>
        </w:tc>
      </w:tr>
      <w:tr w14:paraId="7BBEF4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4627B6A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2100</w:t>
            </w:r>
          </w:p>
        </w:tc>
        <w:tc>
          <w:tcPr>
            <w:tcW w:w="2014" w:type="dxa"/>
            <w:tcBorders>
              <w:tl2br w:val="nil"/>
              <w:tr2bl w:val="nil"/>
            </w:tcBorders>
            <w:shd w:val="clear" w:color="auto" w:fill="auto"/>
            <w:noWrap w:val="0"/>
            <w:vAlign w:val="center"/>
          </w:tcPr>
          <w:p w14:paraId="53048B1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4.95</w:t>
            </w:r>
          </w:p>
        </w:tc>
        <w:tc>
          <w:tcPr>
            <w:tcW w:w="1822" w:type="dxa"/>
            <w:tcBorders>
              <w:tl2br w:val="nil"/>
              <w:tr2bl w:val="nil"/>
            </w:tcBorders>
            <w:shd w:val="clear" w:color="auto" w:fill="auto"/>
            <w:noWrap w:val="0"/>
            <w:vAlign w:val="center"/>
          </w:tcPr>
          <w:p w14:paraId="468283F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1.37</w:t>
            </w:r>
          </w:p>
        </w:tc>
        <w:tc>
          <w:tcPr>
            <w:tcW w:w="1922" w:type="dxa"/>
            <w:tcBorders>
              <w:tl2br w:val="nil"/>
              <w:tr2bl w:val="nil"/>
            </w:tcBorders>
            <w:shd w:val="clear" w:color="auto" w:fill="auto"/>
            <w:noWrap w:val="0"/>
            <w:vAlign w:val="center"/>
          </w:tcPr>
          <w:p w14:paraId="3608A8B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0.14</w:t>
            </w:r>
          </w:p>
        </w:tc>
        <w:tc>
          <w:tcPr>
            <w:tcW w:w="2024" w:type="dxa"/>
            <w:tcBorders>
              <w:tl2br w:val="nil"/>
              <w:tr2bl w:val="nil"/>
            </w:tcBorders>
            <w:shd w:val="clear" w:color="auto" w:fill="auto"/>
            <w:noWrap w:val="0"/>
            <w:vAlign w:val="center"/>
          </w:tcPr>
          <w:p w14:paraId="21EB762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0.05</w:t>
            </w:r>
          </w:p>
        </w:tc>
      </w:tr>
      <w:tr w14:paraId="1D54BF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778DA69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2200</w:t>
            </w:r>
          </w:p>
        </w:tc>
        <w:tc>
          <w:tcPr>
            <w:tcW w:w="2014" w:type="dxa"/>
            <w:tcBorders>
              <w:tl2br w:val="nil"/>
              <w:tr2bl w:val="nil"/>
            </w:tcBorders>
            <w:shd w:val="clear" w:color="auto" w:fill="auto"/>
            <w:noWrap w:val="0"/>
            <w:vAlign w:val="center"/>
          </w:tcPr>
          <w:p w14:paraId="387D3A3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4.13</w:t>
            </w:r>
          </w:p>
        </w:tc>
        <w:tc>
          <w:tcPr>
            <w:tcW w:w="1822" w:type="dxa"/>
            <w:tcBorders>
              <w:tl2br w:val="nil"/>
              <w:tr2bl w:val="nil"/>
            </w:tcBorders>
            <w:shd w:val="clear" w:color="auto" w:fill="auto"/>
            <w:noWrap w:val="0"/>
            <w:vAlign w:val="center"/>
          </w:tcPr>
          <w:p w14:paraId="5FBFAD7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1.15</w:t>
            </w:r>
          </w:p>
        </w:tc>
        <w:tc>
          <w:tcPr>
            <w:tcW w:w="1922" w:type="dxa"/>
            <w:tcBorders>
              <w:tl2br w:val="nil"/>
              <w:tr2bl w:val="nil"/>
            </w:tcBorders>
            <w:shd w:val="clear" w:color="auto" w:fill="auto"/>
            <w:noWrap w:val="0"/>
            <w:vAlign w:val="center"/>
          </w:tcPr>
          <w:p w14:paraId="3B16EF9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c>
          <w:tcPr>
            <w:tcW w:w="2024" w:type="dxa"/>
            <w:tcBorders>
              <w:tl2br w:val="nil"/>
              <w:tr2bl w:val="nil"/>
            </w:tcBorders>
            <w:shd w:val="clear" w:color="auto" w:fill="auto"/>
            <w:noWrap w:val="0"/>
            <w:vAlign w:val="center"/>
          </w:tcPr>
          <w:p w14:paraId="2E0C4EF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0.04</w:t>
            </w:r>
          </w:p>
        </w:tc>
      </w:tr>
      <w:tr w14:paraId="42E355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117A989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2300</w:t>
            </w:r>
          </w:p>
        </w:tc>
        <w:tc>
          <w:tcPr>
            <w:tcW w:w="2014" w:type="dxa"/>
            <w:tcBorders>
              <w:tl2br w:val="nil"/>
              <w:tr2bl w:val="nil"/>
            </w:tcBorders>
            <w:shd w:val="clear" w:color="auto" w:fill="auto"/>
            <w:noWrap w:val="0"/>
            <w:vAlign w:val="center"/>
          </w:tcPr>
          <w:p w14:paraId="4E44048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4.03</w:t>
            </w:r>
          </w:p>
        </w:tc>
        <w:tc>
          <w:tcPr>
            <w:tcW w:w="1822" w:type="dxa"/>
            <w:tcBorders>
              <w:tl2br w:val="nil"/>
              <w:tr2bl w:val="nil"/>
            </w:tcBorders>
            <w:shd w:val="clear" w:color="auto" w:fill="auto"/>
            <w:noWrap w:val="0"/>
            <w:vAlign w:val="center"/>
          </w:tcPr>
          <w:p w14:paraId="28DCAA3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1.12</w:t>
            </w:r>
          </w:p>
        </w:tc>
        <w:tc>
          <w:tcPr>
            <w:tcW w:w="1922" w:type="dxa"/>
            <w:tcBorders>
              <w:tl2br w:val="nil"/>
              <w:tr2bl w:val="nil"/>
            </w:tcBorders>
            <w:shd w:val="clear" w:color="auto" w:fill="auto"/>
            <w:noWrap w:val="0"/>
            <w:vAlign w:val="center"/>
          </w:tcPr>
          <w:p w14:paraId="07500999">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c>
          <w:tcPr>
            <w:tcW w:w="2024" w:type="dxa"/>
            <w:tcBorders>
              <w:tl2br w:val="nil"/>
              <w:tr2bl w:val="nil"/>
            </w:tcBorders>
            <w:shd w:val="clear" w:color="auto" w:fill="auto"/>
            <w:noWrap w:val="0"/>
            <w:vAlign w:val="center"/>
          </w:tcPr>
          <w:p w14:paraId="01C4DC5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0.04</w:t>
            </w:r>
          </w:p>
        </w:tc>
      </w:tr>
      <w:tr w14:paraId="6710A9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4B975AA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2400</w:t>
            </w:r>
          </w:p>
        </w:tc>
        <w:tc>
          <w:tcPr>
            <w:tcW w:w="2014" w:type="dxa"/>
            <w:tcBorders>
              <w:tl2br w:val="nil"/>
              <w:tr2bl w:val="nil"/>
            </w:tcBorders>
            <w:shd w:val="clear" w:color="auto" w:fill="auto"/>
            <w:noWrap w:val="0"/>
            <w:vAlign w:val="center"/>
          </w:tcPr>
          <w:p w14:paraId="13BD8F0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3.76</w:t>
            </w:r>
          </w:p>
        </w:tc>
        <w:tc>
          <w:tcPr>
            <w:tcW w:w="1822" w:type="dxa"/>
            <w:tcBorders>
              <w:tl2br w:val="nil"/>
              <w:tr2bl w:val="nil"/>
            </w:tcBorders>
            <w:shd w:val="clear" w:color="auto" w:fill="auto"/>
            <w:noWrap w:val="0"/>
            <w:vAlign w:val="center"/>
          </w:tcPr>
          <w:p w14:paraId="17D4ED6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1.05</w:t>
            </w:r>
          </w:p>
        </w:tc>
        <w:tc>
          <w:tcPr>
            <w:tcW w:w="1922" w:type="dxa"/>
            <w:tcBorders>
              <w:tl2br w:val="nil"/>
              <w:tr2bl w:val="nil"/>
            </w:tcBorders>
            <w:shd w:val="clear" w:color="auto" w:fill="auto"/>
            <w:noWrap w:val="0"/>
            <w:vAlign w:val="center"/>
          </w:tcPr>
          <w:p w14:paraId="59610C8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c>
          <w:tcPr>
            <w:tcW w:w="2024" w:type="dxa"/>
            <w:tcBorders>
              <w:tl2br w:val="nil"/>
              <w:tr2bl w:val="nil"/>
            </w:tcBorders>
            <w:shd w:val="clear" w:color="auto" w:fill="auto"/>
            <w:noWrap w:val="0"/>
            <w:vAlign w:val="center"/>
          </w:tcPr>
          <w:p w14:paraId="5E6FA54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0.04</w:t>
            </w:r>
          </w:p>
        </w:tc>
      </w:tr>
      <w:tr w14:paraId="1AB2B4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1636CD1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2500</w:t>
            </w:r>
          </w:p>
        </w:tc>
        <w:tc>
          <w:tcPr>
            <w:tcW w:w="2014" w:type="dxa"/>
            <w:tcBorders>
              <w:tl2br w:val="nil"/>
              <w:tr2bl w:val="nil"/>
            </w:tcBorders>
            <w:shd w:val="clear" w:color="auto" w:fill="auto"/>
            <w:noWrap w:val="0"/>
            <w:vAlign w:val="center"/>
          </w:tcPr>
          <w:p w14:paraId="70F5174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3.67</w:t>
            </w:r>
          </w:p>
        </w:tc>
        <w:tc>
          <w:tcPr>
            <w:tcW w:w="1822" w:type="dxa"/>
            <w:tcBorders>
              <w:tl2br w:val="nil"/>
              <w:tr2bl w:val="nil"/>
            </w:tcBorders>
            <w:shd w:val="clear" w:color="auto" w:fill="auto"/>
            <w:noWrap w:val="0"/>
            <w:vAlign w:val="center"/>
          </w:tcPr>
          <w:p w14:paraId="41259FE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1.02</w:t>
            </w:r>
          </w:p>
        </w:tc>
        <w:tc>
          <w:tcPr>
            <w:tcW w:w="1922" w:type="dxa"/>
            <w:tcBorders>
              <w:tl2br w:val="nil"/>
              <w:tr2bl w:val="nil"/>
            </w:tcBorders>
            <w:shd w:val="clear" w:color="auto" w:fill="auto"/>
            <w:noWrap w:val="0"/>
            <w:vAlign w:val="center"/>
          </w:tcPr>
          <w:p w14:paraId="4AF8809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c>
          <w:tcPr>
            <w:tcW w:w="2024" w:type="dxa"/>
            <w:tcBorders>
              <w:tl2br w:val="nil"/>
              <w:tr2bl w:val="nil"/>
            </w:tcBorders>
            <w:shd w:val="clear" w:color="auto" w:fill="auto"/>
            <w:noWrap w:val="0"/>
            <w:vAlign w:val="center"/>
          </w:tcPr>
          <w:p w14:paraId="05DAF51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0.03</w:t>
            </w:r>
          </w:p>
        </w:tc>
      </w:tr>
      <w:tr w14:paraId="7BB18F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765058E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下风向最大浓度</w:t>
            </w:r>
          </w:p>
        </w:tc>
        <w:tc>
          <w:tcPr>
            <w:tcW w:w="2014" w:type="dxa"/>
            <w:tcBorders>
              <w:tl2br w:val="nil"/>
              <w:tr2bl w:val="nil"/>
            </w:tcBorders>
            <w:shd w:val="clear" w:color="auto" w:fill="auto"/>
            <w:noWrap w:val="0"/>
            <w:vAlign w:val="center"/>
          </w:tcPr>
          <w:p w14:paraId="7B8C001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17.94</w:t>
            </w:r>
          </w:p>
        </w:tc>
        <w:tc>
          <w:tcPr>
            <w:tcW w:w="1822" w:type="dxa"/>
            <w:tcBorders>
              <w:tl2br w:val="nil"/>
              <w:tr2bl w:val="nil"/>
            </w:tcBorders>
            <w:shd w:val="clear" w:color="auto" w:fill="auto"/>
            <w:noWrap w:val="0"/>
            <w:vAlign w:val="center"/>
          </w:tcPr>
          <w:p w14:paraId="445719B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4.98</w:t>
            </w:r>
          </w:p>
        </w:tc>
        <w:tc>
          <w:tcPr>
            <w:tcW w:w="1922" w:type="dxa"/>
            <w:tcBorders>
              <w:tl2br w:val="nil"/>
              <w:tr2bl w:val="nil"/>
            </w:tcBorders>
            <w:shd w:val="clear" w:color="auto" w:fill="auto"/>
            <w:noWrap w:val="0"/>
            <w:vAlign w:val="center"/>
          </w:tcPr>
          <w:p w14:paraId="210AB84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0.51</w:t>
            </w:r>
          </w:p>
        </w:tc>
        <w:tc>
          <w:tcPr>
            <w:tcW w:w="2024" w:type="dxa"/>
            <w:tcBorders>
              <w:tl2br w:val="nil"/>
              <w:tr2bl w:val="nil"/>
            </w:tcBorders>
            <w:shd w:val="clear" w:color="auto" w:fill="auto"/>
            <w:noWrap w:val="0"/>
            <w:vAlign w:val="center"/>
          </w:tcPr>
          <w:p w14:paraId="5E1E6C8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0.17</w:t>
            </w:r>
          </w:p>
        </w:tc>
      </w:tr>
      <w:tr w14:paraId="03102B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7D8C7E6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下风向最大浓度出现距离</w:t>
            </w:r>
          </w:p>
        </w:tc>
        <w:tc>
          <w:tcPr>
            <w:tcW w:w="2014" w:type="dxa"/>
            <w:tcBorders>
              <w:tl2br w:val="nil"/>
              <w:tr2bl w:val="nil"/>
            </w:tcBorders>
            <w:shd w:val="clear" w:color="auto" w:fill="auto"/>
            <w:noWrap w:val="0"/>
            <w:vAlign w:val="center"/>
          </w:tcPr>
          <w:p w14:paraId="10B7F2F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1822" w:type="dxa"/>
            <w:tcBorders>
              <w:tl2br w:val="nil"/>
              <w:tr2bl w:val="nil"/>
            </w:tcBorders>
            <w:shd w:val="clear" w:color="auto" w:fill="auto"/>
            <w:noWrap w:val="0"/>
            <w:vAlign w:val="center"/>
          </w:tcPr>
          <w:p w14:paraId="3CE997D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1922" w:type="dxa"/>
            <w:tcBorders>
              <w:tl2br w:val="nil"/>
              <w:tr2bl w:val="nil"/>
            </w:tcBorders>
            <w:shd w:val="clear" w:color="auto" w:fill="auto"/>
            <w:noWrap w:val="0"/>
            <w:vAlign w:val="center"/>
          </w:tcPr>
          <w:p w14:paraId="4EB13DE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2024" w:type="dxa"/>
            <w:tcBorders>
              <w:tl2br w:val="nil"/>
              <w:tr2bl w:val="nil"/>
            </w:tcBorders>
            <w:shd w:val="clear" w:color="auto" w:fill="auto"/>
            <w:noWrap w:val="0"/>
            <w:vAlign w:val="center"/>
          </w:tcPr>
          <w:p w14:paraId="749AD39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r>
      <w:tr w14:paraId="15C067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6155EE1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D10%最远距离</w:t>
            </w:r>
          </w:p>
        </w:tc>
        <w:tc>
          <w:tcPr>
            <w:tcW w:w="2014" w:type="dxa"/>
            <w:tcBorders>
              <w:tl2br w:val="nil"/>
              <w:tr2bl w:val="nil"/>
            </w:tcBorders>
            <w:shd w:val="clear" w:color="auto" w:fill="auto"/>
            <w:noWrap w:val="0"/>
            <w:vAlign w:val="center"/>
          </w:tcPr>
          <w:p w14:paraId="029C665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822" w:type="dxa"/>
            <w:tcBorders>
              <w:tl2br w:val="nil"/>
              <w:tr2bl w:val="nil"/>
            </w:tcBorders>
            <w:shd w:val="clear" w:color="auto" w:fill="auto"/>
            <w:noWrap w:val="0"/>
            <w:vAlign w:val="center"/>
          </w:tcPr>
          <w:p w14:paraId="4759767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922" w:type="dxa"/>
            <w:tcBorders>
              <w:tl2br w:val="nil"/>
              <w:tr2bl w:val="nil"/>
            </w:tcBorders>
            <w:shd w:val="clear" w:color="auto" w:fill="auto"/>
            <w:noWrap w:val="0"/>
            <w:vAlign w:val="center"/>
          </w:tcPr>
          <w:p w14:paraId="0984C1D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2024" w:type="dxa"/>
            <w:tcBorders>
              <w:tl2br w:val="nil"/>
              <w:tr2bl w:val="nil"/>
            </w:tcBorders>
            <w:shd w:val="clear" w:color="auto" w:fill="auto"/>
            <w:noWrap w:val="0"/>
            <w:vAlign w:val="center"/>
          </w:tcPr>
          <w:p w14:paraId="46E18E5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bl>
    <w:p w14:paraId="601FC1FE">
      <w:pPr>
        <w:pStyle w:val="26"/>
        <w:bidi w:val="0"/>
        <w:rPr>
          <w:rFonts w:hint="default" w:eastAsia="宋体"/>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表</w:t>
      </w:r>
      <w:r>
        <w:rPr>
          <w:rFonts w:hint="eastAsia"/>
          <w:b/>
          <w:bCs/>
          <w:color w:val="000000" w:themeColor="text1"/>
          <w:highlight w:val="none"/>
          <w:lang w:val="en-US" w:eastAsia="zh-CN"/>
          <w14:textFill>
            <w14:solidFill>
              <w14:schemeClr w14:val="tx1"/>
            </w14:solidFill>
          </w14:textFill>
        </w:rPr>
        <w:t>5</w:t>
      </w:r>
      <w:r>
        <w:rPr>
          <w:rFonts w:hint="default"/>
          <w:b/>
          <w:bCs/>
          <w:color w:val="000000" w:themeColor="text1"/>
          <w:highlight w:val="none"/>
          <w:lang w:val="en-US" w:eastAsia="zh-CN"/>
          <w14:textFill>
            <w14:solidFill>
              <w14:schemeClr w14:val="tx1"/>
            </w14:solidFill>
          </w14:textFill>
        </w:rPr>
        <w:t>.2</w:t>
      </w:r>
      <w:r>
        <w:rPr>
          <w:rFonts w:hint="eastAsia"/>
          <w:b/>
          <w:bCs/>
          <w:color w:val="000000" w:themeColor="text1"/>
          <w:highlight w:val="none"/>
          <w:lang w:val="en-US" w:eastAsia="zh-CN"/>
          <w14:textFill>
            <w14:solidFill>
              <w14:schemeClr w14:val="tx1"/>
            </w14:solidFill>
          </w14:textFill>
        </w:rPr>
        <w:t>.1-6     项目有组织</w:t>
      </w:r>
      <w:r>
        <w:rPr>
          <w:rFonts w:hint="default"/>
          <w:b/>
          <w:bCs/>
          <w:color w:val="000000" w:themeColor="text1"/>
          <w:highlight w:val="none"/>
          <w:lang w:val="en-US" w:eastAsia="zh-CN"/>
          <w14:textFill>
            <w14:solidFill>
              <w14:schemeClr w14:val="tx1"/>
            </w14:solidFill>
          </w14:textFill>
        </w:rPr>
        <w:t>污染物估算模</w:t>
      </w:r>
      <w:r>
        <w:rPr>
          <w:rFonts w:hint="default"/>
          <w:b/>
          <w:bCs/>
          <w:color w:val="000000" w:themeColor="text1"/>
          <w:highlight w:val="none"/>
          <w14:textFill>
            <w14:solidFill>
              <w14:schemeClr w14:val="tx1"/>
            </w14:solidFill>
          </w14:textFill>
        </w:rPr>
        <w:t>式计算结果</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89"/>
        <w:gridCol w:w="2014"/>
        <w:gridCol w:w="1822"/>
        <w:gridCol w:w="2031"/>
        <w:gridCol w:w="1915"/>
      </w:tblGrid>
      <w:tr w14:paraId="2D0D78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289" w:type="dxa"/>
            <w:vMerge w:val="restart"/>
            <w:noWrap w:val="0"/>
            <w:vAlign w:val="center"/>
          </w:tcPr>
          <w:p w14:paraId="79CFB132">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下风向距离</w:t>
            </w:r>
          </w:p>
        </w:tc>
        <w:tc>
          <w:tcPr>
            <w:tcW w:w="7782" w:type="dxa"/>
            <w:gridSpan w:val="4"/>
            <w:noWrap w:val="0"/>
            <w:vAlign w:val="center"/>
          </w:tcPr>
          <w:p w14:paraId="29C95D31">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DA00</w:t>
            </w:r>
            <w:r>
              <w:rPr>
                <w:rFonts w:hint="eastAsia"/>
                <w:b/>
                <w:bCs/>
                <w:color w:val="000000" w:themeColor="text1"/>
                <w:highlight w:val="none"/>
                <w:lang w:val="en-US" w:eastAsia="zh-CN"/>
                <w14:textFill>
                  <w14:solidFill>
                    <w14:schemeClr w14:val="tx1"/>
                  </w14:solidFill>
                </w14:textFill>
              </w:rPr>
              <w:t>1</w:t>
            </w:r>
          </w:p>
        </w:tc>
      </w:tr>
      <w:tr w14:paraId="502A1D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vMerge w:val="continue"/>
            <w:tcBorders>
              <w:bottom w:val="single" w:color="auto" w:sz="12" w:space="0"/>
            </w:tcBorders>
            <w:noWrap w:val="0"/>
            <w:vAlign w:val="center"/>
          </w:tcPr>
          <w:p w14:paraId="1322DE1D">
            <w:pPr>
              <w:pStyle w:val="26"/>
              <w:bidi w:val="0"/>
              <w:rPr>
                <w:b/>
                <w:bCs/>
                <w:color w:val="000000" w:themeColor="text1"/>
                <w:highlight w:val="none"/>
                <w14:textFill>
                  <w14:solidFill>
                    <w14:schemeClr w14:val="tx1"/>
                  </w14:solidFill>
                </w14:textFill>
              </w:rPr>
            </w:pPr>
          </w:p>
        </w:tc>
        <w:tc>
          <w:tcPr>
            <w:tcW w:w="2014" w:type="dxa"/>
            <w:tcBorders>
              <w:bottom w:val="single" w:color="auto" w:sz="12" w:space="0"/>
            </w:tcBorders>
            <w:shd w:val="clear" w:color="auto" w:fill="auto"/>
            <w:noWrap w:val="0"/>
            <w:vAlign w:val="center"/>
          </w:tcPr>
          <w:p w14:paraId="4EDB6B40">
            <w:pPr>
              <w:pStyle w:val="26"/>
              <w:bidi w:val="0"/>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F浓度</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r>
              <w:rPr>
                <w:rFonts w:ascii="Times New Roman" w:hAnsi="Times New Roman" w:eastAsia="宋体" w:cs="Times New Roman"/>
                <w:b/>
                <w:bCs/>
                <w:color w:val="000000" w:themeColor="text1"/>
                <w:highlight w:val="none"/>
                <w14:textFill>
                  <w14:solidFill>
                    <w14:schemeClr w14:val="tx1"/>
                  </w14:solidFill>
                </w14:textFill>
              </w:rPr>
              <w:t>μg/m³</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p>
        </w:tc>
        <w:tc>
          <w:tcPr>
            <w:tcW w:w="1822" w:type="dxa"/>
            <w:tcBorders>
              <w:bottom w:val="single" w:color="auto" w:sz="12" w:space="0"/>
            </w:tcBorders>
            <w:shd w:val="clear" w:color="auto" w:fill="auto"/>
            <w:noWrap w:val="0"/>
            <w:vAlign w:val="center"/>
          </w:tcPr>
          <w:p w14:paraId="2D956025">
            <w:pPr>
              <w:pStyle w:val="26"/>
              <w:bidi w:val="0"/>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F占标率</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r>
              <w:rPr>
                <w:rFonts w:ascii="Times New Roman" w:hAnsi="Times New Roman" w:eastAsia="宋体" w:cs="Times New Roman"/>
                <w:b/>
                <w:bCs/>
                <w:color w:val="000000" w:themeColor="text1"/>
                <w:highlight w:val="none"/>
                <w14:textFill>
                  <w14:solidFill>
                    <w14:schemeClr w14:val="tx1"/>
                  </w14:solidFill>
                </w14:textFill>
              </w:rPr>
              <w:t>%</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p>
        </w:tc>
        <w:tc>
          <w:tcPr>
            <w:tcW w:w="2031" w:type="dxa"/>
            <w:tcBorders>
              <w:bottom w:val="single" w:color="auto" w:sz="12" w:space="0"/>
            </w:tcBorders>
            <w:shd w:val="clear" w:color="auto" w:fill="auto"/>
            <w:noWrap w:val="0"/>
            <w:vAlign w:val="center"/>
          </w:tcPr>
          <w:p w14:paraId="12FBCB1F">
            <w:pPr>
              <w:pStyle w:val="26"/>
              <w:bidi w:val="0"/>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NMHC浓度</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r>
              <w:rPr>
                <w:rFonts w:ascii="Times New Roman" w:hAnsi="Times New Roman" w:eastAsia="宋体" w:cs="Times New Roman"/>
                <w:b/>
                <w:bCs/>
                <w:color w:val="000000" w:themeColor="text1"/>
                <w:highlight w:val="none"/>
                <w14:textFill>
                  <w14:solidFill>
                    <w14:schemeClr w14:val="tx1"/>
                  </w14:solidFill>
                </w14:textFill>
              </w:rPr>
              <w:t>μg/m³</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p>
        </w:tc>
        <w:tc>
          <w:tcPr>
            <w:tcW w:w="1915" w:type="dxa"/>
            <w:tcBorders>
              <w:bottom w:val="single" w:color="auto" w:sz="12" w:space="0"/>
            </w:tcBorders>
            <w:shd w:val="clear" w:color="auto" w:fill="auto"/>
            <w:noWrap w:val="0"/>
            <w:vAlign w:val="center"/>
          </w:tcPr>
          <w:p w14:paraId="3E509349">
            <w:pPr>
              <w:pStyle w:val="26"/>
              <w:bidi w:val="0"/>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ascii="Times New Roman" w:hAnsi="Times New Roman" w:eastAsia="宋体" w:cs="Times New Roman"/>
                <w:b/>
                <w:bCs/>
                <w:color w:val="000000" w:themeColor="text1"/>
                <w:highlight w:val="none"/>
                <w14:textFill>
                  <w14:solidFill>
                    <w14:schemeClr w14:val="tx1"/>
                  </w14:solidFill>
                </w14:textFill>
              </w:rPr>
              <w:t>NMHC占标率</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r>
              <w:rPr>
                <w:rFonts w:ascii="Times New Roman" w:hAnsi="Times New Roman" w:eastAsia="宋体" w:cs="Times New Roman"/>
                <w:b/>
                <w:bCs/>
                <w:color w:val="000000" w:themeColor="text1"/>
                <w:highlight w:val="none"/>
                <w14:textFill>
                  <w14:solidFill>
                    <w14:schemeClr w14:val="tx1"/>
                  </w14:solidFill>
                </w14:textFill>
              </w:rPr>
              <w:t>%</w:t>
            </w:r>
            <w:r>
              <w:rPr>
                <w:rFonts w:hint="eastAsia" w:ascii="Times New Roman" w:hAnsi="Times New Roman" w:eastAsia="宋体" w:cs="Times New Roman"/>
                <w:b/>
                <w:bCs/>
                <w:color w:val="000000" w:themeColor="text1"/>
                <w:highlight w:val="none"/>
                <w:lang w:eastAsia="zh-CN"/>
                <w14:textFill>
                  <w14:solidFill>
                    <w14:schemeClr w14:val="tx1"/>
                  </w14:solidFill>
                </w14:textFill>
              </w:rPr>
              <w:t>）</w:t>
            </w:r>
          </w:p>
        </w:tc>
      </w:tr>
      <w:tr w14:paraId="2A3771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9" w:type="dxa"/>
            <w:tcBorders>
              <w:top w:val="single" w:color="auto" w:sz="12" w:space="0"/>
              <w:tl2br w:val="nil"/>
              <w:tr2bl w:val="nil"/>
            </w:tcBorders>
            <w:shd w:val="clear" w:color="auto" w:fill="auto"/>
            <w:noWrap w:val="0"/>
            <w:vAlign w:val="center"/>
          </w:tcPr>
          <w:p w14:paraId="1F1BDD5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w:t>
            </w:r>
          </w:p>
        </w:tc>
        <w:tc>
          <w:tcPr>
            <w:tcW w:w="2014" w:type="dxa"/>
            <w:tcBorders>
              <w:top w:val="single" w:color="auto" w:sz="12" w:space="0"/>
              <w:tl2br w:val="nil"/>
              <w:tr2bl w:val="nil"/>
            </w:tcBorders>
            <w:shd w:val="clear" w:color="auto" w:fill="auto"/>
            <w:noWrap w:val="0"/>
            <w:vAlign w:val="center"/>
          </w:tcPr>
          <w:p w14:paraId="7DE5671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0.0020</w:t>
            </w:r>
          </w:p>
        </w:tc>
        <w:tc>
          <w:tcPr>
            <w:tcW w:w="1822" w:type="dxa"/>
            <w:tcBorders>
              <w:top w:val="single" w:color="auto" w:sz="12" w:space="0"/>
              <w:tl2br w:val="nil"/>
              <w:tr2bl w:val="nil"/>
            </w:tcBorders>
            <w:shd w:val="clear" w:color="auto" w:fill="auto"/>
            <w:noWrap w:val="0"/>
            <w:vAlign w:val="center"/>
          </w:tcPr>
          <w:p w14:paraId="0B020A5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0.0098</w:t>
            </w:r>
          </w:p>
        </w:tc>
        <w:tc>
          <w:tcPr>
            <w:tcW w:w="2031" w:type="dxa"/>
            <w:tcBorders>
              <w:top w:val="single" w:color="auto" w:sz="12" w:space="0"/>
              <w:tl2br w:val="nil"/>
              <w:tr2bl w:val="nil"/>
            </w:tcBorders>
            <w:shd w:val="clear" w:color="auto" w:fill="auto"/>
            <w:noWrap w:val="0"/>
            <w:vAlign w:val="center"/>
          </w:tcPr>
          <w:p w14:paraId="0CB1544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2.55</w:t>
            </w:r>
          </w:p>
        </w:tc>
        <w:tc>
          <w:tcPr>
            <w:tcW w:w="1915" w:type="dxa"/>
            <w:tcBorders>
              <w:top w:val="single" w:color="auto" w:sz="12" w:space="0"/>
              <w:tl2br w:val="nil"/>
              <w:tr2bl w:val="nil"/>
            </w:tcBorders>
            <w:shd w:val="clear" w:color="auto" w:fill="auto"/>
            <w:noWrap w:val="0"/>
            <w:vAlign w:val="center"/>
          </w:tcPr>
          <w:p w14:paraId="29382BD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0.13</w:t>
            </w:r>
          </w:p>
        </w:tc>
      </w:tr>
      <w:tr w14:paraId="5AADE1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17CF886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w:t>
            </w:r>
          </w:p>
        </w:tc>
        <w:tc>
          <w:tcPr>
            <w:tcW w:w="2014" w:type="dxa"/>
            <w:tcBorders>
              <w:tl2br w:val="nil"/>
              <w:tr2bl w:val="nil"/>
            </w:tcBorders>
            <w:shd w:val="clear" w:color="auto" w:fill="auto"/>
            <w:noWrap w:val="0"/>
            <w:vAlign w:val="center"/>
          </w:tcPr>
          <w:p w14:paraId="2002CE9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0.0016</w:t>
            </w:r>
          </w:p>
        </w:tc>
        <w:tc>
          <w:tcPr>
            <w:tcW w:w="1822" w:type="dxa"/>
            <w:tcBorders>
              <w:tl2br w:val="nil"/>
              <w:tr2bl w:val="nil"/>
            </w:tcBorders>
            <w:shd w:val="clear" w:color="auto" w:fill="auto"/>
            <w:noWrap w:val="0"/>
            <w:vAlign w:val="center"/>
          </w:tcPr>
          <w:p w14:paraId="21C1615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0.0081</w:t>
            </w:r>
          </w:p>
        </w:tc>
        <w:tc>
          <w:tcPr>
            <w:tcW w:w="2031" w:type="dxa"/>
            <w:tcBorders>
              <w:tl2br w:val="nil"/>
              <w:tr2bl w:val="nil"/>
            </w:tcBorders>
            <w:shd w:val="clear" w:color="auto" w:fill="auto"/>
            <w:noWrap w:val="0"/>
            <w:vAlign w:val="center"/>
          </w:tcPr>
          <w:p w14:paraId="03AC8D8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2.12</w:t>
            </w:r>
          </w:p>
        </w:tc>
        <w:tc>
          <w:tcPr>
            <w:tcW w:w="1915" w:type="dxa"/>
            <w:tcBorders>
              <w:tl2br w:val="nil"/>
              <w:tr2bl w:val="nil"/>
            </w:tcBorders>
            <w:shd w:val="clear" w:color="auto" w:fill="auto"/>
            <w:noWrap w:val="0"/>
            <w:vAlign w:val="center"/>
          </w:tcPr>
          <w:p w14:paraId="2AE1C5B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r>
      <w:tr w14:paraId="40247F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7A6DB53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2014" w:type="dxa"/>
            <w:tcBorders>
              <w:tl2br w:val="nil"/>
              <w:tr2bl w:val="nil"/>
            </w:tcBorders>
            <w:shd w:val="clear" w:color="auto" w:fill="auto"/>
            <w:noWrap w:val="0"/>
            <w:vAlign w:val="center"/>
          </w:tcPr>
          <w:p w14:paraId="383D8AE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0.0023</w:t>
            </w:r>
          </w:p>
        </w:tc>
        <w:tc>
          <w:tcPr>
            <w:tcW w:w="1822" w:type="dxa"/>
            <w:tcBorders>
              <w:tl2br w:val="nil"/>
              <w:tr2bl w:val="nil"/>
            </w:tcBorders>
            <w:shd w:val="clear" w:color="auto" w:fill="auto"/>
            <w:noWrap w:val="0"/>
            <w:vAlign w:val="center"/>
          </w:tcPr>
          <w:p w14:paraId="05A3F83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0.0115</w:t>
            </w:r>
          </w:p>
        </w:tc>
        <w:tc>
          <w:tcPr>
            <w:tcW w:w="2031" w:type="dxa"/>
            <w:tcBorders>
              <w:tl2br w:val="nil"/>
              <w:tr2bl w:val="nil"/>
            </w:tcBorders>
            <w:shd w:val="clear" w:color="auto" w:fill="auto"/>
            <w:noWrap w:val="0"/>
            <w:vAlign w:val="center"/>
          </w:tcPr>
          <w:p w14:paraId="1F609F9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1915" w:type="dxa"/>
            <w:tcBorders>
              <w:tl2br w:val="nil"/>
              <w:tr2bl w:val="nil"/>
            </w:tcBorders>
            <w:shd w:val="clear" w:color="auto" w:fill="auto"/>
            <w:noWrap w:val="0"/>
            <w:vAlign w:val="center"/>
          </w:tcPr>
          <w:p w14:paraId="5B49B7E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0.15</w:t>
            </w:r>
          </w:p>
        </w:tc>
      </w:tr>
      <w:tr w14:paraId="56097E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6EFEA23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w:t>
            </w:r>
          </w:p>
        </w:tc>
        <w:tc>
          <w:tcPr>
            <w:tcW w:w="2014" w:type="dxa"/>
            <w:tcBorders>
              <w:tl2br w:val="nil"/>
              <w:tr2bl w:val="nil"/>
            </w:tcBorders>
            <w:shd w:val="clear" w:color="auto" w:fill="auto"/>
            <w:noWrap w:val="0"/>
            <w:vAlign w:val="center"/>
          </w:tcPr>
          <w:p w14:paraId="79BC3A5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0.0022</w:t>
            </w:r>
          </w:p>
        </w:tc>
        <w:tc>
          <w:tcPr>
            <w:tcW w:w="1822" w:type="dxa"/>
            <w:tcBorders>
              <w:tl2br w:val="nil"/>
              <w:tr2bl w:val="nil"/>
            </w:tcBorders>
            <w:shd w:val="clear" w:color="auto" w:fill="auto"/>
            <w:noWrap w:val="0"/>
            <w:vAlign w:val="center"/>
          </w:tcPr>
          <w:p w14:paraId="01948C9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0.0112</w:t>
            </w:r>
          </w:p>
        </w:tc>
        <w:tc>
          <w:tcPr>
            <w:tcW w:w="2031" w:type="dxa"/>
            <w:tcBorders>
              <w:tl2br w:val="nil"/>
              <w:tr2bl w:val="nil"/>
            </w:tcBorders>
            <w:shd w:val="clear" w:color="auto" w:fill="auto"/>
            <w:noWrap w:val="0"/>
            <w:vAlign w:val="center"/>
          </w:tcPr>
          <w:p w14:paraId="168B338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2.91</w:t>
            </w:r>
          </w:p>
        </w:tc>
        <w:tc>
          <w:tcPr>
            <w:tcW w:w="1915" w:type="dxa"/>
            <w:tcBorders>
              <w:tl2br w:val="nil"/>
              <w:tr2bl w:val="nil"/>
            </w:tcBorders>
            <w:shd w:val="clear" w:color="auto" w:fill="auto"/>
            <w:noWrap w:val="0"/>
            <w:vAlign w:val="center"/>
          </w:tcPr>
          <w:p w14:paraId="0F47162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0.15</w:t>
            </w:r>
          </w:p>
        </w:tc>
      </w:tr>
      <w:tr w14:paraId="34DB82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68D6DC6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150</w:t>
            </w:r>
          </w:p>
        </w:tc>
        <w:tc>
          <w:tcPr>
            <w:tcW w:w="2014" w:type="dxa"/>
            <w:tcBorders>
              <w:tl2br w:val="nil"/>
              <w:tr2bl w:val="nil"/>
            </w:tcBorders>
            <w:shd w:val="clear" w:color="auto" w:fill="auto"/>
            <w:noWrap w:val="0"/>
            <w:vAlign w:val="center"/>
          </w:tcPr>
          <w:p w14:paraId="6AF6C03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0.0019</w:t>
            </w:r>
          </w:p>
        </w:tc>
        <w:tc>
          <w:tcPr>
            <w:tcW w:w="1822" w:type="dxa"/>
            <w:tcBorders>
              <w:tl2br w:val="nil"/>
              <w:tr2bl w:val="nil"/>
            </w:tcBorders>
            <w:shd w:val="clear" w:color="auto" w:fill="auto"/>
            <w:noWrap w:val="0"/>
            <w:vAlign w:val="center"/>
          </w:tcPr>
          <w:p w14:paraId="50979EA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0.0095</w:t>
            </w:r>
          </w:p>
        </w:tc>
        <w:tc>
          <w:tcPr>
            <w:tcW w:w="2031" w:type="dxa"/>
            <w:tcBorders>
              <w:tl2br w:val="nil"/>
              <w:tr2bl w:val="nil"/>
            </w:tcBorders>
            <w:shd w:val="clear" w:color="auto" w:fill="auto"/>
            <w:noWrap w:val="0"/>
            <w:vAlign w:val="center"/>
          </w:tcPr>
          <w:p w14:paraId="7A39BC7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2.48</w:t>
            </w:r>
          </w:p>
        </w:tc>
        <w:tc>
          <w:tcPr>
            <w:tcW w:w="1915" w:type="dxa"/>
            <w:tcBorders>
              <w:tl2br w:val="nil"/>
              <w:tr2bl w:val="nil"/>
            </w:tcBorders>
            <w:shd w:val="clear" w:color="auto" w:fill="auto"/>
            <w:noWrap w:val="0"/>
            <w:vAlign w:val="center"/>
          </w:tcPr>
          <w:p w14:paraId="2CC5754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r>
      <w:tr w14:paraId="7D3EE8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633D6B0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w:t>
            </w:r>
          </w:p>
        </w:tc>
        <w:tc>
          <w:tcPr>
            <w:tcW w:w="2014" w:type="dxa"/>
            <w:tcBorders>
              <w:tl2br w:val="nil"/>
              <w:tr2bl w:val="nil"/>
            </w:tcBorders>
            <w:shd w:val="clear" w:color="auto" w:fill="auto"/>
            <w:noWrap w:val="0"/>
            <w:vAlign w:val="center"/>
          </w:tcPr>
          <w:p w14:paraId="5DCE33D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0.0018</w:t>
            </w:r>
          </w:p>
        </w:tc>
        <w:tc>
          <w:tcPr>
            <w:tcW w:w="1822" w:type="dxa"/>
            <w:tcBorders>
              <w:tl2br w:val="nil"/>
              <w:tr2bl w:val="nil"/>
            </w:tcBorders>
            <w:shd w:val="clear" w:color="auto" w:fill="auto"/>
            <w:noWrap w:val="0"/>
            <w:vAlign w:val="center"/>
          </w:tcPr>
          <w:p w14:paraId="563313E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0.0089</w:t>
            </w:r>
          </w:p>
        </w:tc>
        <w:tc>
          <w:tcPr>
            <w:tcW w:w="2031" w:type="dxa"/>
            <w:tcBorders>
              <w:tl2br w:val="nil"/>
              <w:tr2bl w:val="nil"/>
            </w:tcBorders>
            <w:shd w:val="clear" w:color="auto" w:fill="auto"/>
            <w:noWrap w:val="0"/>
            <w:vAlign w:val="center"/>
          </w:tcPr>
          <w:p w14:paraId="3A8A2E1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2.32</w:t>
            </w:r>
          </w:p>
        </w:tc>
        <w:tc>
          <w:tcPr>
            <w:tcW w:w="1915" w:type="dxa"/>
            <w:tcBorders>
              <w:tl2br w:val="nil"/>
              <w:tr2bl w:val="nil"/>
            </w:tcBorders>
            <w:shd w:val="clear" w:color="auto" w:fill="auto"/>
            <w:noWrap w:val="0"/>
            <w:vAlign w:val="center"/>
          </w:tcPr>
          <w:p w14:paraId="490BB9C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r>
      <w:tr w14:paraId="32215C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41BA83D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250</w:t>
            </w:r>
          </w:p>
        </w:tc>
        <w:tc>
          <w:tcPr>
            <w:tcW w:w="2014" w:type="dxa"/>
            <w:tcBorders>
              <w:tl2br w:val="nil"/>
              <w:tr2bl w:val="nil"/>
            </w:tcBorders>
            <w:shd w:val="clear" w:color="auto" w:fill="auto"/>
            <w:noWrap w:val="0"/>
            <w:vAlign w:val="center"/>
          </w:tcPr>
          <w:p w14:paraId="6659071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0.0018</w:t>
            </w:r>
          </w:p>
        </w:tc>
        <w:tc>
          <w:tcPr>
            <w:tcW w:w="1822" w:type="dxa"/>
            <w:tcBorders>
              <w:tl2br w:val="nil"/>
              <w:tr2bl w:val="nil"/>
            </w:tcBorders>
            <w:shd w:val="clear" w:color="auto" w:fill="auto"/>
            <w:noWrap w:val="0"/>
            <w:vAlign w:val="center"/>
          </w:tcPr>
          <w:p w14:paraId="05C98AC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0.0092</w:t>
            </w:r>
          </w:p>
        </w:tc>
        <w:tc>
          <w:tcPr>
            <w:tcW w:w="2031" w:type="dxa"/>
            <w:tcBorders>
              <w:tl2br w:val="nil"/>
              <w:tr2bl w:val="nil"/>
            </w:tcBorders>
            <w:shd w:val="clear" w:color="auto" w:fill="auto"/>
            <w:noWrap w:val="0"/>
            <w:vAlign w:val="center"/>
          </w:tcPr>
          <w:p w14:paraId="0C4BA1C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2.39</w:t>
            </w:r>
          </w:p>
        </w:tc>
        <w:tc>
          <w:tcPr>
            <w:tcW w:w="1915" w:type="dxa"/>
            <w:tcBorders>
              <w:tl2br w:val="nil"/>
              <w:tr2bl w:val="nil"/>
            </w:tcBorders>
            <w:shd w:val="clear" w:color="auto" w:fill="auto"/>
            <w:noWrap w:val="0"/>
            <w:vAlign w:val="center"/>
          </w:tcPr>
          <w:p w14:paraId="0E495DE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r>
      <w:tr w14:paraId="50CF0B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17E4176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2014" w:type="dxa"/>
            <w:tcBorders>
              <w:tl2br w:val="nil"/>
              <w:tr2bl w:val="nil"/>
            </w:tcBorders>
            <w:shd w:val="clear" w:color="auto" w:fill="auto"/>
            <w:noWrap w:val="0"/>
            <w:vAlign w:val="center"/>
          </w:tcPr>
          <w:p w14:paraId="7999D4F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0.0018</w:t>
            </w:r>
          </w:p>
        </w:tc>
        <w:tc>
          <w:tcPr>
            <w:tcW w:w="1822" w:type="dxa"/>
            <w:tcBorders>
              <w:tl2br w:val="nil"/>
              <w:tr2bl w:val="nil"/>
            </w:tcBorders>
            <w:shd w:val="clear" w:color="auto" w:fill="auto"/>
            <w:noWrap w:val="0"/>
            <w:vAlign w:val="center"/>
          </w:tcPr>
          <w:p w14:paraId="69EF1B7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0.009</w:t>
            </w:r>
          </w:p>
        </w:tc>
        <w:tc>
          <w:tcPr>
            <w:tcW w:w="2031" w:type="dxa"/>
            <w:tcBorders>
              <w:tl2br w:val="nil"/>
              <w:tr2bl w:val="nil"/>
            </w:tcBorders>
            <w:shd w:val="clear" w:color="auto" w:fill="auto"/>
            <w:noWrap w:val="0"/>
            <w:vAlign w:val="center"/>
          </w:tcPr>
          <w:p w14:paraId="67E5331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2.33</w:t>
            </w:r>
          </w:p>
        </w:tc>
        <w:tc>
          <w:tcPr>
            <w:tcW w:w="1915" w:type="dxa"/>
            <w:tcBorders>
              <w:tl2br w:val="nil"/>
              <w:tr2bl w:val="nil"/>
            </w:tcBorders>
            <w:shd w:val="clear" w:color="auto" w:fill="auto"/>
            <w:noWrap w:val="0"/>
            <w:vAlign w:val="center"/>
          </w:tcPr>
          <w:p w14:paraId="79ADA58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r>
      <w:tr w14:paraId="042425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718B524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350</w:t>
            </w:r>
          </w:p>
        </w:tc>
        <w:tc>
          <w:tcPr>
            <w:tcW w:w="2014" w:type="dxa"/>
            <w:tcBorders>
              <w:tl2br w:val="nil"/>
              <w:tr2bl w:val="nil"/>
            </w:tcBorders>
            <w:shd w:val="clear" w:color="auto" w:fill="auto"/>
            <w:noWrap w:val="0"/>
            <w:vAlign w:val="center"/>
          </w:tcPr>
          <w:p w14:paraId="0724E70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0.0017</w:t>
            </w:r>
          </w:p>
        </w:tc>
        <w:tc>
          <w:tcPr>
            <w:tcW w:w="1822" w:type="dxa"/>
            <w:tcBorders>
              <w:tl2br w:val="nil"/>
              <w:tr2bl w:val="nil"/>
            </w:tcBorders>
            <w:shd w:val="clear" w:color="auto" w:fill="auto"/>
            <w:noWrap w:val="0"/>
            <w:vAlign w:val="center"/>
          </w:tcPr>
          <w:p w14:paraId="45C691C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0.0085</w:t>
            </w:r>
          </w:p>
        </w:tc>
        <w:tc>
          <w:tcPr>
            <w:tcW w:w="2031" w:type="dxa"/>
            <w:tcBorders>
              <w:tl2br w:val="nil"/>
              <w:tr2bl w:val="nil"/>
            </w:tcBorders>
            <w:shd w:val="clear" w:color="auto" w:fill="auto"/>
            <w:noWrap w:val="0"/>
            <w:vAlign w:val="center"/>
          </w:tcPr>
          <w:p w14:paraId="5A087FD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2.22</w:t>
            </w:r>
          </w:p>
        </w:tc>
        <w:tc>
          <w:tcPr>
            <w:tcW w:w="1915" w:type="dxa"/>
            <w:tcBorders>
              <w:tl2br w:val="nil"/>
              <w:tr2bl w:val="nil"/>
            </w:tcBorders>
            <w:shd w:val="clear" w:color="auto" w:fill="auto"/>
            <w:noWrap w:val="0"/>
            <w:vAlign w:val="center"/>
          </w:tcPr>
          <w:p w14:paraId="476D3A8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r>
      <w:tr w14:paraId="273CC6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3C67301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400</w:t>
            </w:r>
          </w:p>
        </w:tc>
        <w:tc>
          <w:tcPr>
            <w:tcW w:w="2014" w:type="dxa"/>
            <w:tcBorders>
              <w:tl2br w:val="nil"/>
              <w:tr2bl w:val="nil"/>
            </w:tcBorders>
            <w:shd w:val="clear" w:color="auto" w:fill="auto"/>
            <w:noWrap w:val="0"/>
            <w:vAlign w:val="center"/>
          </w:tcPr>
          <w:p w14:paraId="334D000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0.0017</w:t>
            </w:r>
          </w:p>
        </w:tc>
        <w:tc>
          <w:tcPr>
            <w:tcW w:w="1822" w:type="dxa"/>
            <w:tcBorders>
              <w:tl2br w:val="nil"/>
              <w:tr2bl w:val="nil"/>
            </w:tcBorders>
            <w:shd w:val="clear" w:color="auto" w:fill="auto"/>
            <w:noWrap w:val="0"/>
            <w:vAlign w:val="center"/>
          </w:tcPr>
          <w:p w14:paraId="0CD170F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0.0084</w:t>
            </w:r>
          </w:p>
        </w:tc>
        <w:tc>
          <w:tcPr>
            <w:tcW w:w="2031" w:type="dxa"/>
            <w:tcBorders>
              <w:tl2br w:val="nil"/>
              <w:tr2bl w:val="nil"/>
            </w:tcBorders>
            <w:shd w:val="clear" w:color="auto" w:fill="auto"/>
            <w:noWrap w:val="0"/>
            <w:vAlign w:val="center"/>
          </w:tcPr>
          <w:p w14:paraId="41E8633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2.19</w:t>
            </w:r>
          </w:p>
        </w:tc>
        <w:tc>
          <w:tcPr>
            <w:tcW w:w="1915" w:type="dxa"/>
            <w:tcBorders>
              <w:tl2br w:val="nil"/>
              <w:tr2bl w:val="nil"/>
            </w:tcBorders>
            <w:shd w:val="clear" w:color="auto" w:fill="auto"/>
            <w:noWrap w:val="0"/>
            <w:vAlign w:val="center"/>
          </w:tcPr>
          <w:p w14:paraId="6B5687C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r>
      <w:tr w14:paraId="7E9C90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648D1AF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450</w:t>
            </w:r>
          </w:p>
        </w:tc>
        <w:tc>
          <w:tcPr>
            <w:tcW w:w="2014" w:type="dxa"/>
            <w:tcBorders>
              <w:tl2br w:val="nil"/>
              <w:tr2bl w:val="nil"/>
            </w:tcBorders>
            <w:shd w:val="clear" w:color="auto" w:fill="auto"/>
            <w:noWrap w:val="0"/>
            <w:vAlign w:val="center"/>
          </w:tcPr>
          <w:p w14:paraId="09AB21A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0.0016</w:t>
            </w:r>
          </w:p>
        </w:tc>
        <w:tc>
          <w:tcPr>
            <w:tcW w:w="1822" w:type="dxa"/>
            <w:tcBorders>
              <w:tl2br w:val="nil"/>
              <w:tr2bl w:val="nil"/>
            </w:tcBorders>
            <w:shd w:val="clear" w:color="auto" w:fill="auto"/>
            <w:noWrap w:val="0"/>
            <w:vAlign w:val="center"/>
          </w:tcPr>
          <w:p w14:paraId="655B806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0.0081</w:t>
            </w:r>
          </w:p>
        </w:tc>
        <w:tc>
          <w:tcPr>
            <w:tcW w:w="2031" w:type="dxa"/>
            <w:tcBorders>
              <w:tl2br w:val="nil"/>
              <w:tr2bl w:val="nil"/>
            </w:tcBorders>
            <w:shd w:val="clear" w:color="auto" w:fill="auto"/>
            <w:noWrap w:val="0"/>
            <w:vAlign w:val="center"/>
          </w:tcPr>
          <w:p w14:paraId="50BB4D5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2.10</w:t>
            </w:r>
          </w:p>
        </w:tc>
        <w:tc>
          <w:tcPr>
            <w:tcW w:w="1915" w:type="dxa"/>
            <w:tcBorders>
              <w:tl2br w:val="nil"/>
              <w:tr2bl w:val="nil"/>
            </w:tcBorders>
            <w:shd w:val="clear" w:color="auto" w:fill="auto"/>
            <w:noWrap w:val="0"/>
            <w:vAlign w:val="center"/>
          </w:tcPr>
          <w:p w14:paraId="3BE8EF4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0.11</w:t>
            </w:r>
          </w:p>
        </w:tc>
      </w:tr>
      <w:tr w14:paraId="34F6EE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231F4B4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500</w:t>
            </w:r>
          </w:p>
        </w:tc>
        <w:tc>
          <w:tcPr>
            <w:tcW w:w="2014" w:type="dxa"/>
            <w:tcBorders>
              <w:tl2br w:val="nil"/>
              <w:tr2bl w:val="nil"/>
            </w:tcBorders>
            <w:shd w:val="clear" w:color="auto" w:fill="auto"/>
            <w:noWrap w:val="0"/>
            <w:vAlign w:val="center"/>
          </w:tcPr>
          <w:p w14:paraId="074CEEB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0.0016</w:t>
            </w:r>
          </w:p>
        </w:tc>
        <w:tc>
          <w:tcPr>
            <w:tcW w:w="1822" w:type="dxa"/>
            <w:tcBorders>
              <w:tl2br w:val="nil"/>
              <w:tr2bl w:val="nil"/>
            </w:tcBorders>
            <w:shd w:val="clear" w:color="auto" w:fill="auto"/>
            <w:noWrap w:val="0"/>
            <w:vAlign w:val="center"/>
          </w:tcPr>
          <w:p w14:paraId="56B8E9E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0.0078</w:t>
            </w:r>
          </w:p>
        </w:tc>
        <w:tc>
          <w:tcPr>
            <w:tcW w:w="2031" w:type="dxa"/>
            <w:tcBorders>
              <w:tl2br w:val="nil"/>
              <w:tr2bl w:val="nil"/>
            </w:tcBorders>
            <w:shd w:val="clear" w:color="auto" w:fill="auto"/>
            <w:noWrap w:val="0"/>
            <w:vAlign w:val="center"/>
          </w:tcPr>
          <w:p w14:paraId="11D1AB4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2.04</w:t>
            </w:r>
          </w:p>
        </w:tc>
        <w:tc>
          <w:tcPr>
            <w:tcW w:w="1915" w:type="dxa"/>
            <w:tcBorders>
              <w:tl2br w:val="nil"/>
              <w:tr2bl w:val="nil"/>
            </w:tcBorders>
            <w:shd w:val="clear" w:color="auto" w:fill="auto"/>
            <w:noWrap w:val="0"/>
            <w:vAlign w:val="center"/>
          </w:tcPr>
          <w:p w14:paraId="05A05FC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r>
      <w:tr w14:paraId="33E025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1C09022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550</w:t>
            </w:r>
          </w:p>
        </w:tc>
        <w:tc>
          <w:tcPr>
            <w:tcW w:w="2014" w:type="dxa"/>
            <w:tcBorders>
              <w:tl2br w:val="nil"/>
              <w:tr2bl w:val="nil"/>
            </w:tcBorders>
            <w:shd w:val="clear" w:color="auto" w:fill="auto"/>
            <w:noWrap w:val="0"/>
            <w:vAlign w:val="center"/>
          </w:tcPr>
          <w:p w14:paraId="11BFD1C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0.0015</w:t>
            </w:r>
          </w:p>
        </w:tc>
        <w:tc>
          <w:tcPr>
            <w:tcW w:w="1822" w:type="dxa"/>
            <w:tcBorders>
              <w:tl2br w:val="nil"/>
              <w:tr2bl w:val="nil"/>
            </w:tcBorders>
            <w:shd w:val="clear" w:color="auto" w:fill="auto"/>
            <w:noWrap w:val="0"/>
            <w:vAlign w:val="center"/>
          </w:tcPr>
          <w:p w14:paraId="22A05BA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0.0076</w:t>
            </w:r>
          </w:p>
        </w:tc>
        <w:tc>
          <w:tcPr>
            <w:tcW w:w="2031" w:type="dxa"/>
            <w:tcBorders>
              <w:tl2br w:val="nil"/>
              <w:tr2bl w:val="nil"/>
            </w:tcBorders>
            <w:shd w:val="clear" w:color="auto" w:fill="auto"/>
            <w:noWrap w:val="0"/>
            <w:vAlign w:val="center"/>
          </w:tcPr>
          <w:p w14:paraId="21FFE1B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1.96</w:t>
            </w:r>
          </w:p>
        </w:tc>
        <w:tc>
          <w:tcPr>
            <w:tcW w:w="1915" w:type="dxa"/>
            <w:tcBorders>
              <w:tl2br w:val="nil"/>
              <w:tr2bl w:val="nil"/>
            </w:tcBorders>
            <w:shd w:val="clear" w:color="auto" w:fill="auto"/>
            <w:noWrap w:val="0"/>
            <w:vAlign w:val="center"/>
          </w:tcPr>
          <w:p w14:paraId="187C5FB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r>
      <w:tr w14:paraId="09B3BE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6C9E8B0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600</w:t>
            </w:r>
          </w:p>
        </w:tc>
        <w:tc>
          <w:tcPr>
            <w:tcW w:w="2014" w:type="dxa"/>
            <w:tcBorders>
              <w:tl2br w:val="nil"/>
              <w:tr2bl w:val="nil"/>
            </w:tcBorders>
            <w:shd w:val="clear" w:color="auto" w:fill="auto"/>
            <w:noWrap w:val="0"/>
            <w:vAlign w:val="center"/>
          </w:tcPr>
          <w:p w14:paraId="760D0AB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0.0015</w:t>
            </w:r>
          </w:p>
        </w:tc>
        <w:tc>
          <w:tcPr>
            <w:tcW w:w="1822" w:type="dxa"/>
            <w:tcBorders>
              <w:tl2br w:val="nil"/>
              <w:tr2bl w:val="nil"/>
            </w:tcBorders>
            <w:shd w:val="clear" w:color="auto" w:fill="auto"/>
            <w:noWrap w:val="0"/>
            <w:vAlign w:val="center"/>
          </w:tcPr>
          <w:p w14:paraId="49C0F96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0.0074</w:t>
            </w:r>
          </w:p>
        </w:tc>
        <w:tc>
          <w:tcPr>
            <w:tcW w:w="2031" w:type="dxa"/>
            <w:tcBorders>
              <w:tl2br w:val="nil"/>
              <w:tr2bl w:val="nil"/>
            </w:tcBorders>
            <w:shd w:val="clear" w:color="auto" w:fill="auto"/>
            <w:noWrap w:val="0"/>
            <w:vAlign w:val="center"/>
          </w:tcPr>
          <w:p w14:paraId="55AB9B4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1.93</w:t>
            </w:r>
          </w:p>
        </w:tc>
        <w:tc>
          <w:tcPr>
            <w:tcW w:w="1915" w:type="dxa"/>
            <w:tcBorders>
              <w:tl2br w:val="nil"/>
              <w:tr2bl w:val="nil"/>
            </w:tcBorders>
            <w:shd w:val="clear" w:color="auto" w:fill="auto"/>
            <w:noWrap w:val="0"/>
            <w:vAlign w:val="center"/>
          </w:tcPr>
          <w:p w14:paraId="6B9BD5D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0.10</w:t>
            </w:r>
          </w:p>
        </w:tc>
      </w:tr>
      <w:tr w14:paraId="0F4563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2D64911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650</w:t>
            </w:r>
          </w:p>
        </w:tc>
        <w:tc>
          <w:tcPr>
            <w:tcW w:w="2014" w:type="dxa"/>
            <w:tcBorders>
              <w:tl2br w:val="nil"/>
              <w:tr2bl w:val="nil"/>
            </w:tcBorders>
            <w:shd w:val="clear" w:color="auto" w:fill="auto"/>
            <w:noWrap w:val="0"/>
            <w:vAlign w:val="center"/>
          </w:tcPr>
          <w:p w14:paraId="5F24937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0.0014</w:t>
            </w:r>
          </w:p>
        </w:tc>
        <w:tc>
          <w:tcPr>
            <w:tcW w:w="1822" w:type="dxa"/>
            <w:tcBorders>
              <w:tl2br w:val="nil"/>
              <w:tr2bl w:val="nil"/>
            </w:tcBorders>
            <w:shd w:val="clear" w:color="auto" w:fill="auto"/>
            <w:noWrap w:val="0"/>
            <w:vAlign w:val="center"/>
          </w:tcPr>
          <w:p w14:paraId="7B334CF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0.0072</w:t>
            </w:r>
          </w:p>
        </w:tc>
        <w:tc>
          <w:tcPr>
            <w:tcW w:w="2031" w:type="dxa"/>
            <w:tcBorders>
              <w:tl2br w:val="nil"/>
              <w:tr2bl w:val="nil"/>
            </w:tcBorders>
            <w:shd w:val="clear" w:color="auto" w:fill="auto"/>
            <w:noWrap w:val="0"/>
            <w:vAlign w:val="center"/>
          </w:tcPr>
          <w:p w14:paraId="30696D3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1.87</w:t>
            </w:r>
          </w:p>
        </w:tc>
        <w:tc>
          <w:tcPr>
            <w:tcW w:w="1915" w:type="dxa"/>
            <w:tcBorders>
              <w:tl2br w:val="nil"/>
              <w:tr2bl w:val="nil"/>
            </w:tcBorders>
            <w:shd w:val="clear" w:color="auto" w:fill="auto"/>
            <w:noWrap w:val="0"/>
            <w:vAlign w:val="center"/>
          </w:tcPr>
          <w:p w14:paraId="1B6A961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1852C5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1314C8B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700</w:t>
            </w:r>
          </w:p>
        </w:tc>
        <w:tc>
          <w:tcPr>
            <w:tcW w:w="2014" w:type="dxa"/>
            <w:tcBorders>
              <w:tl2br w:val="nil"/>
              <w:tr2bl w:val="nil"/>
            </w:tcBorders>
            <w:shd w:val="clear" w:color="auto" w:fill="auto"/>
            <w:noWrap w:val="0"/>
            <w:vAlign w:val="center"/>
          </w:tcPr>
          <w:p w14:paraId="7F6EB5F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0.0014</w:t>
            </w:r>
          </w:p>
        </w:tc>
        <w:tc>
          <w:tcPr>
            <w:tcW w:w="1822" w:type="dxa"/>
            <w:tcBorders>
              <w:tl2br w:val="nil"/>
              <w:tr2bl w:val="nil"/>
            </w:tcBorders>
            <w:shd w:val="clear" w:color="auto" w:fill="auto"/>
            <w:noWrap w:val="0"/>
            <w:vAlign w:val="center"/>
          </w:tcPr>
          <w:p w14:paraId="64E5210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0.0069</w:t>
            </w:r>
          </w:p>
        </w:tc>
        <w:tc>
          <w:tcPr>
            <w:tcW w:w="2031" w:type="dxa"/>
            <w:tcBorders>
              <w:tl2br w:val="nil"/>
              <w:tr2bl w:val="nil"/>
            </w:tcBorders>
            <w:shd w:val="clear" w:color="auto" w:fill="auto"/>
            <w:noWrap w:val="0"/>
            <w:vAlign w:val="center"/>
          </w:tcPr>
          <w:p w14:paraId="6B2A33B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1.81</w:t>
            </w:r>
          </w:p>
        </w:tc>
        <w:tc>
          <w:tcPr>
            <w:tcW w:w="1915" w:type="dxa"/>
            <w:tcBorders>
              <w:tl2br w:val="nil"/>
              <w:tr2bl w:val="nil"/>
            </w:tcBorders>
            <w:shd w:val="clear" w:color="auto" w:fill="auto"/>
            <w:noWrap w:val="0"/>
            <w:vAlign w:val="center"/>
          </w:tcPr>
          <w:p w14:paraId="0F564F1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7EF0F7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280961B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750</w:t>
            </w:r>
          </w:p>
        </w:tc>
        <w:tc>
          <w:tcPr>
            <w:tcW w:w="2014" w:type="dxa"/>
            <w:tcBorders>
              <w:tl2br w:val="nil"/>
              <w:tr2bl w:val="nil"/>
            </w:tcBorders>
            <w:shd w:val="clear" w:color="auto" w:fill="auto"/>
            <w:noWrap w:val="0"/>
            <w:vAlign w:val="center"/>
          </w:tcPr>
          <w:p w14:paraId="4B6FF7B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c>
          <w:tcPr>
            <w:tcW w:w="1822" w:type="dxa"/>
            <w:tcBorders>
              <w:tl2br w:val="nil"/>
              <w:tr2bl w:val="nil"/>
            </w:tcBorders>
            <w:shd w:val="clear" w:color="auto" w:fill="auto"/>
            <w:noWrap w:val="0"/>
            <w:vAlign w:val="center"/>
          </w:tcPr>
          <w:p w14:paraId="088BBF1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0.0066</w:t>
            </w:r>
          </w:p>
        </w:tc>
        <w:tc>
          <w:tcPr>
            <w:tcW w:w="2031" w:type="dxa"/>
            <w:tcBorders>
              <w:tl2br w:val="nil"/>
              <w:tr2bl w:val="nil"/>
            </w:tcBorders>
            <w:shd w:val="clear" w:color="auto" w:fill="auto"/>
            <w:noWrap w:val="0"/>
            <w:vAlign w:val="center"/>
          </w:tcPr>
          <w:p w14:paraId="1064359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1.73</w:t>
            </w:r>
          </w:p>
        </w:tc>
        <w:tc>
          <w:tcPr>
            <w:tcW w:w="1915" w:type="dxa"/>
            <w:tcBorders>
              <w:tl2br w:val="nil"/>
              <w:tr2bl w:val="nil"/>
            </w:tcBorders>
            <w:shd w:val="clear" w:color="auto" w:fill="auto"/>
            <w:noWrap w:val="0"/>
            <w:vAlign w:val="center"/>
          </w:tcPr>
          <w:p w14:paraId="1B7B03A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2851F7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006EE88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800</w:t>
            </w:r>
          </w:p>
        </w:tc>
        <w:tc>
          <w:tcPr>
            <w:tcW w:w="2014" w:type="dxa"/>
            <w:tcBorders>
              <w:tl2br w:val="nil"/>
              <w:tr2bl w:val="nil"/>
            </w:tcBorders>
            <w:shd w:val="clear" w:color="auto" w:fill="auto"/>
            <w:noWrap w:val="0"/>
            <w:vAlign w:val="center"/>
          </w:tcPr>
          <w:p w14:paraId="7BF410D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c>
          <w:tcPr>
            <w:tcW w:w="1822" w:type="dxa"/>
            <w:tcBorders>
              <w:tl2br w:val="nil"/>
              <w:tr2bl w:val="nil"/>
            </w:tcBorders>
            <w:shd w:val="clear" w:color="auto" w:fill="auto"/>
            <w:noWrap w:val="0"/>
            <w:vAlign w:val="center"/>
          </w:tcPr>
          <w:p w14:paraId="70BCE47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0.0066</w:t>
            </w:r>
          </w:p>
        </w:tc>
        <w:tc>
          <w:tcPr>
            <w:tcW w:w="2031" w:type="dxa"/>
            <w:tcBorders>
              <w:tl2br w:val="nil"/>
              <w:tr2bl w:val="nil"/>
            </w:tcBorders>
            <w:shd w:val="clear" w:color="auto" w:fill="auto"/>
            <w:noWrap w:val="0"/>
            <w:vAlign w:val="center"/>
          </w:tcPr>
          <w:p w14:paraId="54623AE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1.72</w:t>
            </w:r>
          </w:p>
        </w:tc>
        <w:tc>
          <w:tcPr>
            <w:tcW w:w="1915" w:type="dxa"/>
            <w:tcBorders>
              <w:tl2br w:val="nil"/>
              <w:tr2bl w:val="nil"/>
            </w:tcBorders>
            <w:shd w:val="clear" w:color="auto" w:fill="auto"/>
            <w:noWrap w:val="0"/>
            <w:vAlign w:val="center"/>
          </w:tcPr>
          <w:p w14:paraId="4D2535D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75E4C7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79F8E15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850</w:t>
            </w:r>
          </w:p>
        </w:tc>
        <w:tc>
          <w:tcPr>
            <w:tcW w:w="2014" w:type="dxa"/>
            <w:tcBorders>
              <w:tl2br w:val="nil"/>
              <w:tr2bl w:val="nil"/>
            </w:tcBorders>
            <w:shd w:val="clear" w:color="auto" w:fill="auto"/>
            <w:noWrap w:val="0"/>
            <w:vAlign w:val="center"/>
          </w:tcPr>
          <w:p w14:paraId="740800F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c>
          <w:tcPr>
            <w:tcW w:w="1822" w:type="dxa"/>
            <w:tcBorders>
              <w:tl2br w:val="nil"/>
              <w:tr2bl w:val="nil"/>
            </w:tcBorders>
            <w:shd w:val="clear" w:color="auto" w:fill="auto"/>
            <w:noWrap w:val="0"/>
            <w:vAlign w:val="center"/>
          </w:tcPr>
          <w:p w14:paraId="2B1E4EE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0.0065</w:t>
            </w:r>
          </w:p>
        </w:tc>
        <w:tc>
          <w:tcPr>
            <w:tcW w:w="2031" w:type="dxa"/>
            <w:tcBorders>
              <w:tl2br w:val="nil"/>
              <w:tr2bl w:val="nil"/>
            </w:tcBorders>
            <w:shd w:val="clear" w:color="auto" w:fill="auto"/>
            <w:noWrap w:val="0"/>
            <w:vAlign w:val="center"/>
          </w:tcPr>
          <w:p w14:paraId="30AC364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1.70</w:t>
            </w:r>
          </w:p>
        </w:tc>
        <w:tc>
          <w:tcPr>
            <w:tcW w:w="1915" w:type="dxa"/>
            <w:tcBorders>
              <w:tl2br w:val="nil"/>
              <w:tr2bl w:val="nil"/>
            </w:tcBorders>
            <w:shd w:val="clear" w:color="auto" w:fill="auto"/>
            <w:noWrap w:val="0"/>
            <w:vAlign w:val="center"/>
          </w:tcPr>
          <w:p w14:paraId="4806ADD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w:t>
            </w:r>
          </w:p>
        </w:tc>
      </w:tr>
      <w:tr w14:paraId="117623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76C6E1F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900</w:t>
            </w:r>
          </w:p>
        </w:tc>
        <w:tc>
          <w:tcPr>
            <w:tcW w:w="2014" w:type="dxa"/>
            <w:tcBorders>
              <w:tl2br w:val="nil"/>
              <w:tr2bl w:val="nil"/>
            </w:tcBorders>
            <w:shd w:val="clear" w:color="auto" w:fill="auto"/>
            <w:noWrap w:val="0"/>
            <w:vAlign w:val="center"/>
          </w:tcPr>
          <w:p w14:paraId="0A1936C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c>
          <w:tcPr>
            <w:tcW w:w="1822" w:type="dxa"/>
            <w:tcBorders>
              <w:tl2br w:val="nil"/>
              <w:tr2bl w:val="nil"/>
            </w:tcBorders>
            <w:shd w:val="clear" w:color="auto" w:fill="auto"/>
            <w:noWrap w:val="0"/>
            <w:vAlign w:val="center"/>
          </w:tcPr>
          <w:p w14:paraId="54E39FB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0.0064</w:t>
            </w:r>
          </w:p>
        </w:tc>
        <w:tc>
          <w:tcPr>
            <w:tcW w:w="2031" w:type="dxa"/>
            <w:tcBorders>
              <w:tl2br w:val="nil"/>
              <w:tr2bl w:val="nil"/>
            </w:tcBorders>
            <w:shd w:val="clear" w:color="auto" w:fill="auto"/>
            <w:noWrap w:val="0"/>
            <w:vAlign w:val="center"/>
          </w:tcPr>
          <w:p w14:paraId="2457872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1.68</w:t>
            </w:r>
          </w:p>
        </w:tc>
        <w:tc>
          <w:tcPr>
            <w:tcW w:w="1915" w:type="dxa"/>
            <w:tcBorders>
              <w:tl2br w:val="nil"/>
              <w:tr2bl w:val="nil"/>
            </w:tcBorders>
            <w:shd w:val="clear" w:color="auto" w:fill="auto"/>
            <w:noWrap w:val="0"/>
            <w:vAlign w:val="center"/>
          </w:tcPr>
          <w:p w14:paraId="7B1655B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0.08</w:t>
            </w:r>
          </w:p>
        </w:tc>
      </w:tr>
      <w:tr w14:paraId="55329A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7A54BE4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950</w:t>
            </w:r>
          </w:p>
        </w:tc>
        <w:tc>
          <w:tcPr>
            <w:tcW w:w="2014" w:type="dxa"/>
            <w:tcBorders>
              <w:tl2br w:val="nil"/>
              <w:tr2bl w:val="nil"/>
            </w:tcBorders>
            <w:shd w:val="clear" w:color="auto" w:fill="auto"/>
            <w:noWrap w:val="0"/>
            <w:vAlign w:val="center"/>
          </w:tcPr>
          <w:p w14:paraId="1D46A5B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c>
          <w:tcPr>
            <w:tcW w:w="1822" w:type="dxa"/>
            <w:tcBorders>
              <w:tl2br w:val="nil"/>
              <w:tr2bl w:val="nil"/>
            </w:tcBorders>
            <w:shd w:val="clear" w:color="auto" w:fill="auto"/>
            <w:noWrap w:val="0"/>
            <w:vAlign w:val="center"/>
          </w:tcPr>
          <w:p w14:paraId="7CEFFF7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0.0063</w:t>
            </w:r>
          </w:p>
        </w:tc>
        <w:tc>
          <w:tcPr>
            <w:tcW w:w="2031" w:type="dxa"/>
            <w:tcBorders>
              <w:tl2br w:val="nil"/>
              <w:tr2bl w:val="nil"/>
            </w:tcBorders>
            <w:shd w:val="clear" w:color="auto" w:fill="auto"/>
            <w:noWrap w:val="0"/>
            <w:vAlign w:val="center"/>
          </w:tcPr>
          <w:p w14:paraId="35E2F08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1.64</w:t>
            </w:r>
          </w:p>
        </w:tc>
        <w:tc>
          <w:tcPr>
            <w:tcW w:w="1915" w:type="dxa"/>
            <w:tcBorders>
              <w:tl2br w:val="nil"/>
              <w:tr2bl w:val="nil"/>
            </w:tcBorders>
            <w:shd w:val="clear" w:color="auto" w:fill="auto"/>
            <w:noWrap w:val="0"/>
            <w:vAlign w:val="center"/>
          </w:tcPr>
          <w:p w14:paraId="34F6F0B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0.08</w:t>
            </w:r>
          </w:p>
        </w:tc>
      </w:tr>
      <w:tr w14:paraId="7A51A4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4E8177C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1000</w:t>
            </w:r>
          </w:p>
        </w:tc>
        <w:tc>
          <w:tcPr>
            <w:tcW w:w="2014" w:type="dxa"/>
            <w:tcBorders>
              <w:tl2br w:val="nil"/>
              <w:tr2bl w:val="nil"/>
            </w:tcBorders>
            <w:shd w:val="clear" w:color="auto" w:fill="auto"/>
            <w:noWrap w:val="0"/>
            <w:vAlign w:val="center"/>
          </w:tcPr>
          <w:p w14:paraId="62953D1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0.0012</w:t>
            </w:r>
          </w:p>
        </w:tc>
        <w:tc>
          <w:tcPr>
            <w:tcW w:w="1822" w:type="dxa"/>
            <w:tcBorders>
              <w:tl2br w:val="nil"/>
              <w:tr2bl w:val="nil"/>
            </w:tcBorders>
            <w:shd w:val="clear" w:color="auto" w:fill="auto"/>
            <w:noWrap w:val="0"/>
            <w:vAlign w:val="center"/>
          </w:tcPr>
          <w:p w14:paraId="1B9AC9D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0.0062</w:t>
            </w:r>
          </w:p>
        </w:tc>
        <w:tc>
          <w:tcPr>
            <w:tcW w:w="2031" w:type="dxa"/>
            <w:tcBorders>
              <w:tl2br w:val="nil"/>
              <w:tr2bl w:val="nil"/>
            </w:tcBorders>
            <w:shd w:val="clear" w:color="auto" w:fill="auto"/>
            <w:noWrap w:val="0"/>
            <w:vAlign w:val="center"/>
          </w:tcPr>
          <w:p w14:paraId="509D1DB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1.61</w:t>
            </w:r>
          </w:p>
        </w:tc>
        <w:tc>
          <w:tcPr>
            <w:tcW w:w="1915" w:type="dxa"/>
            <w:tcBorders>
              <w:tl2br w:val="nil"/>
              <w:tr2bl w:val="nil"/>
            </w:tcBorders>
            <w:shd w:val="clear" w:color="auto" w:fill="auto"/>
            <w:noWrap w:val="0"/>
            <w:vAlign w:val="center"/>
          </w:tcPr>
          <w:p w14:paraId="76428BF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0.08</w:t>
            </w:r>
          </w:p>
        </w:tc>
      </w:tr>
      <w:tr w14:paraId="467B98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010CE9A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1100</w:t>
            </w:r>
          </w:p>
        </w:tc>
        <w:tc>
          <w:tcPr>
            <w:tcW w:w="2014" w:type="dxa"/>
            <w:tcBorders>
              <w:tl2br w:val="nil"/>
              <w:tr2bl w:val="nil"/>
            </w:tcBorders>
            <w:shd w:val="clear" w:color="auto" w:fill="auto"/>
            <w:noWrap w:val="0"/>
            <w:vAlign w:val="center"/>
          </w:tcPr>
          <w:p w14:paraId="6C78936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0.0012</w:t>
            </w:r>
          </w:p>
        </w:tc>
        <w:tc>
          <w:tcPr>
            <w:tcW w:w="1822" w:type="dxa"/>
            <w:tcBorders>
              <w:tl2br w:val="nil"/>
              <w:tr2bl w:val="nil"/>
            </w:tcBorders>
            <w:shd w:val="clear" w:color="auto" w:fill="auto"/>
            <w:noWrap w:val="0"/>
            <w:vAlign w:val="center"/>
          </w:tcPr>
          <w:p w14:paraId="1F4BDE8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0.0059</w:t>
            </w:r>
          </w:p>
        </w:tc>
        <w:tc>
          <w:tcPr>
            <w:tcW w:w="2031" w:type="dxa"/>
            <w:tcBorders>
              <w:tl2br w:val="nil"/>
              <w:tr2bl w:val="nil"/>
            </w:tcBorders>
            <w:shd w:val="clear" w:color="auto" w:fill="auto"/>
            <w:noWrap w:val="0"/>
            <w:vAlign w:val="center"/>
          </w:tcPr>
          <w:p w14:paraId="01B937A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1.54</w:t>
            </w:r>
          </w:p>
        </w:tc>
        <w:tc>
          <w:tcPr>
            <w:tcW w:w="1915" w:type="dxa"/>
            <w:tcBorders>
              <w:tl2br w:val="nil"/>
              <w:tr2bl w:val="nil"/>
            </w:tcBorders>
            <w:shd w:val="clear" w:color="auto" w:fill="auto"/>
            <w:noWrap w:val="0"/>
            <w:vAlign w:val="center"/>
          </w:tcPr>
          <w:p w14:paraId="0F33F5B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0.08</w:t>
            </w:r>
          </w:p>
        </w:tc>
      </w:tr>
      <w:tr w14:paraId="50FA50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5E6BC8A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1200</w:t>
            </w:r>
          </w:p>
        </w:tc>
        <w:tc>
          <w:tcPr>
            <w:tcW w:w="2014" w:type="dxa"/>
            <w:tcBorders>
              <w:tl2br w:val="nil"/>
              <w:tr2bl w:val="nil"/>
            </w:tcBorders>
            <w:shd w:val="clear" w:color="auto" w:fill="auto"/>
            <w:noWrap w:val="0"/>
            <w:vAlign w:val="center"/>
          </w:tcPr>
          <w:p w14:paraId="7A8FD64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0.0011</w:t>
            </w:r>
          </w:p>
        </w:tc>
        <w:tc>
          <w:tcPr>
            <w:tcW w:w="1822" w:type="dxa"/>
            <w:tcBorders>
              <w:tl2br w:val="nil"/>
              <w:tr2bl w:val="nil"/>
            </w:tcBorders>
            <w:shd w:val="clear" w:color="auto" w:fill="auto"/>
            <w:noWrap w:val="0"/>
            <w:vAlign w:val="center"/>
          </w:tcPr>
          <w:p w14:paraId="4F16461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0.0056</w:t>
            </w:r>
          </w:p>
        </w:tc>
        <w:tc>
          <w:tcPr>
            <w:tcW w:w="2031" w:type="dxa"/>
            <w:tcBorders>
              <w:tl2br w:val="nil"/>
              <w:tr2bl w:val="nil"/>
            </w:tcBorders>
            <w:shd w:val="clear" w:color="auto" w:fill="auto"/>
            <w:noWrap w:val="0"/>
            <w:vAlign w:val="center"/>
          </w:tcPr>
          <w:p w14:paraId="5ED5D76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1.46</w:t>
            </w:r>
          </w:p>
        </w:tc>
        <w:tc>
          <w:tcPr>
            <w:tcW w:w="1915" w:type="dxa"/>
            <w:tcBorders>
              <w:tl2br w:val="nil"/>
              <w:tr2bl w:val="nil"/>
            </w:tcBorders>
            <w:shd w:val="clear" w:color="auto" w:fill="auto"/>
            <w:noWrap w:val="0"/>
            <w:vAlign w:val="center"/>
          </w:tcPr>
          <w:p w14:paraId="546A19C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0.07</w:t>
            </w:r>
          </w:p>
        </w:tc>
      </w:tr>
      <w:tr w14:paraId="4B30CB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2E259EB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1300</w:t>
            </w:r>
          </w:p>
        </w:tc>
        <w:tc>
          <w:tcPr>
            <w:tcW w:w="2014" w:type="dxa"/>
            <w:tcBorders>
              <w:tl2br w:val="nil"/>
              <w:tr2bl w:val="nil"/>
            </w:tcBorders>
            <w:shd w:val="clear" w:color="auto" w:fill="auto"/>
            <w:noWrap w:val="0"/>
            <w:vAlign w:val="center"/>
          </w:tcPr>
          <w:p w14:paraId="3C304B3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0.0011</w:t>
            </w:r>
          </w:p>
        </w:tc>
        <w:tc>
          <w:tcPr>
            <w:tcW w:w="1822" w:type="dxa"/>
            <w:tcBorders>
              <w:tl2br w:val="nil"/>
              <w:tr2bl w:val="nil"/>
            </w:tcBorders>
            <w:shd w:val="clear" w:color="auto" w:fill="auto"/>
            <w:noWrap w:val="0"/>
            <w:vAlign w:val="center"/>
          </w:tcPr>
          <w:p w14:paraId="6E9D04E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0.0053</w:t>
            </w:r>
          </w:p>
        </w:tc>
        <w:tc>
          <w:tcPr>
            <w:tcW w:w="2031" w:type="dxa"/>
            <w:tcBorders>
              <w:tl2br w:val="nil"/>
              <w:tr2bl w:val="nil"/>
            </w:tcBorders>
            <w:shd w:val="clear" w:color="auto" w:fill="auto"/>
            <w:noWrap w:val="0"/>
            <w:vAlign w:val="center"/>
          </w:tcPr>
          <w:p w14:paraId="4F659A7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1.38</w:t>
            </w:r>
          </w:p>
        </w:tc>
        <w:tc>
          <w:tcPr>
            <w:tcW w:w="1915" w:type="dxa"/>
            <w:tcBorders>
              <w:tl2br w:val="nil"/>
              <w:tr2bl w:val="nil"/>
            </w:tcBorders>
            <w:shd w:val="clear" w:color="auto" w:fill="auto"/>
            <w:noWrap w:val="0"/>
            <w:vAlign w:val="center"/>
          </w:tcPr>
          <w:p w14:paraId="1511CF5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0.07</w:t>
            </w:r>
          </w:p>
        </w:tc>
      </w:tr>
      <w:tr w14:paraId="6CA36B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42EBAB8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1400</w:t>
            </w:r>
          </w:p>
        </w:tc>
        <w:tc>
          <w:tcPr>
            <w:tcW w:w="2014" w:type="dxa"/>
            <w:tcBorders>
              <w:tl2br w:val="nil"/>
              <w:tr2bl w:val="nil"/>
            </w:tcBorders>
            <w:shd w:val="clear" w:color="auto" w:fill="auto"/>
            <w:noWrap w:val="0"/>
            <w:vAlign w:val="center"/>
          </w:tcPr>
          <w:p w14:paraId="40EFB67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0.0010</w:t>
            </w:r>
          </w:p>
        </w:tc>
        <w:tc>
          <w:tcPr>
            <w:tcW w:w="1822" w:type="dxa"/>
            <w:tcBorders>
              <w:tl2br w:val="nil"/>
              <w:tr2bl w:val="nil"/>
            </w:tcBorders>
            <w:shd w:val="clear" w:color="auto" w:fill="auto"/>
            <w:noWrap w:val="0"/>
            <w:vAlign w:val="center"/>
          </w:tcPr>
          <w:p w14:paraId="47ED379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0.0050</w:t>
            </w:r>
          </w:p>
        </w:tc>
        <w:tc>
          <w:tcPr>
            <w:tcW w:w="2031" w:type="dxa"/>
            <w:tcBorders>
              <w:tl2br w:val="nil"/>
              <w:tr2bl w:val="nil"/>
            </w:tcBorders>
            <w:shd w:val="clear" w:color="auto" w:fill="auto"/>
            <w:noWrap w:val="0"/>
            <w:vAlign w:val="center"/>
          </w:tcPr>
          <w:p w14:paraId="4F38357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1.31</w:t>
            </w:r>
          </w:p>
        </w:tc>
        <w:tc>
          <w:tcPr>
            <w:tcW w:w="1915" w:type="dxa"/>
            <w:tcBorders>
              <w:tl2br w:val="nil"/>
              <w:tr2bl w:val="nil"/>
            </w:tcBorders>
            <w:shd w:val="clear" w:color="auto" w:fill="auto"/>
            <w:noWrap w:val="0"/>
            <w:vAlign w:val="center"/>
          </w:tcPr>
          <w:p w14:paraId="550A8B0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0.07</w:t>
            </w:r>
          </w:p>
        </w:tc>
      </w:tr>
      <w:tr w14:paraId="7AE536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19C84DD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1500</w:t>
            </w:r>
          </w:p>
        </w:tc>
        <w:tc>
          <w:tcPr>
            <w:tcW w:w="2014" w:type="dxa"/>
            <w:tcBorders>
              <w:tl2br w:val="nil"/>
              <w:tr2bl w:val="nil"/>
            </w:tcBorders>
            <w:shd w:val="clear" w:color="auto" w:fill="auto"/>
            <w:noWrap w:val="0"/>
            <w:vAlign w:val="center"/>
          </w:tcPr>
          <w:p w14:paraId="43BF7A9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0.0010</w:t>
            </w:r>
          </w:p>
        </w:tc>
        <w:tc>
          <w:tcPr>
            <w:tcW w:w="1822" w:type="dxa"/>
            <w:tcBorders>
              <w:tl2br w:val="nil"/>
              <w:tr2bl w:val="nil"/>
            </w:tcBorders>
            <w:shd w:val="clear" w:color="auto" w:fill="auto"/>
            <w:noWrap w:val="0"/>
            <w:vAlign w:val="center"/>
          </w:tcPr>
          <w:p w14:paraId="3632910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0.0048</w:t>
            </w:r>
          </w:p>
        </w:tc>
        <w:tc>
          <w:tcPr>
            <w:tcW w:w="2031" w:type="dxa"/>
            <w:tcBorders>
              <w:tl2br w:val="nil"/>
              <w:tr2bl w:val="nil"/>
            </w:tcBorders>
            <w:shd w:val="clear" w:color="auto" w:fill="auto"/>
            <w:noWrap w:val="0"/>
            <w:vAlign w:val="center"/>
          </w:tcPr>
          <w:p w14:paraId="302C288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1.24</w:t>
            </w:r>
          </w:p>
        </w:tc>
        <w:tc>
          <w:tcPr>
            <w:tcW w:w="1915" w:type="dxa"/>
            <w:tcBorders>
              <w:tl2br w:val="nil"/>
              <w:tr2bl w:val="nil"/>
            </w:tcBorders>
            <w:shd w:val="clear" w:color="auto" w:fill="auto"/>
            <w:noWrap w:val="0"/>
            <w:vAlign w:val="center"/>
          </w:tcPr>
          <w:p w14:paraId="24C6235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0.06</w:t>
            </w:r>
          </w:p>
        </w:tc>
      </w:tr>
      <w:tr w14:paraId="3E468A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0C1D50E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1600</w:t>
            </w:r>
          </w:p>
        </w:tc>
        <w:tc>
          <w:tcPr>
            <w:tcW w:w="2014" w:type="dxa"/>
            <w:tcBorders>
              <w:tl2br w:val="nil"/>
              <w:tr2bl w:val="nil"/>
            </w:tcBorders>
            <w:shd w:val="clear" w:color="auto" w:fill="auto"/>
            <w:noWrap w:val="0"/>
            <w:vAlign w:val="center"/>
          </w:tcPr>
          <w:p w14:paraId="5AD765E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0.0009</w:t>
            </w:r>
          </w:p>
        </w:tc>
        <w:tc>
          <w:tcPr>
            <w:tcW w:w="1822" w:type="dxa"/>
            <w:tcBorders>
              <w:tl2br w:val="nil"/>
              <w:tr2bl w:val="nil"/>
            </w:tcBorders>
            <w:shd w:val="clear" w:color="auto" w:fill="auto"/>
            <w:noWrap w:val="0"/>
            <w:vAlign w:val="center"/>
          </w:tcPr>
          <w:p w14:paraId="0CED029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0.0045</w:t>
            </w:r>
          </w:p>
        </w:tc>
        <w:tc>
          <w:tcPr>
            <w:tcW w:w="2031" w:type="dxa"/>
            <w:tcBorders>
              <w:tl2br w:val="nil"/>
              <w:tr2bl w:val="nil"/>
            </w:tcBorders>
            <w:shd w:val="clear" w:color="auto" w:fill="auto"/>
            <w:noWrap w:val="0"/>
            <w:vAlign w:val="center"/>
          </w:tcPr>
          <w:p w14:paraId="014851F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1.17</w:t>
            </w:r>
          </w:p>
        </w:tc>
        <w:tc>
          <w:tcPr>
            <w:tcW w:w="1915" w:type="dxa"/>
            <w:tcBorders>
              <w:tl2br w:val="nil"/>
              <w:tr2bl w:val="nil"/>
            </w:tcBorders>
            <w:shd w:val="clear" w:color="auto" w:fill="auto"/>
            <w:noWrap w:val="0"/>
            <w:vAlign w:val="center"/>
          </w:tcPr>
          <w:p w14:paraId="281C3A0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0.06</w:t>
            </w:r>
          </w:p>
        </w:tc>
      </w:tr>
      <w:tr w14:paraId="599362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6A08F87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1700</w:t>
            </w:r>
          </w:p>
        </w:tc>
        <w:tc>
          <w:tcPr>
            <w:tcW w:w="2014" w:type="dxa"/>
            <w:tcBorders>
              <w:tl2br w:val="nil"/>
              <w:tr2bl w:val="nil"/>
            </w:tcBorders>
            <w:shd w:val="clear" w:color="auto" w:fill="auto"/>
            <w:noWrap w:val="0"/>
            <w:vAlign w:val="center"/>
          </w:tcPr>
          <w:p w14:paraId="2AFCD22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0.0009</w:t>
            </w:r>
          </w:p>
        </w:tc>
        <w:tc>
          <w:tcPr>
            <w:tcW w:w="1822" w:type="dxa"/>
            <w:tcBorders>
              <w:tl2br w:val="nil"/>
              <w:tr2bl w:val="nil"/>
            </w:tcBorders>
            <w:shd w:val="clear" w:color="auto" w:fill="auto"/>
            <w:noWrap w:val="0"/>
            <w:vAlign w:val="center"/>
          </w:tcPr>
          <w:p w14:paraId="0F59936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0.0043</w:t>
            </w:r>
          </w:p>
        </w:tc>
        <w:tc>
          <w:tcPr>
            <w:tcW w:w="2031" w:type="dxa"/>
            <w:tcBorders>
              <w:tl2br w:val="nil"/>
              <w:tr2bl w:val="nil"/>
            </w:tcBorders>
            <w:shd w:val="clear" w:color="auto" w:fill="auto"/>
            <w:noWrap w:val="0"/>
            <w:vAlign w:val="center"/>
          </w:tcPr>
          <w:p w14:paraId="7AC8B76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1.12</w:t>
            </w:r>
          </w:p>
        </w:tc>
        <w:tc>
          <w:tcPr>
            <w:tcW w:w="1915" w:type="dxa"/>
            <w:tcBorders>
              <w:tl2br w:val="nil"/>
              <w:tr2bl w:val="nil"/>
            </w:tcBorders>
            <w:shd w:val="clear" w:color="auto" w:fill="auto"/>
            <w:noWrap w:val="0"/>
            <w:vAlign w:val="center"/>
          </w:tcPr>
          <w:p w14:paraId="25383AC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0.06</w:t>
            </w:r>
          </w:p>
        </w:tc>
      </w:tr>
      <w:tr w14:paraId="56291A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5CFCD2C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1800</w:t>
            </w:r>
          </w:p>
        </w:tc>
        <w:tc>
          <w:tcPr>
            <w:tcW w:w="2014" w:type="dxa"/>
            <w:tcBorders>
              <w:tl2br w:val="nil"/>
              <w:tr2bl w:val="nil"/>
            </w:tcBorders>
            <w:shd w:val="clear" w:color="auto" w:fill="auto"/>
            <w:noWrap w:val="0"/>
            <w:vAlign w:val="center"/>
          </w:tcPr>
          <w:p w14:paraId="36DC5F8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0.0008</w:t>
            </w:r>
          </w:p>
        </w:tc>
        <w:tc>
          <w:tcPr>
            <w:tcW w:w="1822" w:type="dxa"/>
            <w:tcBorders>
              <w:tl2br w:val="nil"/>
              <w:tr2bl w:val="nil"/>
            </w:tcBorders>
            <w:shd w:val="clear" w:color="auto" w:fill="auto"/>
            <w:noWrap w:val="0"/>
            <w:vAlign w:val="center"/>
          </w:tcPr>
          <w:p w14:paraId="5CF6D26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0.0041</w:t>
            </w:r>
          </w:p>
        </w:tc>
        <w:tc>
          <w:tcPr>
            <w:tcW w:w="2031" w:type="dxa"/>
            <w:tcBorders>
              <w:tl2br w:val="nil"/>
              <w:tr2bl w:val="nil"/>
            </w:tcBorders>
            <w:shd w:val="clear" w:color="auto" w:fill="auto"/>
            <w:noWrap w:val="0"/>
            <w:vAlign w:val="center"/>
          </w:tcPr>
          <w:p w14:paraId="794930D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1.07</w:t>
            </w:r>
          </w:p>
        </w:tc>
        <w:tc>
          <w:tcPr>
            <w:tcW w:w="1915" w:type="dxa"/>
            <w:tcBorders>
              <w:tl2br w:val="nil"/>
              <w:tr2bl w:val="nil"/>
            </w:tcBorders>
            <w:shd w:val="clear" w:color="auto" w:fill="auto"/>
            <w:noWrap w:val="0"/>
            <w:vAlign w:val="center"/>
          </w:tcPr>
          <w:p w14:paraId="314EEA9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0.05</w:t>
            </w:r>
          </w:p>
        </w:tc>
      </w:tr>
      <w:tr w14:paraId="2BFA8B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7D1615A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1900</w:t>
            </w:r>
          </w:p>
        </w:tc>
        <w:tc>
          <w:tcPr>
            <w:tcW w:w="2014" w:type="dxa"/>
            <w:tcBorders>
              <w:tl2br w:val="nil"/>
              <w:tr2bl w:val="nil"/>
            </w:tcBorders>
            <w:shd w:val="clear" w:color="auto" w:fill="auto"/>
            <w:noWrap w:val="0"/>
            <w:vAlign w:val="center"/>
          </w:tcPr>
          <w:p w14:paraId="68D4256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0.0008</w:t>
            </w:r>
          </w:p>
        </w:tc>
        <w:tc>
          <w:tcPr>
            <w:tcW w:w="1822" w:type="dxa"/>
            <w:tcBorders>
              <w:tl2br w:val="nil"/>
              <w:tr2bl w:val="nil"/>
            </w:tcBorders>
            <w:shd w:val="clear" w:color="auto" w:fill="auto"/>
            <w:noWrap w:val="0"/>
            <w:vAlign w:val="center"/>
          </w:tcPr>
          <w:p w14:paraId="3D48235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0.0038</w:t>
            </w:r>
          </w:p>
        </w:tc>
        <w:tc>
          <w:tcPr>
            <w:tcW w:w="2031" w:type="dxa"/>
            <w:tcBorders>
              <w:tl2br w:val="nil"/>
              <w:tr2bl w:val="nil"/>
            </w:tcBorders>
            <w:shd w:val="clear" w:color="auto" w:fill="auto"/>
            <w:noWrap w:val="0"/>
            <w:vAlign w:val="center"/>
          </w:tcPr>
          <w:p w14:paraId="70D36C2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0.99</w:t>
            </w:r>
          </w:p>
        </w:tc>
        <w:tc>
          <w:tcPr>
            <w:tcW w:w="1915" w:type="dxa"/>
            <w:tcBorders>
              <w:tl2br w:val="nil"/>
              <w:tr2bl w:val="nil"/>
            </w:tcBorders>
            <w:shd w:val="clear" w:color="auto" w:fill="auto"/>
            <w:noWrap w:val="0"/>
            <w:vAlign w:val="center"/>
          </w:tcPr>
          <w:p w14:paraId="2CCB2F8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0.05</w:t>
            </w:r>
          </w:p>
        </w:tc>
      </w:tr>
      <w:tr w14:paraId="19F637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578EEB9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2000</w:t>
            </w:r>
          </w:p>
        </w:tc>
        <w:tc>
          <w:tcPr>
            <w:tcW w:w="2014" w:type="dxa"/>
            <w:tcBorders>
              <w:tl2br w:val="nil"/>
              <w:tr2bl w:val="nil"/>
            </w:tcBorders>
            <w:shd w:val="clear" w:color="auto" w:fill="auto"/>
            <w:noWrap w:val="0"/>
            <w:vAlign w:val="center"/>
          </w:tcPr>
          <w:p w14:paraId="549E893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0.0007</w:t>
            </w:r>
          </w:p>
        </w:tc>
        <w:tc>
          <w:tcPr>
            <w:tcW w:w="1822" w:type="dxa"/>
            <w:tcBorders>
              <w:tl2br w:val="nil"/>
              <w:tr2bl w:val="nil"/>
            </w:tcBorders>
            <w:shd w:val="clear" w:color="auto" w:fill="auto"/>
            <w:noWrap w:val="0"/>
            <w:vAlign w:val="center"/>
          </w:tcPr>
          <w:p w14:paraId="3106C33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0.0034</w:t>
            </w:r>
          </w:p>
        </w:tc>
        <w:tc>
          <w:tcPr>
            <w:tcW w:w="2031" w:type="dxa"/>
            <w:tcBorders>
              <w:tl2br w:val="nil"/>
              <w:tr2bl w:val="nil"/>
            </w:tcBorders>
            <w:shd w:val="clear" w:color="auto" w:fill="auto"/>
            <w:noWrap w:val="0"/>
            <w:vAlign w:val="center"/>
          </w:tcPr>
          <w:p w14:paraId="2EDFFBC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0.90</w:t>
            </w:r>
          </w:p>
        </w:tc>
        <w:tc>
          <w:tcPr>
            <w:tcW w:w="1915" w:type="dxa"/>
            <w:tcBorders>
              <w:tl2br w:val="nil"/>
              <w:tr2bl w:val="nil"/>
            </w:tcBorders>
            <w:shd w:val="clear" w:color="auto" w:fill="auto"/>
            <w:noWrap w:val="0"/>
            <w:vAlign w:val="center"/>
          </w:tcPr>
          <w:p w14:paraId="5E72964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0.04</w:t>
            </w:r>
          </w:p>
        </w:tc>
      </w:tr>
      <w:tr w14:paraId="7BD873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59E65CE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2100</w:t>
            </w:r>
          </w:p>
        </w:tc>
        <w:tc>
          <w:tcPr>
            <w:tcW w:w="2014" w:type="dxa"/>
            <w:tcBorders>
              <w:tl2br w:val="nil"/>
              <w:tr2bl w:val="nil"/>
            </w:tcBorders>
            <w:shd w:val="clear" w:color="auto" w:fill="auto"/>
            <w:noWrap w:val="0"/>
            <w:vAlign w:val="center"/>
          </w:tcPr>
          <w:p w14:paraId="3DF4A89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0.0006</w:t>
            </w:r>
          </w:p>
        </w:tc>
        <w:tc>
          <w:tcPr>
            <w:tcW w:w="1822" w:type="dxa"/>
            <w:tcBorders>
              <w:tl2br w:val="nil"/>
              <w:tr2bl w:val="nil"/>
            </w:tcBorders>
            <w:shd w:val="clear" w:color="auto" w:fill="auto"/>
            <w:noWrap w:val="0"/>
            <w:vAlign w:val="center"/>
          </w:tcPr>
          <w:p w14:paraId="38781C3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0.0032</w:t>
            </w:r>
          </w:p>
        </w:tc>
        <w:tc>
          <w:tcPr>
            <w:tcW w:w="2031" w:type="dxa"/>
            <w:tcBorders>
              <w:tl2br w:val="nil"/>
              <w:tr2bl w:val="nil"/>
            </w:tcBorders>
            <w:shd w:val="clear" w:color="auto" w:fill="auto"/>
            <w:noWrap w:val="0"/>
            <w:vAlign w:val="center"/>
          </w:tcPr>
          <w:p w14:paraId="2BEA2E8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0.83</w:t>
            </w:r>
          </w:p>
        </w:tc>
        <w:tc>
          <w:tcPr>
            <w:tcW w:w="1915" w:type="dxa"/>
            <w:tcBorders>
              <w:tl2br w:val="nil"/>
              <w:tr2bl w:val="nil"/>
            </w:tcBorders>
            <w:shd w:val="clear" w:color="auto" w:fill="auto"/>
            <w:noWrap w:val="0"/>
            <w:vAlign w:val="center"/>
          </w:tcPr>
          <w:p w14:paraId="61B237A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0.04</w:t>
            </w:r>
          </w:p>
        </w:tc>
      </w:tr>
      <w:tr w14:paraId="2D1D3E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48539AD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2200</w:t>
            </w:r>
          </w:p>
        </w:tc>
        <w:tc>
          <w:tcPr>
            <w:tcW w:w="2014" w:type="dxa"/>
            <w:tcBorders>
              <w:tl2br w:val="nil"/>
              <w:tr2bl w:val="nil"/>
            </w:tcBorders>
            <w:shd w:val="clear" w:color="auto" w:fill="auto"/>
            <w:noWrap w:val="0"/>
            <w:vAlign w:val="center"/>
          </w:tcPr>
          <w:p w14:paraId="1D3F138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c>
          <w:tcPr>
            <w:tcW w:w="1822" w:type="dxa"/>
            <w:tcBorders>
              <w:tl2br w:val="nil"/>
              <w:tr2bl w:val="nil"/>
            </w:tcBorders>
            <w:shd w:val="clear" w:color="auto" w:fill="auto"/>
            <w:noWrap w:val="0"/>
            <w:vAlign w:val="center"/>
          </w:tcPr>
          <w:p w14:paraId="137B2EA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0.0027</w:t>
            </w:r>
          </w:p>
        </w:tc>
        <w:tc>
          <w:tcPr>
            <w:tcW w:w="2031" w:type="dxa"/>
            <w:tcBorders>
              <w:tl2br w:val="nil"/>
              <w:tr2bl w:val="nil"/>
            </w:tcBorders>
            <w:shd w:val="clear" w:color="auto" w:fill="auto"/>
            <w:noWrap w:val="0"/>
            <w:vAlign w:val="center"/>
          </w:tcPr>
          <w:p w14:paraId="3D9D6C6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0.69</w:t>
            </w:r>
          </w:p>
        </w:tc>
        <w:tc>
          <w:tcPr>
            <w:tcW w:w="1915" w:type="dxa"/>
            <w:tcBorders>
              <w:tl2br w:val="nil"/>
              <w:tr2bl w:val="nil"/>
            </w:tcBorders>
            <w:shd w:val="clear" w:color="auto" w:fill="auto"/>
            <w:noWrap w:val="0"/>
            <w:vAlign w:val="center"/>
          </w:tcPr>
          <w:p w14:paraId="2A9F869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0.03</w:t>
            </w:r>
          </w:p>
        </w:tc>
      </w:tr>
      <w:tr w14:paraId="55037F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6DEC928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2300</w:t>
            </w:r>
          </w:p>
        </w:tc>
        <w:tc>
          <w:tcPr>
            <w:tcW w:w="2014" w:type="dxa"/>
            <w:tcBorders>
              <w:tl2br w:val="nil"/>
              <w:tr2bl w:val="nil"/>
            </w:tcBorders>
            <w:shd w:val="clear" w:color="auto" w:fill="auto"/>
            <w:noWrap w:val="0"/>
            <w:vAlign w:val="center"/>
          </w:tcPr>
          <w:p w14:paraId="71F0A4D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c>
          <w:tcPr>
            <w:tcW w:w="1822" w:type="dxa"/>
            <w:tcBorders>
              <w:tl2br w:val="nil"/>
              <w:tr2bl w:val="nil"/>
            </w:tcBorders>
            <w:shd w:val="clear" w:color="auto" w:fill="auto"/>
            <w:noWrap w:val="0"/>
            <w:vAlign w:val="center"/>
          </w:tcPr>
          <w:p w14:paraId="6CDC6E8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0.0026</w:t>
            </w:r>
          </w:p>
        </w:tc>
        <w:tc>
          <w:tcPr>
            <w:tcW w:w="2031" w:type="dxa"/>
            <w:tcBorders>
              <w:tl2br w:val="nil"/>
              <w:tr2bl w:val="nil"/>
            </w:tcBorders>
            <w:shd w:val="clear" w:color="auto" w:fill="auto"/>
            <w:noWrap w:val="0"/>
            <w:vAlign w:val="center"/>
          </w:tcPr>
          <w:p w14:paraId="05FB9AF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0.67</w:t>
            </w:r>
          </w:p>
        </w:tc>
        <w:tc>
          <w:tcPr>
            <w:tcW w:w="1915" w:type="dxa"/>
            <w:tcBorders>
              <w:tl2br w:val="nil"/>
              <w:tr2bl w:val="nil"/>
            </w:tcBorders>
            <w:shd w:val="clear" w:color="auto" w:fill="auto"/>
            <w:noWrap w:val="0"/>
            <w:vAlign w:val="center"/>
          </w:tcPr>
          <w:p w14:paraId="4A8962B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0.03</w:t>
            </w:r>
          </w:p>
        </w:tc>
      </w:tr>
      <w:tr w14:paraId="7E9748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46747D4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2400</w:t>
            </w:r>
          </w:p>
        </w:tc>
        <w:tc>
          <w:tcPr>
            <w:tcW w:w="2014" w:type="dxa"/>
            <w:tcBorders>
              <w:tl2br w:val="nil"/>
              <w:tr2bl w:val="nil"/>
            </w:tcBorders>
            <w:shd w:val="clear" w:color="auto" w:fill="auto"/>
            <w:noWrap w:val="0"/>
            <w:vAlign w:val="center"/>
          </w:tcPr>
          <w:p w14:paraId="49C79AE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c>
          <w:tcPr>
            <w:tcW w:w="1822" w:type="dxa"/>
            <w:tcBorders>
              <w:tl2br w:val="nil"/>
              <w:tr2bl w:val="nil"/>
            </w:tcBorders>
            <w:shd w:val="clear" w:color="auto" w:fill="auto"/>
            <w:noWrap w:val="0"/>
            <w:vAlign w:val="center"/>
          </w:tcPr>
          <w:p w14:paraId="15B0E33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0.0024</w:t>
            </w:r>
          </w:p>
        </w:tc>
        <w:tc>
          <w:tcPr>
            <w:tcW w:w="2031" w:type="dxa"/>
            <w:tcBorders>
              <w:tl2br w:val="nil"/>
              <w:tr2bl w:val="nil"/>
            </w:tcBorders>
            <w:shd w:val="clear" w:color="auto" w:fill="auto"/>
            <w:noWrap w:val="0"/>
            <w:vAlign w:val="center"/>
          </w:tcPr>
          <w:p w14:paraId="0942C40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0.63</w:t>
            </w:r>
          </w:p>
        </w:tc>
        <w:tc>
          <w:tcPr>
            <w:tcW w:w="1915" w:type="dxa"/>
            <w:tcBorders>
              <w:tl2br w:val="nil"/>
              <w:tr2bl w:val="nil"/>
            </w:tcBorders>
            <w:shd w:val="clear" w:color="auto" w:fill="auto"/>
            <w:noWrap w:val="0"/>
            <w:vAlign w:val="center"/>
          </w:tcPr>
          <w:p w14:paraId="148861C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0.03</w:t>
            </w:r>
          </w:p>
        </w:tc>
      </w:tr>
      <w:tr w14:paraId="65616D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shd w:val="clear" w:color="auto" w:fill="auto"/>
            <w:noWrap w:val="0"/>
            <w:vAlign w:val="center"/>
          </w:tcPr>
          <w:p w14:paraId="0A97AA0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2500</w:t>
            </w:r>
          </w:p>
        </w:tc>
        <w:tc>
          <w:tcPr>
            <w:tcW w:w="2014" w:type="dxa"/>
            <w:tcBorders>
              <w:tl2br w:val="nil"/>
              <w:tr2bl w:val="nil"/>
            </w:tcBorders>
            <w:shd w:val="clear" w:color="auto" w:fill="auto"/>
            <w:noWrap w:val="0"/>
            <w:vAlign w:val="center"/>
          </w:tcPr>
          <w:p w14:paraId="7D5F651C">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c>
          <w:tcPr>
            <w:tcW w:w="1822" w:type="dxa"/>
            <w:tcBorders>
              <w:tl2br w:val="nil"/>
              <w:tr2bl w:val="nil"/>
            </w:tcBorders>
            <w:shd w:val="clear" w:color="auto" w:fill="auto"/>
            <w:noWrap w:val="0"/>
            <w:vAlign w:val="center"/>
          </w:tcPr>
          <w:p w14:paraId="45AD394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0.0024</w:t>
            </w:r>
          </w:p>
        </w:tc>
        <w:tc>
          <w:tcPr>
            <w:tcW w:w="2031" w:type="dxa"/>
            <w:tcBorders>
              <w:tl2br w:val="nil"/>
              <w:tr2bl w:val="nil"/>
            </w:tcBorders>
            <w:shd w:val="clear" w:color="auto" w:fill="auto"/>
            <w:noWrap w:val="0"/>
            <w:vAlign w:val="center"/>
          </w:tcPr>
          <w:p w14:paraId="14984D0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0.61</w:t>
            </w:r>
          </w:p>
        </w:tc>
        <w:tc>
          <w:tcPr>
            <w:tcW w:w="1915" w:type="dxa"/>
            <w:tcBorders>
              <w:tl2br w:val="nil"/>
              <w:tr2bl w:val="nil"/>
            </w:tcBorders>
            <w:shd w:val="clear" w:color="auto" w:fill="auto"/>
            <w:noWrap w:val="0"/>
            <w:vAlign w:val="center"/>
          </w:tcPr>
          <w:p w14:paraId="06F3662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0.03</w:t>
            </w:r>
          </w:p>
        </w:tc>
      </w:tr>
      <w:tr w14:paraId="1237FC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35714FD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下风向最大浓度</w:t>
            </w:r>
          </w:p>
        </w:tc>
        <w:tc>
          <w:tcPr>
            <w:tcW w:w="2014" w:type="dxa"/>
            <w:tcBorders>
              <w:tl2br w:val="nil"/>
              <w:tr2bl w:val="nil"/>
            </w:tcBorders>
            <w:shd w:val="clear" w:color="auto" w:fill="auto"/>
            <w:noWrap w:val="0"/>
            <w:vAlign w:val="center"/>
          </w:tcPr>
          <w:p w14:paraId="3F5E0F6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0.0023</w:t>
            </w:r>
          </w:p>
        </w:tc>
        <w:tc>
          <w:tcPr>
            <w:tcW w:w="1822" w:type="dxa"/>
            <w:tcBorders>
              <w:tl2br w:val="nil"/>
              <w:tr2bl w:val="nil"/>
            </w:tcBorders>
            <w:shd w:val="clear" w:color="auto" w:fill="auto"/>
            <w:noWrap w:val="0"/>
            <w:vAlign w:val="center"/>
          </w:tcPr>
          <w:p w14:paraId="7C4DAC5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0.0115</w:t>
            </w:r>
          </w:p>
        </w:tc>
        <w:tc>
          <w:tcPr>
            <w:tcW w:w="2031" w:type="dxa"/>
            <w:tcBorders>
              <w:tl2br w:val="nil"/>
              <w:tr2bl w:val="nil"/>
            </w:tcBorders>
            <w:shd w:val="clear" w:color="auto" w:fill="auto"/>
            <w:noWrap w:val="0"/>
            <w:vAlign w:val="center"/>
          </w:tcPr>
          <w:p w14:paraId="03497F2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1915" w:type="dxa"/>
            <w:tcBorders>
              <w:tl2br w:val="nil"/>
              <w:tr2bl w:val="nil"/>
            </w:tcBorders>
            <w:shd w:val="clear" w:color="auto" w:fill="auto"/>
            <w:noWrap w:val="0"/>
            <w:vAlign w:val="center"/>
          </w:tcPr>
          <w:p w14:paraId="29B7437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0.15</w:t>
            </w:r>
          </w:p>
        </w:tc>
      </w:tr>
      <w:tr w14:paraId="7B82A2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01FA0EA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下风向最大浓度出现距离</w:t>
            </w:r>
          </w:p>
        </w:tc>
        <w:tc>
          <w:tcPr>
            <w:tcW w:w="2014" w:type="dxa"/>
            <w:tcBorders>
              <w:tl2br w:val="nil"/>
              <w:tr2bl w:val="nil"/>
            </w:tcBorders>
            <w:shd w:val="clear" w:color="auto" w:fill="auto"/>
            <w:noWrap w:val="0"/>
            <w:vAlign w:val="center"/>
          </w:tcPr>
          <w:p w14:paraId="454E86B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1822" w:type="dxa"/>
            <w:tcBorders>
              <w:tl2br w:val="nil"/>
              <w:tr2bl w:val="nil"/>
            </w:tcBorders>
            <w:shd w:val="clear" w:color="auto" w:fill="auto"/>
            <w:noWrap w:val="0"/>
            <w:vAlign w:val="center"/>
          </w:tcPr>
          <w:p w14:paraId="5FF3E9D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2031" w:type="dxa"/>
            <w:tcBorders>
              <w:tl2br w:val="nil"/>
              <w:tr2bl w:val="nil"/>
            </w:tcBorders>
            <w:shd w:val="clear" w:color="auto" w:fill="auto"/>
            <w:noWrap w:val="0"/>
            <w:vAlign w:val="center"/>
          </w:tcPr>
          <w:p w14:paraId="0CEA59E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1915" w:type="dxa"/>
            <w:tcBorders>
              <w:tl2br w:val="nil"/>
              <w:tr2bl w:val="nil"/>
            </w:tcBorders>
            <w:shd w:val="clear" w:color="auto" w:fill="auto"/>
            <w:noWrap w:val="0"/>
            <w:vAlign w:val="center"/>
          </w:tcPr>
          <w:p w14:paraId="3644F8F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r>
      <w:tr w14:paraId="607519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9" w:type="dxa"/>
            <w:tcBorders>
              <w:tl2br w:val="nil"/>
              <w:tr2bl w:val="nil"/>
            </w:tcBorders>
            <w:noWrap w:val="0"/>
            <w:vAlign w:val="center"/>
          </w:tcPr>
          <w:p w14:paraId="4BC2BB7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D10%最远距离</w:t>
            </w:r>
          </w:p>
        </w:tc>
        <w:tc>
          <w:tcPr>
            <w:tcW w:w="2014" w:type="dxa"/>
            <w:tcBorders>
              <w:tl2br w:val="nil"/>
              <w:tr2bl w:val="nil"/>
            </w:tcBorders>
            <w:shd w:val="clear" w:color="auto" w:fill="auto"/>
            <w:noWrap w:val="0"/>
            <w:vAlign w:val="center"/>
          </w:tcPr>
          <w:p w14:paraId="552C5C6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822" w:type="dxa"/>
            <w:tcBorders>
              <w:tl2br w:val="nil"/>
              <w:tr2bl w:val="nil"/>
            </w:tcBorders>
            <w:shd w:val="clear" w:color="auto" w:fill="auto"/>
            <w:noWrap w:val="0"/>
            <w:vAlign w:val="center"/>
          </w:tcPr>
          <w:p w14:paraId="11A0F22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2031" w:type="dxa"/>
            <w:tcBorders>
              <w:tl2br w:val="nil"/>
              <w:tr2bl w:val="nil"/>
            </w:tcBorders>
            <w:shd w:val="clear" w:color="auto" w:fill="auto"/>
            <w:noWrap w:val="0"/>
            <w:vAlign w:val="center"/>
          </w:tcPr>
          <w:p w14:paraId="003BF09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915" w:type="dxa"/>
            <w:tcBorders>
              <w:tl2br w:val="nil"/>
              <w:tr2bl w:val="nil"/>
            </w:tcBorders>
            <w:shd w:val="clear" w:color="auto" w:fill="auto"/>
            <w:noWrap w:val="0"/>
            <w:vAlign w:val="center"/>
          </w:tcPr>
          <w:p w14:paraId="5600D92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bl>
    <w:p w14:paraId="254BBA72">
      <w:pPr>
        <w:pStyle w:val="25"/>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.1-7     项目无组织</w:t>
      </w:r>
      <w:r>
        <w:rPr>
          <w:rFonts w:hint="default"/>
          <w:color w:val="000000" w:themeColor="text1"/>
          <w:highlight w:val="none"/>
          <w14:textFill>
            <w14:solidFill>
              <w14:schemeClr w14:val="tx1"/>
            </w14:solidFill>
          </w14:textFill>
        </w:rPr>
        <w:t>污染物估算模式计算结果</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72"/>
        <w:gridCol w:w="2128"/>
        <w:gridCol w:w="1572"/>
        <w:gridCol w:w="2126"/>
        <w:gridCol w:w="1573"/>
      </w:tblGrid>
      <w:tr w14:paraId="0353E6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72" w:type="dxa"/>
            <w:vMerge w:val="restart"/>
            <w:noWrap w:val="0"/>
            <w:vAlign w:val="center"/>
          </w:tcPr>
          <w:p w14:paraId="41EAF12A">
            <w:pPr>
              <w:pStyle w:val="26"/>
              <w:bidi w:val="0"/>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下风向距离</w:t>
            </w:r>
          </w:p>
        </w:tc>
        <w:tc>
          <w:tcPr>
            <w:tcW w:w="7399" w:type="dxa"/>
            <w:gridSpan w:val="4"/>
            <w:noWrap w:val="0"/>
            <w:vAlign w:val="center"/>
          </w:tcPr>
          <w:p w14:paraId="2EDB74C3">
            <w:pPr>
              <w:pStyle w:val="26"/>
              <w:bidi w:val="0"/>
              <w:rPr>
                <w:b/>
                <w:bCs/>
                <w:color w:val="000000" w:themeColor="text1"/>
                <w:highlight w:val="none"/>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生产</w:t>
            </w:r>
            <w:r>
              <w:rPr>
                <w:rFonts w:hint="eastAsia"/>
                <w:b/>
                <w:bCs/>
                <w:color w:val="000000" w:themeColor="text1"/>
                <w:highlight w:val="none"/>
                <w:lang w:val="en-US" w:eastAsia="zh-CN"/>
                <w14:textFill>
                  <w14:solidFill>
                    <w14:schemeClr w14:val="tx1"/>
                  </w14:solidFill>
                </w14:textFill>
              </w:rPr>
              <w:t>车间</w:t>
            </w:r>
          </w:p>
        </w:tc>
      </w:tr>
      <w:tr w14:paraId="2D31EB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72" w:type="dxa"/>
            <w:vMerge w:val="continue"/>
            <w:tcBorders>
              <w:bottom w:val="single" w:color="auto" w:sz="12" w:space="0"/>
            </w:tcBorders>
            <w:noWrap w:val="0"/>
            <w:vAlign w:val="center"/>
          </w:tcPr>
          <w:p w14:paraId="4DE91E6C">
            <w:pPr>
              <w:pStyle w:val="26"/>
              <w:bidi w:val="0"/>
              <w:rPr>
                <w:b/>
                <w:bCs/>
                <w:color w:val="000000" w:themeColor="text1"/>
                <w:highlight w:val="none"/>
                <w14:textFill>
                  <w14:solidFill>
                    <w14:schemeClr w14:val="tx1"/>
                  </w14:solidFill>
                </w14:textFill>
              </w:rPr>
            </w:pPr>
          </w:p>
        </w:tc>
        <w:tc>
          <w:tcPr>
            <w:tcW w:w="2128" w:type="dxa"/>
            <w:tcBorders>
              <w:bottom w:val="single" w:color="auto" w:sz="12" w:space="0"/>
            </w:tcBorders>
            <w:shd w:val="clear" w:color="auto" w:fill="auto"/>
            <w:noWrap w:val="0"/>
            <w:vAlign w:val="center"/>
          </w:tcPr>
          <w:p w14:paraId="796616C4">
            <w:pPr>
              <w:pStyle w:val="26"/>
              <w:bidi w:val="0"/>
              <w:rPr>
                <w:rFonts w:hint="eastAsia"/>
                <w:b/>
                <w:bCs/>
                <w:color w:val="000000" w:themeColor="text1"/>
                <w:highlight w:val="none"/>
                <w:lang w:val="en-US" w:eastAsia="zh-CN"/>
                <w14:textFill>
                  <w14:solidFill>
                    <w14:schemeClr w14:val="tx1"/>
                  </w14:solidFill>
                </w14:textFill>
              </w:rPr>
            </w:pPr>
            <w:r>
              <w:rPr>
                <w:b/>
                <w:bCs/>
                <w:color w:val="000000" w:themeColor="text1"/>
                <w:highlight w:val="none"/>
                <w14:textFill>
                  <w14:solidFill>
                    <w14:schemeClr w14:val="tx1"/>
                  </w14:solidFill>
                </w14:textFill>
              </w:rPr>
              <w:t>TSP浓度</w:t>
            </w:r>
            <w:r>
              <w:rPr>
                <w:rFonts w:hint="eastAsia"/>
                <w:b/>
                <w:bCs/>
                <w:color w:val="000000" w:themeColor="text1"/>
                <w:highlight w:val="none"/>
                <w:lang w:eastAsia="zh-CN"/>
                <w14:textFill>
                  <w14:solidFill>
                    <w14:schemeClr w14:val="tx1"/>
                  </w14:solidFill>
                </w14:textFill>
              </w:rPr>
              <w:t>（</w:t>
            </w:r>
            <w:r>
              <w:rPr>
                <w:b/>
                <w:bCs/>
                <w:color w:val="000000" w:themeColor="text1"/>
                <w:highlight w:val="none"/>
                <w14:textFill>
                  <w14:solidFill>
                    <w14:schemeClr w14:val="tx1"/>
                  </w14:solidFill>
                </w14:textFill>
              </w:rPr>
              <w:t>μg/m³</w:t>
            </w:r>
            <w:r>
              <w:rPr>
                <w:rFonts w:hint="eastAsia"/>
                <w:b/>
                <w:bCs/>
                <w:color w:val="000000" w:themeColor="text1"/>
                <w:highlight w:val="none"/>
                <w:lang w:eastAsia="zh-CN"/>
                <w14:textFill>
                  <w14:solidFill>
                    <w14:schemeClr w14:val="tx1"/>
                  </w14:solidFill>
                </w14:textFill>
              </w:rPr>
              <w:t>）</w:t>
            </w:r>
          </w:p>
        </w:tc>
        <w:tc>
          <w:tcPr>
            <w:tcW w:w="1572" w:type="dxa"/>
            <w:tcBorders>
              <w:bottom w:val="single" w:color="auto" w:sz="12" w:space="0"/>
            </w:tcBorders>
            <w:shd w:val="clear" w:color="auto" w:fill="auto"/>
            <w:noWrap w:val="0"/>
            <w:vAlign w:val="center"/>
          </w:tcPr>
          <w:p w14:paraId="27BA8C0C">
            <w:pPr>
              <w:pStyle w:val="26"/>
              <w:bidi w:val="0"/>
              <w:rPr>
                <w:rFonts w:hint="eastAsia"/>
                <w:b/>
                <w:bCs/>
                <w:color w:val="000000" w:themeColor="text1"/>
                <w:highlight w:val="none"/>
                <w:lang w:val="en-US" w:eastAsia="zh-CN"/>
                <w14:textFill>
                  <w14:solidFill>
                    <w14:schemeClr w14:val="tx1"/>
                  </w14:solidFill>
                </w14:textFill>
              </w:rPr>
            </w:pPr>
            <w:r>
              <w:rPr>
                <w:b/>
                <w:bCs/>
                <w:color w:val="000000" w:themeColor="text1"/>
                <w:highlight w:val="none"/>
                <w14:textFill>
                  <w14:solidFill>
                    <w14:schemeClr w14:val="tx1"/>
                  </w14:solidFill>
                </w14:textFill>
              </w:rPr>
              <w:t>TSP占标率</w:t>
            </w:r>
            <w:r>
              <w:rPr>
                <w:rFonts w:hint="eastAsia"/>
                <w:b/>
                <w:bCs/>
                <w:color w:val="000000" w:themeColor="text1"/>
                <w:highlight w:val="none"/>
                <w:lang w:eastAsia="zh-CN"/>
                <w14:textFill>
                  <w14:solidFill>
                    <w14:schemeClr w14:val="tx1"/>
                  </w14:solidFill>
                </w14:textFill>
              </w:rPr>
              <w:t>（</w:t>
            </w:r>
            <w:r>
              <w:rPr>
                <w:b/>
                <w:bCs/>
                <w:color w:val="000000" w:themeColor="text1"/>
                <w:highlight w:val="none"/>
                <w14:textFill>
                  <w14:solidFill>
                    <w14:schemeClr w14:val="tx1"/>
                  </w14:solidFill>
                </w14:textFill>
              </w:rPr>
              <w:t>%</w:t>
            </w:r>
            <w:r>
              <w:rPr>
                <w:rFonts w:hint="eastAsia"/>
                <w:b/>
                <w:bCs/>
                <w:color w:val="000000" w:themeColor="text1"/>
                <w:highlight w:val="none"/>
                <w:lang w:eastAsia="zh-CN"/>
                <w14:textFill>
                  <w14:solidFill>
                    <w14:schemeClr w14:val="tx1"/>
                  </w14:solidFill>
                </w14:textFill>
              </w:rPr>
              <w:t>）</w:t>
            </w:r>
          </w:p>
        </w:tc>
        <w:tc>
          <w:tcPr>
            <w:tcW w:w="2126" w:type="dxa"/>
            <w:tcBorders>
              <w:bottom w:val="single" w:color="auto" w:sz="12" w:space="0"/>
            </w:tcBorders>
            <w:shd w:val="clear" w:color="auto" w:fill="auto"/>
            <w:noWrap w:val="0"/>
            <w:vAlign w:val="center"/>
          </w:tcPr>
          <w:p w14:paraId="7F4FF65C">
            <w:pPr>
              <w:pStyle w:val="26"/>
              <w:bidi w:val="0"/>
              <w:rPr>
                <w:rFonts w:hint="eastAsia"/>
                <w:b/>
                <w:bCs/>
                <w:color w:val="000000" w:themeColor="text1"/>
                <w:highlight w:val="none"/>
                <w:lang w:val="en-US" w:eastAsia="zh-CN"/>
                <w14:textFill>
                  <w14:solidFill>
                    <w14:schemeClr w14:val="tx1"/>
                  </w14:solidFill>
                </w14:textFill>
              </w:rPr>
            </w:pPr>
            <w:r>
              <w:rPr>
                <w:b/>
                <w:bCs/>
                <w:color w:val="000000" w:themeColor="text1"/>
                <w:highlight w:val="none"/>
                <w14:textFill>
                  <w14:solidFill>
                    <w14:schemeClr w14:val="tx1"/>
                  </w14:solidFill>
                </w14:textFill>
              </w:rPr>
              <w:t>硫酸浓度</w:t>
            </w:r>
            <w:r>
              <w:rPr>
                <w:rFonts w:hint="eastAsia"/>
                <w:b/>
                <w:bCs/>
                <w:color w:val="000000" w:themeColor="text1"/>
                <w:highlight w:val="none"/>
                <w:lang w:eastAsia="zh-CN"/>
                <w14:textFill>
                  <w14:solidFill>
                    <w14:schemeClr w14:val="tx1"/>
                  </w14:solidFill>
                </w14:textFill>
              </w:rPr>
              <w:t>（</w:t>
            </w:r>
            <w:r>
              <w:rPr>
                <w:b/>
                <w:bCs/>
                <w:color w:val="000000" w:themeColor="text1"/>
                <w:highlight w:val="none"/>
                <w14:textFill>
                  <w14:solidFill>
                    <w14:schemeClr w14:val="tx1"/>
                  </w14:solidFill>
                </w14:textFill>
              </w:rPr>
              <w:t>μg/m³</w:t>
            </w:r>
            <w:r>
              <w:rPr>
                <w:rFonts w:hint="eastAsia"/>
                <w:b/>
                <w:bCs/>
                <w:color w:val="000000" w:themeColor="text1"/>
                <w:highlight w:val="none"/>
                <w:lang w:eastAsia="zh-CN"/>
                <w14:textFill>
                  <w14:solidFill>
                    <w14:schemeClr w14:val="tx1"/>
                  </w14:solidFill>
                </w14:textFill>
              </w:rPr>
              <w:t>）</w:t>
            </w:r>
          </w:p>
        </w:tc>
        <w:tc>
          <w:tcPr>
            <w:tcW w:w="1573" w:type="dxa"/>
            <w:tcBorders>
              <w:bottom w:val="single" w:color="auto" w:sz="12" w:space="0"/>
            </w:tcBorders>
            <w:shd w:val="clear" w:color="auto" w:fill="auto"/>
            <w:noWrap w:val="0"/>
            <w:vAlign w:val="center"/>
          </w:tcPr>
          <w:p w14:paraId="72F19AA3">
            <w:pPr>
              <w:pStyle w:val="26"/>
              <w:bidi w:val="0"/>
              <w:rPr>
                <w:rFonts w:hint="eastAsia"/>
                <w:b/>
                <w:bCs/>
                <w:color w:val="000000" w:themeColor="text1"/>
                <w:highlight w:val="none"/>
                <w:lang w:val="en-US" w:eastAsia="zh-CN"/>
                <w14:textFill>
                  <w14:solidFill>
                    <w14:schemeClr w14:val="tx1"/>
                  </w14:solidFill>
                </w14:textFill>
              </w:rPr>
            </w:pPr>
            <w:r>
              <w:rPr>
                <w:b/>
                <w:bCs/>
                <w:color w:val="000000" w:themeColor="text1"/>
                <w:highlight w:val="none"/>
                <w14:textFill>
                  <w14:solidFill>
                    <w14:schemeClr w14:val="tx1"/>
                  </w14:solidFill>
                </w14:textFill>
              </w:rPr>
              <w:t>硫酸占标率</w:t>
            </w:r>
            <w:r>
              <w:rPr>
                <w:rFonts w:hint="eastAsia"/>
                <w:b/>
                <w:bCs/>
                <w:color w:val="000000" w:themeColor="text1"/>
                <w:highlight w:val="none"/>
                <w:lang w:eastAsia="zh-CN"/>
                <w14:textFill>
                  <w14:solidFill>
                    <w14:schemeClr w14:val="tx1"/>
                  </w14:solidFill>
                </w14:textFill>
              </w:rPr>
              <w:t>（</w:t>
            </w:r>
            <w:r>
              <w:rPr>
                <w:b/>
                <w:bCs/>
                <w:color w:val="000000" w:themeColor="text1"/>
                <w:highlight w:val="none"/>
                <w14:textFill>
                  <w14:solidFill>
                    <w14:schemeClr w14:val="tx1"/>
                  </w14:solidFill>
                </w14:textFill>
              </w:rPr>
              <w:t>%</w:t>
            </w:r>
            <w:r>
              <w:rPr>
                <w:rFonts w:hint="eastAsia"/>
                <w:b/>
                <w:bCs/>
                <w:color w:val="000000" w:themeColor="text1"/>
                <w:highlight w:val="none"/>
                <w:lang w:eastAsia="zh-CN"/>
                <w14:textFill>
                  <w14:solidFill>
                    <w14:schemeClr w14:val="tx1"/>
                  </w14:solidFill>
                </w14:textFill>
              </w:rPr>
              <w:t>）</w:t>
            </w:r>
          </w:p>
        </w:tc>
      </w:tr>
      <w:tr w14:paraId="3E6BA7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op w:val="single" w:color="auto" w:sz="12" w:space="0"/>
              <w:tl2br w:val="nil"/>
              <w:tr2bl w:val="nil"/>
            </w:tcBorders>
            <w:noWrap w:val="0"/>
            <w:vAlign w:val="center"/>
          </w:tcPr>
          <w:p w14:paraId="6C9F5C92">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w:t>
            </w:r>
          </w:p>
        </w:tc>
        <w:tc>
          <w:tcPr>
            <w:tcW w:w="2128" w:type="dxa"/>
            <w:tcBorders>
              <w:top w:val="single" w:color="auto" w:sz="12" w:space="0"/>
              <w:tl2br w:val="nil"/>
              <w:tr2bl w:val="nil"/>
            </w:tcBorders>
            <w:shd w:val="clear" w:color="auto" w:fill="auto"/>
            <w:noWrap w:val="0"/>
            <w:vAlign w:val="center"/>
          </w:tcPr>
          <w:p w14:paraId="0B40DDE8">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21.51</w:t>
            </w:r>
          </w:p>
        </w:tc>
        <w:tc>
          <w:tcPr>
            <w:tcW w:w="1572" w:type="dxa"/>
            <w:tcBorders>
              <w:top w:val="single" w:color="auto" w:sz="12" w:space="0"/>
              <w:tl2br w:val="nil"/>
              <w:tr2bl w:val="nil"/>
            </w:tcBorders>
            <w:shd w:val="clear" w:color="auto" w:fill="auto"/>
            <w:noWrap w:val="0"/>
            <w:vAlign w:val="center"/>
          </w:tcPr>
          <w:p w14:paraId="2AE8AD8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2.39</w:t>
            </w:r>
          </w:p>
        </w:tc>
        <w:tc>
          <w:tcPr>
            <w:tcW w:w="2126" w:type="dxa"/>
            <w:tcBorders>
              <w:top w:val="single" w:color="auto" w:sz="12" w:space="0"/>
              <w:tl2br w:val="nil"/>
              <w:tr2bl w:val="nil"/>
            </w:tcBorders>
            <w:shd w:val="clear" w:color="auto" w:fill="auto"/>
            <w:noWrap w:val="0"/>
            <w:vAlign w:val="center"/>
          </w:tcPr>
          <w:p w14:paraId="5F5BBC1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0.0039</w:t>
            </w:r>
          </w:p>
        </w:tc>
        <w:tc>
          <w:tcPr>
            <w:tcW w:w="1573" w:type="dxa"/>
            <w:tcBorders>
              <w:top w:val="single" w:color="auto" w:sz="12" w:space="0"/>
              <w:tl2br w:val="nil"/>
              <w:tr2bl w:val="nil"/>
            </w:tcBorders>
            <w:shd w:val="clear" w:color="auto" w:fill="auto"/>
            <w:noWrap w:val="0"/>
            <w:vAlign w:val="center"/>
          </w:tcPr>
          <w:p w14:paraId="597037E9">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r>
      <w:tr w14:paraId="4322A1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6F12AD97">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w:t>
            </w:r>
          </w:p>
        </w:tc>
        <w:tc>
          <w:tcPr>
            <w:tcW w:w="2128" w:type="dxa"/>
            <w:tcBorders>
              <w:tl2br w:val="nil"/>
              <w:tr2bl w:val="nil"/>
            </w:tcBorders>
            <w:shd w:val="clear" w:color="auto" w:fill="auto"/>
            <w:noWrap w:val="0"/>
            <w:vAlign w:val="center"/>
          </w:tcPr>
          <w:p w14:paraId="0DC3BD7C">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27.26</w:t>
            </w:r>
          </w:p>
        </w:tc>
        <w:tc>
          <w:tcPr>
            <w:tcW w:w="1572" w:type="dxa"/>
            <w:tcBorders>
              <w:tl2br w:val="nil"/>
              <w:tr2bl w:val="nil"/>
            </w:tcBorders>
            <w:shd w:val="clear" w:color="auto" w:fill="auto"/>
            <w:noWrap w:val="0"/>
            <w:vAlign w:val="center"/>
          </w:tcPr>
          <w:p w14:paraId="471EF60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3.03</w:t>
            </w:r>
          </w:p>
        </w:tc>
        <w:tc>
          <w:tcPr>
            <w:tcW w:w="2126" w:type="dxa"/>
            <w:tcBorders>
              <w:tl2br w:val="nil"/>
              <w:tr2bl w:val="nil"/>
            </w:tcBorders>
            <w:shd w:val="clear" w:color="auto" w:fill="auto"/>
            <w:noWrap w:val="0"/>
            <w:vAlign w:val="center"/>
          </w:tcPr>
          <w:p w14:paraId="320EE4CF">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0.0049</w:t>
            </w:r>
          </w:p>
        </w:tc>
        <w:tc>
          <w:tcPr>
            <w:tcW w:w="1573" w:type="dxa"/>
            <w:tcBorders>
              <w:tl2br w:val="nil"/>
              <w:tr2bl w:val="nil"/>
            </w:tcBorders>
            <w:shd w:val="clear" w:color="auto" w:fill="auto"/>
            <w:noWrap w:val="0"/>
            <w:vAlign w:val="center"/>
          </w:tcPr>
          <w:p w14:paraId="59701640">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0.0016</w:t>
            </w:r>
          </w:p>
        </w:tc>
      </w:tr>
      <w:tr w14:paraId="31E207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7BCA8FA4">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c>
          <w:tcPr>
            <w:tcW w:w="2128" w:type="dxa"/>
            <w:tcBorders>
              <w:tl2br w:val="nil"/>
              <w:tr2bl w:val="nil"/>
            </w:tcBorders>
            <w:shd w:val="clear" w:color="auto" w:fill="auto"/>
            <w:noWrap w:val="0"/>
            <w:vAlign w:val="center"/>
          </w:tcPr>
          <w:p w14:paraId="0C863328">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29.17</w:t>
            </w:r>
          </w:p>
        </w:tc>
        <w:tc>
          <w:tcPr>
            <w:tcW w:w="1572" w:type="dxa"/>
            <w:tcBorders>
              <w:tl2br w:val="nil"/>
              <w:tr2bl w:val="nil"/>
            </w:tcBorders>
            <w:shd w:val="clear" w:color="auto" w:fill="auto"/>
            <w:noWrap w:val="0"/>
            <w:vAlign w:val="center"/>
          </w:tcPr>
          <w:p w14:paraId="1F4F2CF2">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3.24</w:t>
            </w:r>
          </w:p>
        </w:tc>
        <w:tc>
          <w:tcPr>
            <w:tcW w:w="2126" w:type="dxa"/>
            <w:tcBorders>
              <w:tl2br w:val="nil"/>
              <w:tr2bl w:val="nil"/>
            </w:tcBorders>
            <w:shd w:val="clear" w:color="auto" w:fill="auto"/>
            <w:noWrap w:val="0"/>
            <w:vAlign w:val="center"/>
          </w:tcPr>
          <w:p w14:paraId="09FFAB34">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0.0052</w:t>
            </w:r>
          </w:p>
        </w:tc>
        <w:tc>
          <w:tcPr>
            <w:tcW w:w="1573" w:type="dxa"/>
            <w:tcBorders>
              <w:tl2br w:val="nil"/>
              <w:tr2bl w:val="nil"/>
            </w:tcBorders>
            <w:shd w:val="clear" w:color="auto" w:fill="auto"/>
            <w:noWrap w:val="0"/>
            <w:vAlign w:val="center"/>
          </w:tcPr>
          <w:p w14:paraId="0B3F7C8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0.0017</w:t>
            </w:r>
          </w:p>
        </w:tc>
      </w:tr>
      <w:tr w14:paraId="05FD6D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45FD73AD">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w:t>
            </w:r>
          </w:p>
        </w:tc>
        <w:tc>
          <w:tcPr>
            <w:tcW w:w="2128" w:type="dxa"/>
            <w:tcBorders>
              <w:tl2br w:val="nil"/>
              <w:tr2bl w:val="nil"/>
            </w:tcBorders>
            <w:shd w:val="clear" w:color="auto" w:fill="auto"/>
            <w:noWrap w:val="0"/>
            <w:vAlign w:val="center"/>
          </w:tcPr>
          <w:p w14:paraId="3774FC8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26.42</w:t>
            </w:r>
          </w:p>
        </w:tc>
        <w:tc>
          <w:tcPr>
            <w:tcW w:w="1572" w:type="dxa"/>
            <w:tcBorders>
              <w:tl2br w:val="nil"/>
              <w:tr2bl w:val="nil"/>
            </w:tcBorders>
            <w:shd w:val="clear" w:color="auto" w:fill="auto"/>
            <w:noWrap w:val="0"/>
            <w:vAlign w:val="center"/>
          </w:tcPr>
          <w:p w14:paraId="3C69B106">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2.94</w:t>
            </w:r>
          </w:p>
        </w:tc>
        <w:tc>
          <w:tcPr>
            <w:tcW w:w="2126" w:type="dxa"/>
            <w:tcBorders>
              <w:tl2br w:val="nil"/>
              <w:tr2bl w:val="nil"/>
            </w:tcBorders>
            <w:shd w:val="clear" w:color="auto" w:fill="auto"/>
            <w:noWrap w:val="0"/>
            <w:vAlign w:val="center"/>
          </w:tcPr>
          <w:p w14:paraId="7DEF9866">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0.0048</w:t>
            </w:r>
          </w:p>
        </w:tc>
        <w:tc>
          <w:tcPr>
            <w:tcW w:w="1573" w:type="dxa"/>
            <w:tcBorders>
              <w:tl2br w:val="nil"/>
              <w:tr2bl w:val="nil"/>
            </w:tcBorders>
            <w:shd w:val="clear" w:color="auto" w:fill="auto"/>
            <w:noWrap w:val="0"/>
            <w:vAlign w:val="center"/>
          </w:tcPr>
          <w:p w14:paraId="7663259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0.0016</w:t>
            </w:r>
          </w:p>
        </w:tc>
      </w:tr>
      <w:tr w14:paraId="52B5E6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6C17F94F">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150</w:t>
            </w:r>
          </w:p>
        </w:tc>
        <w:tc>
          <w:tcPr>
            <w:tcW w:w="2128" w:type="dxa"/>
            <w:tcBorders>
              <w:tl2br w:val="nil"/>
              <w:tr2bl w:val="nil"/>
            </w:tcBorders>
            <w:shd w:val="clear" w:color="auto" w:fill="auto"/>
            <w:noWrap w:val="0"/>
            <w:vAlign w:val="center"/>
          </w:tcPr>
          <w:p w14:paraId="2AA6E53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20.52</w:t>
            </w:r>
          </w:p>
        </w:tc>
        <w:tc>
          <w:tcPr>
            <w:tcW w:w="1572" w:type="dxa"/>
            <w:tcBorders>
              <w:tl2br w:val="nil"/>
              <w:tr2bl w:val="nil"/>
            </w:tcBorders>
            <w:shd w:val="clear" w:color="auto" w:fill="auto"/>
            <w:noWrap w:val="0"/>
            <w:vAlign w:val="center"/>
          </w:tcPr>
          <w:p w14:paraId="452A5BC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2.28</w:t>
            </w:r>
          </w:p>
        </w:tc>
        <w:tc>
          <w:tcPr>
            <w:tcW w:w="2126" w:type="dxa"/>
            <w:tcBorders>
              <w:tl2br w:val="nil"/>
              <w:tr2bl w:val="nil"/>
            </w:tcBorders>
            <w:shd w:val="clear" w:color="auto" w:fill="auto"/>
            <w:noWrap w:val="0"/>
            <w:vAlign w:val="center"/>
          </w:tcPr>
          <w:p w14:paraId="3134469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0.0037</w:t>
            </w:r>
          </w:p>
        </w:tc>
        <w:tc>
          <w:tcPr>
            <w:tcW w:w="1573" w:type="dxa"/>
            <w:tcBorders>
              <w:tl2br w:val="nil"/>
              <w:tr2bl w:val="nil"/>
            </w:tcBorders>
            <w:shd w:val="clear" w:color="auto" w:fill="auto"/>
            <w:noWrap w:val="0"/>
            <w:vAlign w:val="center"/>
          </w:tcPr>
          <w:p w14:paraId="3FAF863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0.0012</w:t>
            </w:r>
          </w:p>
        </w:tc>
      </w:tr>
      <w:tr w14:paraId="24149C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22EBBEED">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w:t>
            </w:r>
          </w:p>
        </w:tc>
        <w:tc>
          <w:tcPr>
            <w:tcW w:w="2128" w:type="dxa"/>
            <w:tcBorders>
              <w:tl2br w:val="nil"/>
              <w:tr2bl w:val="nil"/>
            </w:tcBorders>
            <w:shd w:val="clear" w:color="auto" w:fill="auto"/>
            <w:noWrap w:val="0"/>
            <w:vAlign w:val="center"/>
          </w:tcPr>
          <w:p w14:paraId="0BB29C4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17.15</w:t>
            </w:r>
          </w:p>
        </w:tc>
        <w:tc>
          <w:tcPr>
            <w:tcW w:w="1572" w:type="dxa"/>
            <w:tcBorders>
              <w:tl2br w:val="nil"/>
              <w:tr2bl w:val="nil"/>
            </w:tcBorders>
            <w:shd w:val="clear" w:color="auto" w:fill="auto"/>
            <w:noWrap w:val="0"/>
            <w:vAlign w:val="center"/>
          </w:tcPr>
          <w:p w14:paraId="227586FC">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1.91</w:t>
            </w:r>
          </w:p>
        </w:tc>
        <w:tc>
          <w:tcPr>
            <w:tcW w:w="2126" w:type="dxa"/>
            <w:tcBorders>
              <w:tl2br w:val="nil"/>
              <w:tr2bl w:val="nil"/>
            </w:tcBorders>
            <w:shd w:val="clear" w:color="auto" w:fill="auto"/>
            <w:noWrap w:val="0"/>
            <w:vAlign w:val="center"/>
          </w:tcPr>
          <w:p w14:paraId="025B385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0.0031</w:t>
            </w:r>
          </w:p>
        </w:tc>
        <w:tc>
          <w:tcPr>
            <w:tcW w:w="1573" w:type="dxa"/>
            <w:tcBorders>
              <w:tl2br w:val="nil"/>
              <w:tr2bl w:val="nil"/>
            </w:tcBorders>
            <w:shd w:val="clear" w:color="auto" w:fill="auto"/>
            <w:noWrap w:val="0"/>
            <w:vAlign w:val="center"/>
          </w:tcPr>
          <w:p w14:paraId="15DDC50F">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w:t>
            </w:r>
          </w:p>
        </w:tc>
      </w:tr>
      <w:tr w14:paraId="0D48CD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329DEC31">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250</w:t>
            </w:r>
          </w:p>
        </w:tc>
        <w:tc>
          <w:tcPr>
            <w:tcW w:w="2128" w:type="dxa"/>
            <w:tcBorders>
              <w:tl2br w:val="nil"/>
              <w:tr2bl w:val="nil"/>
            </w:tcBorders>
            <w:shd w:val="clear" w:color="auto" w:fill="auto"/>
            <w:noWrap w:val="0"/>
            <w:vAlign w:val="center"/>
          </w:tcPr>
          <w:p w14:paraId="459176D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14.91</w:t>
            </w:r>
          </w:p>
        </w:tc>
        <w:tc>
          <w:tcPr>
            <w:tcW w:w="1572" w:type="dxa"/>
            <w:tcBorders>
              <w:tl2br w:val="nil"/>
              <w:tr2bl w:val="nil"/>
            </w:tcBorders>
            <w:shd w:val="clear" w:color="auto" w:fill="auto"/>
            <w:noWrap w:val="0"/>
            <w:vAlign w:val="center"/>
          </w:tcPr>
          <w:p w14:paraId="70E087C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1.66</w:t>
            </w:r>
          </w:p>
        </w:tc>
        <w:tc>
          <w:tcPr>
            <w:tcW w:w="2126" w:type="dxa"/>
            <w:tcBorders>
              <w:tl2br w:val="nil"/>
              <w:tr2bl w:val="nil"/>
            </w:tcBorders>
            <w:shd w:val="clear" w:color="auto" w:fill="auto"/>
            <w:noWrap w:val="0"/>
            <w:vAlign w:val="center"/>
          </w:tcPr>
          <w:p w14:paraId="655461A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0.0027</w:t>
            </w:r>
          </w:p>
        </w:tc>
        <w:tc>
          <w:tcPr>
            <w:tcW w:w="1573" w:type="dxa"/>
            <w:tcBorders>
              <w:tl2br w:val="nil"/>
              <w:tr2bl w:val="nil"/>
            </w:tcBorders>
            <w:shd w:val="clear" w:color="auto" w:fill="auto"/>
            <w:noWrap w:val="0"/>
            <w:vAlign w:val="center"/>
          </w:tcPr>
          <w:p w14:paraId="43273A9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0.0009</w:t>
            </w:r>
          </w:p>
        </w:tc>
      </w:tr>
      <w:tr w14:paraId="6C2DE0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529E5072">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300</w:t>
            </w:r>
          </w:p>
        </w:tc>
        <w:tc>
          <w:tcPr>
            <w:tcW w:w="2128" w:type="dxa"/>
            <w:tcBorders>
              <w:tl2br w:val="nil"/>
              <w:tr2bl w:val="nil"/>
            </w:tcBorders>
            <w:shd w:val="clear" w:color="auto" w:fill="auto"/>
            <w:noWrap w:val="0"/>
            <w:vAlign w:val="center"/>
          </w:tcPr>
          <w:p w14:paraId="5F7ABB40">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13.81</w:t>
            </w:r>
          </w:p>
        </w:tc>
        <w:tc>
          <w:tcPr>
            <w:tcW w:w="1572" w:type="dxa"/>
            <w:tcBorders>
              <w:tl2br w:val="nil"/>
              <w:tr2bl w:val="nil"/>
            </w:tcBorders>
            <w:shd w:val="clear" w:color="auto" w:fill="auto"/>
            <w:noWrap w:val="0"/>
            <w:vAlign w:val="center"/>
          </w:tcPr>
          <w:p w14:paraId="5A97CC8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1.53</w:t>
            </w:r>
          </w:p>
        </w:tc>
        <w:tc>
          <w:tcPr>
            <w:tcW w:w="2126" w:type="dxa"/>
            <w:tcBorders>
              <w:tl2br w:val="nil"/>
              <w:tr2bl w:val="nil"/>
            </w:tcBorders>
            <w:shd w:val="clear" w:color="auto" w:fill="auto"/>
            <w:noWrap w:val="0"/>
            <w:vAlign w:val="center"/>
          </w:tcPr>
          <w:p w14:paraId="53710BE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0.0025</w:t>
            </w:r>
          </w:p>
        </w:tc>
        <w:tc>
          <w:tcPr>
            <w:tcW w:w="1573" w:type="dxa"/>
            <w:tcBorders>
              <w:tl2br w:val="nil"/>
              <w:tr2bl w:val="nil"/>
            </w:tcBorders>
            <w:shd w:val="clear" w:color="auto" w:fill="auto"/>
            <w:noWrap w:val="0"/>
            <w:vAlign w:val="center"/>
          </w:tcPr>
          <w:p w14:paraId="5DC1CD1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0.0008</w:t>
            </w:r>
          </w:p>
        </w:tc>
      </w:tr>
      <w:tr w14:paraId="31FB6C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18A4E9B2">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350</w:t>
            </w:r>
          </w:p>
        </w:tc>
        <w:tc>
          <w:tcPr>
            <w:tcW w:w="2128" w:type="dxa"/>
            <w:tcBorders>
              <w:tl2br w:val="nil"/>
              <w:tr2bl w:val="nil"/>
            </w:tcBorders>
            <w:shd w:val="clear" w:color="auto" w:fill="auto"/>
            <w:noWrap w:val="0"/>
            <w:vAlign w:val="center"/>
          </w:tcPr>
          <w:p w14:paraId="1F7E20AD">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12.38</w:t>
            </w:r>
          </w:p>
        </w:tc>
        <w:tc>
          <w:tcPr>
            <w:tcW w:w="1572" w:type="dxa"/>
            <w:tcBorders>
              <w:tl2br w:val="nil"/>
              <w:tr2bl w:val="nil"/>
            </w:tcBorders>
            <w:shd w:val="clear" w:color="auto" w:fill="auto"/>
            <w:noWrap w:val="0"/>
            <w:vAlign w:val="center"/>
          </w:tcPr>
          <w:p w14:paraId="72D5324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1.38</w:t>
            </w:r>
          </w:p>
        </w:tc>
        <w:tc>
          <w:tcPr>
            <w:tcW w:w="2126" w:type="dxa"/>
            <w:tcBorders>
              <w:tl2br w:val="nil"/>
              <w:tr2bl w:val="nil"/>
            </w:tcBorders>
            <w:shd w:val="clear" w:color="auto" w:fill="auto"/>
            <w:noWrap w:val="0"/>
            <w:vAlign w:val="center"/>
          </w:tcPr>
          <w:p w14:paraId="5374BBF6">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0.0022</w:t>
            </w:r>
          </w:p>
        </w:tc>
        <w:tc>
          <w:tcPr>
            <w:tcW w:w="1573" w:type="dxa"/>
            <w:tcBorders>
              <w:tl2br w:val="nil"/>
              <w:tr2bl w:val="nil"/>
            </w:tcBorders>
            <w:shd w:val="clear" w:color="auto" w:fill="auto"/>
            <w:noWrap w:val="0"/>
            <w:vAlign w:val="center"/>
          </w:tcPr>
          <w:p w14:paraId="05766FB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0.0007</w:t>
            </w:r>
          </w:p>
        </w:tc>
      </w:tr>
      <w:tr w14:paraId="7E548A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10C30385">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400</w:t>
            </w:r>
          </w:p>
        </w:tc>
        <w:tc>
          <w:tcPr>
            <w:tcW w:w="2128" w:type="dxa"/>
            <w:tcBorders>
              <w:tl2br w:val="nil"/>
              <w:tr2bl w:val="nil"/>
            </w:tcBorders>
            <w:shd w:val="clear" w:color="auto" w:fill="auto"/>
            <w:noWrap w:val="0"/>
            <w:vAlign w:val="center"/>
          </w:tcPr>
          <w:p w14:paraId="2FD5D28E">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11.26</w:t>
            </w:r>
          </w:p>
        </w:tc>
        <w:tc>
          <w:tcPr>
            <w:tcW w:w="1572" w:type="dxa"/>
            <w:tcBorders>
              <w:tl2br w:val="nil"/>
              <w:tr2bl w:val="nil"/>
            </w:tcBorders>
            <w:shd w:val="clear" w:color="auto" w:fill="auto"/>
            <w:noWrap w:val="0"/>
            <w:vAlign w:val="center"/>
          </w:tcPr>
          <w:p w14:paraId="07C76D5E">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1.25</w:t>
            </w:r>
          </w:p>
        </w:tc>
        <w:tc>
          <w:tcPr>
            <w:tcW w:w="2126" w:type="dxa"/>
            <w:tcBorders>
              <w:tl2br w:val="nil"/>
              <w:tr2bl w:val="nil"/>
            </w:tcBorders>
            <w:shd w:val="clear" w:color="auto" w:fill="auto"/>
            <w:noWrap w:val="0"/>
            <w:vAlign w:val="center"/>
          </w:tcPr>
          <w:p w14:paraId="357D702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0.0020</w:t>
            </w:r>
          </w:p>
        </w:tc>
        <w:tc>
          <w:tcPr>
            <w:tcW w:w="1573" w:type="dxa"/>
            <w:tcBorders>
              <w:tl2br w:val="nil"/>
              <w:tr2bl w:val="nil"/>
            </w:tcBorders>
            <w:shd w:val="clear" w:color="auto" w:fill="auto"/>
            <w:noWrap w:val="0"/>
            <w:vAlign w:val="center"/>
          </w:tcPr>
          <w:p w14:paraId="06AFCF8D">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0.0007</w:t>
            </w:r>
          </w:p>
        </w:tc>
      </w:tr>
      <w:tr w14:paraId="0650E6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48AC9550">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450</w:t>
            </w:r>
          </w:p>
        </w:tc>
        <w:tc>
          <w:tcPr>
            <w:tcW w:w="2128" w:type="dxa"/>
            <w:tcBorders>
              <w:tl2br w:val="nil"/>
              <w:tr2bl w:val="nil"/>
            </w:tcBorders>
            <w:shd w:val="clear" w:color="auto" w:fill="auto"/>
            <w:noWrap w:val="0"/>
            <w:vAlign w:val="center"/>
          </w:tcPr>
          <w:p w14:paraId="43BEB85F">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10.36</w:t>
            </w:r>
          </w:p>
        </w:tc>
        <w:tc>
          <w:tcPr>
            <w:tcW w:w="1572" w:type="dxa"/>
            <w:tcBorders>
              <w:tl2br w:val="nil"/>
              <w:tr2bl w:val="nil"/>
            </w:tcBorders>
            <w:shd w:val="clear" w:color="auto" w:fill="auto"/>
            <w:noWrap w:val="0"/>
            <w:vAlign w:val="center"/>
          </w:tcPr>
          <w:p w14:paraId="7ED9EEDC">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1.15</w:t>
            </w:r>
          </w:p>
        </w:tc>
        <w:tc>
          <w:tcPr>
            <w:tcW w:w="2126" w:type="dxa"/>
            <w:tcBorders>
              <w:tl2br w:val="nil"/>
              <w:tr2bl w:val="nil"/>
            </w:tcBorders>
            <w:shd w:val="clear" w:color="auto" w:fill="auto"/>
            <w:noWrap w:val="0"/>
            <w:vAlign w:val="center"/>
          </w:tcPr>
          <w:p w14:paraId="0BF658CE">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0.0019</w:t>
            </w:r>
          </w:p>
        </w:tc>
        <w:tc>
          <w:tcPr>
            <w:tcW w:w="1573" w:type="dxa"/>
            <w:tcBorders>
              <w:tl2br w:val="nil"/>
              <w:tr2bl w:val="nil"/>
            </w:tcBorders>
            <w:shd w:val="clear" w:color="auto" w:fill="auto"/>
            <w:noWrap w:val="0"/>
            <w:vAlign w:val="center"/>
          </w:tcPr>
          <w:p w14:paraId="36C09660">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0.0006</w:t>
            </w:r>
          </w:p>
        </w:tc>
      </w:tr>
      <w:tr w14:paraId="088934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37479095">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500</w:t>
            </w:r>
          </w:p>
        </w:tc>
        <w:tc>
          <w:tcPr>
            <w:tcW w:w="2128" w:type="dxa"/>
            <w:tcBorders>
              <w:tl2br w:val="nil"/>
              <w:tr2bl w:val="nil"/>
            </w:tcBorders>
            <w:shd w:val="clear" w:color="auto" w:fill="auto"/>
            <w:noWrap w:val="0"/>
            <w:vAlign w:val="center"/>
          </w:tcPr>
          <w:p w14:paraId="1A7085F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9.61</w:t>
            </w:r>
          </w:p>
        </w:tc>
        <w:tc>
          <w:tcPr>
            <w:tcW w:w="1572" w:type="dxa"/>
            <w:tcBorders>
              <w:tl2br w:val="nil"/>
              <w:tr2bl w:val="nil"/>
            </w:tcBorders>
            <w:shd w:val="clear" w:color="auto" w:fill="auto"/>
            <w:noWrap w:val="0"/>
            <w:vAlign w:val="center"/>
          </w:tcPr>
          <w:p w14:paraId="4DBDD5C9">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1.07</w:t>
            </w:r>
          </w:p>
        </w:tc>
        <w:tc>
          <w:tcPr>
            <w:tcW w:w="2126" w:type="dxa"/>
            <w:tcBorders>
              <w:tl2br w:val="nil"/>
              <w:tr2bl w:val="nil"/>
            </w:tcBorders>
            <w:shd w:val="clear" w:color="auto" w:fill="auto"/>
            <w:noWrap w:val="0"/>
            <w:vAlign w:val="center"/>
          </w:tcPr>
          <w:p w14:paraId="5B96354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0.0017</w:t>
            </w:r>
          </w:p>
        </w:tc>
        <w:tc>
          <w:tcPr>
            <w:tcW w:w="1573" w:type="dxa"/>
            <w:tcBorders>
              <w:tl2br w:val="nil"/>
              <w:tr2bl w:val="nil"/>
            </w:tcBorders>
            <w:shd w:val="clear" w:color="auto" w:fill="auto"/>
            <w:noWrap w:val="0"/>
            <w:vAlign w:val="center"/>
          </w:tcPr>
          <w:p w14:paraId="56816C18">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0.0006</w:t>
            </w:r>
          </w:p>
        </w:tc>
      </w:tr>
      <w:tr w14:paraId="2157D8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542D6F32">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550</w:t>
            </w:r>
          </w:p>
        </w:tc>
        <w:tc>
          <w:tcPr>
            <w:tcW w:w="2128" w:type="dxa"/>
            <w:tcBorders>
              <w:tl2br w:val="nil"/>
              <w:tr2bl w:val="nil"/>
            </w:tcBorders>
            <w:shd w:val="clear" w:color="auto" w:fill="auto"/>
            <w:noWrap w:val="0"/>
            <w:vAlign w:val="center"/>
          </w:tcPr>
          <w:p w14:paraId="0357DB66">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8.99</w:t>
            </w:r>
          </w:p>
        </w:tc>
        <w:tc>
          <w:tcPr>
            <w:tcW w:w="1572" w:type="dxa"/>
            <w:tcBorders>
              <w:tl2br w:val="nil"/>
              <w:tr2bl w:val="nil"/>
            </w:tcBorders>
            <w:shd w:val="clear" w:color="auto" w:fill="auto"/>
            <w:noWrap w:val="0"/>
            <w:vAlign w:val="center"/>
          </w:tcPr>
          <w:p w14:paraId="55C59148">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w:t>
            </w:r>
          </w:p>
        </w:tc>
        <w:tc>
          <w:tcPr>
            <w:tcW w:w="2126" w:type="dxa"/>
            <w:tcBorders>
              <w:tl2br w:val="nil"/>
              <w:tr2bl w:val="nil"/>
            </w:tcBorders>
            <w:shd w:val="clear" w:color="auto" w:fill="auto"/>
            <w:noWrap w:val="0"/>
            <w:vAlign w:val="center"/>
          </w:tcPr>
          <w:p w14:paraId="4ED54600">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0.0016</w:t>
            </w:r>
          </w:p>
        </w:tc>
        <w:tc>
          <w:tcPr>
            <w:tcW w:w="1573" w:type="dxa"/>
            <w:tcBorders>
              <w:tl2br w:val="nil"/>
              <w:tr2bl w:val="nil"/>
            </w:tcBorders>
            <w:shd w:val="clear" w:color="auto" w:fill="auto"/>
            <w:noWrap w:val="0"/>
            <w:vAlign w:val="center"/>
          </w:tcPr>
          <w:p w14:paraId="18A5A172">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r>
      <w:tr w14:paraId="4F00D9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6144DA7D">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600</w:t>
            </w:r>
          </w:p>
        </w:tc>
        <w:tc>
          <w:tcPr>
            <w:tcW w:w="2128" w:type="dxa"/>
            <w:tcBorders>
              <w:tl2br w:val="nil"/>
              <w:tr2bl w:val="nil"/>
            </w:tcBorders>
            <w:shd w:val="clear" w:color="auto" w:fill="auto"/>
            <w:noWrap w:val="0"/>
            <w:vAlign w:val="center"/>
          </w:tcPr>
          <w:p w14:paraId="2A99BE9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8.52</w:t>
            </w:r>
          </w:p>
        </w:tc>
        <w:tc>
          <w:tcPr>
            <w:tcW w:w="1572" w:type="dxa"/>
            <w:tcBorders>
              <w:tl2br w:val="nil"/>
              <w:tr2bl w:val="nil"/>
            </w:tcBorders>
            <w:shd w:val="clear" w:color="auto" w:fill="auto"/>
            <w:noWrap w:val="0"/>
            <w:vAlign w:val="center"/>
          </w:tcPr>
          <w:p w14:paraId="37AFA93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0.95</w:t>
            </w:r>
          </w:p>
        </w:tc>
        <w:tc>
          <w:tcPr>
            <w:tcW w:w="2126" w:type="dxa"/>
            <w:tcBorders>
              <w:tl2br w:val="nil"/>
              <w:tr2bl w:val="nil"/>
            </w:tcBorders>
            <w:shd w:val="clear" w:color="auto" w:fill="auto"/>
            <w:noWrap w:val="0"/>
            <w:vAlign w:val="center"/>
          </w:tcPr>
          <w:p w14:paraId="6DE7913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0.0015</w:t>
            </w:r>
          </w:p>
        </w:tc>
        <w:tc>
          <w:tcPr>
            <w:tcW w:w="1573" w:type="dxa"/>
            <w:tcBorders>
              <w:tl2br w:val="nil"/>
              <w:tr2bl w:val="nil"/>
            </w:tcBorders>
            <w:shd w:val="clear" w:color="auto" w:fill="auto"/>
            <w:noWrap w:val="0"/>
            <w:vAlign w:val="center"/>
          </w:tcPr>
          <w:p w14:paraId="5AF0BBDF">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r>
      <w:tr w14:paraId="250C2F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3FF77511">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650</w:t>
            </w:r>
          </w:p>
        </w:tc>
        <w:tc>
          <w:tcPr>
            <w:tcW w:w="2128" w:type="dxa"/>
            <w:tcBorders>
              <w:tl2br w:val="nil"/>
              <w:tr2bl w:val="nil"/>
            </w:tcBorders>
            <w:shd w:val="clear" w:color="auto" w:fill="auto"/>
            <w:noWrap w:val="0"/>
            <w:vAlign w:val="center"/>
          </w:tcPr>
          <w:p w14:paraId="16976BAD">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8.32</w:t>
            </w:r>
          </w:p>
        </w:tc>
        <w:tc>
          <w:tcPr>
            <w:tcW w:w="1572" w:type="dxa"/>
            <w:tcBorders>
              <w:tl2br w:val="nil"/>
              <w:tr2bl w:val="nil"/>
            </w:tcBorders>
            <w:shd w:val="clear" w:color="auto" w:fill="auto"/>
            <w:noWrap w:val="0"/>
            <w:vAlign w:val="center"/>
          </w:tcPr>
          <w:p w14:paraId="4EE9161F">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0.92</w:t>
            </w:r>
          </w:p>
        </w:tc>
        <w:tc>
          <w:tcPr>
            <w:tcW w:w="2126" w:type="dxa"/>
            <w:tcBorders>
              <w:tl2br w:val="nil"/>
              <w:tr2bl w:val="nil"/>
            </w:tcBorders>
            <w:shd w:val="clear" w:color="auto" w:fill="auto"/>
            <w:noWrap w:val="0"/>
            <w:vAlign w:val="center"/>
          </w:tcPr>
          <w:p w14:paraId="581FA78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0.0015</w:t>
            </w:r>
          </w:p>
        </w:tc>
        <w:tc>
          <w:tcPr>
            <w:tcW w:w="1573" w:type="dxa"/>
            <w:tcBorders>
              <w:tl2br w:val="nil"/>
              <w:tr2bl w:val="nil"/>
            </w:tcBorders>
            <w:shd w:val="clear" w:color="auto" w:fill="auto"/>
            <w:noWrap w:val="0"/>
            <w:vAlign w:val="center"/>
          </w:tcPr>
          <w:p w14:paraId="48DE6A9D">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r>
      <w:tr w14:paraId="71DC38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690F2670">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700</w:t>
            </w:r>
          </w:p>
        </w:tc>
        <w:tc>
          <w:tcPr>
            <w:tcW w:w="2128" w:type="dxa"/>
            <w:tcBorders>
              <w:tl2br w:val="nil"/>
              <w:tr2bl w:val="nil"/>
            </w:tcBorders>
            <w:shd w:val="clear" w:color="auto" w:fill="auto"/>
            <w:noWrap w:val="0"/>
            <w:vAlign w:val="center"/>
          </w:tcPr>
          <w:p w14:paraId="32880A6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8.13</w:t>
            </w:r>
          </w:p>
        </w:tc>
        <w:tc>
          <w:tcPr>
            <w:tcW w:w="1572" w:type="dxa"/>
            <w:tcBorders>
              <w:tl2br w:val="nil"/>
              <w:tr2bl w:val="nil"/>
            </w:tcBorders>
            <w:shd w:val="clear" w:color="auto" w:fill="auto"/>
            <w:noWrap w:val="0"/>
            <w:vAlign w:val="center"/>
          </w:tcPr>
          <w:p w14:paraId="46FD409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0.90</w:t>
            </w:r>
          </w:p>
        </w:tc>
        <w:tc>
          <w:tcPr>
            <w:tcW w:w="2126" w:type="dxa"/>
            <w:tcBorders>
              <w:tl2br w:val="nil"/>
              <w:tr2bl w:val="nil"/>
            </w:tcBorders>
            <w:shd w:val="clear" w:color="auto" w:fill="auto"/>
            <w:noWrap w:val="0"/>
            <w:vAlign w:val="center"/>
          </w:tcPr>
          <w:p w14:paraId="1F81AA0E">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0.0015</w:t>
            </w:r>
          </w:p>
        </w:tc>
        <w:tc>
          <w:tcPr>
            <w:tcW w:w="1573" w:type="dxa"/>
            <w:tcBorders>
              <w:tl2br w:val="nil"/>
              <w:tr2bl w:val="nil"/>
            </w:tcBorders>
            <w:shd w:val="clear" w:color="auto" w:fill="auto"/>
            <w:noWrap w:val="0"/>
            <w:vAlign w:val="center"/>
          </w:tcPr>
          <w:p w14:paraId="7047823D">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r>
      <w:tr w14:paraId="4C3AA4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21EB2A57">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750</w:t>
            </w:r>
          </w:p>
        </w:tc>
        <w:tc>
          <w:tcPr>
            <w:tcW w:w="2128" w:type="dxa"/>
            <w:tcBorders>
              <w:tl2br w:val="nil"/>
              <w:tr2bl w:val="nil"/>
            </w:tcBorders>
            <w:shd w:val="clear" w:color="auto" w:fill="auto"/>
            <w:noWrap w:val="0"/>
            <w:vAlign w:val="center"/>
          </w:tcPr>
          <w:p w14:paraId="0D0F0F49">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7.94</w:t>
            </w:r>
          </w:p>
        </w:tc>
        <w:tc>
          <w:tcPr>
            <w:tcW w:w="1572" w:type="dxa"/>
            <w:tcBorders>
              <w:tl2br w:val="nil"/>
              <w:tr2bl w:val="nil"/>
            </w:tcBorders>
            <w:shd w:val="clear" w:color="auto" w:fill="auto"/>
            <w:noWrap w:val="0"/>
            <w:vAlign w:val="center"/>
          </w:tcPr>
          <w:p w14:paraId="630683C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0.88</w:t>
            </w:r>
          </w:p>
        </w:tc>
        <w:tc>
          <w:tcPr>
            <w:tcW w:w="2126" w:type="dxa"/>
            <w:tcBorders>
              <w:tl2br w:val="nil"/>
              <w:tr2bl w:val="nil"/>
            </w:tcBorders>
            <w:shd w:val="clear" w:color="auto" w:fill="auto"/>
            <w:noWrap w:val="0"/>
            <w:vAlign w:val="center"/>
          </w:tcPr>
          <w:p w14:paraId="17FDA2D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0.0014</w:t>
            </w:r>
          </w:p>
        </w:tc>
        <w:tc>
          <w:tcPr>
            <w:tcW w:w="1573" w:type="dxa"/>
            <w:tcBorders>
              <w:tl2br w:val="nil"/>
              <w:tr2bl w:val="nil"/>
            </w:tcBorders>
            <w:shd w:val="clear" w:color="auto" w:fill="auto"/>
            <w:noWrap w:val="0"/>
            <w:vAlign w:val="center"/>
          </w:tcPr>
          <w:p w14:paraId="669864F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r>
      <w:tr w14:paraId="13B947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545F4895">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800</w:t>
            </w:r>
          </w:p>
        </w:tc>
        <w:tc>
          <w:tcPr>
            <w:tcW w:w="2128" w:type="dxa"/>
            <w:tcBorders>
              <w:tl2br w:val="nil"/>
              <w:tr2bl w:val="nil"/>
            </w:tcBorders>
            <w:shd w:val="clear" w:color="auto" w:fill="auto"/>
            <w:noWrap w:val="0"/>
            <w:vAlign w:val="center"/>
          </w:tcPr>
          <w:p w14:paraId="581EDD29">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7.77</w:t>
            </w:r>
          </w:p>
        </w:tc>
        <w:tc>
          <w:tcPr>
            <w:tcW w:w="1572" w:type="dxa"/>
            <w:tcBorders>
              <w:tl2br w:val="nil"/>
              <w:tr2bl w:val="nil"/>
            </w:tcBorders>
            <w:shd w:val="clear" w:color="auto" w:fill="auto"/>
            <w:noWrap w:val="0"/>
            <w:vAlign w:val="center"/>
          </w:tcPr>
          <w:p w14:paraId="07AD8A10">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0.86</w:t>
            </w:r>
          </w:p>
        </w:tc>
        <w:tc>
          <w:tcPr>
            <w:tcW w:w="2126" w:type="dxa"/>
            <w:tcBorders>
              <w:tl2br w:val="nil"/>
              <w:tr2bl w:val="nil"/>
            </w:tcBorders>
            <w:shd w:val="clear" w:color="auto" w:fill="auto"/>
            <w:noWrap w:val="0"/>
            <w:vAlign w:val="center"/>
          </w:tcPr>
          <w:p w14:paraId="4FDD072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0.0014</w:t>
            </w:r>
          </w:p>
        </w:tc>
        <w:tc>
          <w:tcPr>
            <w:tcW w:w="1573" w:type="dxa"/>
            <w:tcBorders>
              <w:tl2br w:val="nil"/>
              <w:tr2bl w:val="nil"/>
            </w:tcBorders>
            <w:shd w:val="clear" w:color="auto" w:fill="auto"/>
            <w:noWrap w:val="0"/>
            <w:vAlign w:val="center"/>
          </w:tcPr>
          <w:p w14:paraId="0D4804D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r>
      <w:tr w14:paraId="50214D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20934527">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850</w:t>
            </w:r>
          </w:p>
        </w:tc>
        <w:tc>
          <w:tcPr>
            <w:tcW w:w="2128" w:type="dxa"/>
            <w:tcBorders>
              <w:tl2br w:val="nil"/>
              <w:tr2bl w:val="nil"/>
            </w:tcBorders>
            <w:shd w:val="clear" w:color="auto" w:fill="auto"/>
            <w:noWrap w:val="0"/>
            <w:vAlign w:val="center"/>
          </w:tcPr>
          <w:p w14:paraId="28B5B406">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7.61</w:t>
            </w:r>
          </w:p>
        </w:tc>
        <w:tc>
          <w:tcPr>
            <w:tcW w:w="1572" w:type="dxa"/>
            <w:tcBorders>
              <w:tl2br w:val="nil"/>
              <w:tr2bl w:val="nil"/>
            </w:tcBorders>
            <w:shd w:val="clear" w:color="auto" w:fill="auto"/>
            <w:noWrap w:val="0"/>
            <w:vAlign w:val="center"/>
          </w:tcPr>
          <w:p w14:paraId="187E95E5">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0.85</w:t>
            </w:r>
          </w:p>
        </w:tc>
        <w:tc>
          <w:tcPr>
            <w:tcW w:w="2126" w:type="dxa"/>
            <w:tcBorders>
              <w:tl2br w:val="nil"/>
              <w:tr2bl w:val="nil"/>
            </w:tcBorders>
            <w:shd w:val="clear" w:color="auto" w:fill="auto"/>
            <w:noWrap w:val="0"/>
            <w:vAlign w:val="center"/>
          </w:tcPr>
          <w:p w14:paraId="1738D795">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0.0014</w:t>
            </w:r>
          </w:p>
        </w:tc>
        <w:tc>
          <w:tcPr>
            <w:tcW w:w="1573" w:type="dxa"/>
            <w:tcBorders>
              <w:tl2br w:val="nil"/>
              <w:tr2bl w:val="nil"/>
            </w:tcBorders>
            <w:shd w:val="clear" w:color="auto" w:fill="auto"/>
            <w:noWrap w:val="0"/>
            <w:vAlign w:val="center"/>
          </w:tcPr>
          <w:p w14:paraId="54C5EB5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0.0005</w:t>
            </w:r>
          </w:p>
        </w:tc>
      </w:tr>
      <w:tr w14:paraId="70E8B1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7FABCABE">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900</w:t>
            </w:r>
          </w:p>
        </w:tc>
        <w:tc>
          <w:tcPr>
            <w:tcW w:w="2128" w:type="dxa"/>
            <w:tcBorders>
              <w:tl2br w:val="nil"/>
              <w:tr2bl w:val="nil"/>
            </w:tcBorders>
            <w:shd w:val="clear" w:color="auto" w:fill="auto"/>
            <w:noWrap w:val="0"/>
            <w:vAlign w:val="center"/>
          </w:tcPr>
          <w:p w14:paraId="36D41C3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7.45</w:t>
            </w:r>
          </w:p>
        </w:tc>
        <w:tc>
          <w:tcPr>
            <w:tcW w:w="1572" w:type="dxa"/>
            <w:tcBorders>
              <w:tl2br w:val="nil"/>
              <w:tr2bl w:val="nil"/>
            </w:tcBorders>
            <w:shd w:val="clear" w:color="auto" w:fill="auto"/>
            <w:noWrap w:val="0"/>
            <w:vAlign w:val="center"/>
          </w:tcPr>
          <w:p w14:paraId="2EBF4D8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0.83</w:t>
            </w:r>
          </w:p>
        </w:tc>
        <w:tc>
          <w:tcPr>
            <w:tcW w:w="2126" w:type="dxa"/>
            <w:tcBorders>
              <w:tl2br w:val="nil"/>
              <w:tr2bl w:val="nil"/>
            </w:tcBorders>
            <w:shd w:val="clear" w:color="auto" w:fill="auto"/>
            <w:noWrap w:val="0"/>
            <w:vAlign w:val="center"/>
          </w:tcPr>
          <w:p w14:paraId="76A1B282">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c>
          <w:tcPr>
            <w:tcW w:w="1573" w:type="dxa"/>
            <w:tcBorders>
              <w:tl2br w:val="nil"/>
              <w:tr2bl w:val="nil"/>
            </w:tcBorders>
            <w:shd w:val="clear" w:color="auto" w:fill="auto"/>
            <w:noWrap w:val="0"/>
            <w:vAlign w:val="center"/>
          </w:tcPr>
          <w:p w14:paraId="516A8242">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338E40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68263CBD">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950</w:t>
            </w:r>
          </w:p>
        </w:tc>
        <w:tc>
          <w:tcPr>
            <w:tcW w:w="2128" w:type="dxa"/>
            <w:tcBorders>
              <w:tl2br w:val="nil"/>
              <w:tr2bl w:val="nil"/>
            </w:tcBorders>
            <w:shd w:val="clear" w:color="auto" w:fill="auto"/>
            <w:noWrap w:val="0"/>
            <w:vAlign w:val="center"/>
          </w:tcPr>
          <w:p w14:paraId="65DE2DD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7.30</w:t>
            </w:r>
          </w:p>
        </w:tc>
        <w:tc>
          <w:tcPr>
            <w:tcW w:w="1572" w:type="dxa"/>
            <w:tcBorders>
              <w:tl2br w:val="nil"/>
              <w:tr2bl w:val="nil"/>
            </w:tcBorders>
            <w:shd w:val="clear" w:color="auto" w:fill="auto"/>
            <w:noWrap w:val="0"/>
            <w:vAlign w:val="center"/>
          </w:tcPr>
          <w:p w14:paraId="40FB526C">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0.81</w:t>
            </w:r>
          </w:p>
        </w:tc>
        <w:tc>
          <w:tcPr>
            <w:tcW w:w="2126" w:type="dxa"/>
            <w:tcBorders>
              <w:tl2br w:val="nil"/>
              <w:tr2bl w:val="nil"/>
            </w:tcBorders>
            <w:shd w:val="clear" w:color="auto" w:fill="auto"/>
            <w:noWrap w:val="0"/>
            <w:vAlign w:val="center"/>
          </w:tcPr>
          <w:p w14:paraId="2CA0F8E8">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c>
          <w:tcPr>
            <w:tcW w:w="1573" w:type="dxa"/>
            <w:tcBorders>
              <w:tl2br w:val="nil"/>
              <w:tr2bl w:val="nil"/>
            </w:tcBorders>
            <w:shd w:val="clear" w:color="auto" w:fill="auto"/>
            <w:noWrap w:val="0"/>
            <w:vAlign w:val="center"/>
          </w:tcPr>
          <w:p w14:paraId="3058974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30802F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6851E0A7">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1000</w:t>
            </w:r>
          </w:p>
        </w:tc>
        <w:tc>
          <w:tcPr>
            <w:tcW w:w="2128" w:type="dxa"/>
            <w:tcBorders>
              <w:tl2br w:val="nil"/>
              <w:tr2bl w:val="nil"/>
            </w:tcBorders>
            <w:shd w:val="clear" w:color="auto" w:fill="auto"/>
            <w:noWrap w:val="0"/>
            <w:vAlign w:val="center"/>
          </w:tcPr>
          <w:p w14:paraId="202063FF">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7.16</w:t>
            </w:r>
          </w:p>
        </w:tc>
        <w:tc>
          <w:tcPr>
            <w:tcW w:w="1572" w:type="dxa"/>
            <w:tcBorders>
              <w:tl2br w:val="nil"/>
              <w:tr2bl w:val="nil"/>
            </w:tcBorders>
            <w:shd w:val="clear" w:color="auto" w:fill="auto"/>
            <w:noWrap w:val="0"/>
            <w:vAlign w:val="center"/>
          </w:tcPr>
          <w:p w14:paraId="3AAB0AA2">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0.80</w:t>
            </w:r>
          </w:p>
        </w:tc>
        <w:tc>
          <w:tcPr>
            <w:tcW w:w="2126" w:type="dxa"/>
            <w:tcBorders>
              <w:tl2br w:val="nil"/>
              <w:tr2bl w:val="nil"/>
            </w:tcBorders>
            <w:shd w:val="clear" w:color="auto" w:fill="auto"/>
            <w:noWrap w:val="0"/>
            <w:vAlign w:val="center"/>
          </w:tcPr>
          <w:p w14:paraId="0016328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0.0013</w:t>
            </w:r>
          </w:p>
        </w:tc>
        <w:tc>
          <w:tcPr>
            <w:tcW w:w="1573" w:type="dxa"/>
            <w:tcBorders>
              <w:tl2br w:val="nil"/>
              <w:tr2bl w:val="nil"/>
            </w:tcBorders>
            <w:shd w:val="clear" w:color="auto" w:fill="auto"/>
            <w:noWrap w:val="0"/>
            <w:vAlign w:val="center"/>
          </w:tcPr>
          <w:p w14:paraId="42DDA68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57B7E0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6D6F6A95">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1100</w:t>
            </w:r>
          </w:p>
        </w:tc>
        <w:tc>
          <w:tcPr>
            <w:tcW w:w="2128" w:type="dxa"/>
            <w:tcBorders>
              <w:tl2br w:val="nil"/>
              <w:tr2bl w:val="nil"/>
            </w:tcBorders>
            <w:shd w:val="clear" w:color="auto" w:fill="auto"/>
            <w:noWrap w:val="0"/>
            <w:vAlign w:val="center"/>
          </w:tcPr>
          <w:p w14:paraId="0528D975">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6.89</w:t>
            </w:r>
          </w:p>
        </w:tc>
        <w:tc>
          <w:tcPr>
            <w:tcW w:w="1572" w:type="dxa"/>
            <w:tcBorders>
              <w:tl2br w:val="nil"/>
              <w:tr2bl w:val="nil"/>
            </w:tcBorders>
            <w:shd w:val="clear" w:color="auto" w:fill="auto"/>
            <w:noWrap w:val="0"/>
            <w:vAlign w:val="center"/>
          </w:tcPr>
          <w:p w14:paraId="2A43FF38">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0.77</w:t>
            </w:r>
          </w:p>
        </w:tc>
        <w:tc>
          <w:tcPr>
            <w:tcW w:w="2126" w:type="dxa"/>
            <w:tcBorders>
              <w:tl2br w:val="nil"/>
              <w:tr2bl w:val="nil"/>
            </w:tcBorders>
            <w:shd w:val="clear" w:color="auto" w:fill="auto"/>
            <w:noWrap w:val="0"/>
            <w:vAlign w:val="center"/>
          </w:tcPr>
          <w:p w14:paraId="5B418E0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0.0012</w:t>
            </w:r>
          </w:p>
        </w:tc>
        <w:tc>
          <w:tcPr>
            <w:tcW w:w="1573" w:type="dxa"/>
            <w:tcBorders>
              <w:tl2br w:val="nil"/>
              <w:tr2bl w:val="nil"/>
            </w:tcBorders>
            <w:shd w:val="clear" w:color="auto" w:fill="auto"/>
            <w:noWrap w:val="0"/>
            <w:vAlign w:val="center"/>
          </w:tcPr>
          <w:p w14:paraId="1AF333A0">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5751CC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5FC61F27">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1200</w:t>
            </w:r>
          </w:p>
        </w:tc>
        <w:tc>
          <w:tcPr>
            <w:tcW w:w="2128" w:type="dxa"/>
            <w:tcBorders>
              <w:tl2br w:val="nil"/>
              <w:tr2bl w:val="nil"/>
            </w:tcBorders>
            <w:shd w:val="clear" w:color="auto" w:fill="auto"/>
            <w:noWrap w:val="0"/>
            <w:vAlign w:val="center"/>
          </w:tcPr>
          <w:p w14:paraId="6F6A5749">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6.64</w:t>
            </w:r>
          </w:p>
        </w:tc>
        <w:tc>
          <w:tcPr>
            <w:tcW w:w="1572" w:type="dxa"/>
            <w:tcBorders>
              <w:tl2br w:val="nil"/>
              <w:tr2bl w:val="nil"/>
            </w:tcBorders>
            <w:shd w:val="clear" w:color="auto" w:fill="auto"/>
            <w:noWrap w:val="0"/>
            <w:vAlign w:val="center"/>
          </w:tcPr>
          <w:p w14:paraId="254DBBBE">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0.74</w:t>
            </w:r>
          </w:p>
        </w:tc>
        <w:tc>
          <w:tcPr>
            <w:tcW w:w="2126" w:type="dxa"/>
            <w:tcBorders>
              <w:tl2br w:val="nil"/>
              <w:tr2bl w:val="nil"/>
            </w:tcBorders>
            <w:shd w:val="clear" w:color="auto" w:fill="auto"/>
            <w:noWrap w:val="0"/>
            <w:vAlign w:val="center"/>
          </w:tcPr>
          <w:p w14:paraId="668DAC1D">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0.0012</w:t>
            </w:r>
          </w:p>
        </w:tc>
        <w:tc>
          <w:tcPr>
            <w:tcW w:w="1573" w:type="dxa"/>
            <w:tcBorders>
              <w:tl2br w:val="nil"/>
              <w:tr2bl w:val="nil"/>
            </w:tcBorders>
            <w:shd w:val="clear" w:color="auto" w:fill="auto"/>
            <w:noWrap w:val="0"/>
            <w:vAlign w:val="center"/>
          </w:tcPr>
          <w:p w14:paraId="4F7B91FE">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00C40C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125627F4">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1300</w:t>
            </w:r>
          </w:p>
        </w:tc>
        <w:tc>
          <w:tcPr>
            <w:tcW w:w="2128" w:type="dxa"/>
            <w:tcBorders>
              <w:tl2br w:val="nil"/>
              <w:tr2bl w:val="nil"/>
            </w:tcBorders>
            <w:shd w:val="clear" w:color="auto" w:fill="auto"/>
            <w:noWrap w:val="0"/>
            <w:vAlign w:val="center"/>
          </w:tcPr>
          <w:p w14:paraId="7E7703B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6.41</w:t>
            </w:r>
          </w:p>
        </w:tc>
        <w:tc>
          <w:tcPr>
            <w:tcW w:w="1572" w:type="dxa"/>
            <w:tcBorders>
              <w:tl2br w:val="nil"/>
              <w:tr2bl w:val="nil"/>
            </w:tcBorders>
            <w:shd w:val="clear" w:color="auto" w:fill="auto"/>
            <w:noWrap w:val="0"/>
            <w:vAlign w:val="center"/>
          </w:tcPr>
          <w:p w14:paraId="46B7725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0.71</w:t>
            </w:r>
          </w:p>
        </w:tc>
        <w:tc>
          <w:tcPr>
            <w:tcW w:w="2126" w:type="dxa"/>
            <w:tcBorders>
              <w:tl2br w:val="nil"/>
              <w:tr2bl w:val="nil"/>
            </w:tcBorders>
            <w:shd w:val="clear" w:color="auto" w:fill="auto"/>
            <w:noWrap w:val="0"/>
            <w:vAlign w:val="center"/>
          </w:tcPr>
          <w:p w14:paraId="17AF6239">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0.0012</w:t>
            </w:r>
          </w:p>
        </w:tc>
        <w:tc>
          <w:tcPr>
            <w:tcW w:w="1573" w:type="dxa"/>
            <w:tcBorders>
              <w:tl2br w:val="nil"/>
              <w:tr2bl w:val="nil"/>
            </w:tcBorders>
            <w:shd w:val="clear" w:color="auto" w:fill="auto"/>
            <w:noWrap w:val="0"/>
            <w:vAlign w:val="center"/>
          </w:tcPr>
          <w:p w14:paraId="5054903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2B4AFB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5789FD91">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1400</w:t>
            </w:r>
          </w:p>
        </w:tc>
        <w:tc>
          <w:tcPr>
            <w:tcW w:w="2128" w:type="dxa"/>
            <w:tcBorders>
              <w:tl2br w:val="nil"/>
              <w:tr2bl w:val="nil"/>
            </w:tcBorders>
            <w:shd w:val="clear" w:color="auto" w:fill="auto"/>
            <w:noWrap w:val="0"/>
            <w:vAlign w:val="center"/>
          </w:tcPr>
          <w:p w14:paraId="576E4C4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6.25</w:t>
            </w:r>
          </w:p>
        </w:tc>
        <w:tc>
          <w:tcPr>
            <w:tcW w:w="1572" w:type="dxa"/>
            <w:tcBorders>
              <w:tl2br w:val="nil"/>
              <w:tr2bl w:val="nil"/>
            </w:tcBorders>
            <w:shd w:val="clear" w:color="auto" w:fill="auto"/>
            <w:noWrap w:val="0"/>
            <w:vAlign w:val="center"/>
          </w:tcPr>
          <w:p w14:paraId="3B3BD279">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0.69</w:t>
            </w:r>
          </w:p>
        </w:tc>
        <w:tc>
          <w:tcPr>
            <w:tcW w:w="2126" w:type="dxa"/>
            <w:tcBorders>
              <w:tl2br w:val="nil"/>
              <w:tr2bl w:val="nil"/>
            </w:tcBorders>
            <w:shd w:val="clear" w:color="auto" w:fill="auto"/>
            <w:noWrap w:val="0"/>
            <w:vAlign w:val="center"/>
          </w:tcPr>
          <w:p w14:paraId="7FBE4A3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0.0011</w:t>
            </w:r>
          </w:p>
        </w:tc>
        <w:tc>
          <w:tcPr>
            <w:tcW w:w="1573" w:type="dxa"/>
            <w:tcBorders>
              <w:tl2br w:val="nil"/>
              <w:tr2bl w:val="nil"/>
            </w:tcBorders>
            <w:shd w:val="clear" w:color="auto" w:fill="auto"/>
            <w:noWrap w:val="0"/>
            <w:vAlign w:val="center"/>
          </w:tcPr>
          <w:p w14:paraId="79BAE2A0">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6C1ED6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03B0AD7D">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1500</w:t>
            </w:r>
          </w:p>
        </w:tc>
        <w:tc>
          <w:tcPr>
            <w:tcW w:w="2128" w:type="dxa"/>
            <w:tcBorders>
              <w:tl2br w:val="nil"/>
              <w:tr2bl w:val="nil"/>
            </w:tcBorders>
            <w:shd w:val="clear" w:color="auto" w:fill="auto"/>
            <w:noWrap w:val="0"/>
            <w:vAlign w:val="center"/>
          </w:tcPr>
          <w:p w14:paraId="702DB00E">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6.04</w:t>
            </w:r>
          </w:p>
        </w:tc>
        <w:tc>
          <w:tcPr>
            <w:tcW w:w="1572" w:type="dxa"/>
            <w:tcBorders>
              <w:tl2br w:val="nil"/>
              <w:tr2bl w:val="nil"/>
            </w:tcBorders>
            <w:shd w:val="clear" w:color="auto" w:fill="auto"/>
            <w:noWrap w:val="0"/>
            <w:vAlign w:val="center"/>
          </w:tcPr>
          <w:p w14:paraId="74FF32F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0.67</w:t>
            </w:r>
          </w:p>
        </w:tc>
        <w:tc>
          <w:tcPr>
            <w:tcW w:w="2126" w:type="dxa"/>
            <w:tcBorders>
              <w:tl2br w:val="nil"/>
              <w:tr2bl w:val="nil"/>
            </w:tcBorders>
            <w:shd w:val="clear" w:color="auto" w:fill="auto"/>
            <w:noWrap w:val="0"/>
            <w:vAlign w:val="center"/>
          </w:tcPr>
          <w:p w14:paraId="79BC630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0.0011</w:t>
            </w:r>
          </w:p>
        </w:tc>
        <w:tc>
          <w:tcPr>
            <w:tcW w:w="1573" w:type="dxa"/>
            <w:tcBorders>
              <w:tl2br w:val="nil"/>
              <w:tr2bl w:val="nil"/>
            </w:tcBorders>
            <w:shd w:val="clear" w:color="auto" w:fill="auto"/>
            <w:noWrap w:val="0"/>
            <w:vAlign w:val="center"/>
          </w:tcPr>
          <w:p w14:paraId="083E174B">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429FF4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31D8F0AF">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1600</w:t>
            </w:r>
          </w:p>
        </w:tc>
        <w:tc>
          <w:tcPr>
            <w:tcW w:w="2128" w:type="dxa"/>
            <w:tcBorders>
              <w:tl2br w:val="nil"/>
              <w:tr2bl w:val="nil"/>
            </w:tcBorders>
            <w:shd w:val="clear" w:color="auto" w:fill="auto"/>
            <w:noWrap w:val="0"/>
            <w:vAlign w:val="center"/>
          </w:tcPr>
          <w:p w14:paraId="2C492A26">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5.84</w:t>
            </w:r>
          </w:p>
        </w:tc>
        <w:tc>
          <w:tcPr>
            <w:tcW w:w="1572" w:type="dxa"/>
            <w:tcBorders>
              <w:tl2br w:val="nil"/>
              <w:tr2bl w:val="nil"/>
            </w:tcBorders>
            <w:shd w:val="clear" w:color="auto" w:fill="auto"/>
            <w:noWrap w:val="0"/>
            <w:vAlign w:val="center"/>
          </w:tcPr>
          <w:p w14:paraId="28599096">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0.65</w:t>
            </w:r>
          </w:p>
        </w:tc>
        <w:tc>
          <w:tcPr>
            <w:tcW w:w="2126" w:type="dxa"/>
            <w:tcBorders>
              <w:tl2br w:val="nil"/>
              <w:tr2bl w:val="nil"/>
            </w:tcBorders>
            <w:shd w:val="clear" w:color="auto" w:fill="auto"/>
            <w:noWrap w:val="0"/>
            <w:vAlign w:val="center"/>
          </w:tcPr>
          <w:p w14:paraId="7B81442F">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0.0011</w:t>
            </w:r>
          </w:p>
        </w:tc>
        <w:tc>
          <w:tcPr>
            <w:tcW w:w="1573" w:type="dxa"/>
            <w:tcBorders>
              <w:tl2br w:val="nil"/>
              <w:tr2bl w:val="nil"/>
            </w:tcBorders>
            <w:shd w:val="clear" w:color="auto" w:fill="auto"/>
            <w:noWrap w:val="0"/>
            <w:vAlign w:val="center"/>
          </w:tcPr>
          <w:p w14:paraId="4F7CDFD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0.0004</w:t>
            </w:r>
          </w:p>
        </w:tc>
      </w:tr>
      <w:tr w14:paraId="41680A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67AB89D6">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1700</w:t>
            </w:r>
          </w:p>
        </w:tc>
        <w:tc>
          <w:tcPr>
            <w:tcW w:w="2128" w:type="dxa"/>
            <w:tcBorders>
              <w:tl2br w:val="nil"/>
              <w:tr2bl w:val="nil"/>
            </w:tcBorders>
            <w:shd w:val="clear" w:color="auto" w:fill="auto"/>
            <w:noWrap w:val="0"/>
            <w:vAlign w:val="center"/>
          </w:tcPr>
          <w:p w14:paraId="0C1EF96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5.65</w:t>
            </w:r>
          </w:p>
        </w:tc>
        <w:tc>
          <w:tcPr>
            <w:tcW w:w="1572" w:type="dxa"/>
            <w:tcBorders>
              <w:tl2br w:val="nil"/>
              <w:tr2bl w:val="nil"/>
            </w:tcBorders>
            <w:shd w:val="clear" w:color="auto" w:fill="auto"/>
            <w:noWrap w:val="0"/>
            <w:vAlign w:val="center"/>
          </w:tcPr>
          <w:p w14:paraId="21253FE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0.63</w:t>
            </w:r>
          </w:p>
        </w:tc>
        <w:tc>
          <w:tcPr>
            <w:tcW w:w="2126" w:type="dxa"/>
            <w:tcBorders>
              <w:tl2br w:val="nil"/>
              <w:tr2bl w:val="nil"/>
            </w:tcBorders>
            <w:shd w:val="clear" w:color="auto" w:fill="auto"/>
            <w:noWrap w:val="0"/>
            <w:vAlign w:val="center"/>
          </w:tcPr>
          <w:p w14:paraId="21196533">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0.0010</w:t>
            </w:r>
          </w:p>
        </w:tc>
        <w:tc>
          <w:tcPr>
            <w:tcW w:w="1573" w:type="dxa"/>
            <w:tcBorders>
              <w:tl2br w:val="nil"/>
              <w:tr2bl w:val="nil"/>
            </w:tcBorders>
            <w:shd w:val="clear" w:color="auto" w:fill="auto"/>
            <w:noWrap w:val="0"/>
            <w:vAlign w:val="center"/>
          </w:tcPr>
          <w:p w14:paraId="6F4EF0D0">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781152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7D3FEB87">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1800</w:t>
            </w:r>
          </w:p>
        </w:tc>
        <w:tc>
          <w:tcPr>
            <w:tcW w:w="2128" w:type="dxa"/>
            <w:tcBorders>
              <w:tl2br w:val="nil"/>
              <w:tr2bl w:val="nil"/>
            </w:tcBorders>
            <w:shd w:val="clear" w:color="auto" w:fill="auto"/>
            <w:noWrap w:val="0"/>
            <w:vAlign w:val="center"/>
          </w:tcPr>
          <w:p w14:paraId="424A635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5.48</w:t>
            </w:r>
          </w:p>
        </w:tc>
        <w:tc>
          <w:tcPr>
            <w:tcW w:w="1572" w:type="dxa"/>
            <w:tcBorders>
              <w:tl2br w:val="nil"/>
              <w:tr2bl w:val="nil"/>
            </w:tcBorders>
            <w:shd w:val="clear" w:color="auto" w:fill="auto"/>
            <w:noWrap w:val="0"/>
            <w:vAlign w:val="center"/>
          </w:tcPr>
          <w:p w14:paraId="40A7C2B6">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0.61</w:t>
            </w:r>
          </w:p>
        </w:tc>
        <w:tc>
          <w:tcPr>
            <w:tcW w:w="2126" w:type="dxa"/>
            <w:tcBorders>
              <w:tl2br w:val="nil"/>
              <w:tr2bl w:val="nil"/>
            </w:tcBorders>
            <w:shd w:val="clear" w:color="auto" w:fill="auto"/>
            <w:noWrap w:val="0"/>
            <w:vAlign w:val="center"/>
          </w:tcPr>
          <w:p w14:paraId="08E7AFB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0.0010</w:t>
            </w:r>
          </w:p>
        </w:tc>
        <w:tc>
          <w:tcPr>
            <w:tcW w:w="1573" w:type="dxa"/>
            <w:tcBorders>
              <w:tl2br w:val="nil"/>
              <w:tr2bl w:val="nil"/>
            </w:tcBorders>
            <w:shd w:val="clear" w:color="auto" w:fill="auto"/>
            <w:noWrap w:val="0"/>
            <w:vAlign w:val="center"/>
          </w:tcPr>
          <w:p w14:paraId="2F8BABF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5767D5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455DC4E8">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1900</w:t>
            </w:r>
          </w:p>
        </w:tc>
        <w:tc>
          <w:tcPr>
            <w:tcW w:w="2128" w:type="dxa"/>
            <w:tcBorders>
              <w:tl2br w:val="nil"/>
              <w:tr2bl w:val="nil"/>
            </w:tcBorders>
            <w:shd w:val="clear" w:color="auto" w:fill="auto"/>
            <w:noWrap w:val="0"/>
            <w:vAlign w:val="center"/>
          </w:tcPr>
          <w:p w14:paraId="3A8F52A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5.31</w:t>
            </w:r>
          </w:p>
        </w:tc>
        <w:tc>
          <w:tcPr>
            <w:tcW w:w="1572" w:type="dxa"/>
            <w:tcBorders>
              <w:tl2br w:val="nil"/>
              <w:tr2bl w:val="nil"/>
            </w:tcBorders>
            <w:shd w:val="clear" w:color="auto" w:fill="auto"/>
            <w:noWrap w:val="0"/>
            <w:vAlign w:val="center"/>
          </w:tcPr>
          <w:p w14:paraId="1CA6605D">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0.59</w:t>
            </w:r>
          </w:p>
        </w:tc>
        <w:tc>
          <w:tcPr>
            <w:tcW w:w="2126" w:type="dxa"/>
            <w:tcBorders>
              <w:tl2br w:val="nil"/>
              <w:tr2bl w:val="nil"/>
            </w:tcBorders>
            <w:shd w:val="clear" w:color="auto" w:fill="auto"/>
            <w:noWrap w:val="0"/>
            <w:vAlign w:val="center"/>
          </w:tcPr>
          <w:p w14:paraId="23E7298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0.0010</w:t>
            </w:r>
          </w:p>
        </w:tc>
        <w:tc>
          <w:tcPr>
            <w:tcW w:w="1573" w:type="dxa"/>
            <w:tcBorders>
              <w:tl2br w:val="nil"/>
              <w:tr2bl w:val="nil"/>
            </w:tcBorders>
            <w:shd w:val="clear" w:color="auto" w:fill="auto"/>
            <w:noWrap w:val="0"/>
            <w:vAlign w:val="center"/>
          </w:tcPr>
          <w:p w14:paraId="76AD28C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1531FD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7F5A1712">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2000</w:t>
            </w:r>
          </w:p>
        </w:tc>
        <w:tc>
          <w:tcPr>
            <w:tcW w:w="2128" w:type="dxa"/>
            <w:tcBorders>
              <w:tl2br w:val="nil"/>
              <w:tr2bl w:val="nil"/>
            </w:tcBorders>
            <w:shd w:val="clear" w:color="auto" w:fill="auto"/>
            <w:noWrap w:val="0"/>
            <w:vAlign w:val="center"/>
          </w:tcPr>
          <w:p w14:paraId="4F063131">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5.15</w:t>
            </w:r>
          </w:p>
        </w:tc>
        <w:tc>
          <w:tcPr>
            <w:tcW w:w="1572" w:type="dxa"/>
            <w:tcBorders>
              <w:tl2br w:val="nil"/>
              <w:tr2bl w:val="nil"/>
            </w:tcBorders>
            <w:shd w:val="clear" w:color="auto" w:fill="auto"/>
            <w:noWrap w:val="0"/>
            <w:vAlign w:val="center"/>
          </w:tcPr>
          <w:p w14:paraId="41D76267">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0.57</w:t>
            </w:r>
          </w:p>
        </w:tc>
        <w:tc>
          <w:tcPr>
            <w:tcW w:w="2126" w:type="dxa"/>
            <w:tcBorders>
              <w:tl2br w:val="nil"/>
              <w:tr2bl w:val="nil"/>
            </w:tcBorders>
            <w:shd w:val="clear" w:color="auto" w:fill="auto"/>
            <w:noWrap w:val="0"/>
            <w:vAlign w:val="center"/>
          </w:tcPr>
          <w:p w14:paraId="1EE272E2">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0.0009</w:t>
            </w:r>
          </w:p>
        </w:tc>
        <w:tc>
          <w:tcPr>
            <w:tcW w:w="1573" w:type="dxa"/>
            <w:tcBorders>
              <w:tl2br w:val="nil"/>
              <w:tr2bl w:val="nil"/>
            </w:tcBorders>
            <w:shd w:val="clear" w:color="auto" w:fill="auto"/>
            <w:noWrap w:val="0"/>
            <w:vAlign w:val="center"/>
          </w:tcPr>
          <w:p w14:paraId="7273FC14">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75FB96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25BEF9D7">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2100</w:t>
            </w:r>
          </w:p>
        </w:tc>
        <w:tc>
          <w:tcPr>
            <w:tcW w:w="2128" w:type="dxa"/>
            <w:tcBorders>
              <w:tl2br w:val="nil"/>
              <w:tr2bl w:val="nil"/>
            </w:tcBorders>
            <w:shd w:val="clear" w:color="auto" w:fill="auto"/>
            <w:noWrap w:val="0"/>
            <w:vAlign w:val="center"/>
          </w:tcPr>
          <w:p w14:paraId="04F975FE">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5.00</w:t>
            </w:r>
          </w:p>
        </w:tc>
        <w:tc>
          <w:tcPr>
            <w:tcW w:w="1572" w:type="dxa"/>
            <w:tcBorders>
              <w:tl2br w:val="nil"/>
              <w:tr2bl w:val="nil"/>
            </w:tcBorders>
            <w:shd w:val="clear" w:color="auto" w:fill="auto"/>
            <w:noWrap w:val="0"/>
            <w:vAlign w:val="center"/>
          </w:tcPr>
          <w:p w14:paraId="2100A353">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0.56</w:t>
            </w:r>
          </w:p>
        </w:tc>
        <w:tc>
          <w:tcPr>
            <w:tcW w:w="2126" w:type="dxa"/>
            <w:tcBorders>
              <w:tl2br w:val="nil"/>
              <w:tr2bl w:val="nil"/>
            </w:tcBorders>
            <w:shd w:val="clear" w:color="auto" w:fill="auto"/>
            <w:noWrap w:val="0"/>
            <w:vAlign w:val="center"/>
          </w:tcPr>
          <w:p w14:paraId="7957EA68">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0.0009</w:t>
            </w:r>
          </w:p>
        </w:tc>
        <w:tc>
          <w:tcPr>
            <w:tcW w:w="1573" w:type="dxa"/>
            <w:tcBorders>
              <w:tl2br w:val="nil"/>
              <w:tr2bl w:val="nil"/>
            </w:tcBorders>
            <w:shd w:val="clear" w:color="auto" w:fill="auto"/>
            <w:noWrap w:val="0"/>
            <w:vAlign w:val="center"/>
          </w:tcPr>
          <w:p w14:paraId="0561EDF8">
            <w:pPr>
              <w:pStyle w:val="26"/>
              <w:bidi w:val="0"/>
              <w:jc w:val="center"/>
              <w:rPr>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1EDB37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2978351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2200</w:t>
            </w:r>
          </w:p>
        </w:tc>
        <w:tc>
          <w:tcPr>
            <w:tcW w:w="2128" w:type="dxa"/>
            <w:tcBorders>
              <w:tl2br w:val="nil"/>
              <w:tr2bl w:val="nil"/>
            </w:tcBorders>
            <w:shd w:val="clear" w:color="auto" w:fill="auto"/>
            <w:noWrap w:val="0"/>
            <w:vAlign w:val="center"/>
          </w:tcPr>
          <w:p w14:paraId="3F67CE1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4.86</w:t>
            </w:r>
          </w:p>
        </w:tc>
        <w:tc>
          <w:tcPr>
            <w:tcW w:w="1572" w:type="dxa"/>
            <w:tcBorders>
              <w:tl2br w:val="nil"/>
              <w:tr2bl w:val="nil"/>
            </w:tcBorders>
            <w:shd w:val="clear" w:color="auto" w:fill="auto"/>
            <w:noWrap w:val="0"/>
            <w:vAlign w:val="center"/>
          </w:tcPr>
          <w:p w14:paraId="117DA45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0.54</w:t>
            </w:r>
          </w:p>
        </w:tc>
        <w:tc>
          <w:tcPr>
            <w:tcW w:w="2126" w:type="dxa"/>
            <w:tcBorders>
              <w:tl2br w:val="nil"/>
              <w:tr2bl w:val="nil"/>
            </w:tcBorders>
            <w:shd w:val="clear" w:color="auto" w:fill="auto"/>
            <w:noWrap w:val="0"/>
            <w:vAlign w:val="center"/>
          </w:tcPr>
          <w:p w14:paraId="552D0C9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0.0009</w:t>
            </w:r>
          </w:p>
        </w:tc>
        <w:tc>
          <w:tcPr>
            <w:tcW w:w="1573" w:type="dxa"/>
            <w:tcBorders>
              <w:tl2br w:val="nil"/>
              <w:tr2bl w:val="nil"/>
            </w:tcBorders>
            <w:shd w:val="clear" w:color="auto" w:fill="auto"/>
            <w:noWrap w:val="0"/>
            <w:vAlign w:val="center"/>
          </w:tcPr>
          <w:p w14:paraId="52572DA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32C1C4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3CD8EE7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2300</w:t>
            </w:r>
          </w:p>
        </w:tc>
        <w:tc>
          <w:tcPr>
            <w:tcW w:w="2128" w:type="dxa"/>
            <w:tcBorders>
              <w:tl2br w:val="nil"/>
              <w:tr2bl w:val="nil"/>
            </w:tcBorders>
            <w:shd w:val="clear" w:color="auto" w:fill="auto"/>
            <w:noWrap w:val="0"/>
            <w:vAlign w:val="center"/>
          </w:tcPr>
          <w:p w14:paraId="1F80F74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4.73</w:t>
            </w:r>
          </w:p>
        </w:tc>
        <w:tc>
          <w:tcPr>
            <w:tcW w:w="1572" w:type="dxa"/>
            <w:tcBorders>
              <w:tl2br w:val="nil"/>
              <w:tr2bl w:val="nil"/>
            </w:tcBorders>
            <w:shd w:val="clear" w:color="auto" w:fill="auto"/>
            <w:noWrap w:val="0"/>
            <w:vAlign w:val="center"/>
          </w:tcPr>
          <w:p w14:paraId="0E2B279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0.53</w:t>
            </w:r>
          </w:p>
        </w:tc>
        <w:tc>
          <w:tcPr>
            <w:tcW w:w="2126" w:type="dxa"/>
            <w:tcBorders>
              <w:tl2br w:val="nil"/>
              <w:tr2bl w:val="nil"/>
            </w:tcBorders>
            <w:shd w:val="clear" w:color="auto" w:fill="auto"/>
            <w:noWrap w:val="0"/>
            <w:vAlign w:val="center"/>
          </w:tcPr>
          <w:p w14:paraId="6A25938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0.0009</w:t>
            </w:r>
          </w:p>
        </w:tc>
        <w:tc>
          <w:tcPr>
            <w:tcW w:w="1573" w:type="dxa"/>
            <w:tcBorders>
              <w:tl2br w:val="nil"/>
              <w:tr2bl w:val="nil"/>
            </w:tcBorders>
            <w:shd w:val="clear" w:color="auto" w:fill="auto"/>
            <w:noWrap w:val="0"/>
            <w:vAlign w:val="center"/>
          </w:tcPr>
          <w:p w14:paraId="0CA1C28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066D0E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0738123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2400</w:t>
            </w:r>
          </w:p>
        </w:tc>
        <w:tc>
          <w:tcPr>
            <w:tcW w:w="2128" w:type="dxa"/>
            <w:tcBorders>
              <w:tl2br w:val="nil"/>
              <w:tr2bl w:val="nil"/>
            </w:tcBorders>
            <w:shd w:val="clear" w:color="auto" w:fill="auto"/>
            <w:noWrap w:val="0"/>
            <w:vAlign w:val="center"/>
          </w:tcPr>
          <w:p w14:paraId="0589400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4.60</w:t>
            </w:r>
          </w:p>
        </w:tc>
        <w:tc>
          <w:tcPr>
            <w:tcW w:w="1572" w:type="dxa"/>
            <w:tcBorders>
              <w:tl2br w:val="nil"/>
              <w:tr2bl w:val="nil"/>
            </w:tcBorders>
            <w:shd w:val="clear" w:color="auto" w:fill="auto"/>
            <w:noWrap w:val="0"/>
            <w:vAlign w:val="center"/>
          </w:tcPr>
          <w:p w14:paraId="0EF260A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0.51</w:t>
            </w:r>
          </w:p>
        </w:tc>
        <w:tc>
          <w:tcPr>
            <w:tcW w:w="2126" w:type="dxa"/>
            <w:tcBorders>
              <w:tl2br w:val="nil"/>
              <w:tr2bl w:val="nil"/>
            </w:tcBorders>
            <w:shd w:val="clear" w:color="auto" w:fill="auto"/>
            <w:noWrap w:val="0"/>
            <w:vAlign w:val="center"/>
          </w:tcPr>
          <w:p w14:paraId="60A988C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0.0008</w:t>
            </w:r>
          </w:p>
        </w:tc>
        <w:tc>
          <w:tcPr>
            <w:tcW w:w="1573" w:type="dxa"/>
            <w:tcBorders>
              <w:tl2br w:val="nil"/>
              <w:tr2bl w:val="nil"/>
            </w:tcBorders>
            <w:shd w:val="clear" w:color="auto" w:fill="auto"/>
            <w:noWrap w:val="0"/>
            <w:vAlign w:val="center"/>
          </w:tcPr>
          <w:p w14:paraId="1C4268C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479CD8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5257E43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2500</w:t>
            </w:r>
          </w:p>
        </w:tc>
        <w:tc>
          <w:tcPr>
            <w:tcW w:w="2128" w:type="dxa"/>
            <w:tcBorders>
              <w:tl2br w:val="nil"/>
              <w:tr2bl w:val="nil"/>
            </w:tcBorders>
            <w:shd w:val="clear" w:color="auto" w:fill="auto"/>
            <w:noWrap w:val="0"/>
            <w:vAlign w:val="center"/>
          </w:tcPr>
          <w:p w14:paraId="6C98D5D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4.47</w:t>
            </w:r>
          </w:p>
        </w:tc>
        <w:tc>
          <w:tcPr>
            <w:tcW w:w="1572" w:type="dxa"/>
            <w:tcBorders>
              <w:tl2br w:val="nil"/>
              <w:tr2bl w:val="nil"/>
            </w:tcBorders>
            <w:shd w:val="clear" w:color="auto" w:fill="auto"/>
            <w:noWrap w:val="0"/>
            <w:vAlign w:val="center"/>
          </w:tcPr>
          <w:p w14:paraId="2A1EE6E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0.50</w:t>
            </w:r>
          </w:p>
        </w:tc>
        <w:tc>
          <w:tcPr>
            <w:tcW w:w="2126" w:type="dxa"/>
            <w:tcBorders>
              <w:tl2br w:val="nil"/>
              <w:tr2bl w:val="nil"/>
            </w:tcBorders>
            <w:shd w:val="clear" w:color="auto" w:fill="auto"/>
            <w:noWrap w:val="0"/>
            <w:vAlign w:val="center"/>
          </w:tcPr>
          <w:p w14:paraId="71EA4619">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0.0008</w:t>
            </w:r>
          </w:p>
        </w:tc>
        <w:tc>
          <w:tcPr>
            <w:tcW w:w="1573" w:type="dxa"/>
            <w:tcBorders>
              <w:tl2br w:val="nil"/>
              <w:tr2bl w:val="nil"/>
            </w:tcBorders>
            <w:shd w:val="clear" w:color="auto" w:fill="auto"/>
            <w:noWrap w:val="0"/>
            <w:vAlign w:val="center"/>
          </w:tcPr>
          <w:p w14:paraId="3CE17163">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0.0003</w:t>
            </w:r>
          </w:p>
        </w:tc>
      </w:tr>
      <w:tr w14:paraId="0E19B8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311B5E7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下风向最大浓度</w:t>
            </w:r>
          </w:p>
        </w:tc>
        <w:tc>
          <w:tcPr>
            <w:tcW w:w="2128" w:type="dxa"/>
            <w:tcBorders>
              <w:tl2br w:val="nil"/>
              <w:tr2bl w:val="nil"/>
            </w:tcBorders>
            <w:shd w:val="clear" w:color="auto" w:fill="auto"/>
            <w:noWrap w:val="0"/>
            <w:vAlign w:val="center"/>
          </w:tcPr>
          <w:p w14:paraId="02AF36A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29.17</w:t>
            </w:r>
          </w:p>
        </w:tc>
        <w:tc>
          <w:tcPr>
            <w:tcW w:w="1572" w:type="dxa"/>
            <w:tcBorders>
              <w:tl2br w:val="nil"/>
              <w:tr2bl w:val="nil"/>
            </w:tcBorders>
            <w:shd w:val="clear" w:color="auto" w:fill="auto"/>
            <w:noWrap w:val="0"/>
            <w:vAlign w:val="center"/>
          </w:tcPr>
          <w:p w14:paraId="7ACBC7C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3.24</w:t>
            </w:r>
          </w:p>
        </w:tc>
        <w:tc>
          <w:tcPr>
            <w:tcW w:w="2126" w:type="dxa"/>
            <w:tcBorders>
              <w:tl2br w:val="nil"/>
              <w:tr2bl w:val="nil"/>
            </w:tcBorders>
            <w:shd w:val="clear" w:color="auto" w:fill="auto"/>
            <w:noWrap w:val="0"/>
            <w:vAlign w:val="center"/>
          </w:tcPr>
          <w:p w14:paraId="34A8C02D">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0.0052</w:t>
            </w:r>
          </w:p>
        </w:tc>
        <w:tc>
          <w:tcPr>
            <w:tcW w:w="1573" w:type="dxa"/>
            <w:tcBorders>
              <w:tl2br w:val="nil"/>
              <w:tr2bl w:val="nil"/>
            </w:tcBorders>
            <w:shd w:val="clear" w:color="auto" w:fill="auto"/>
            <w:noWrap w:val="0"/>
            <w:vAlign w:val="center"/>
          </w:tcPr>
          <w:p w14:paraId="42B9566F">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0.0017</w:t>
            </w:r>
          </w:p>
        </w:tc>
      </w:tr>
      <w:tr w14:paraId="2678D1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0ABF5BA1">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下风向最大浓度出现距离</w:t>
            </w:r>
          </w:p>
        </w:tc>
        <w:tc>
          <w:tcPr>
            <w:tcW w:w="2128" w:type="dxa"/>
            <w:tcBorders>
              <w:tl2br w:val="nil"/>
              <w:tr2bl w:val="nil"/>
            </w:tcBorders>
            <w:shd w:val="clear" w:color="auto" w:fill="auto"/>
            <w:noWrap w:val="0"/>
            <w:vAlign w:val="center"/>
          </w:tcPr>
          <w:p w14:paraId="293C37A7">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c>
          <w:tcPr>
            <w:tcW w:w="1572" w:type="dxa"/>
            <w:tcBorders>
              <w:tl2br w:val="nil"/>
              <w:tr2bl w:val="nil"/>
            </w:tcBorders>
            <w:shd w:val="clear" w:color="auto" w:fill="auto"/>
            <w:noWrap w:val="0"/>
            <w:vAlign w:val="center"/>
          </w:tcPr>
          <w:p w14:paraId="27A70E6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c>
          <w:tcPr>
            <w:tcW w:w="2126" w:type="dxa"/>
            <w:tcBorders>
              <w:tl2br w:val="nil"/>
              <w:tr2bl w:val="nil"/>
            </w:tcBorders>
            <w:shd w:val="clear" w:color="auto" w:fill="auto"/>
            <w:noWrap w:val="0"/>
            <w:vAlign w:val="center"/>
          </w:tcPr>
          <w:p w14:paraId="275F2436">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c>
          <w:tcPr>
            <w:tcW w:w="1573" w:type="dxa"/>
            <w:tcBorders>
              <w:tl2br w:val="nil"/>
              <w:tr2bl w:val="nil"/>
            </w:tcBorders>
            <w:shd w:val="clear" w:color="auto" w:fill="auto"/>
            <w:noWrap w:val="0"/>
            <w:vAlign w:val="center"/>
          </w:tcPr>
          <w:p w14:paraId="57A41FFA">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r>
      <w:tr w14:paraId="6B99D0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2" w:type="dxa"/>
            <w:tcBorders>
              <w:tl2br w:val="nil"/>
              <w:tr2bl w:val="nil"/>
            </w:tcBorders>
            <w:noWrap w:val="0"/>
            <w:vAlign w:val="center"/>
          </w:tcPr>
          <w:p w14:paraId="10007AB0">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D10%最远距离</w:t>
            </w:r>
          </w:p>
        </w:tc>
        <w:tc>
          <w:tcPr>
            <w:tcW w:w="2128" w:type="dxa"/>
            <w:tcBorders>
              <w:tl2br w:val="nil"/>
              <w:tr2bl w:val="nil"/>
            </w:tcBorders>
            <w:shd w:val="clear" w:color="auto" w:fill="auto"/>
            <w:noWrap w:val="0"/>
            <w:vAlign w:val="center"/>
          </w:tcPr>
          <w:p w14:paraId="7B520F84">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572" w:type="dxa"/>
            <w:tcBorders>
              <w:tl2br w:val="nil"/>
              <w:tr2bl w:val="nil"/>
            </w:tcBorders>
            <w:shd w:val="clear" w:color="auto" w:fill="auto"/>
            <w:noWrap w:val="0"/>
            <w:vAlign w:val="center"/>
          </w:tcPr>
          <w:p w14:paraId="5A7F85D8">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2126" w:type="dxa"/>
            <w:tcBorders>
              <w:tl2br w:val="nil"/>
              <w:tr2bl w:val="nil"/>
            </w:tcBorders>
            <w:shd w:val="clear" w:color="auto" w:fill="auto"/>
            <w:noWrap w:val="0"/>
            <w:vAlign w:val="center"/>
          </w:tcPr>
          <w:p w14:paraId="579466A5">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573" w:type="dxa"/>
            <w:tcBorders>
              <w:tl2br w:val="nil"/>
              <w:tr2bl w:val="nil"/>
            </w:tcBorders>
            <w:shd w:val="clear" w:color="auto" w:fill="auto"/>
            <w:noWrap w:val="0"/>
            <w:vAlign w:val="center"/>
          </w:tcPr>
          <w:p w14:paraId="69AA7862">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bl>
    <w:p w14:paraId="527491CA">
      <w:pPr>
        <w:bidi w:val="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本项目Pmax最大值出现为</w:t>
      </w:r>
      <w:r>
        <w:rPr>
          <w:rFonts w:hint="eastAsia"/>
          <w:color w:val="000000" w:themeColor="text1"/>
          <w:highlight w:val="none"/>
          <w:lang w:val="en-US" w:eastAsia="zh-CN"/>
          <w14:textFill>
            <w14:solidFill>
              <w14:schemeClr w14:val="tx1"/>
            </w14:solidFill>
          </w14:textFill>
        </w:rPr>
        <w:t>车间废气排放口</w:t>
      </w:r>
      <w:r>
        <w:rPr>
          <w:color w:val="000000" w:themeColor="text1"/>
          <w:highlight w:val="none"/>
          <w14:textFill>
            <w14:solidFill>
              <w14:schemeClr w14:val="tx1"/>
            </w14:solidFill>
          </w14:textFill>
        </w:rPr>
        <w:t>排放的PM</w:t>
      </w:r>
      <w:r>
        <w:rPr>
          <w:color w:val="000000" w:themeColor="text1"/>
          <w:highlight w:val="none"/>
          <w:vertAlign w:val="subscript"/>
          <w14:textFill>
            <w14:solidFill>
              <w14:schemeClr w14:val="tx1"/>
            </w14:solidFill>
          </w14:textFill>
        </w:rPr>
        <w:t>10</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Pmax值为4.98%，Cmax为17.94μg/m³，。根据《环境影响评价技术导则 大气环境》（HJ2.2-2018）分级判据，确定本项目大气环境影响评价工作等级为二级。</w:t>
      </w:r>
    </w:p>
    <w:p w14:paraId="7AC489F5">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lang w:val="en-US"/>
          <w14:textFill>
            <w14:solidFill>
              <w14:schemeClr w14:val="tx1"/>
            </w14:solidFill>
          </w14:textFill>
        </w:rPr>
        <w:t>1.5</w:t>
      </w:r>
      <w:r>
        <w:rPr>
          <w:color w:val="000000" w:themeColor="text1"/>
          <w:highlight w:val="none"/>
          <w14:textFill>
            <w14:solidFill>
              <w14:schemeClr w14:val="tx1"/>
            </w14:solidFill>
          </w14:textFill>
        </w:rPr>
        <w:t xml:space="preserve"> 污染物排放量核算清单</w:t>
      </w:r>
    </w:p>
    <w:p w14:paraId="00B28076">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根据《环境影响评价技术导则 大气环境》（HJ2.2-2018）中“8.1 二级项目不进行进一步预测与评价，只对污染物排放量进行核算。”</w:t>
      </w:r>
    </w:p>
    <w:p w14:paraId="117F0A26">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本项目大气环境影响评价工作等级为二级，故本次只对污染物排放量进行核算。核算情况如下：</w:t>
      </w:r>
    </w:p>
    <w:p w14:paraId="2F6AD93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有组织污染物排放量核算</w:t>
      </w:r>
    </w:p>
    <w:p w14:paraId="10E58833">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本项目有组织废气排气口均为一般排放口。本项目有组织污染物排放量详见表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p>
    <w:p w14:paraId="637E623E">
      <w:pPr>
        <w:rPr>
          <w:color w:val="000000" w:themeColor="text1"/>
          <w:highlight w:val="none"/>
          <w14:textFill>
            <w14:solidFill>
              <w14:schemeClr w14:val="tx1"/>
            </w14:solidFill>
          </w14:textFill>
        </w:rPr>
      </w:pPr>
    </w:p>
    <w:p w14:paraId="1F0ED679">
      <w:pPr>
        <w:rPr>
          <w:color w:val="000000" w:themeColor="text1"/>
          <w:highlight w:val="none"/>
          <w14:textFill>
            <w14:solidFill>
              <w14:schemeClr w14:val="tx1"/>
            </w14:solidFill>
          </w14:textFill>
        </w:rPr>
      </w:pPr>
    </w:p>
    <w:p w14:paraId="6B9C5559">
      <w:pPr>
        <w:pStyle w:val="25"/>
        <w:rPr>
          <w:color w:val="000000" w:themeColor="text1"/>
          <w:highlight w:val="none"/>
          <w14:textFill>
            <w14:solidFill>
              <w14:schemeClr w14:val="tx1"/>
            </w14:solidFill>
          </w14:textFill>
        </w:rPr>
      </w:pPr>
      <w:r>
        <w:rPr>
          <w:color w:val="000000" w:themeColor="text1"/>
          <w:highlight w:val="none"/>
          <w:lang w:val="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color w:val="000000" w:themeColor="text1"/>
          <w:highlight w:val="none"/>
          <w:lang w:val="zh-CN"/>
          <w14:textFill>
            <w14:solidFill>
              <w14:schemeClr w14:val="tx1"/>
            </w14:solidFill>
          </w14:textFill>
        </w:rPr>
        <w:t>大气污染物有组织排放量核算表</w:t>
      </w:r>
    </w:p>
    <w:tbl>
      <w:tblPr>
        <w:tblStyle w:val="20"/>
        <w:tblW w:w="545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59"/>
        <w:gridCol w:w="2595"/>
        <w:gridCol w:w="1442"/>
        <w:gridCol w:w="1424"/>
        <w:gridCol w:w="1471"/>
        <w:gridCol w:w="1476"/>
      </w:tblGrid>
      <w:tr w14:paraId="04A60A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64" w:type="pct"/>
            <w:noWrap w:val="0"/>
            <w:vAlign w:val="center"/>
          </w:tcPr>
          <w:p w14:paraId="1E82E0C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1431" w:type="pct"/>
            <w:noWrap w:val="0"/>
            <w:vAlign w:val="center"/>
          </w:tcPr>
          <w:p w14:paraId="537E239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排放口编号</w:t>
            </w:r>
          </w:p>
        </w:tc>
        <w:tc>
          <w:tcPr>
            <w:tcW w:w="795" w:type="pct"/>
            <w:noWrap w:val="0"/>
            <w:vAlign w:val="center"/>
          </w:tcPr>
          <w:p w14:paraId="3229DC8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污染物</w:t>
            </w:r>
          </w:p>
        </w:tc>
        <w:tc>
          <w:tcPr>
            <w:tcW w:w="785" w:type="pct"/>
            <w:noWrap w:val="0"/>
            <w:vAlign w:val="center"/>
          </w:tcPr>
          <w:p w14:paraId="0749BFD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核算排放浓度</w:t>
            </w:r>
          </w:p>
          <w:p w14:paraId="015C7D20">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m</w:t>
            </w:r>
            <w:r>
              <w:rPr>
                <w:b/>
                <w:bCs/>
                <w:color w:val="000000" w:themeColor="text1"/>
                <w:highlight w:val="none"/>
                <w14:textFill>
                  <w14:solidFill>
                    <w14:schemeClr w14:val="tx1"/>
                  </w14:solidFill>
                </w14:textFill>
              </w:rPr>
              <w:t>g/</w:t>
            </w:r>
            <w:r>
              <w:rPr>
                <w:rFonts w:hint="eastAsia"/>
                <w:b/>
                <w:bCs/>
                <w:color w:val="000000" w:themeColor="text1"/>
                <w:highlight w:val="none"/>
                <w14:textFill>
                  <w14:solidFill>
                    <w14:schemeClr w14:val="tx1"/>
                  </w14:solidFill>
                </w14:textFill>
              </w:rPr>
              <w:t>m</w:t>
            </w:r>
            <w:r>
              <w:rPr>
                <w:rFonts w:hint="eastAsia"/>
                <w:b/>
                <w:bCs/>
                <w:color w:val="000000" w:themeColor="text1"/>
                <w:highlight w:val="none"/>
                <w:vertAlign w:val="superscript"/>
                <w14:textFill>
                  <w14:solidFill>
                    <w14:schemeClr w14:val="tx1"/>
                  </w14:solidFill>
                </w14:textFill>
              </w:rPr>
              <w:t>3</w:t>
            </w:r>
            <w:r>
              <w:rPr>
                <w:rFonts w:hint="eastAsia"/>
                <w:b/>
                <w:bCs/>
                <w:color w:val="000000" w:themeColor="text1"/>
                <w:highlight w:val="none"/>
                <w:vertAlign w:val="superscript"/>
                <w:lang w:eastAsia="zh-CN"/>
                <w14:textFill>
                  <w14:solidFill>
                    <w14:schemeClr w14:val="tx1"/>
                  </w14:solidFill>
                </w14:textFill>
              </w:rPr>
              <w:t>)</w:t>
            </w:r>
          </w:p>
        </w:tc>
        <w:tc>
          <w:tcPr>
            <w:tcW w:w="811" w:type="pct"/>
            <w:noWrap w:val="0"/>
            <w:vAlign w:val="center"/>
          </w:tcPr>
          <w:p w14:paraId="21204DB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核算排放速率</w:t>
            </w:r>
          </w:p>
          <w:p w14:paraId="4027EB03">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w:t>
            </w:r>
            <w:r>
              <w:rPr>
                <w:b/>
                <w:bCs/>
                <w:color w:val="000000" w:themeColor="text1"/>
                <w:highlight w:val="none"/>
                <w14:textFill>
                  <w14:solidFill>
                    <w14:schemeClr w14:val="tx1"/>
                  </w14:solidFill>
                </w14:textFill>
              </w:rPr>
              <w:t>kg/h</w:t>
            </w:r>
            <w:r>
              <w:rPr>
                <w:rFonts w:hint="eastAsia"/>
                <w:b/>
                <w:bCs/>
                <w:color w:val="000000" w:themeColor="text1"/>
                <w:highlight w:val="none"/>
                <w:lang w:eastAsia="zh-CN"/>
                <w14:textFill>
                  <w14:solidFill>
                    <w14:schemeClr w14:val="tx1"/>
                  </w14:solidFill>
                </w14:textFill>
              </w:rPr>
              <w:t>)</w:t>
            </w:r>
          </w:p>
        </w:tc>
        <w:tc>
          <w:tcPr>
            <w:tcW w:w="812" w:type="pct"/>
            <w:noWrap w:val="0"/>
            <w:vAlign w:val="center"/>
          </w:tcPr>
          <w:p w14:paraId="31BB827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核算年排放量</w:t>
            </w:r>
          </w:p>
          <w:p w14:paraId="4B545E3E">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t</w:t>
            </w:r>
            <w:r>
              <w:rPr>
                <w:b/>
                <w:bCs/>
                <w:color w:val="000000" w:themeColor="text1"/>
                <w:highlight w:val="none"/>
                <w14:textFill>
                  <w14:solidFill>
                    <w14:schemeClr w14:val="tx1"/>
                  </w14:solidFill>
                </w14:textFill>
              </w:rPr>
              <w:t>/a</w:t>
            </w:r>
            <w:r>
              <w:rPr>
                <w:rFonts w:hint="eastAsia"/>
                <w:b/>
                <w:bCs/>
                <w:color w:val="000000" w:themeColor="text1"/>
                <w:highlight w:val="none"/>
                <w:lang w:eastAsia="zh-CN"/>
                <w14:textFill>
                  <w14:solidFill>
                    <w14:schemeClr w14:val="tx1"/>
                  </w14:solidFill>
                </w14:textFill>
              </w:rPr>
              <w:t>)</w:t>
            </w:r>
          </w:p>
        </w:tc>
      </w:tr>
      <w:tr w14:paraId="47DF89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000" w:type="pct"/>
            <w:gridSpan w:val="6"/>
            <w:noWrap w:val="0"/>
            <w:vAlign w:val="center"/>
          </w:tcPr>
          <w:p w14:paraId="0D8B77FA">
            <w:pPr>
              <w:pStyle w:val="26"/>
              <w:rPr>
                <w:b/>
                <w:b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一般排放口</w:t>
            </w:r>
          </w:p>
        </w:tc>
      </w:tr>
      <w:tr w14:paraId="2B9966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64" w:type="pct"/>
            <w:noWrap w:val="0"/>
            <w:vAlign w:val="center"/>
          </w:tcPr>
          <w:p w14:paraId="165E804E">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1431" w:type="pct"/>
            <w:vMerge w:val="restart"/>
            <w:noWrap w:val="0"/>
            <w:vAlign w:val="center"/>
          </w:tcPr>
          <w:p w14:paraId="37869AE4">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废气排放口DA001</w:t>
            </w:r>
          </w:p>
        </w:tc>
        <w:tc>
          <w:tcPr>
            <w:tcW w:w="795" w:type="pct"/>
            <w:noWrap w:val="0"/>
            <w:vAlign w:val="center"/>
          </w:tcPr>
          <w:p w14:paraId="4007A094">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1424" w:type="dxa"/>
            <w:noWrap w:val="0"/>
            <w:vAlign w:val="center"/>
          </w:tcPr>
          <w:p w14:paraId="51E0397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15.56</w:t>
            </w:r>
          </w:p>
        </w:tc>
        <w:tc>
          <w:tcPr>
            <w:tcW w:w="1471" w:type="dxa"/>
            <w:noWrap w:val="0"/>
            <w:vAlign w:val="center"/>
          </w:tcPr>
          <w:p w14:paraId="31FC32B0">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0.778</w:t>
            </w:r>
          </w:p>
        </w:tc>
        <w:tc>
          <w:tcPr>
            <w:tcW w:w="1476" w:type="dxa"/>
            <w:noWrap w:val="0"/>
            <w:vAlign w:val="center"/>
          </w:tcPr>
          <w:p w14:paraId="2C3DA53C">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0.21</w:t>
            </w:r>
          </w:p>
        </w:tc>
      </w:tr>
      <w:tr w14:paraId="5C4D23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64" w:type="pct"/>
            <w:noWrap w:val="0"/>
            <w:vAlign w:val="center"/>
          </w:tcPr>
          <w:p w14:paraId="1EF892EC">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1431" w:type="pct"/>
            <w:vMerge w:val="continue"/>
            <w:noWrap w:val="0"/>
            <w:vAlign w:val="center"/>
          </w:tcPr>
          <w:p w14:paraId="2FEC7132">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795" w:type="pct"/>
            <w:noWrap w:val="0"/>
            <w:vAlign w:val="center"/>
          </w:tcPr>
          <w:p w14:paraId="7A772BC3">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1424" w:type="dxa"/>
            <w:noWrap w:val="0"/>
            <w:vAlign w:val="center"/>
          </w:tcPr>
          <w:p w14:paraId="76DA41E2">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2.68</w:t>
            </w:r>
          </w:p>
        </w:tc>
        <w:tc>
          <w:tcPr>
            <w:tcW w:w="1471" w:type="dxa"/>
            <w:noWrap w:val="0"/>
            <w:vAlign w:val="center"/>
          </w:tcPr>
          <w:p w14:paraId="25C078CF">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0.134</w:t>
            </w:r>
          </w:p>
        </w:tc>
        <w:tc>
          <w:tcPr>
            <w:tcW w:w="1476" w:type="dxa"/>
            <w:noWrap w:val="0"/>
            <w:vAlign w:val="center"/>
          </w:tcPr>
          <w:p w14:paraId="74F6D3AD">
            <w:pPr>
              <w:pStyle w:val="26"/>
              <w:ind w:left="0" w:leftChars="0" w:right="0" w:rightChars="0" w:firstLine="0" w:firstLineChars="0"/>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0.22</w:t>
            </w:r>
          </w:p>
        </w:tc>
      </w:tr>
      <w:tr w14:paraId="1C4149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64" w:type="pct"/>
            <w:noWrap w:val="0"/>
            <w:vAlign w:val="center"/>
          </w:tcPr>
          <w:p w14:paraId="17E26F10">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1431" w:type="pct"/>
            <w:vMerge w:val="continue"/>
            <w:noWrap w:val="0"/>
            <w:vAlign w:val="center"/>
          </w:tcPr>
          <w:p w14:paraId="37CC6900">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795" w:type="pct"/>
            <w:noWrap w:val="0"/>
            <w:vAlign w:val="center"/>
          </w:tcPr>
          <w:p w14:paraId="00C89EE9">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1424" w:type="dxa"/>
            <w:noWrap w:val="0"/>
            <w:vAlign w:val="center"/>
          </w:tcPr>
          <w:p w14:paraId="70FE827F">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0.44</w:t>
            </w:r>
          </w:p>
        </w:tc>
        <w:tc>
          <w:tcPr>
            <w:tcW w:w="1471" w:type="dxa"/>
            <w:noWrap w:val="0"/>
            <w:vAlign w:val="center"/>
          </w:tcPr>
          <w:p w14:paraId="75B1C5EF">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0.022</w:t>
            </w:r>
          </w:p>
        </w:tc>
        <w:tc>
          <w:tcPr>
            <w:tcW w:w="1476" w:type="dxa"/>
            <w:noWrap w:val="0"/>
            <w:vAlign w:val="center"/>
          </w:tcPr>
          <w:p w14:paraId="025BFF8C">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0.01</w:t>
            </w:r>
          </w:p>
        </w:tc>
      </w:tr>
      <w:tr w14:paraId="750FAD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64" w:type="pct"/>
            <w:noWrap w:val="0"/>
            <w:vAlign w:val="center"/>
          </w:tcPr>
          <w:p w14:paraId="563B4D83">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1431" w:type="pct"/>
            <w:vMerge w:val="continue"/>
            <w:noWrap w:val="0"/>
            <w:vAlign w:val="center"/>
          </w:tcPr>
          <w:p w14:paraId="778301E0">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795" w:type="pct"/>
            <w:noWrap w:val="0"/>
            <w:vAlign w:val="center"/>
          </w:tcPr>
          <w:p w14:paraId="32555781">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1424" w:type="dxa"/>
            <w:noWrap w:val="0"/>
            <w:vAlign w:val="center"/>
          </w:tcPr>
          <w:p w14:paraId="313BF0D0">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0.003</w:t>
            </w:r>
          </w:p>
        </w:tc>
        <w:tc>
          <w:tcPr>
            <w:tcW w:w="1471" w:type="dxa"/>
            <w:noWrap w:val="0"/>
            <w:vAlign w:val="center"/>
          </w:tcPr>
          <w:p w14:paraId="46AEAE32">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0.0001</w:t>
            </w:r>
          </w:p>
        </w:tc>
        <w:tc>
          <w:tcPr>
            <w:tcW w:w="1476" w:type="dxa"/>
            <w:noWrap w:val="0"/>
            <w:vAlign w:val="center"/>
          </w:tcPr>
          <w:p w14:paraId="267DD1FE">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0.00007</w:t>
            </w:r>
          </w:p>
        </w:tc>
      </w:tr>
      <w:tr w14:paraId="731C6D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000" w:type="pct"/>
            <w:gridSpan w:val="6"/>
            <w:noWrap w:val="0"/>
            <w:vAlign w:val="center"/>
          </w:tcPr>
          <w:p w14:paraId="5697EF7D">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一般排放口合计</w:t>
            </w:r>
          </w:p>
        </w:tc>
      </w:tr>
      <w:tr w14:paraId="1AD694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95" w:type="pct"/>
            <w:gridSpan w:val="2"/>
            <w:vMerge w:val="restart"/>
            <w:noWrap w:val="0"/>
            <w:vAlign w:val="center"/>
          </w:tcPr>
          <w:p w14:paraId="6CB254D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有组织年排放</w:t>
            </w:r>
            <w:r>
              <w:rPr>
                <w:rFonts w:hint="eastAsia"/>
                <w:color w:val="000000" w:themeColor="text1"/>
                <w:highlight w:val="none"/>
                <w:lang w:val="en-US" w:eastAsia="zh-CN"/>
                <w14:textFill>
                  <w14:solidFill>
                    <w14:schemeClr w14:val="tx1"/>
                  </w14:solidFill>
                </w14:textFill>
              </w:rPr>
              <w:t>量</w:t>
            </w:r>
            <w:r>
              <w:rPr>
                <w:color w:val="000000" w:themeColor="text1"/>
                <w:highlight w:val="none"/>
                <w14:textFill>
                  <w14:solidFill>
                    <w14:schemeClr w14:val="tx1"/>
                  </w14:solidFill>
                </w14:textFill>
              </w:rPr>
              <w:t>总计</w:t>
            </w:r>
          </w:p>
        </w:tc>
        <w:tc>
          <w:tcPr>
            <w:tcW w:w="1442" w:type="dxa"/>
            <w:noWrap w:val="0"/>
            <w:vAlign w:val="center"/>
          </w:tcPr>
          <w:p w14:paraId="6F3D734D">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4371" w:type="dxa"/>
            <w:gridSpan w:val="3"/>
            <w:noWrap w:val="0"/>
            <w:vAlign w:val="center"/>
          </w:tcPr>
          <w:p w14:paraId="70BF9137">
            <w:pPr>
              <w:pStyle w:val="26"/>
              <w:ind w:left="0" w:leftChars="0" w:right="0" w:rightChars="0" w:firstLine="0" w:firstLineChars="0"/>
              <w:jc w:val="center"/>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0.21</w:t>
            </w:r>
          </w:p>
        </w:tc>
      </w:tr>
      <w:tr w14:paraId="50F25E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95" w:type="pct"/>
            <w:gridSpan w:val="2"/>
            <w:vMerge w:val="continue"/>
            <w:noWrap w:val="0"/>
            <w:vAlign w:val="center"/>
          </w:tcPr>
          <w:p w14:paraId="760D220E">
            <w:pPr>
              <w:pStyle w:val="26"/>
              <w:rPr>
                <w:color w:val="000000" w:themeColor="text1"/>
                <w:highlight w:val="none"/>
                <w14:textFill>
                  <w14:solidFill>
                    <w14:schemeClr w14:val="tx1"/>
                  </w14:solidFill>
                </w14:textFill>
              </w:rPr>
            </w:pPr>
          </w:p>
        </w:tc>
        <w:tc>
          <w:tcPr>
            <w:tcW w:w="1442" w:type="dxa"/>
            <w:noWrap w:val="0"/>
            <w:vAlign w:val="center"/>
          </w:tcPr>
          <w:p w14:paraId="628F1345">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4371" w:type="dxa"/>
            <w:gridSpan w:val="3"/>
            <w:noWrap w:val="0"/>
            <w:vAlign w:val="center"/>
          </w:tcPr>
          <w:p w14:paraId="1E419FD1">
            <w:pPr>
              <w:pStyle w:val="26"/>
              <w:ind w:left="0" w:leftChars="0" w:right="0" w:rightChars="0" w:firstLine="0" w:firstLineChars="0"/>
              <w:jc w:val="center"/>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0.22</w:t>
            </w:r>
          </w:p>
        </w:tc>
      </w:tr>
      <w:tr w14:paraId="35EF0B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95" w:type="pct"/>
            <w:gridSpan w:val="2"/>
            <w:vMerge w:val="continue"/>
            <w:noWrap w:val="0"/>
            <w:vAlign w:val="center"/>
          </w:tcPr>
          <w:p w14:paraId="0C6A1142">
            <w:pPr>
              <w:pStyle w:val="26"/>
              <w:rPr>
                <w:color w:val="000000" w:themeColor="text1"/>
                <w:highlight w:val="none"/>
                <w14:textFill>
                  <w14:solidFill>
                    <w14:schemeClr w14:val="tx1"/>
                  </w14:solidFill>
                </w14:textFill>
              </w:rPr>
            </w:pPr>
          </w:p>
        </w:tc>
        <w:tc>
          <w:tcPr>
            <w:tcW w:w="1442" w:type="dxa"/>
            <w:noWrap w:val="0"/>
            <w:vAlign w:val="center"/>
          </w:tcPr>
          <w:p w14:paraId="0CE435B0">
            <w:pPr>
              <w:pStyle w:val="26"/>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4371" w:type="dxa"/>
            <w:gridSpan w:val="3"/>
            <w:noWrap w:val="0"/>
            <w:vAlign w:val="center"/>
          </w:tcPr>
          <w:p w14:paraId="68D79517">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0.01</w:t>
            </w:r>
          </w:p>
        </w:tc>
      </w:tr>
      <w:tr w14:paraId="67A453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795" w:type="pct"/>
            <w:gridSpan w:val="2"/>
            <w:vMerge w:val="continue"/>
            <w:noWrap w:val="0"/>
            <w:vAlign w:val="center"/>
          </w:tcPr>
          <w:p w14:paraId="26000A4E">
            <w:pPr>
              <w:pStyle w:val="26"/>
              <w:rPr>
                <w:color w:val="000000" w:themeColor="text1"/>
                <w:highlight w:val="none"/>
                <w14:textFill>
                  <w14:solidFill>
                    <w14:schemeClr w14:val="tx1"/>
                  </w14:solidFill>
                </w14:textFill>
              </w:rPr>
            </w:pPr>
          </w:p>
        </w:tc>
        <w:tc>
          <w:tcPr>
            <w:tcW w:w="1442" w:type="dxa"/>
            <w:noWrap w:val="0"/>
            <w:vAlign w:val="center"/>
          </w:tcPr>
          <w:p w14:paraId="29FA3ED0">
            <w:pPr>
              <w:pStyle w:val="26"/>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4371" w:type="dxa"/>
            <w:gridSpan w:val="3"/>
            <w:noWrap w:val="0"/>
            <w:vAlign w:val="center"/>
          </w:tcPr>
          <w:p w14:paraId="26939350">
            <w:pPr>
              <w:pStyle w:val="26"/>
              <w:ind w:left="0" w:leftChars="0" w:right="0" w:rightChars="0"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0.00007</w:t>
            </w:r>
          </w:p>
        </w:tc>
      </w:tr>
    </w:tbl>
    <w:p w14:paraId="63B9127B">
      <w:pPr>
        <w:wordWrap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无组织污染物排放量核算</w:t>
      </w:r>
    </w:p>
    <w:p w14:paraId="33BB9D2A">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本项目无组织污染物排放量详见表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w:t>
      </w:r>
    </w:p>
    <w:p w14:paraId="5B956262">
      <w:pPr>
        <w:pStyle w:val="25"/>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color w:val="000000" w:themeColor="text1"/>
          <w:highlight w:val="none"/>
          <w:lang w:val="zh-CN"/>
          <w14:textFill>
            <w14:solidFill>
              <w14:schemeClr w14:val="tx1"/>
            </w14:solidFill>
          </w14:textFill>
        </w:rPr>
        <w:t>大气污染物无组织排放量核算表</w:t>
      </w:r>
    </w:p>
    <w:tbl>
      <w:tblPr>
        <w:tblStyle w:val="20"/>
        <w:tblW w:w="545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511"/>
        <w:gridCol w:w="1397"/>
        <w:gridCol w:w="1493"/>
        <w:gridCol w:w="2081"/>
        <w:gridCol w:w="1299"/>
        <w:gridCol w:w="1286"/>
      </w:tblGrid>
      <w:tr w14:paraId="51D8F7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833" w:type="pct"/>
            <w:vMerge w:val="restart"/>
            <w:noWrap w:val="0"/>
            <w:vAlign w:val="center"/>
          </w:tcPr>
          <w:p w14:paraId="0155107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产污环节</w:t>
            </w:r>
          </w:p>
        </w:tc>
        <w:tc>
          <w:tcPr>
            <w:tcW w:w="770" w:type="pct"/>
            <w:vMerge w:val="restart"/>
            <w:noWrap w:val="0"/>
            <w:vAlign w:val="center"/>
          </w:tcPr>
          <w:p w14:paraId="5E12FFC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污染物</w:t>
            </w:r>
          </w:p>
        </w:tc>
        <w:tc>
          <w:tcPr>
            <w:tcW w:w="823" w:type="pct"/>
            <w:vMerge w:val="restart"/>
            <w:noWrap w:val="0"/>
            <w:vAlign w:val="center"/>
          </w:tcPr>
          <w:p w14:paraId="118A916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主要污染防治措施</w:t>
            </w:r>
          </w:p>
        </w:tc>
        <w:tc>
          <w:tcPr>
            <w:tcW w:w="1863" w:type="pct"/>
            <w:gridSpan w:val="2"/>
            <w:noWrap w:val="0"/>
            <w:vAlign w:val="center"/>
          </w:tcPr>
          <w:p w14:paraId="1501125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排放标准</w:t>
            </w:r>
          </w:p>
        </w:tc>
        <w:tc>
          <w:tcPr>
            <w:tcW w:w="709" w:type="pct"/>
            <w:vMerge w:val="restart"/>
            <w:noWrap w:val="0"/>
            <w:vAlign w:val="center"/>
          </w:tcPr>
          <w:p w14:paraId="582E607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年排放量</w:t>
            </w:r>
          </w:p>
          <w:p w14:paraId="15985956">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t</w:t>
            </w:r>
            <w:r>
              <w:rPr>
                <w:b/>
                <w:bCs/>
                <w:color w:val="000000" w:themeColor="text1"/>
                <w:highlight w:val="none"/>
                <w14:textFill>
                  <w14:solidFill>
                    <w14:schemeClr w14:val="tx1"/>
                  </w14:solidFill>
                </w14:textFill>
              </w:rPr>
              <w:t>/a</w:t>
            </w:r>
            <w:r>
              <w:rPr>
                <w:rFonts w:hint="eastAsia"/>
                <w:b/>
                <w:bCs/>
                <w:color w:val="000000" w:themeColor="text1"/>
                <w:highlight w:val="none"/>
                <w:lang w:eastAsia="zh-CN"/>
                <w14:textFill>
                  <w14:solidFill>
                    <w14:schemeClr w14:val="tx1"/>
                  </w14:solidFill>
                </w14:textFill>
              </w:rPr>
              <w:t>)</w:t>
            </w:r>
          </w:p>
        </w:tc>
      </w:tr>
      <w:tr w14:paraId="6200BC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833" w:type="pct"/>
            <w:vMerge w:val="continue"/>
            <w:tcBorders>
              <w:bottom w:val="single" w:color="auto" w:sz="12" w:space="0"/>
            </w:tcBorders>
            <w:noWrap w:val="0"/>
            <w:vAlign w:val="center"/>
          </w:tcPr>
          <w:p w14:paraId="259D24B6">
            <w:pPr>
              <w:pStyle w:val="26"/>
              <w:rPr>
                <w:b/>
                <w:bCs/>
                <w:color w:val="000000" w:themeColor="text1"/>
                <w:highlight w:val="none"/>
                <w14:textFill>
                  <w14:solidFill>
                    <w14:schemeClr w14:val="tx1"/>
                  </w14:solidFill>
                </w14:textFill>
              </w:rPr>
            </w:pPr>
          </w:p>
        </w:tc>
        <w:tc>
          <w:tcPr>
            <w:tcW w:w="770" w:type="pct"/>
            <w:vMerge w:val="continue"/>
            <w:tcBorders>
              <w:bottom w:val="single" w:color="auto" w:sz="12" w:space="0"/>
            </w:tcBorders>
            <w:noWrap w:val="0"/>
            <w:vAlign w:val="center"/>
          </w:tcPr>
          <w:p w14:paraId="7C388D88">
            <w:pPr>
              <w:pStyle w:val="26"/>
              <w:rPr>
                <w:b/>
                <w:bCs/>
                <w:color w:val="000000" w:themeColor="text1"/>
                <w:highlight w:val="none"/>
                <w14:textFill>
                  <w14:solidFill>
                    <w14:schemeClr w14:val="tx1"/>
                  </w14:solidFill>
                </w14:textFill>
              </w:rPr>
            </w:pPr>
          </w:p>
        </w:tc>
        <w:tc>
          <w:tcPr>
            <w:tcW w:w="823" w:type="pct"/>
            <w:vMerge w:val="continue"/>
            <w:tcBorders>
              <w:bottom w:val="single" w:color="auto" w:sz="12" w:space="0"/>
            </w:tcBorders>
            <w:noWrap w:val="0"/>
            <w:vAlign w:val="center"/>
          </w:tcPr>
          <w:p w14:paraId="6B658E64">
            <w:pPr>
              <w:pStyle w:val="26"/>
              <w:rPr>
                <w:b/>
                <w:bCs/>
                <w:color w:val="000000" w:themeColor="text1"/>
                <w:highlight w:val="none"/>
                <w14:textFill>
                  <w14:solidFill>
                    <w14:schemeClr w14:val="tx1"/>
                  </w14:solidFill>
                </w14:textFill>
              </w:rPr>
            </w:pPr>
          </w:p>
        </w:tc>
        <w:tc>
          <w:tcPr>
            <w:tcW w:w="1147" w:type="pct"/>
            <w:tcBorders>
              <w:bottom w:val="single" w:color="auto" w:sz="12" w:space="0"/>
            </w:tcBorders>
            <w:noWrap w:val="0"/>
            <w:vAlign w:val="center"/>
          </w:tcPr>
          <w:p w14:paraId="33171CE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标准名称</w:t>
            </w:r>
          </w:p>
        </w:tc>
        <w:tc>
          <w:tcPr>
            <w:tcW w:w="716" w:type="pct"/>
            <w:tcBorders>
              <w:bottom w:val="single" w:color="auto" w:sz="12" w:space="0"/>
            </w:tcBorders>
            <w:noWrap w:val="0"/>
            <w:vAlign w:val="center"/>
          </w:tcPr>
          <w:p w14:paraId="437492F3">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浓度限值</w:t>
            </w:r>
          </w:p>
          <w:p w14:paraId="36746467">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m</w:t>
            </w:r>
            <w:r>
              <w:rPr>
                <w:b/>
                <w:bCs/>
                <w:color w:val="000000" w:themeColor="text1"/>
                <w:highlight w:val="none"/>
                <w14:textFill>
                  <w14:solidFill>
                    <w14:schemeClr w14:val="tx1"/>
                  </w14:solidFill>
                </w14:textFill>
              </w:rPr>
              <w:t>g/</w:t>
            </w:r>
            <w:r>
              <w:rPr>
                <w:rFonts w:hint="eastAsia"/>
                <w:b/>
                <w:bCs/>
                <w:color w:val="000000" w:themeColor="text1"/>
                <w:highlight w:val="none"/>
                <w14:textFill>
                  <w14:solidFill>
                    <w14:schemeClr w14:val="tx1"/>
                  </w14:solidFill>
                </w14:textFill>
              </w:rPr>
              <w:t>m</w:t>
            </w:r>
            <w:r>
              <w:rPr>
                <w:rFonts w:hint="eastAsia"/>
                <w:b/>
                <w:bCs/>
                <w:color w:val="000000" w:themeColor="text1"/>
                <w:highlight w:val="none"/>
                <w:vertAlign w:val="superscript"/>
                <w14:textFill>
                  <w14:solidFill>
                    <w14:schemeClr w14:val="tx1"/>
                  </w14:solidFill>
                </w14:textFill>
              </w:rPr>
              <w:t>3</w:t>
            </w:r>
            <w:r>
              <w:rPr>
                <w:rFonts w:hint="eastAsia"/>
                <w:b/>
                <w:bCs/>
                <w:color w:val="000000" w:themeColor="text1"/>
                <w:highlight w:val="none"/>
                <w:vertAlign w:val="superscript"/>
                <w:lang w:eastAsia="zh-CN"/>
                <w14:textFill>
                  <w14:solidFill>
                    <w14:schemeClr w14:val="tx1"/>
                  </w14:solidFill>
                </w14:textFill>
              </w:rPr>
              <w:t>)</w:t>
            </w:r>
          </w:p>
        </w:tc>
        <w:tc>
          <w:tcPr>
            <w:tcW w:w="709" w:type="pct"/>
            <w:vMerge w:val="continue"/>
            <w:tcBorders>
              <w:bottom w:val="single" w:color="auto" w:sz="12" w:space="0"/>
            </w:tcBorders>
            <w:noWrap w:val="0"/>
            <w:vAlign w:val="center"/>
          </w:tcPr>
          <w:p w14:paraId="6438F980">
            <w:pPr>
              <w:pStyle w:val="26"/>
              <w:rPr>
                <w:b/>
                <w:bCs/>
                <w:color w:val="000000" w:themeColor="text1"/>
                <w:highlight w:val="none"/>
                <w14:textFill>
                  <w14:solidFill>
                    <w14:schemeClr w14:val="tx1"/>
                  </w14:solidFill>
                </w14:textFill>
              </w:rPr>
            </w:pPr>
          </w:p>
        </w:tc>
      </w:tr>
      <w:tr w14:paraId="0310C2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11" w:hRule="atLeast"/>
          <w:jc w:val="center"/>
        </w:trPr>
        <w:tc>
          <w:tcPr>
            <w:tcW w:w="833" w:type="pct"/>
            <w:vMerge w:val="restart"/>
            <w:noWrap w:val="0"/>
            <w:vAlign w:val="center"/>
          </w:tcPr>
          <w:p w14:paraId="73D5EE74">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生产车间</w:t>
            </w:r>
          </w:p>
        </w:tc>
        <w:tc>
          <w:tcPr>
            <w:tcW w:w="770" w:type="pct"/>
            <w:noWrap w:val="0"/>
            <w:vAlign w:val="center"/>
          </w:tcPr>
          <w:p w14:paraId="249FC17F">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823" w:type="pct"/>
            <w:vMerge w:val="restart"/>
            <w:noWrap w:val="0"/>
            <w:vAlign w:val="center"/>
          </w:tcPr>
          <w:p w14:paraId="4DEF91C2">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强化通风</w:t>
            </w:r>
          </w:p>
        </w:tc>
        <w:tc>
          <w:tcPr>
            <w:tcW w:w="1147" w:type="pct"/>
            <w:vMerge w:val="restart"/>
            <w:noWrap w:val="0"/>
            <w:vAlign w:val="center"/>
          </w:tcPr>
          <w:p w14:paraId="6B0D3806">
            <w:pPr>
              <w:pStyle w:val="26"/>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《大气污染物综合排放标准》（</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w:t>
            </w:r>
          </w:p>
        </w:tc>
        <w:tc>
          <w:tcPr>
            <w:tcW w:w="716" w:type="pct"/>
            <w:noWrap w:val="0"/>
            <w:vAlign w:val="center"/>
          </w:tcPr>
          <w:p w14:paraId="294DA9BC">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709" w:type="pct"/>
            <w:noWrap w:val="0"/>
            <w:vAlign w:val="center"/>
          </w:tcPr>
          <w:p w14:paraId="3D8CAA72">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21</w:t>
            </w:r>
          </w:p>
        </w:tc>
      </w:tr>
      <w:tr w14:paraId="7517FA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833" w:type="pct"/>
            <w:vMerge w:val="continue"/>
            <w:noWrap w:val="0"/>
            <w:vAlign w:val="center"/>
          </w:tcPr>
          <w:p w14:paraId="6F05ED8B">
            <w:pPr>
              <w:pStyle w:val="26"/>
              <w:rPr>
                <w:color w:val="000000" w:themeColor="text1"/>
                <w:highlight w:val="none"/>
                <w14:textFill>
                  <w14:solidFill>
                    <w14:schemeClr w14:val="tx1"/>
                  </w14:solidFill>
                </w14:textFill>
              </w:rPr>
            </w:pPr>
          </w:p>
        </w:tc>
        <w:tc>
          <w:tcPr>
            <w:tcW w:w="770" w:type="pct"/>
            <w:noWrap w:val="0"/>
            <w:vAlign w:val="center"/>
          </w:tcPr>
          <w:p w14:paraId="73BC64E4">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硫酸雾</w:t>
            </w:r>
          </w:p>
        </w:tc>
        <w:tc>
          <w:tcPr>
            <w:tcW w:w="823" w:type="pct"/>
            <w:vMerge w:val="continue"/>
            <w:noWrap w:val="0"/>
            <w:vAlign w:val="center"/>
          </w:tcPr>
          <w:p w14:paraId="72503488">
            <w:pPr>
              <w:pStyle w:val="26"/>
              <w:rPr>
                <w:rFonts w:ascii="Times New Roman" w:hAnsi="Times New Roman" w:eastAsia="宋体" w:cs="Times New Roman"/>
                <w:color w:val="000000" w:themeColor="text1"/>
                <w:highlight w:val="none"/>
                <w14:textFill>
                  <w14:solidFill>
                    <w14:schemeClr w14:val="tx1"/>
                  </w14:solidFill>
                </w14:textFill>
              </w:rPr>
            </w:pPr>
          </w:p>
        </w:tc>
        <w:tc>
          <w:tcPr>
            <w:tcW w:w="1147" w:type="pct"/>
            <w:vMerge w:val="continue"/>
            <w:noWrap w:val="0"/>
            <w:vAlign w:val="center"/>
          </w:tcPr>
          <w:p w14:paraId="56C0ABDB">
            <w:pPr>
              <w:pStyle w:val="26"/>
              <w:bidi w:val="0"/>
              <w:rPr>
                <w:color w:val="000000" w:themeColor="text1"/>
                <w:highlight w:val="none"/>
                <w14:textFill>
                  <w14:solidFill>
                    <w14:schemeClr w14:val="tx1"/>
                  </w14:solidFill>
                </w14:textFill>
              </w:rPr>
            </w:pPr>
          </w:p>
        </w:tc>
        <w:tc>
          <w:tcPr>
            <w:tcW w:w="716" w:type="pct"/>
            <w:noWrap w:val="0"/>
            <w:vAlign w:val="center"/>
          </w:tcPr>
          <w:p w14:paraId="13F57B5F">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09" w:type="pct"/>
            <w:noWrap w:val="0"/>
            <w:vAlign w:val="center"/>
          </w:tcPr>
          <w:p w14:paraId="5B6FA18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0.0401kg/a</w:t>
            </w:r>
          </w:p>
        </w:tc>
      </w:tr>
      <w:tr w14:paraId="119D43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833" w:type="pct"/>
            <w:vMerge w:val="restart"/>
            <w:noWrap w:val="0"/>
            <w:vAlign w:val="center"/>
          </w:tcPr>
          <w:p w14:paraId="4DF6A81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无组织排放合计</w:t>
            </w:r>
          </w:p>
        </w:tc>
        <w:tc>
          <w:tcPr>
            <w:tcW w:w="770" w:type="pct"/>
            <w:noWrap w:val="0"/>
            <w:vAlign w:val="center"/>
          </w:tcPr>
          <w:p w14:paraId="09D20BB3">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6159" w:type="dxa"/>
            <w:gridSpan w:val="4"/>
            <w:noWrap w:val="0"/>
            <w:vAlign w:val="center"/>
          </w:tcPr>
          <w:p w14:paraId="3B0B6FFF">
            <w:pPr>
              <w:pStyle w:val="26"/>
              <w:bidi w:val="0"/>
              <w:ind w:left="0" w:leftChars="0" w:right="0" w:rightChars="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21</w:t>
            </w:r>
          </w:p>
        </w:tc>
      </w:tr>
      <w:tr w14:paraId="4C8DAE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833" w:type="pct"/>
            <w:vMerge w:val="continue"/>
            <w:noWrap w:val="0"/>
            <w:vAlign w:val="center"/>
          </w:tcPr>
          <w:p w14:paraId="038BAF17">
            <w:pPr>
              <w:pStyle w:val="26"/>
              <w:rPr>
                <w:rFonts w:hint="eastAsia"/>
                <w:color w:val="000000" w:themeColor="text1"/>
                <w:highlight w:val="none"/>
                <w14:textFill>
                  <w14:solidFill>
                    <w14:schemeClr w14:val="tx1"/>
                  </w14:solidFill>
                </w14:textFill>
              </w:rPr>
            </w:pPr>
          </w:p>
        </w:tc>
        <w:tc>
          <w:tcPr>
            <w:tcW w:w="770" w:type="pct"/>
            <w:noWrap w:val="0"/>
            <w:vAlign w:val="center"/>
          </w:tcPr>
          <w:p w14:paraId="51A4125A">
            <w:pPr>
              <w:pStyle w:val="26"/>
              <w:ind w:left="0" w:leftChars="0" w:right="0" w:rightChars="0" w:firstLine="0" w:firstLineChars="0"/>
              <w:rPr>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硫酸雾</w:t>
            </w:r>
          </w:p>
        </w:tc>
        <w:tc>
          <w:tcPr>
            <w:tcW w:w="6159" w:type="dxa"/>
            <w:gridSpan w:val="4"/>
            <w:noWrap w:val="0"/>
            <w:vAlign w:val="center"/>
          </w:tcPr>
          <w:p w14:paraId="4D4B423D">
            <w:pPr>
              <w:pStyle w:val="26"/>
              <w:bidi w:val="0"/>
              <w:ind w:left="0" w:leftChars="0" w:right="0" w:rightChars="0" w:firstLine="0" w:firstLineChars="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0.0401kg/a</w:t>
            </w:r>
          </w:p>
        </w:tc>
      </w:tr>
    </w:tbl>
    <w:p w14:paraId="6FB9114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（3）项目大气污染物年排放量核算</w:t>
      </w:r>
    </w:p>
    <w:p w14:paraId="3F3B1432">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14:textFill>
            <w14:solidFill>
              <w14:schemeClr w14:val="tx1"/>
            </w14:solidFill>
          </w14:textFill>
        </w:rPr>
        <w:t>大气</w:t>
      </w:r>
      <w:r>
        <w:rPr>
          <w:color w:val="000000" w:themeColor="text1"/>
          <w:highlight w:val="none"/>
          <w14:textFill>
            <w14:solidFill>
              <w14:schemeClr w14:val="tx1"/>
            </w14:solidFill>
          </w14:textFill>
        </w:rPr>
        <w:t>污染物排放量详见表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10</w:t>
      </w:r>
      <w:r>
        <w:rPr>
          <w:color w:val="000000" w:themeColor="text1"/>
          <w:highlight w:val="none"/>
          <w14:textFill>
            <w14:solidFill>
              <w14:schemeClr w14:val="tx1"/>
            </w14:solidFill>
          </w14:textFill>
        </w:rPr>
        <w:t>。</w:t>
      </w:r>
    </w:p>
    <w:p w14:paraId="53DD436D">
      <w:pPr>
        <w:pStyle w:val="25"/>
        <w:rPr>
          <w:color w:val="000000" w:themeColor="text1"/>
          <w:highlight w:val="none"/>
          <w14:textFill>
            <w14:solidFill>
              <w14:schemeClr w14:val="tx1"/>
            </w14:solidFill>
          </w14:textFill>
        </w:rPr>
      </w:pPr>
      <w:r>
        <w:rPr>
          <w:color w:val="000000" w:themeColor="text1"/>
          <w:highlight w:val="none"/>
          <w:lang w:val="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10</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color w:val="000000" w:themeColor="text1"/>
          <w:highlight w:val="none"/>
          <w:lang w:val="zh-CN"/>
          <w14:textFill>
            <w14:solidFill>
              <w14:schemeClr w14:val="tx1"/>
            </w14:solidFill>
          </w14:textFill>
        </w:rPr>
        <w:t>大气污染物</w:t>
      </w:r>
      <w:r>
        <w:rPr>
          <w:rFonts w:hint="eastAsia"/>
          <w:color w:val="000000" w:themeColor="text1"/>
          <w:highlight w:val="none"/>
          <w14:textFill>
            <w14:solidFill>
              <w14:schemeClr w14:val="tx1"/>
            </w14:solidFill>
          </w14:textFill>
        </w:rPr>
        <w:t>年</w:t>
      </w:r>
      <w:r>
        <w:rPr>
          <w:color w:val="000000" w:themeColor="text1"/>
          <w:highlight w:val="none"/>
          <w:lang w:val="zh-CN"/>
          <w14:textFill>
            <w14:solidFill>
              <w14:schemeClr w14:val="tx1"/>
            </w14:solidFill>
          </w14:textFill>
        </w:rPr>
        <w:t>排放量核算表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78"/>
        <w:gridCol w:w="1855"/>
        <w:gridCol w:w="1974"/>
        <w:gridCol w:w="1732"/>
        <w:gridCol w:w="1732"/>
      </w:tblGrid>
      <w:tr w14:paraId="6169F2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78" w:type="dxa"/>
            <w:vMerge w:val="restart"/>
            <w:tcBorders>
              <w:bottom w:val="single" w:color="auto" w:sz="4" w:space="0"/>
            </w:tcBorders>
            <w:noWrap w:val="0"/>
            <w:vAlign w:val="center"/>
          </w:tcPr>
          <w:p w14:paraId="7EB57D3C">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序号</w:t>
            </w:r>
          </w:p>
        </w:tc>
        <w:tc>
          <w:tcPr>
            <w:tcW w:w="1855" w:type="dxa"/>
            <w:vMerge w:val="restart"/>
            <w:tcBorders>
              <w:bottom w:val="single" w:color="auto" w:sz="4" w:space="0"/>
            </w:tcBorders>
            <w:noWrap w:val="0"/>
            <w:vAlign w:val="center"/>
          </w:tcPr>
          <w:p w14:paraId="3F215464">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污染物</w:t>
            </w:r>
          </w:p>
        </w:tc>
        <w:tc>
          <w:tcPr>
            <w:tcW w:w="5438" w:type="dxa"/>
            <w:gridSpan w:val="3"/>
            <w:tcBorders>
              <w:bottom w:val="single" w:color="auto" w:sz="4" w:space="0"/>
            </w:tcBorders>
            <w:noWrap w:val="0"/>
            <w:vAlign w:val="center"/>
          </w:tcPr>
          <w:p w14:paraId="15E3913E">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排放量（t/a）</w:t>
            </w:r>
          </w:p>
        </w:tc>
      </w:tr>
      <w:tr w14:paraId="1A0246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78" w:type="dxa"/>
            <w:vMerge w:val="continue"/>
            <w:tcBorders>
              <w:top w:val="single" w:color="auto" w:sz="4" w:space="0"/>
              <w:bottom w:val="single" w:color="auto" w:sz="12" w:space="0"/>
            </w:tcBorders>
            <w:noWrap w:val="0"/>
            <w:vAlign w:val="center"/>
          </w:tcPr>
          <w:p w14:paraId="5C4D13F4">
            <w:pPr>
              <w:pStyle w:val="26"/>
              <w:rPr>
                <w:rFonts w:hint="eastAsia"/>
                <w:b/>
                <w:bCs/>
                <w:color w:val="000000" w:themeColor="text1"/>
                <w:highlight w:val="none"/>
                <w14:textFill>
                  <w14:solidFill>
                    <w14:schemeClr w14:val="tx1"/>
                  </w14:solidFill>
                </w14:textFill>
              </w:rPr>
            </w:pPr>
          </w:p>
        </w:tc>
        <w:tc>
          <w:tcPr>
            <w:tcW w:w="1855" w:type="dxa"/>
            <w:vMerge w:val="continue"/>
            <w:tcBorders>
              <w:top w:val="single" w:color="auto" w:sz="4" w:space="0"/>
              <w:bottom w:val="single" w:color="auto" w:sz="12" w:space="0"/>
            </w:tcBorders>
            <w:noWrap w:val="0"/>
            <w:vAlign w:val="center"/>
          </w:tcPr>
          <w:p w14:paraId="32CD30AB">
            <w:pPr>
              <w:pStyle w:val="26"/>
              <w:rPr>
                <w:rFonts w:hint="eastAsia"/>
                <w:b/>
                <w:bCs/>
                <w:color w:val="000000" w:themeColor="text1"/>
                <w:highlight w:val="none"/>
                <w14:textFill>
                  <w14:solidFill>
                    <w14:schemeClr w14:val="tx1"/>
                  </w14:solidFill>
                </w14:textFill>
              </w:rPr>
            </w:pPr>
          </w:p>
        </w:tc>
        <w:tc>
          <w:tcPr>
            <w:tcW w:w="1974" w:type="dxa"/>
            <w:tcBorders>
              <w:top w:val="single" w:color="auto" w:sz="4" w:space="0"/>
              <w:bottom w:val="single" w:color="auto" w:sz="12" w:space="0"/>
            </w:tcBorders>
            <w:noWrap w:val="0"/>
            <w:vAlign w:val="center"/>
          </w:tcPr>
          <w:p w14:paraId="31221FFE">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有组织</w:t>
            </w:r>
          </w:p>
        </w:tc>
        <w:tc>
          <w:tcPr>
            <w:tcW w:w="1732" w:type="dxa"/>
            <w:tcBorders>
              <w:top w:val="single" w:color="auto" w:sz="4" w:space="0"/>
              <w:bottom w:val="single" w:color="auto" w:sz="12" w:space="0"/>
            </w:tcBorders>
            <w:noWrap w:val="0"/>
            <w:vAlign w:val="center"/>
          </w:tcPr>
          <w:p w14:paraId="6BFD4686">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无组织</w:t>
            </w:r>
          </w:p>
        </w:tc>
        <w:tc>
          <w:tcPr>
            <w:tcW w:w="1732" w:type="dxa"/>
            <w:tcBorders>
              <w:top w:val="single" w:color="auto" w:sz="4" w:space="0"/>
              <w:bottom w:val="single" w:color="auto" w:sz="12" w:space="0"/>
            </w:tcBorders>
            <w:noWrap w:val="0"/>
            <w:vAlign w:val="center"/>
          </w:tcPr>
          <w:p w14:paraId="4383F544">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合计</w:t>
            </w:r>
          </w:p>
        </w:tc>
      </w:tr>
      <w:tr w14:paraId="6FA2F9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78" w:type="dxa"/>
            <w:tcBorders>
              <w:top w:val="single" w:color="auto" w:sz="12" w:space="0"/>
            </w:tcBorders>
            <w:noWrap w:val="0"/>
            <w:vAlign w:val="center"/>
          </w:tcPr>
          <w:p w14:paraId="6CE3B9E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855" w:type="dxa"/>
            <w:tcBorders>
              <w:top w:val="single" w:color="auto" w:sz="12" w:space="0"/>
            </w:tcBorders>
            <w:noWrap w:val="0"/>
            <w:vAlign w:val="center"/>
          </w:tcPr>
          <w:p w14:paraId="5A1D5CE3">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1974" w:type="dxa"/>
            <w:tcBorders>
              <w:top w:val="single" w:color="auto" w:sz="12" w:space="0"/>
            </w:tcBorders>
            <w:noWrap w:val="0"/>
            <w:vAlign w:val="center"/>
          </w:tcPr>
          <w:p w14:paraId="0792B925">
            <w:pPr>
              <w:pStyle w:val="26"/>
              <w:ind w:left="0" w:leftChars="0" w:right="0" w:rightChars="0" w:firstLine="0" w:firstLineChars="0"/>
              <w:jc w:val="center"/>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0.21</w:t>
            </w:r>
          </w:p>
        </w:tc>
        <w:tc>
          <w:tcPr>
            <w:tcW w:w="1732" w:type="dxa"/>
            <w:tcBorders>
              <w:top w:val="single" w:color="auto" w:sz="12" w:space="0"/>
            </w:tcBorders>
            <w:noWrap w:val="0"/>
            <w:vAlign w:val="center"/>
          </w:tcPr>
          <w:p w14:paraId="518842F9">
            <w:pPr>
              <w:pStyle w:val="26"/>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21</w:t>
            </w:r>
          </w:p>
        </w:tc>
        <w:tc>
          <w:tcPr>
            <w:tcW w:w="1732" w:type="dxa"/>
            <w:tcBorders>
              <w:top w:val="single" w:color="auto" w:sz="12" w:space="0"/>
            </w:tcBorders>
            <w:noWrap w:val="0"/>
            <w:vAlign w:val="center"/>
          </w:tcPr>
          <w:p w14:paraId="22F7BBB4">
            <w:pPr>
              <w:pStyle w:val="26"/>
              <w:ind w:left="0" w:leftChars="0" w:right="0" w:rightChars="0" w:firstLine="0" w:firstLineChars="0"/>
              <w:rPr>
                <w:rFonts w:hint="default"/>
                <w:color w:val="000000" w:themeColor="text1"/>
                <w:highlight w:val="none"/>
                <w:lang w:val="en-US"/>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w:t>
            </w:r>
            <w:r>
              <w:rPr>
                <w:rFonts w:hint="eastAsia" w:cs="Times New Roman"/>
                <w:color w:val="000000" w:themeColor="text1"/>
                <w:highlight w:val="none"/>
                <w:lang w:val="en-US" w:eastAsia="zh-CN"/>
                <w14:textFill>
                  <w14:solidFill>
                    <w14:schemeClr w14:val="tx1"/>
                  </w14:solidFill>
                </w14:textFill>
              </w:rPr>
              <w:t>42</w:t>
            </w:r>
          </w:p>
        </w:tc>
      </w:tr>
      <w:tr w14:paraId="35DE2F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78" w:type="dxa"/>
            <w:noWrap w:val="0"/>
            <w:vAlign w:val="center"/>
          </w:tcPr>
          <w:p w14:paraId="4464E90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1855" w:type="dxa"/>
            <w:noWrap w:val="0"/>
            <w:vAlign w:val="center"/>
          </w:tcPr>
          <w:p w14:paraId="48EF0C15">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1974" w:type="dxa"/>
            <w:noWrap w:val="0"/>
            <w:vAlign w:val="center"/>
          </w:tcPr>
          <w:p w14:paraId="6C078F14">
            <w:pPr>
              <w:pStyle w:val="26"/>
              <w:ind w:left="0" w:leftChars="0" w:right="0" w:rightChars="0" w:firstLine="0" w:firstLineChars="0"/>
              <w:jc w:val="center"/>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0.22</w:t>
            </w:r>
          </w:p>
        </w:tc>
        <w:tc>
          <w:tcPr>
            <w:tcW w:w="1732" w:type="dxa"/>
            <w:noWrap w:val="0"/>
            <w:vAlign w:val="center"/>
          </w:tcPr>
          <w:p w14:paraId="3684FC0E">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w:t>
            </w:r>
          </w:p>
        </w:tc>
        <w:tc>
          <w:tcPr>
            <w:tcW w:w="1732" w:type="dxa"/>
            <w:noWrap w:val="0"/>
            <w:vAlign w:val="center"/>
          </w:tcPr>
          <w:p w14:paraId="12C49E65">
            <w:pPr>
              <w:pStyle w:val="26"/>
              <w:ind w:left="0" w:leftChars="0" w:right="0" w:rightChars="0" w:firstLine="0" w:firstLineChars="0"/>
              <w:rPr>
                <w:rFonts w:hint="default"/>
                <w:color w:val="000000" w:themeColor="text1"/>
                <w:highlight w:val="none"/>
                <w:lang w:val="en-US"/>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w:t>
            </w:r>
            <w:r>
              <w:rPr>
                <w:rFonts w:hint="eastAsia" w:cs="Times New Roman"/>
                <w:color w:val="000000" w:themeColor="text1"/>
                <w:highlight w:val="none"/>
                <w:lang w:val="en-US" w:eastAsia="zh-CN"/>
                <w14:textFill>
                  <w14:solidFill>
                    <w14:schemeClr w14:val="tx1"/>
                  </w14:solidFill>
                </w14:textFill>
              </w:rPr>
              <w:t>22</w:t>
            </w:r>
          </w:p>
        </w:tc>
      </w:tr>
      <w:tr w14:paraId="1BD714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778" w:type="dxa"/>
            <w:noWrap w:val="0"/>
            <w:vAlign w:val="center"/>
          </w:tcPr>
          <w:p w14:paraId="0747121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1855" w:type="dxa"/>
            <w:noWrap w:val="0"/>
            <w:vAlign w:val="center"/>
          </w:tcPr>
          <w:p w14:paraId="5DFC8294">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1974" w:type="dxa"/>
            <w:noWrap w:val="0"/>
            <w:vAlign w:val="center"/>
          </w:tcPr>
          <w:p w14:paraId="103D7B2C">
            <w:pPr>
              <w:pStyle w:val="26"/>
              <w:ind w:left="0" w:leftChars="0" w:right="0" w:rightChars="0" w:firstLine="0" w:firstLineChars="0"/>
              <w:jc w:val="center"/>
              <w:rPr>
                <w:rFonts w:hint="default" w:eastAsia="宋体"/>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0.01</w:t>
            </w:r>
          </w:p>
        </w:tc>
        <w:tc>
          <w:tcPr>
            <w:tcW w:w="1732" w:type="dxa"/>
            <w:noWrap w:val="0"/>
            <w:vAlign w:val="center"/>
          </w:tcPr>
          <w:p w14:paraId="5986F182">
            <w:pPr>
              <w:pStyle w:val="26"/>
              <w:ind w:left="0" w:leftChars="0" w:right="0" w:rightChars="0" w:firstLine="0" w:firstLineChars="0"/>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eastAsia="zh-CN"/>
                <w14:textFill>
                  <w14:solidFill>
                    <w14:schemeClr w14:val="tx1"/>
                  </w14:solidFill>
                </w14:textFill>
              </w:rPr>
              <w:t>0.0401kg/a</w:t>
            </w:r>
          </w:p>
        </w:tc>
        <w:tc>
          <w:tcPr>
            <w:tcW w:w="1732" w:type="dxa"/>
            <w:noWrap w:val="0"/>
            <w:vAlign w:val="center"/>
          </w:tcPr>
          <w:p w14:paraId="4C9708CF">
            <w:pPr>
              <w:pStyle w:val="26"/>
              <w:ind w:left="0" w:leftChars="0" w:right="0" w:rightChars="0" w:firstLine="0" w:firstLineChars="0"/>
              <w:rPr>
                <w:rFonts w:hint="default" w:eastAsia="宋体"/>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w:t>
            </w:r>
            <w:r>
              <w:rPr>
                <w:rFonts w:hint="eastAsia" w:cs="Times New Roman"/>
                <w:color w:val="000000" w:themeColor="text1"/>
                <w:highlight w:val="none"/>
                <w:lang w:val="en-US" w:eastAsia="zh-CN"/>
                <w14:textFill>
                  <w14:solidFill>
                    <w14:schemeClr w14:val="tx1"/>
                  </w14:solidFill>
                </w14:textFill>
              </w:rPr>
              <w:t>1</w:t>
            </w:r>
          </w:p>
        </w:tc>
      </w:tr>
      <w:tr w14:paraId="452FCA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78" w:type="dxa"/>
            <w:noWrap w:val="0"/>
            <w:vAlign w:val="center"/>
          </w:tcPr>
          <w:p w14:paraId="73327A6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1855" w:type="dxa"/>
            <w:noWrap w:val="0"/>
            <w:vAlign w:val="center"/>
          </w:tcPr>
          <w:p w14:paraId="13474357">
            <w:pPr>
              <w:pStyle w:val="26"/>
              <w:ind w:left="0" w:leftChars="0" w:right="0" w:rightChars="0" w:firstLine="0" w:firstLineChars="0"/>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1974" w:type="dxa"/>
            <w:noWrap w:val="0"/>
            <w:vAlign w:val="center"/>
          </w:tcPr>
          <w:p w14:paraId="354BF724">
            <w:pPr>
              <w:pStyle w:val="26"/>
              <w:ind w:left="0" w:leftChars="0" w:right="0" w:rightChars="0" w:firstLine="0" w:firstLineChars="0"/>
              <w:jc w:val="center"/>
              <w:rPr>
                <w:rFonts w:hint="default" w:eastAsia="宋体"/>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0.00007</w:t>
            </w:r>
          </w:p>
        </w:tc>
        <w:tc>
          <w:tcPr>
            <w:tcW w:w="1732" w:type="dxa"/>
            <w:noWrap w:val="0"/>
            <w:vAlign w:val="center"/>
          </w:tcPr>
          <w:p w14:paraId="4C858DA6">
            <w:pPr>
              <w:pStyle w:val="26"/>
              <w:ind w:left="0" w:leftChars="0" w:right="0" w:rightChars="0" w:firstLine="0" w:firstLineChars="0"/>
              <w:rPr>
                <w:rFonts w:hint="default"/>
                <w:color w:val="000000" w:themeColor="text1"/>
                <w:highlight w:val="none"/>
                <w:lang w:val="en-US"/>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w:t>
            </w:r>
          </w:p>
        </w:tc>
        <w:tc>
          <w:tcPr>
            <w:tcW w:w="1732" w:type="dxa"/>
            <w:noWrap w:val="0"/>
            <w:vAlign w:val="center"/>
          </w:tcPr>
          <w:p w14:paraId="6E8FFEAD">
            <w:pPr>
              <w:pStyle w:val="26"/>
              <w:ind w:left="0" w:leftChars="0" w:right="0" w:rightChars="0" w:firstLine="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0.00007</w:t>
            </w:r>
          </w:p>
        </w:tc>
      </w:tr>
    </w:tbl>
    <w:p w14:paraId="2C3DA40A">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lang w:val="en-US"/>
          <w14:textFill>
            <w14:solidFill>
              <w14:schemeClr w14:val="tx1"/>
            </w14:solidFill>
          </w14:textFill>
        </w:rPr>
        <w:t>.2.1.</w:t>
      </w:r>
      <w:r>
        <w:rPr>
          <w:rFonts w:hint="eastAsia"/>
          <w:color w:val="000000" w:themeColor="text1"/>
          <w:highlight w:val="none"/>
          <w:lang w:val="en-US"/>
          <w14:textFill>
            <w14:solidFill>
              <w14:schemeClr w14:val="tx1"/>
            </w14:solidFill>
          </w14:textFill>
        </w:rPr>
        <w:t>6</w:t>
      </w:r>
      <w:r>
        <w:rPr>
          <w:color w:val="000000" w:themeColor="text1"/>
          <w:highlight w:val="none"/>
          <w14:textFill>
            <w14:solidFill>
              <w14:schemeClr w14:val="tx1"/>
            </w14:solidFill>
          </w14:textFill>
        </w:rPr>
        <w:t>大气环境防护距离</w:t>
      </w:r>
    </w:p>
    <w:p w14:paraId="2213AF8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根据上述无组织污染物估算结果，本项目厂界外大气污染物贡献浓度未超过环境质量浓度限值，无超标点。根据《环境影响评价技术导则 大气环境》（HJ2.2-2018），本项目不设大气环境防护距离。</w:t>
      </w:r>
    </w:p>
    <w:p w14:paraId="76B9D879">
      <w:pPr>
        <w:pStyle w:val="5"/>
        <w:rPr>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lang w:val="en-US"/>
          <w14:textFill>
            <w14:solidFill>
              <w14:schemeClr w14:val="tx1"/>
            </w14:solidFill>
          </w14:textFill>
        </w:rPr>
        <w:t>.2.</w:t>
      </w:r>
      <w:r>
        <w:rPr>
          <w:rFonts w:hint="eastAsia"/>
          <w:color w:val="000000" w:themeColor="text1"/>
          <w:highlight w:val="none"/>
          <w:lang w:val="en-US"/>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lang w:val="en-US"/>
          <w14:textFill>
            <w14:solidFill>
              <w14:schemeClr w14:val="tx1"/>
            </w14:solidFill>
          </w14:textFill>
        </w:rPr>
        <w:t>大气环境影响评价自查</w:t>
      </w:r>
      <w:r>
        <w:rPr>
          <w:rFonts w:hint="eastAsia"/>
          <w:color w:val="000000" w:themeColor="text1"/>
          <w:highlight w:val="none"/>
          <w:lang w:val="en-US"/>
          <w14:textFill>
            <w14:solidFill>
              <w14:schemeClr w14:val="tx1"/>
            </w14:solidFill>
          </w14:textFill>
        </w:rPr>
        <w:t>表</w:t>
      </w:r>
    </w:p>
    <w:p w14:paraId="504CCAF4">
      <w:pPr>
        <w:wordWrap w:val="0"/>
        <w:snapToGrid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本项目大气环境影响评价自查表见表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w:t>
      </w:r>
    </w:p>
    <w:p w14:paraId="3143A810">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大气环境影响评价自查表</w:t>
      </w:r>
    </w:p>
    <w:tbl>
      <w:tblPr>
        <w:tblStyle w:val="20"/>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006"/>
        <w:gridCol w:w="1323"/>
        <w:gridCol w:w="869"/>
        <w:gridCol w:w="503"/>
        <w:gridCol w:w="279"/>
        <w:gridCol w:w="595"/>
        <w:gridCol w:w="549"/>
        <w:gridCol w:w="271"/>
        <w:gridCol w:w="118"/>
        <w:gridCol w:w="544"/>
        <w:gridCol w:w="906"/>
        <w:gridCol w:w="256"/>
        <w:gridCol w:w="716"/>
        <w:gridCol w:w="584"/>
      </w:tblGrid>
      <w:tr w14:paraId="7662954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368" w:type="pct"/>
            <w:gridSpan w:val="2"/>
            <w:tcBorders>
              <w:bottom w:val="single" w:color="000000" w:sz="12" w:space="0"/>
            </w:tcBorders>
            <w:noWrap w:val="0"/>
            <w:vAlign w:val="center"/>
          </w:tcPr>
          <w:p w14:paraId="761FD58E">
            <w:pPr>
              <w:wordWrap w:val="0"/>
              <w:spacing w:line="240" w:lineRule="auto"/>
              <w:ind w:firstLine="0" w:firstLineChars="0"/>
              <w:jc w:val="center"/>
              <w:rPr>
                <w:b/>
                <w:bCs/>
                <w:color w:val="000000" w:themeColor="text1"/>
                <w:sz w:val="18"/>
                <w:szCs w:val="18"/>
                <w:highlight w:val="none"/>
                <w14:textFill>
                  <w14:solidFill>
                    <w14:schemeClr w14:val="tx1"/>
                  </w14:solidFill>
                </w14:textFill>
              </w:rPr>
            </w:pPr>
            <w:r>
              <w:rPr>
                <w:b/>
                <w:bCs/>
                <w:color w:val="000000" w:themeColor="text1"/>
                <w:sz w:val="18"/>
                <w:szCs w:val="18"/>
                <w:highlight w:val="none"/>
                <w14:textFill>
                  <w14:solidFill>
                    <w14:schemeClr w14:val="tx1"/>
                  </w14:solidFill>
                </w14:textFill>
              </w:rPr>
              <w:t>工作内容</w:t>
            </w:r>
          </w:p>
        </w:tc>
        <w:tc>
          <w:tcPr>
            <w:tcW w:w="3631" w:type="pct"/>
            <w:gridSpan w:val="12"/>
            <w:tcBorders>
              <w:bottom w:val="single" w:color="000000" w:sz="12" w:space="0"/>
            </w:tcBorders>
            <w:noWrap w:val="0"/>
            <w:vAlign w:val="center"/>
          </w:tcPr>
          <w:p w14:paraId="1543E2A3">
            <w:pPr>
              <w:wordWrap w:val="0"/>
              <w:spacing w:line="240" w:lineRule="auto"/>
              <w:ind w:firstLine="0" w:firstLineChars="0"/>
              <w:jc w:val="center"/>
              <w:rPr>
                <w:b/>
                <w:bCs/>
                <w:color w:val="000000" w:themeColor="text1"/>
                <w:sz w:val="18"/>
                <w:szCs w:val="18"/>
                <w:highlight w:val="none"/>
                <w14:textFill>
                  <w14:solidFill>
                    <w14:schemeClr w14:val="tx1"/>
                  </w14:solidFill>
                </w14:textFill>
              </w:rPr>
            </w:pPr>
            <w:r>
              <w:rPr>
                <w:b/>
                <w:bCs/>
                <w:color w:val="000000" w:themeColor="text1"/>
                <w:sz w:val="18"/>
                <w:szCs w:val="18"/>
                <w:highlight w:val="none"/>
                <w14:textFill>
                  <w14:solidFill>
                    <w14:schemeClr w14:val="tx1"/>
                  </w14:solidFill>
                </w14:textFill>
              </w:rPr>
              <w:t>自查项目</w:t>
            </w:r>
          </w:p>
        </w:tc>
      </w:tr>
      <w:tr w14:paraId="11B72D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restart"/>
            <w:tcBorders>
              <w:top w:val="single" w:color="000000" w:sz="12" w:space="0"/>
            </w:tcBorders>
            <w:noWrap w:val="0"/>
            <w:vAlign w:val="center"/>
          </w:tcPr>
          <w:p w14:paraId="704901E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评价等级与范围</w:t>
            </w:r>
          </w:p>
        </w:tc>
        <w:tc>
          <w:tcPr>
            <w:tcW w:w="776" w:type="pct"/>
            <w:tcBorders>
              <w:top w:val="single" w:color="000000" w:sz="12" w:space="0"/>
            </w:tcBorders>
            <w:noWrap w:val="0"/>
            <w:vAlign w:val="center"/>
          </w:tcPr>
          <w:p w14:paraId="4213F695">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评价等级</w:t>
            </w:r>
          </w:p>
        </w:tc>
        <w:tc>
          <w:tcPr>
            <w:tcW w:w="1318" w:type="pct"/>
            <w:gridSpan w:val="4"/>
            <w:tcBorders>
              <w:top w:val="single" w:color="000000" w:sz="12" w:space="0"/>
            </w:tcBorders>
            <w:noWrap w:val="0"/>
            <w:vAlign w:val="center"/>
          </w:tcPr>
          <w:p w14:paraId="21D27F90">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一级□</w:t>
            </w:r>
          </w:p>
        </w:tc>
        <w:tc>
          <w:tcPr>
            <w:tcW w:w="1400" w:type="pct"/>
            <w:gridSpan w:val="5"/>
            <w:tcBorders>
              <w:top w:val="single" w:color="000000" w:sz="12" w:space="0"/>
            </w:tcBorders>
            <w:noWrap w:val="0"/>
            <w:vAlign w:val="center"/>
          </w:tcPr>
          <w:p w14:paraId="794D6E67">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二级</w:t>
            </w:r>
            <w:r>
              <w:rPr>
                <w:color w:val="000000" w:themeColor="text1"/>
                <w:sz w:val="18"/>
                <w:szCs w:val="18"/>
                <w:highlight w:val="none"/>
                <w14:textFill>
                  <w14:solidFill>
                    <w14:schemeClr w14:val="tx1"/>
                  </w14:solidFill>
                </w14:textFill>
              </w:rPr>
              <w:sym w:font="Wingdings 2" w:char="0052"/>
            </w:r>
          </w:p>
        </w:tc>
        <w:tc>
          <w:tcPr>
            <w:tcW w:w="912" w:type="pct"/>
            <w:gridSpan w:val="3"/>
            <w:tcBorders>
              <w:top w:val="single" w:color="000000" w:sz="12" w:space="0"/>
            </w:tcBorders>
            <w:noWrap w:val="0"/>
            <w:vAlign w:val="center"/>
          </w:tcPr>
          <w:p w14:paraId="140FBC9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三级□</w:t>
            </w:r>
          </w:p>
        </w:tc>
      </w:tr>
      <w:tr w14:paraId="6DAAF9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24FFF64A">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3245EB56">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评价范围</w:t>
            </w:r>
          </w:p>
        </w:tc>
        <w:tc>
          <w:tcPr>
            <w:tcW w:w="1318" w:type="pct"/>
            <w:gridSpan w:val="4"/>
            <w:noWrap w:val="0"/>
            <w:vAlign w:val="center"/>
          </w:tcPr>
          <w:p w14:paraId="4F4BC89E">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边长=50k</w:t>
            </w:r>
            <w:r>
              <w:rPr>
                <w:rFonts w:hint="eastAsia"/>
                <w:color w:val="000000" w:themeColor="text1"/>
                <w:sz w:val="18"/>
                <w:szCs w:val="18"/>
                <w:highlight w:val="none"/>
                <w14:textFill>
                  <w14:solidFill>
                    <w14:schemeClr w14:val="tx1"/>
                  </w14:solidFill>
                </w14:textFill>
              </w:rPr>
              <w:t>m</w:t>
            </w:r>
            <w:r>
              <w:rPr>
                <w:color w:val="000000" w:themeColor="text1"/>
                <w:sz w:val="18"/>
                <w:szCs w:val="18"/>
                <w:highlight w:val="none"/>
                <w14:textFill>
                  <w14:solidFill>
                    <w14:schemeClr w14:val="tx1"/>
                  </w14:solidFill>
                </w14:textFill>
              </w:rPr>
              <w:t>□</w:t>
            </w:r>
          </w:p>
        </w:tc>
        <w:tc>
          <w:tcPr>
            <w:tcW w:w="1400" w:type="pct"/>
            <w:gridSpan w:val="5"/>
            <w:noWrap w:val="0"/>
            <w:vAlign w:val="center"/>
          </w:tcPr>
          <w:p w14:paraId="6B1F145B">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边长=5</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50k</w:t>
            </w:r>
            <w:r>
              <w:rPr>
                <w:rFonts w:hint="eastAsia"/>
                <w:color w:val="000000" w:themeColor="text1"/>
                <w:sz w:val="18"/>
                <w:szCs w:val="18"/>
                <w:highlight w:val="none"/>
                <w14:textFill>
                  <w14:solidFill>
                    <w14:schemeClr w14:val="tx1"/>
                  </w14:solidFill>
                </w14:textFill>
              </w:rPr>
              <w:t>m</w:t>
            </w:r>
            <w:r>
              <w:rPr>
                <w:color w:val="000000" w:themeColor="text1"/>
                <w:sz w:val="18"/>
                <w:szCs w:val="18"/>
                <w:highlight w:val="none"/>
                <w14:textFill>
                  <w14:solidFill>
                    <w14:schemeClr w14:val="tx1"/>
                  </w14:solidFill>
                </w14:textFill>
              </w:rPr>
              <w:t>□</w:t>
            </w:r>
          </w:p>
        </w:tc>
        <w:tc>
          <w:tcPr>
            <w:tcW w:w="912" w:type="pct"/>
            <w:gridSpan w:val="3"/>
            <w:noWrap w:val="0"/>
            <w:vAlign w:val="center"/>
          </w:tcPr>
          <w:p w14:paraId="46026AB8">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边长=5k</w:t>
            </w:r>
            <w:r>
              <w:rPr>
                <w:rFonts w:hint="eastAsia"/>
                <w:color w:val="000000" w:themeColor="text1"/>
                <w:sz w:val="18"/>
                <w:szCs w:val="18"/>
                <w:highlight w:val="none"/>
                <w14:textFill>
                  <w14:solidFill>
                    <w14:schemeClr w14:val="tx1"/>
                  </w14:solidFill>
                </w14:textFill>
              </w:rPr>
              <w:t>m</w:t>
            </w:r>
            <w:r>
              <w:rPr>
                <w:color w:val="000000" w:themeColor="text1"/>
                <w:sz w:val="18"/>
                <w:szCs w:val="18"/>
                <w:highlight w:val="none"/>
                <w14:textFill>
                  <w14:solidFill>
                    <w14:schemeClr w14:val="tx1"/>
                  </w14:solidFill>
                </w14:textFill>
              </w:rPr>
              <w:sym w:font="Wingdings 2" w:char="0052"/>
            </w:r>
          </w:p>
        </w:tc>
      </w:tr>
      <w:tr w14:paraId="218BE8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restart"/>
            <w:noWrap w:val="0"/>
            <w:vAlign w:val="center"/>
          </w:tcPr>
          <w:p w14:paraId="51E90A9D">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评价因子</w:t>
            </w:r>
          </w:p>
        </w:tc>
        <w:tc>
          <w:tcPr>
            <w:tcW w:w="776" w:type="pct"/>
            <w:noWrap w:val="0"/>
            <w:vAlign w:val="center"/>
          </w:tcPr>
          <w:p w14:paraId="5D7233C2">
            <w:pPr>
              <w:wordWrap w:val="0"/>
              <w:spacing w:line="240" w:lineRule="auto"/>
              <w:ind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SO</w:t>
            </w:r>
            <w:r>
              <w:rPr>
                <w:rFonts w:hint="eastAsia"/>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14:textFill>
                  <w14:solidFill>
                    <w14:schemeClr w14:val="tx1"/>
                  </w14:solidFill>
                </w14:textFill>
              </w:rPr>
              <w:t>NO</w:t>
            </w:r>
            <w:r>
              <w:rPr>
                <w:color w:val="000000" w:themeColor="text1"/>
                <w:sz w:val="18"/>
                <w:szCs w:val="18"/>
                <w:highlight w:val="none"/>
                <w14:textFill>
                  <w14:solidFill>
                    <w14:schemeClr w14:val="tx1"/>
                  </w14:solidFill>
                </w14:textFill>
              </w:rPr>
              <w:t>x排放量</w:t>
            </w:r>
          </w:p>
        </w:tc>
        <w:tc>
          <w:tcPr>
            <w:tcW w:w="969" w:type="pct"/>
            <w:gridSpan w:val="3"/>
            <w:noWrap w:val="0"/>
            <w:vAlign w:val="center"/>
          </w:tcPr>
          <w:p w14:paraId="2A90C085">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≥2000t/a□</w:t>
            </w:r>
          </w:p>
        </w:tc>
        <w:tc>
          <w:tcPr>
            <w:tcW w:w="899" w:type="pct"/>
            <w:gridSpan w:val="4"/>
            <w:noWrap w:val="0"/>
            <w:vAlign w:val="center"/>
          </w:tcPr>
          <w:p w14:paraId="13F2A7F6">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500</w:t>
            </w:r>
            <w:r>
              <w:rPr>
                <w:rFonts w:hint="eastAsia"/>
                <w:color w:val="000000" w:themeColor="text1"/>
                <w:sz w:val="18"/>
                <w:szCs w:val="18"/>
                <w:highlight w:val="none"/>
                <w:lang w:eastAsia="zh-CN"/>
                <w14:textFill>
                  <w14:solidFill>
                    <w14:schemeClr w14:val="tx1"/>
                  </w14:solidFill>
                </w14:textFill>
              </w:rPr>
              <w:t>—</w:t>
            </w:r>
            <w:r>
              <w:rPr>
                <w:color w:val="000000" w:themeColor="text1"/>
                <w:sz w:val="18"/>
                <w:szCs w:val="18"/>
                <w:highlight w:val="none"/>
                <w14:textFill>
                  <w14:solidFill>
                    <w14:schemeClr w14:val="tx1"/>
                  </w14:solidFill>
                </w14:textFill>
              </w:rPr>
              <w:t>2000t/a□</w:t>
            </w:r>
          </w:p>
        </w:tc>
        <w:tc>
          <w:tcPr>
            <w:tcW w:w="1763" w:type="pct"/>
            <w:gridSpan w:val="5"/>
            <w:noWrap w:val="0"/>
            <w:vAlign w:val="center"/>
          </w:tcPr>
          <w:p w14:paraId="3ECF72A8">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&lt;500t/a</w:t>
            </w:r>
            <w:r>
              <w:rPr>
                <w:color w:val="000000" w:themeColor="text1"/>
                <w:sz w:val="18"/>
                <w:szCs w:val="18"/>
                <w:highlight w:val="none"/>
                <w14:textFill>
                  <w14:solidFill>
                    <w14:schemeClr w14:val="tx1"/>
                  </w14:solidFill>
                </w14:textFill>
              </w:rPr>
              <w:sym w:font="Wingdings 2" w:char="0052"/>
            </w:r>
          </w:p>
        </w:tc>
      </w:tr>
      <w:tr w14:paraId="3BC46D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577047B8">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408FCCA8">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评价因子</w:t>
            </w:r>
          </w:p>
        </w:tc>
        <w:tc>
          <w:tcPr>
            <w:tcW w:w="1868" w:type="pct"/>
            <w:gridSpan w:val="7"/>
            <w:noWrap w:val="0"/>
            <w:vAlign w:val="center"/>
          </w:tcPr>
          <w:p w14:paraId="648FA23B">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基本污染物</w:t>
            </w:r>
            <w:r>
              <w:rPr>
                <w:rFonts w:hint="eastAsia"/>
                <w:color w:val="000000" w:themeColor="text1"/>
                <w:sz w:val="18"/>
                <w:szCs w:val="18"/>
                <w:highlight w:val="none"/>
                <w14:textFill>
                  <w14:solidFill>
                    <w14:schemeClr w14:val="tx1"/>
                  </w14:solidFill>
                </w14:textFill>
              </w:rPr>
              <w:t>（SO</w:t>
            </w:r>
            <w:r>
              <w:rPr>
                <w:rFonts w:hint="eastAsia"/>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14:textFill>
                  <w14:solidFill>
                    <w14:schemeClr w14:val="tx1"/>
                  </w14:solidFill>
                </w14:textFill>
              </w:rPr>
              <w:t>NO</w:t>
            </w:r>
            <w:r>
              <w:rPr>
                <w:rFonts w:hint="eastAsia"/>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14:textFill>
                  <w14:solidFill>
                    <w14:schemeClr w14:val="tx1"/>
                  </w14:solidFill>
                </w14:textFill>
              </w:rPr>
              <w:t>PM</w:t>
            </w:r>
            <w:r>
              <w:rPr>
                <w:rFonts w:hint="eastAsia"/>
                <w:color w:val="000000" w:themeColor="text1"/>
                <w:sz w:val="18"/>
                <w:szCs w:val="18"/>
                <w:highlight w:val="none"/>
                <w:vertAlign w:val="subscript"/>
                <w14:textFill>
                  <w14:solidFill>
                    <w14:schemeClr w14:val="tx1"/>
                  </w14:solidFill>
                </w14:textFill>
              </w:rPr>
              <w:t>10</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14:textFill>
                  <w14:solidFill>
                    <w14:schemeClr w14:val="tx1"/>
                  </w14:solidFill>
                </w14:textFill>
              </w:rPr>
              <w:t>PM</w:t>
            </w:r>
            <w:r>
              <w:rPr>
                <w:rFonts w:hint="eastAsia"/>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vertAlign w:val="subscript"/>
                <w14:textFill>
                  <w14:solidFill>
                    <w14:schemeClr w14:val="tx1"/>
                  </w14:solidFill>
                </w14:textFill>
              </w:rPr>
              <w:t>.5</w:t>
            </w:r>
            <w:r>
              <w:rPr>
                <w:color w:val="000000" w:themeColor="text1"/>
                <w:sz w:val="18"/>
                <w:szCs w:val="18"/>
                <w:highlight w:val="none"/>
                <w14:textFill>
                  <w14:solidFill>
                    <w14:schemeClr w14:val="tx1"/>
                  </w14:solidFill>
                </w14:textFill>
              </w:rPr>
              <w:t>、CO、O</w:t>
            </w:r>
            <w:r>
              <w:rPr>
                <w:color w:val="000000" w:themeColor="text1"/>
                <w:sz w:val="18"/>
                <w:szCs w:val="18"/>
                <w:highlight w:val="none"/>
                <w:vertAlign w:val="subscript"/>
                <w14:textFill>
                  <w14:solidFill>
                    <w14:schemeClr w14:val="tx1"/>
                  </w14:solidFill>
                </w14:textFill>
              </w:rPr>
              <w:t>3</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；其他污染物</w:t>
            </w:r>
            <w:r>
              <w:rPr>
                <w:rFonts w:hint="eastAsia"/>
                <w:color w:val="000000" w:themeColor="text1"/>
                <w:sz w:val="18"/>
                <w:szCs w:val="18"/>
                <w:highlight w:val="none"/>
                <w14:textFill>
                  <w14:solidFill>
                    <w14:schemeClr w14:val="tx1"/>
                  </w14:solidFill>
                </w14:textFill>
              </w:rPr>
              <w:t>（</w:t>
            </w:r>
            <w:r>
              <w:rPr>
                <w:rFonts w:hint="eastAsia"/>
                <w:color w:val="000000" w:themeColor="text1"/>
                <w:sz w:val="18"/>
                <w:szCs w:val="18"/>
                <w:highlight w:val="none"/>
                <w:lang w:val="en-US" w:eastAsia="zh-CN"/>
                <w14:textFill>
                  <w14:solidFill>
                    <w14:schemeClr w14:val="tx1"/>
                  </w14:solidFill>
                </w14:textFill>
              </w:rPr>
              <w:t>硫酸雾、氟化物、颗粒物</w:t>
            </w:r>
            <w:r>
              <w:rPr>
                <w:rFonts w:hint="eastAsia"/>
                <w:color w:val="000000" w:themeColor="text1"/>
                <w:sz w:val="18"/>
                <w:szCs w:val="18"/>
                <w:highlight w:val="none"/>
                <w14:textFill>
                  <w14:solidFill>
                    <w14:schemeClr w14:val="tx1"/>
                  </w14:solidFill>
                </w14:textFill>
              </w:rPr>
              <w:t>、非甲烷总烃）</w:t>
            </w:r>
          </w:p>
        </w:tc>
        <w:tc>
          <w:tcPr>
            <w:tcW w:w="1763" w:type="pct"/>
            <w:gridSpan w:val="5"/>
            <w:noWrap w:val="0"/>
            <w:vAlign w:val="center"/>
          </w:tcPr>
          <w:p w14:paraId="46E70F75">
            <w:pPr>
              <w:keepNext w:val="0"/>
              <w:keepLines w:val="0"/>
              <w:pageBreakBefore w:val="0"/>
              <w:widowControl w:val="0"/>
              <w:kinsoku w:val="0"/>
              <w:wordWrap/>
              <w:overflowPunct w:val="0"/>
              <w:topLinePunct w:val="0"/>
              <w:autoSpaceDE/>
              <w:autoSpaceDN/>
              <w:bidi w:val="0"/>
              <w:adjustRightInd/>
              <w:snapToGrid/>
              <w:spacing w:line="240" w:lineRule="auto"/>
              <w:ind w:firstLine="0" w:firstLineChars="0"/>
              <w:jc w:val="center"/>
              <w:textAlignment w:val="auto"/>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包括二次</w:t>
            </w:r>
            <w:r>
              <w:rPr>
                <w:rFonts w:hint="eastAsia"/>
                <w:color w:val="000000" w:themeColor="text1"/>
                <w:sz w:val="18"/>
                <w:szCs w:val="18"/>
                <w:highlight w:val="none"/>
                <w14:textFill>
                  <w14:solidFill>
                    <w14:schemeClr w14:val="tx1"/>
                  </w14:solidFill>
                </w14:textFill>
              </w:rPr>
              <w:t>PM</w:t>
            </w:r>
            <w:r>
              <w:rPr>
                <w:rFonts w:hint="eastAsia"/>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vertAlign w:val="subscript"/>
                <w14:textFill>
                  <w14:solidFill>
                    <w14:schemeClr w14:val="tx1"/>
                  </w14:solidFill>
                </w14:textFill>
              </w:rPr>
              <w:t>.5</w:t>
            </w:r>
            <w:r>
              <w:rPr>
                <w:color w:val="000000" w:themeColor="text1"/>
                <w:sz w:val="18"/>
                <w:szCs w:val="18"/>
                <w:highlight w:val="none"/>
                <w14:textFill>
                  <w14:solidFill>
                    <w14:schemeClr w14:val="tx1"/>
                  </w14:solidFill>
                </w14:textFill>
              </w:rPr>
              <w:t>□；不包括二次</w:t>
            </w:r>
            <w:r>
              <w:rPr>
                <w:rFonts w:hint="eastAsia"/>
                <w:color w:val="000000" w:themeColor="text1"/>
                <w:sz w:val="18"/>
                <w:szCs w:val="18"/>
                <w:highlight w:val="none"/>
                <w14:textFill>
                  <w14:solidFill>
                    <w14:schemeClr w14:val="tx1"/>
                  </w14:solidFill>
                </w14:textFill>
              </w:rPr>
              <w:t>PM</w:t>
            </w:r>
            <w:r>
              <w:rPr>
                <w:rFonts w:hint="eastAsia"/>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vertAlign w:val="subscript"/>
                <w14:textFill>
                  <w14:solidFill>
                    <w14:schemeClr w14:val="tx1"/>
                  </w14:solidFill>
                </w14:textFill>
              </w:rPr>
              <w:t>.5</w:t>
            </w:r>
            <w:r>
              <w:rPr>
                <w:color w:val="000000" w:themeColor="text1"/>
                <w:sz w:val="18"/>
                <w:szCs w:val="18"/>
                <w:highlight w:val="none"/>
                <w14:textFill>
                  <w14:solidFill>
                    <w14:schemeClr w14:val="tx1"/>
                  </w14:solidFill>
                </w14:textFill>
              </w:rPr>
              <w:sym w:font="Wingdings 2" w:char="0052"/>
            </w:r>
          </w:p>
        </w:tc>
      </w:tr>
      <w:tr w14:paraId="63FAB8D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noWrap w:val="0"/>
            <w:vAlign w:val="center"/>
          </w:tcPr>
          <w:p w14:paraId="5550405F">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评价标准</w:t>
            </w:r>
          </w:p>
        </w:tc>
        <w:tc>
          <w:tcPr>
            <w:tcW w:w="776" w:type="pct"/>
            <w:noWrap w:val="0"/>
            <w:vAlign w:val="center"/>
          </w:tcPr>
          <w:p w14:paraId="30E46ABB">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评价标准</w:t>
            </w:r>
          </w:p>
        </w:tc>
        <w:tc>
          <w:tcPr>
            <w:tcW w:w="969" w:type="pct"/>
            <w:gridSpan w:val="3"/>
            <w:noWrap w:val="0"/>
            <w:vAlign w:val="center"/>
          </w:tcPr>
          <w:p w14:paraId="76F90E94">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国家标准</w:t>
            </w:r>
            <w:r>
              <w:rPr>
                <w:color w:val="000000" w:themeColor="text1"/>
                <w:sz w:val="18"/>
                <w:szCs w:val="18"/>
                <w:highlight w:val="none"/>
                <w14:textFill>
                  <w14:solidFill>
                    <w14:schemeClr w14:val="tx1"/>
                  </w14:solidFill>
                </w14:textFill>
              </w:rPr>
              <w:sym w:font="Wingdings 2" w:char="0052"/>
            </w:r>
          </w:p>
        </w:tc>
        <w:tc>
          <w:tcPr>
            <w:tcW w:w="899" w:type="pct"/>
            <w:gridSpan w:val="4"/>
            <w:noWrap w:val="0"/>
            <w:vAlign w:val="center"/>
          </w:tcPr>
          <w:p w14:paraId="253C54ED">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地方标准□</w:t>
            </w:r>
          </w:p>
        </w:tc>
        <w:tc>
          <w:tcPr>
            <w:tcW w:w="850" w:type="pct"/>
            <w:gridSpan w:val="2"/>
            <w:noWrap w:val="0"/>
            <w:vAlign w:val="center"/>
          </w:tcPr>
          <w:p w14:paraId="0E279726">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附录D</w:t>
            </w:r>
            <w:r>
              <w:rPr>
                <w:color w:val="000000" w:themeColor="text1"/>
                <w:sz w:val="18"/>
                <w:szCs w:val="18"/>
                <w:highlight w:val="none"/>
                <w14:textFill>
                  <w14:solidFill>
                    <w14:schemeClr w14:val="tx1"/>
                  </w14:solidFill>
                </w14:textFill>
              </w:rPr>
              <w:sym w:font="Wingdings 2" w:char="0052"/>
            </w:r>
          </w:p>
        </w:tc>
        <w:tc>
          <w:tcPr>
            <w:tcW w:w="912" w:type="pct"/>
            <w:gridSpan w:val="3"/>
            <w:noWrap w:val="0"/>
            <w:vAlign w:val="center"/>
          </w:tcPr>
          <w:p w14:paraId="26A89437">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其他标准□</w:t>
            </w:r>
          </w:p>
        </w:tc>
      </w:tr>
      <w:tr w14:paraId="02538B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restart"/>
            <w:noWrap w:val="0"/>
            <w:vAlign w:val="center"/>
          </w:tcPr>
          <w:p w14:paraId="1AA6F8C6">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现状评价</w:t>
            </w:r>
          </w:p>
        </w:tc>
        <w:tc>
          <w:tcPr>
            <w:tcW w:w="776" w:type="pct"/>
            <w:noWrap w:val="0"/>
            <w:vAlign w:val="center"/>
          </w:tcPr>
          <w:p w14:paraId="5D1A5804">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评价功能区</w:t>
            </w:r>
          </w:p>
        </w:tc>
        <w:tc>
          <w:tcPr>
            <w:tcW w:w="1318" w:type="pct"/>
            <w:gridSpan w:val="4"/>
            <w:noWrap w:val="0"/>
            <w:vAlign w:val="center"/>
          </w:tcPr>
          <w:p w14:paraId="0D4E8C70">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一类区□</w:t>
            </w:r>
          </w:p>
        </w:tc>
        <w:tc>
          <w:tcPr>
            <w:tcW w:w="1400" w:type="pct"/>
            <w:gridSpan w:val="5"/>
            <w:noWrap w:val="0"/>
            <w:vAlign w:val="center"/>
          </w:tcPr>
          <w:p w14:paraId="5D1E19B9">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二类区</w:t>
            </w:r>
            <w:r>
              <w:rPr>
                <w:color w:val="000000" w:themeColor="text1"/>
                <w:sz w:val="18"/>
                <w:szCs w:val="18"/>
                <w:highlight w:val="none"/>
                <w14:textFill>
                  <w14:solidFill>
                    <w14:schemeClr w14:val="tx1"/>
                  </w14:solidFill>
                </w14:textFill>
              </w:rPr>
              <w:sym w:font="Wingdings 2" w:char="0052"/>
            </w:r>
          </w:p>
        </w:tc>
        <w:tc>
          <w:tcPr>
            <w:tcW w:w="912" w:type="pct"/>
            <w:gridSpan w:val="3"/>
            <w:noWrap w:val="0"/>
            <w:vAlign w:val="center"/>
          </w:tcPr>
          <w:p w14:paraId="182329B5">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一类区和二类区□</w:t>
            </w:r>
          </w:p>
        </w:tc>
      </w:tr>
      <w:tr w14:paraId="14094D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79BF1D19">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73AF7BA5">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评价基准年</w:t>
            </w:r>
          </w:p>
        </w:tc>
        <w:tc>
          <w:tcPr>
            <w:tcW w:w="3631" w:type="pct"/>
            <w:gridSpan w:val="12"/>
            <w:noWrap w:val="0"/>
            <w:vAlign w:val="center"/>
          </w:tcPr>
          <w:p w14:paraId="5CE12BB7">
            <w:pPr>
              <w:wordWrap w:val="0"/>
              <w:spacing w:line="240" w:lineRule="auto"/>
              <w:ind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20</w:t>
            </w:r>
            <w:r>
              <w:rPr>
                <w:rFonts w:hint="eastAsia"/>
                <w:color w:val="000000" w:themeColor="text1"/>
                <w:sz w:val="18"/>
                <w:szCs w:val="18"/>
                <w:highlight w:val="none"/>
                <w14:textFill>
                  <w14:solidFill>
                    <w14:schemeClr w14:val="tx1"/>
                  </w14:solidFill>
                </w14:textFill>
              </w:rPr>
              <w:t>2</w:t>
            </w:r>
            <w:r>
              <w:rPr>
                <w:rFonts w:hint="eastAsia"/>
                <w:color w:val="000000" w:themeColor="text1"/>
                <w:sz w:val="18"/>
                <w:szCs w:val="18"/>
                <w:highlight w:val="none"/>
                <w:lang w:val="en-US" w:eastAsia="zh-CN"/>
                <w14:textFill>
                  <w14:solidFill>
                    <w14:schemeClr w14:val="tx1"/>
                  </w14:solidFill>
                </w14:textFill>
              </w:rPr>
              <w:t>4</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年</w:t>
            </w:r>
          </w:p>
        </w:tc>
      </w:tr>
      <w:tr w14:paraId="45144C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78DE3944">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6A36B12C">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环境空气质量现状调查数据来源</w:t>
            </w:r>
          </w:p>
        </w:tc>
        <w:tc>
          <w:tcPr>
            <w:tcW w:w="1318" w:type="pct"/>
            <w:gridSpan w:val="4"/>
            <w:noWrap w:val="0"/>
            <w:vAlign w:val="center"/>
          </w:tcPr>
          <w:p w14:paraId="0A127C0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长期例行监测数据□</w:t>
            </w:r>
          </w:p>
        </w:tc>
        <w:tc>
          <w:tcPr>
            <w:tcW w:w="1400" w:type="pct"/>
            <w:gridSpan w:val="5"/>
            <w:noWrap w:val="0"/>
            <w:vAlign w:val="center"/>
          </w:tcPr>
          <w:p w14:paraId="7D0BD1BD">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主管部门发布的数据</w:t>
            </w:r>
            <w:r>
              <w:rPr>
                <w:color w:val="000000" w:themeColor="text1"/>
                <w:sz w:val="18"/>
                <w:szCs w:val="18"/>
                <w:highlight w:val="none"/>
                <w14:textFill>
                  <w14:solidFill>
                    <w14:schemeClr w14:val="tx1"/>
                  </w14:solidFill>
                </w14:textFill>
              </w:rPr>
              <w:sym w:font="Wingdings 2" w:char="0052"/>
            </w:r>
          </w:p>
        </w:tc>
        <w:tc>
          <w:tcPr>
            <w:tcW w:w="912" w:type="pct"/>
            <w:gridSpan w:val="3"/>
            <w:noWrap w:val="0"/>
            <w:vAlign w:val="center"/>
          </w:tcPr>
          <w:p w14:paraId="3A52A1C6">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现状补充检测</w:t>
            </w:r>
            <w:r>
              <w:rPr>
                <w:color w:val="000000" w:themeColor="text1"/>
                <w:sz w:val="18"/>
                <w:szCs w:val="18"/>
                <w:highlight w:val="none"/>
                <w14:textFill>
                  <w14:solidFill>
                    <w14:schemeClr w14:val="tx1"/>
                  </w14:solidFill>
                </w14:textFill>
              </w:rPr>
              <w:sym w:font="Wingdings 2" w:char="0052"/>
            </w:r>
          </w:p>
        </w:tc>
      </w:tr>
      <w:tr w14:paraId="407E4E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738F576E">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27F23F4B">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现状评价</w:t>
            </w:r>
          </w:p>
        </w:tc>
        <w:tc>
          <w:tcPr>
            <w:tcW w:w="1868" w:type="pct"/>
            <w:gridSpan w:val="7"/>
            <w:noWrap w:val="0"/>
            <w:vAlign w:val="center"/>
          </w:tcPr>
          <w:p w14:paraId="561FCB84">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达标区□</w:t>
            </w:r>
          </w:p>
        </w:tc>
        <w:tc>
          <w:tcPr>
            <w:tcW w:w="1763" w:type="pct"/>
            <w:gridSpan w:val="5"/>
            <w:noWrap w:val="0"/>
            <w:vAlign w:val="center"/>
          </w:tcPr>
          <w:p w14:paraId="73AECBCD">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不达标区</w:t>
            </w:r>
            <w:r>
              <w:rPr>
                <w:color w:val="000000" w:themeColor="text1"/>
                <w:sz w:val="18"/>
                <w:szCs w:val="18"/>
                <w:highlight w:val="none"/>
                <w14:textFill>
                  <w14:solidFill>
                    <w14:schemeClr w14:val="tx1"/>
                  </w14:solidFill>
                </w14:textFill>
              </w:rPr>
              <w:sym w:font="Wingdings 2" w:char="0052"/>
            </w:r>
          </w:p>
        </w:tc>
      </w:tr>
      <w:tr w14:paraId="3B952A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restart"/>
            <w:noWrap w:val="0"/>
            <w:vAlign w:val="center"/>
          </w:tcPr>
          <w:p w14:paraId="19CAD52F">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污染源调查</w:t>
            </w:r>
          </w:p>
        </w:tc>
        <w:tc>
          <w:tcPr>
            <w:tcW w:w="776" w:type="pct"/>
            <w:vMerge w:val="restart"/>
            <w:noWrap w:val="0"/>
            <w:vAlign w:val="center"/>
          </w:tcPr>
          <w:p w14:paraId="1F652C29">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调查内容</w:t>
            </w:r>
          </w:p>
        </w:tc>
        <w:tc>
          <w:tcPr>
            <w:tcW w:w="969" w:type="pct"/>
            <w:gridSpan w:val="3"/>
            <w:noWrap w:val="0"/>
            <w:vAlign w:val="center"/>
          </w:tcPr>
          <w:p w14:paraId="05D2FBBC">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本项目正常排放源</w:t>
            </w:r>
            <w:r>
              <w:rPr>
                <w:color w:val="000000" w:themeColor="text1"/>
                <w:sz w:val="18"/>
                <w:szCs w:val="18"/>
                <w:highlight w:val="none"/>
                <w14:textFill>
                  <w14:solidFill>
                    <w14:schemeClr w14:val="tx1"/>
                  </w14:solidFill>
                </w14:textFill>
              </w:rPr>
              <w:sym w:font="Wingdings 2" w:char="0052"/>
            </w:r>
          </w:p>
        </w:tc>
        <w:tc>
          <w:tcPr>
            <w:tcW w:w="899" w:type="pct"/>
            <w:gridSpan w:val="4"/>
            <w:vMerge w:val="restart"/>
            <w:noWrap w:val="0"/>
            <w:vAlign w:val="center"/>
          </w:tcPr>
          <w:p w14:paraId="51B082B9">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拟替代的污染源□</w:t>
            </w:r>
          </w:p>
        </w:tc>
        <w:tc>
          <w:tcPr>
            <w:tcW w:w="850" w:type="pct"/>
            <w:gridSpan w:val="2"/>
            <w:vMerge w:val="restart"/>
            <w:noWrap w:val="0"/>
            <w:vAlign w:val="center"/>
          </w:tcPr>
          <w:p w14:paraId="4D84B506">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其他在建、拟建项目污染源□</w:t>
            </w:r>
          </w:p>
        </w:tc>
        <w:tc>
          <w:tcPr>
            <w:tcW w:w="912" w:type="pct"/>
            <w:gridSpan w:val="3"/>
            <w:vMerge w:val="restart"/>
            <w:noWrap w:val="0"/>
            <w:vAlign w:val="center"/>
          </w:tcPr>
          <w:p w14:paraId="26C00A50">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区域污染源□</w:t>
            </w:r>
          </w:p>
        </w:tc>
      </w:tr>
      <w:tr w14:paraId="7383CB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27E2591E">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continue"/>
            <w:noWrap w:val="0"/>
            <w:vAlign w:val="center"/>
          </w:tcPr>
          <w:p w14:paraId="6804998B">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969" w:type="pct"/>
            <w:gridSpan w:val="3"/>
            <w:noWrap w:val="0"/>
            <w:vAlign w:val="center"/>
          </w:tcPr>
          <w:p w14:paraId="158714BB">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本项目非正常排放源</w:t>
            </w:r>
            <w:r>
              <w:rPr>
                <w:color w:val="000000" w:themeColor="text1"/>
                <w:sz w:val="18"/>
                <w:szCs w:val="18"/>
                <w:highlight w:val="none"/>
                <w14:textFill>
                  <w14:solidFill>
                    <w14:schemeClr w14:val="tx1"/>
                  </w14:solidFill>
                </w14:textFill>
              </w:rPr>
              <w:sym w:font="Wingdings 2" w:char="00A3"/>
            </w:r>
          </w:p>
        </w:tc>
        <w:tc>
          <w:tcPr>
            <w:tcW w:w="899" w:type="pct"/>
            <w:gridSpan w:val="4"/>
            <w:vMerge w:val="continue"/>
            <w:noWrap w:val="0"/>
            <w:vAlign w:val="center"/>
          </w:tcPr>
          <w:p w14:paraId="1D772E8E">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850" w:type="pct"/>
            <w:gridSpan w:val="2"/>
            <w:vMerge w:val="continue"/>
            <w:noWrap w:val="0"/>
            <w:vAlign w:val="center"/>
          </w:tcPr>
          <w:p w14:paraId="55817557">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912" w:type="pct"/>
            <w:gridSpan w:val="3"/>
            <w:vMerge w:val="continue"/>
            <w:noWrap w:val="0"/>
            <w:vAlign w:val="center"/>
          </w:tcPr>
          <w:p w14:paraId="4704A486">
            <w:pPr>
              <w:wordWrap w:val="0"/>
              <w:spacing w:line="240" w:lineRule="auto"/>
              <w:ind w:firstLine="0" w:firstLineChars="0"/>
              <w:jc w:val="center"/>
              <w:rPr>
                <w:color w:val="000000" w:themeColor="text1"/>
                <w:sz w:val="18"/>
                <w:szCs w:val="18"/>
                <w:highlight w:val="none"/>
                <w14:textFill>
                  <w14:solidFill>
                    <w14:schemeClr w14:val="tx1"/>
                  </w14:solidFill>
                </w14:textFill>
              </w:rPr>
            </w:pPr>
          </w:p>
        </w:tc>
      </w:tr>
      <w:tr w14:paraId="19C17B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49C3093C">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continue"/>
            <w:noWrap w:val="0"/>
            <w:vAlign w:val="center"/>
          </w:tcPr>
          <w:p w14:paraId="2AD51903">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969" w:type="pct"/>
            <w:gridSpan w:val="3"/>
            <w:noWrap w:val="0"/>
            <w:vAlign w:val="center"/>
          </w:tcPr>
          <w:p w14:paraId="775B699B">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现有污染源□</w:t>
            </w:r>
          </w:p>
        </w:tc>
        <w:tc>
          <w:tcPr>
            <w:tcW w:w="899" w:type="pct"/>
            <w:gridSpan w:val="4"/>
            <w:vMerge w:val="continue"/>
            <w:noWrap w:val="0"/>
            <w:vAlign w:val="center"/>
          </w:tcPr>
          <w:p w14:paraId="78BC5E33">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850" w:type="pct"/>
            <w:gridSpan w:val="2"/>
            <w:vMerge w:val="continue"/>
            <w:noWrap w:val="0"/>
            <w:vAlign w:val="center"/>
          </w:tcPr>
          <w:p w14:paraId="1F65B297">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912" w:type="pct"/>
            <w:gridSpan w:val="3"/>
            <w:vMerge w:val="continue"/>
            <w:noWrap w:val="0"/>
            <w:vAlign w:val="center"/>
          </w:tcPr>
          <w:p w14:paraId="00368AC7">
            <w:pPr>
              <w:wordWrap w:val="0"/>
              <w:spacing w:line="240" w:lineRule="auto"/>
              <w:ind w:firstLine="0" w:firstLineChars="0"/>
              <w:jc w:val="center"/>
              <w:rPr>
                <w:color w:val="000000" w:themeColor="text1"/>
                <w:sz w:val="18"/>
                <w:szCs w:val="18"/>
                <w:highlight w:val="none"/>
                <w14:textFill>
                  <w14:solidFill>
                    <w14:schemeClr w14:val="tx1"/>
                  </w14:solidFill>
                </w14:textFill>
              </w:rPr>
            </w:pPr>
          </w:p>
        </w:tc>
      </w:tr>
      <w:tr w14:paraId="5333B8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restart"/>
            <w:noWrap w:val="0"/>
            <w:vAlign w:val="center"/>
          </w:tcPr>
          <w:p w14:paraId="29D9F8B7">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大气环境影响预测与评价</w:t>
            </w:r>
          </w:p>
        </w:tc>
        <w:tc>
          <w:tcPr>
            <w:tcW w:w="776" w:type="pct"/>
            <w:noWrap w:val="0"/>
            <w:vAlign w:val="center"/>
          </w:tcPr>
          <w:p w14:paraId="38004CB6">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预测模型</w:t>
            </w:r>
          </w:p>
        </w:tc>
        <w:tc>
          <w:tcPr>
            <w:tcW w:w="510" w:type="pct"/>
            <w:noWrap w:val="0"/>
            <w:vAlign w:val="center"/>
          </w:tcPr>
          <w:p w14:paraId="0ED58FDF">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AER</w:t>
            </w:r>
            <w:r>
              <w:rPr>
                <w:rFonts w:hint="eastAsia"/>
                <w:color w:val="000000" w:themeColor="text1"/>
                <w:sz w:val="18"/>
                <w:szCs w:val="18"/>
                <w:highlight w:val="none"/>
                <w14:textFill>
                  <w14:solidFill>
                    <w14:schemeClr w14:val="tx1"/>
                  </w14:solidFill>
                </w14:textFill>
              </w:rPr>
              <w:t>M</w:t>
            </w:r>
            <w:r>
              <w:rPr>
                <w:color w:val="000000" w:themeColor="text1"/>
                <w:sz w:val="18"/>
                <w:szCs w:val="18"/>
                <w:highlight w:val="none"/>
                <w14:textFill>
                  <w14:solidFill>
                    <w14:schemeClr w14:val="tx1"/>
                  </w14:solidFill>
                </w14:textFill>
              </w:rPr>
              <w:t>OD</w:t>
            </w:r>
            <w:r>
              <w:rPr>
                <w:color w:val="000000" w:themeColor="text1"/>
                <w:sz w:val="18"/>
                <w:szCs w:val="18"/>
                <w:highlight w:val="none"/>
                <w14:textFill>
                  <w14:solidFill>
                    <w14:schemeClr w14:val="tx1"/>
                  </w14:solidFill>
                </w14:textFill>
              </w:rPr>
              <w:sym w:font="Wingdings 2" w:char="00A3"/>
            </w:r>
          </w:p>
        </w:tc>
        <w:tc>
          <w:tcPr>
            <w:tcW w:w="458" w:type="pct"/>
            <w:gridSpan w:val="2"/>
            <w:noWrap w:val="0"/>
            <w:vAlign w:val="center"/>
          </w:tcPr>
          <w:p w14:paraId="049432A2">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AD</w:t>
            </w:r>
            <w:r>
              <w:rPr>
                <w:rFonts w:hint="eastAsia"/>
                <w:color w:val="000000" w:themeColor="text1"/>
                <w:sz w:val="18"/>
                <w:szCs w:val="18"/>
                <w:highlight w:val="none"/>
                <w14:textFill>
                  <w14:solidFill>
                    <w14:schemeClr w14:val="tx1"/>
                  </w14:solidFill>
                </w14:textFill>
              </w:rPr>
              <w:t>MS</w:t>
            </w:r>
            <w:r>
              <w:rPr>
                <w:color w:val="000000" w:themeColor="text1"/>
                <w:sz w:val="18"/>
                <w:szCs w:val="18"/>
                <w:highlight w:val="none"/>
                <w14:textFill>
                  <w14:solidFill>
                    <w14:schemeClr w14:val="tx1"/>
                  </w14:solidFill>
                </w14:textFill>
              </w:rPr>
              <w:t>□</w:t>
            </w:r>
          </w:p>
        </w:tc>
        <w:tc>
          <w:tcPr>
            <w:tcW w:w="671" w:type="pct"/>
            <w:gridSpan w:val="2"/>
            <w:noWrap w:val="0"/>
            <w:vAlign w:val="center"/>
          </w:tcPr>
          <w:p w14:paraId="761C9218">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AU</w:t>
            </w:r>
            <w:r>
              <w:rPr>
                <w:rFonts w:hint="eastAsia"/>
                <w:color w:val="000000" w:themeColor="text1"/>
                <w:sz w:val="18"/>
                <w:szCs w:val="18"/>
                <w:highlight w:val="none"/>
                <w14:textFill>
                  <w14:solidFill>
                    <w14:schemeClr w14:val="tx1"/>
                  </w14:solidFill>
                </w14:textFill>
              </w:rPr>
              <w:t>S</w:t>
            </w:r>
            <w:r>
              <w:rPr>
                <w:color w:val="000000" w:themeColor="text1"/>
                <w:sz w:val="18"/>
                <w:szCs w:val="18"/>
                <w:highlight w:val="none"/>
                <w14:textFill>
                  <w14:solidFill>
                    <w14:schemeClr w14:val="tx1"/>
                  </w14:solidFill>
                </w14:textFill>
              </w:rPr>
              <w:t>TAL2000□</w:t>
            </w:r>
          </w:p>
        </w:tc>
        <w:tc>
          <w:tcPr>
            <w:tcW w:w="547" w:type="pct"/>
            <w:gridSpan w:val="3"/>
            <w:noWrap w:val="0"/>
            <w:vAlign w:val="center"/>
          </w:tcPr>
          <w:p w14:paraId="66B00109">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ED</w:t>
            </w:r>
            <w:r>
              <w:rPr>
                <w:rFonts w:hint="eastAsia"/>
                <w:color w:val="000000" w:themeColor="text1"/>
                <w:sz w:val="18"/>
                <w:szCs w:val="18"/>
                <w:highlight w:val="none"/>
                <w14:textFill>
                  <w14:solidFill>
                    <w14:schemeClr w14:val="tx1"/>
                  </w14:solidFill>
                </w14:textFill>
              </w:rPr>
              <w:t>MS</w:t>
            </w:r>
            <w:r>
              <w:rPr>
                <w:color w:val="000000" w:themeColor="text1"/>
                <w:sz w:val="18"/>
                <w:szCs w:val="18"/>
                <w:highlight w:val="none"/>
                <w14:textFill>
                  <w14:solidFill>
                    <w14:schemeClr w14:val="tx1"/>
                  </w14:solidFill>
                </w14:textFill>
              </w:rPr>
              <w:t>/AEDT□</w:t>
            </w:r>
          </w:p>
        </w:tc>
        <w:tc>
          <w:tcPr>
            <w:tcW w:w="681" w:type="pct"/>
            <w:gridSpan w:val="2"/>
            <w:noWrap w:val="0"/>
            <w:vAlign w:val="center"/>
          </w:tcPr>
          <w:p w14:paraId="4C15BC37">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CALPUFF□</w:t>
            </w:r>
          </w:p>
        </w:tc>
        <w:tc>
          <w:tcPr>
            <w:tcW w:w="420" w:type="pct"/>
            <w:noWrap w:val="0"/>
            <w:vAlign w:val="center"/>
          </w:tcPr>
          <w:p w14:paraId="1570801D">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网格模型□</w:t>
            </w:r>
          </w:p>
        </w:tc>
        <w:tc>
          <w:tcPr>
            <w:tcW w:w="342" w:type="pct"/>
            <w:noWrap w:val="0"/>
            <w:vAlign w:val="center"/>
          </w:tcPr>
          <w:p w14:paraId="083A0D1B">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其他□</w:t>
            </w:r>
          </w:p>
        </w:tc>
      </w:tr>
      <w:tr w14:paraId="58D70F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744075A8">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10BD5D7D">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预测范围</w:t>
            </w:r>
          </w:p>
        </w:tc>
        <w:tc>
          <w:tcPr>
            <w:tcW w:w="1318" w:type="pct"/>
            <w:gridSpan w:val="4"/>
            <w:noWrap w:val="0"/>
            <w:vAlign w:val="center"/>
          </w:tcPr>
          <w:p w14:paraId="5BB84293">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边长≥50k</w:t>
            </w:r>
            <w:r>
              <w:rPr>
                <w:rFonts w:hint="eastAsia"/>
                <w:color w:val="000000" w:themeColor="text1"/>
                <w:sz w:val="18"/>
                <w:szCs w:val="18"/>
                <w:highlight w:val="none"/>
                <w14:textFill>
                  <w14:solidFill>
                    <w14:schemeClr w14:val="tx1"/>
                  </w14:solidFill>
                </w14:textFill>
              </w:rPr>
              <w:t>m</w:t>
            </w:r>
            <w:r>
              <w:rPr>
                <w:color w:val="000000" w:themeColor="text1"/>
                <w:sz w:val="18"/>
                <w:szCs w:val="18"/>
                <w:highlight w:val="none"/>
                <w14:textFill>
                  <w14:solidFill>
                    <w14:schemeClr w14:val="tx1"/>
                  </w14:solidFill>
                </w14:textFill>
              </w:rPr>
              <w:t>□</w:t>
            </w:r>
          </w:p>
        </w:tc>
        <w:tc>
          <w:tcPr>
            <w:tcW w:w="1400" w:type="pct"/>
            <w:gridSpan w:val="5"/>
            <w:noWrap w:val="0"/>
            <w:vAlign w:val="center"/>
          </w:tcPr>
          <w:p w14:paraId="3974C563">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边长5</w:t>
            </w:r>
            <w:r>
              <w:rPr>
                <w:rFonts w:hint="eastAsia"/>
                <w:color w:val="000000" w:themeColor="text1"/>
                <w:sz w:val="18"/>
                <w:szCs w:val="18"/>
                <w:highlight w:val="none"/>
                <w:lang w:eastAsia="zh-CN"/>
                <w14:textFill>
                  <w14:solidFill>
                    <w14:schemeClr w14:val="tx1"/>
                  </w14:solidFill>
                </w14:textFill>
              </w:rPr>
              <w:t>—</w:t>
            </w:r>
            <w:r>
              <w:rPr>
                <w:color w:val="000000" w:themeColor="text1"/>
                <w:sz w:val="18"/>
                <w:szCs w:val="18"/>
                <w:highlight w:val="none"/>
                <w14:textFill>
                  <w14:solidFill>
                    <w14:schemeClr w14:val="tx1"/>
                  </w14:solidFill>
                </w14:textFill>
              </w:rPr>
              <w:t>50k</w:t>
            </w:r>
            <w:r>
              <w:rPr>
                <w:rFonts w:hint="eastAsia"/>
                <w:color w:val="000000" w:themeColor="text1"/>
                <w:sz w:val="18"/>
                <w:szCs w:val="18"/>
                <w:highlight w:val="none"/>
                <w14:textFill>
                  <w14:solidFill>
                    <w14:schemeClr w14:val="tx1"/>
                  </w14:solidFill>
                </w14:textFill>
              </w:rPr>
              <w:t>m</w:t>
            </w:r>
            <w:r>
              <w:rPr>
                <w:color w:val="000000" w:themeColor="text1"/>
                <w:sz w:val="18"/>
                <w:szCs w:val="18"/>
                <w:highlight w:val="none"/>
                <w14:textFill>
                  <w14:solidFill>
                    <w14:schemeClr w14:val="tx1"/>
                  </w14:solidFill>
                </w14:textFill>
              </w:rPr>
              <w:t>□</w:t>
            </w:r>
          </w:p>
        </w:tc>
        <w:tc>
          <w:tcPr>
            <w:tcW w:w="912" w:type="pct"/>
            <w:gridSpan w:val="3"/>
            <w:noWrap w:val="0"/>
            <w:vAlign w:val="center"/>
          </w:tcPr>
          <w:p w14:paraId="71B6A644">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边长=5k</w:t>
            </w:r>
            <w:r>
              <w:rPr>
                <w:rFonts w:hint="eastAsia"/>
                <w:color w:val="000000" w:themeColor="text1"/>
                <w:sz w:val="18"/>
                <w:szCs w:val="18"/>
                <w:highlight w:val="none"/>
                <w14:textFill>
                  <w14:solidFill>
                    <w14:schemeClr w14:val="tx1"/>
                  </w14:solidFill>
                </w14:textFill>
              </w:rPr>
              <w:t>m</w:t>
            </w:r>
            <w:r>
              <w:rPr>
                <w:color w:val="000000" w:themeColor="text1"/>
                <w:sz w:val="18"/>
                <w:szCs w:val="18"/>
                <w:highlight w:val="none"/>
                <w14:textFill>
                  <w14:solidFill>
                    <w14:schemeClr w14:val="tx1"/>
                  </w14:solidFill>
                </w14:textFill>
              </w:rPr>
              <w:sym w:font="Wingdings 2" w:char="00A3"/>
            </w:r>
          </w:p>
        </w:tc>
      </w:tr>
      <w:tr w14:paraId="19E3C6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07C05580">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restart"/>
            <w:noWrap w:val="0"/>
            <w:vAlign w:val="center"/>
          </w:tcPr>
          <w:p w14:paraId="21E53CD6">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预测因子</w:t>
            </w:r>
          </w:p>
        </w:tc>
        <w:tc>
          <w:tcPr>
            <w:tcW w:w="1868" w:type="pct"/>
            <w:gridSpan w:val="7"/>
            <w:vMerge w:val="restart"/>
            <w:noWrap w:val="0"/>
            <w:vAlign w:val="center"/>
          </w:tcPr>
          <w:p w14:paraId="1DBC7313">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预测因子</w:t>
            </w:r>
            <w:r>
              <w:rPr>
                <w:rFonts w:hint="eastAsia"/>
                <w:color w:val="000000" w:themeColor="text1"/>
                <w:sz w:val="18"/>
                <w:szCs w:val="18"/>
                <w:highlight w:val="none"/>
                <w14:textFill>
                  <w14:solidFill>
                    <w14:schemeClr w14:val="tx1"/>
                  </w14:solidFill>
                </w14:textFill>
              </w:rPr>
              <w:t>（）</w:t>
            </w:r>
          </w:p>
        </w:tc>
        <w:tc>
          <w:tcPr>
            <w:tcW w:w="1763" w:type="pct"/>
            <w:gridSpan w:val="5"/>
            <w:noWrap w:val="0"/>
            <w:vAlign w:val="center"/>
          </w:tcPr>
          <w:p w14:paraId="3FC44780">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包括二次</w:t>
            </w:r>
            <w:r>
              <w:rPr>
                <w:rFonts w:hint="eastAsia"/>
                <w:color w:val="000000" w:themeColor="text1"/>
                <w:sz w:val="18"/>
                <w:szCs w:val="18"/>
                <w:highlight w:val="none"/>
                <w14:textFill>
                  <w14:solidFill>
                    <w14:schemeClr w14:val="tx1"/>
                  </w14:solidFill>
                </w14:textFill>
              </w:rPr>
              <w:t>PM</w:t>
            </w:r>
            <w:r>
              <w:rPr>
                <w:rFonts w:hint="eastAsia"/>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vertAlign w:val="subscript"/>
                <w14:textFill>
                  <w14:solidFill>
                    <w14:schemeClr w14:val="tx1"/>
                  </w14:solidFill>
                </w14:textFill>
              </w:rPr>
              <w:t>.5</w:t>
            </w:r>
            <w:r>
              <w:rPr>
                <w:color w:val="000000" w:themeColor="text1"/>
                <w:sz w:val="18"/>
                <w:szCs w:val="18"/>
                <w:highlight w:val="none"/>
                <w14:textFill>
                  <w14:solidFill>
                    <w14:schemeClr w14:val="tx1"/>
                  </w14:solidFill>
                </w14:textFill>
              </w:rPr>
              <w:t>□</w:t>
            </w:r>
          </w:p>
        </w:tc>
      </w:tr>
      <w:tr w14:paraId="1B4296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667B8C5E">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continue"/>
            <w:noWrap w:val="0"/>
            <w:vAlign w:val="center"/>
          </w:tcPr>
          <w:p w14:paraId="6D15CBC4">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1868" w:type="pct"/>
            <w:gridSpan w:val="7"/>
            <w:vMerge w:val="continue"/>
            <w:noWrap w:val="0"/>
            <w:vAlign w:val="center"/>
          </w:tcPr>
          <w:p w14:paraId="36519FF7">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1763" w:type="pct"/>
            <w:gridSpan w:val="5"/>
            <w:noWrap w:val="0"/>
            <w:vAlign w:val="center"/>
          </w:tcPr>
          <w:p w14:paraId="208BCAB0">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不包括二次</w:t>
            </w:r>
            <w:r>
              <w:rPr>
                <w:rFonts w:hint="eastAsia"/>
                <w:color w:val="000000" w:themeColor="text1"/>
                <w:sz w:val="18"/>
                <w:szCs w:val="18"/>
                <w:highlight w:val="none"/>
                <w14:textFill>
                  <w14:solidFill>
                    <w14:schemeClr w14:val="tx1"/>
                  </w14:solidFill>
                </w14:textFill>
              </w:rPr>
              <w:t>PM</w:t>
            </w:r>
            <w:r>
              <w:rPr>
                <w:rFonts w:hint="eastAsia"/>
                <w:color w:val="000000" w:themeColor="text1"/>
                <w:sz w:val="18"/>
                <w:szCs w:val="18"/>
                <w:highlight w:val="none"/>
                <w:vertAlign w:val="subscript"/>
                <w14:textFill>
                  <w14:solidFill>
                    <w14:schemeClr w14:val="tx1"/>
                  </w14:solidFill>
                </w14:textFill>
              </w:rPr>
              <w:t>2</w:t>
            </w:r>
            <w:r>
              <w:rPr>
                <w:color w:val="000000" w:themeColor="text1"/>
                <w:sz w:val="18"/>
                <w:szCs w:val="18"/>
                <w:highlight w:val="none"/>
                <w:vertAlign w:val="subscript"/>
                <w14:textFill>
                  <w14:solidFill>
                    <w14:schemeClr w14:val="tx1"/>
                  </w14:solidFill>
                </w14:textFill>
              </w:rPr>
              <w:t>.5</w:t>
            </w:r>
            <w:r>
              <w:rPr>
                <w:color w:val="000000" w:themeColor="text1"/>
                <w:sz w:val="18"/>
                <w:szCs w:val="18"/>
                <w:highlight w:val="none"/>
                <w14:textFill>
                  <w14:solidFill>
                    <w14:schemeClr w14:val="tx1"/>
                  </w14:solidFill>
                </w14:textFill>
              </w:rPr>
              <w:sym w:font="Wingdings 2" w:char="00A3"/>
            </w:r>
          </w:p>
        </w:tc>
      </w:tr>
      <w:tr w14:paraId="01D5192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551F1B90">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555EE02C">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正常排放短期浓度贡献值</w:t>
            </w:r>
          </w:p>
        </w:tc>
        <w:tc>
          <w:tcPr>
            <w:tcW w:w="1868" w:type="pct"/>
            <w:gridSpan w:val="7"/>
            <w:noWrap w:val="0"/>
            <w:vAlign w:val="center"/>
          </w:tcPr>
          <w:p w14:paraId="4A12A3A0">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C本项目最大占标率≤100%</w:t>
            </w:r>
            <w:r>
              <w:rPr>
                <w:color w:val="000000" w:themeColor="text1"/>
                <w:sz w:val="18"/>
                <w:szCs w:val="18"/>
                <w:highlight w:val="none"/>
                <w14:textFill>
                  <w14:solidFill>
                    <w14:schemeClr w14:val="tx1"/>
                  </w14:solidFill>
                </w14:textFill>
              </w:rPr>
              <w:sym w:font="Wingdings 2" w:char="00A3"/>
            </w:r>
          </w:p>
        </w:tc>
        <w:tc>
          <w:tcPr>
            <w:tcW w:w="1763" w:type="pct"/>
            <w:gridSpan w:val="5"/>
            <w:noWrap w:val="0"/>
            <w:vAlign w:val="center"/>
          </w:tcPr>
          <w:p w14:paraId="17F3DD7D">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C本项目最大占标率&gt;100%□</w:t>
            </w:r>
          </w:p>
        </w:tc>
      </w:tr>
      <w:tr w14:paraId="159325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4E0399EC">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restart"/>
            <w:noWrap w:val="0"/>
            <w:vAlign w:val="center"/>
          </w:tcPr>
          <w:p w14:paraId="0B6916B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正常排放年均浓度贡献值</w:t>
            </w:r>
          </w:p>
        </w:tc>
        <w:tc>
          <w:tcPr>
            <w:tcW w:w="969" w:type="pct"/>
            <w:gridSpan w:val="3"/>
            <w:noWrap w:val="0"/>
            <w:vAlign w:val="center"/>
          </w:tcPr>
          <w:p w14:paraId="52AA3DAF">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一类区</w:t>
            </w:r>
          </w:p>
        </w:tc>
        <w:tc>
          <w:tcPr>
            <w:tcW w:w="899" w:type="pct"/>
            <w:gridSpan w:val="4"/>
            <w:noWrap w:val="0"/>
            <w:vAlign w:val="center"/>
          </w:tcPr>
          <w:p w14:paraId="6B3E592B">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C本项目最大占标率≤10%□</w:t>
            </w:r>
          </w:p>
        </w:tc>
        <w:tc>
          <w:tcPr>
            <w:tcW w:w="1763" w:type="pct"/>
            <w:gridSpan w:val="5"/>
            <w:noWrap w:val="0"/>
            <w:vAlign w:val="center"/>
          </w:tcPr>
          <w:p w14:paraId="5D98C94B">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C本项目最大占标率&gt;10%□</w:t>
            </w:r>
          </w:p>
        </w:tc>
      </w:tr>
      <w:tr w14:paraId="20DA0B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2CBF598E">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continue"/>
            <w:noWrap w:val="0"/>
            <w:vAlign w:val="center"/>
          </w:tcPr>
          <w:p w14:paraId="4F8C42DD">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969" w:type="pct"/>
            <w:gridSpan w:val="3"/>
            <w:noWrap w:val="0"/>
            <w:vAlign w:val="center"/>
          </w:tcPr>
          <w:p w14:paraId="64D3C503">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二类区</w:t>
            </w:r>
          </w:p>
        </w:tc>
        <w:tc>
          <w:tcPr>
            <w:tcW w:w="899" w:type="pct"/>
            <w:gridSpan w:val="4"/>
            <w:noWrap w:val="0"/>
            <w:vAlign w:val="center"/>
          </w:tcPr>
          <w:p w14:paraId="228C09A2">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C本项目最大占标率≤30%□</w:t>
            </w:r>
          </w:p>
        </w:tc>
        <w:tc>
          <w:tcPr>
            <w:tcW w:w="1763" w:type="pct"/>
            <w:gridSpan w:val="5"/>
            <w:noWrap w:val="0"/>
            <w:vAlign w:val="center"/>
          </w:tcPr>
          <w:p w14:paraId="6F2D377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C本项目最大占标率&gt;30%□</w:t>
            </w:r>
          </w:p>
        </w:tc>
      </w:tr>
      <w:tr w14:paraId="19F6E5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70B788E9">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restart"/>
            <w:noWrap w:val="0"/>
            <w:vAlign w:val="center"/>
          </w:tcPr>
          <w:p w14:paraId="30247FB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非正常1h浓度贡献值</w:t>
            </w:r>
          </w:p>
        </w:tc>
        <w:tc>
          <w:tcPr>
            <w:tcW w:w="969" w:type="pct"/>
            <w:gridSpan w:val="3"/>
            <w:noWrap w:val="0"/>
            <w:vAlign w:val="center"/>
          </w:tcPr>
          <w:p w14:paraId="20FE3F43">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非正常持续时长</w:t>
            </w:r>
          </w:p>
        </w:tc>
        <w:tc>
          <w:tcPr>
            <w:tcW w:w="1750" w:type="pct"/>
            <w:gridSpan w:val="6"/>
            <w:vMerge w:val="restart"/>
            <w:noWrap w:val="0"/>
            <w:vAlign w:val="center"/>
          </w:tcPr>
          <w:p w14:paraId="11A44F25">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C非正常占标率≤100%□</w:t>
            </w:r>
          </w:p>
        </w:tc>
        <w:tc>
          <w:tcPr>
            <w:tcW w:w="912" w:type="pct"/>
            <w:gridSpan w:val="3"/>
            <w:vMerge w:val="restart"/>
            <w:noWrap w:val="0"/>
            <w:vAlign w:val="center"/>
          </w:tcPr>
          <w:p w14:paraId="08A024DD">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C非正常占标率&gt;100%□</w:t>
            </w:r>
          </w:p>
        </w:tc>
      </w:tr>
      <w:tr w14:paraId="5A2D3D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0ED5C546">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continue"/>
            <w:noWrap w:val="0"/>
            <w:vAlign w:val="center"/>
          </w:tcPr>
          <w:p w14:paraId="79B1CE66">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969" w:type="pct"/>
            <w:gridSpan w:val="3"/>
            <w:noWrap w:val="0"/>
            <w:vAlign w:val="center"/>
          </w:tcPr>
          <w:p w14:paraId="4F87BF07">
            <w:pPr>
              <w:wordWrap w:val="0"/>
              <w:spacing w:line="240" w:lineRule="auto"/>
              <w:ind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h</w:t>
            </w:r>
          </w:p>
        </w:tc>
        <w:tc>
          <w:tcPr>
            <w:tcW w:w="1750" w:type="pct"/>
            <w:gridSpan w:val="6"/>
            <w:vMerge w:val="continue"/>
            <w:noWrap w:val="0"/>
            <w:vAlign w:val="center"/>
          </w:tcPr>
          <w:p w14:paraId="743936AB">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912" w:type="pct"/>
            <w:gridSpan w:val="3"/>
            <w:vMerge w:val="continue"/>
            <w:noWrap w:val="0"/>
            <w:vAlign w:val="center"/>
          </w:tcPr>
          <w:p w14:paraId="56055C7A">
            <w:pPr>
              <w:wordWrap w:val="0"/>
              <w:spacing w:line="240" w:lineRule="auto"/>
              <w:ind w:firstLine="0" w:firstLineChars="0"/>
              <w:jc w:val="center"/>
              <w:rPr>
                <w:color w:val="000000" w:themeColor="text1"/>
                <w:sz w:val="18"/>
                <w:szCs w:val="18"/>
                <w:highlight w:val="none"/>
                <w14:textFill>
                  <w14:solidFill>
                    <w14:schemeClr w14:val="tx1"/>
                  </w14:solidFill>
                </w14:textFill>
              </w:rPr>
            </w:pPr>
          </w:p>
        </w:tc>
      </w:tr>
      <w:tr w14:paraId="58DB1A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5741F4B5">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342B59A6">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保证率日平均浓度和年平均浓度叠加值</w:t>
            </w:r>
          </w:p>
        </w:tc>
        <w:tc>
          <w:tcPr>
            <w:tcW w:w="1868" w:type="pct"/>
            <w:gridSpan w:val="7"/>
            <w:noWrap w:val="0"/>
            <w:vAlign w:val="center"/>
          </w:tcPr>
          <w:p w14:paraId="769A39B2">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C叠加达标□</w:t>
            </w:r>
          </w:p>
        </w:tc>
        <w:tc>
          <w:tcPr>
            <w:tcW w:w="1763" w:type="pct"/>
            <w:gridSpan w:val="5"/>
            <w:noWrap w:val="0"/>
            <w:vAlign w:val="center"/>
          </w:tcPr>
          <w:p w14:paraId="66290E20">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C叠加不达标□</w:t>
            </w:r>
          </w:p>
        </w:tc>
      </w:tr>
      <w:tr w14:paraId="6ADA54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5601BB1B">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692D221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区域环境质量的整体变化情况</w:t>
            </w:r>
          </w:p>
        </w:tc>
        <w:tc>
          <w:tcPr>
            <w:tcW w:w="1868" w:type="pct"/>
            <w:gridSpan w:val="7"/>
            <w:noWrap w:val="0"/>
            <w:vAlign w:val="center"/>
          </w:tcPr>
          <w:p w14:paraId="55053D84">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k≤-20%□</w:t>
            </w:r>
          </w:p>
        </w:tc>
        <w:tc>
          <w:tcPr>
            <w:tcW w:w="1763" w:type="pct"/>
            <w:gridSpan w:val="5"/>
            <w:noWrap w:val="0"/>
            <w:vAlign w:val="center"/>
          </w:tcPr>
          <w:p w14:paraId="2E68F01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k&gt;-20%□</w:t>
            </w:r>
          </w:p>
        </w:tc>
      </w:tr>
      <w:tr w14:paraId="6EEF78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restart"/>
            <w:noWrap w:val="0"/>
            <w:vAlign w:val="center"/>
          </w:tcPr>
          <w:p w14:paraId="34E2E617">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环境监测计划</w:t>
            </w:r>
          </w:p>
        </w:tc>
        <w:tc>
          <w:tcPr>
            <w:tcW w:w="776" w:type="pct"/>
            <w:vMerge w:val="restart"/>
            <w:noWrap w:val="0"/>
            <w:vAlign w:val="center"/>
          </w:tcPr>
          <w:p w14:paraId="584EFD95">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污染源监测</w:t>
            </w:r>
          </w:p>
        </w:tc>
        <w:tc>
          <w:tcPr>
            <w:tcW w:w="1318" w:type="pct"/>
            <w:gridSpan w:val="4"/>
            <w:vMerge w:val="restart"/>
            <w:noWrap w:val="0"/>
            <w:vAlign w:val="center"/>
          </w:tcPr>
          <w:p w14:paraId="39495DE2">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监测因子：</w:t>
            </w:r>
            <w:r>
              <w:rPr>
                <w:rFonts w:hint="eastAsia"/>
                <w:color w:val="000000" w:themeColor="text1"/>
                <w:sz w:val="18"/>
                <w:szCs w:val="18"/>
                <w:highlight w:val="none"/>
                <w14:textFill>
                  <w14:solidFill>
                    <w14:schemeClr w14:val="tx1"/>
                  </w14:solidFill>
                </w14:textFill>
              </w:rPr>
              <w:t>（</w:t>
            </w:r>
            <w:r>
              <w:rPr>
                <w:rFonts w:hint="eastAsia"/>
                <w:color w:val="000000" w:themeColor="text1"/>
                <w:sz w:val="18"/>
                <w:szCs w:val="18"/>
                <w:highlight w:val="none"/>
                <w:lang w:val="en-US" w:eastAsia="zh-CN"/>
                <w14:textFill>
                  <w14:solidFill>
                    <w14:schemeClr w14:val="tx1"/>
                  </w14:solidFill>
                </w14:textFill>
              </w:rPr>
              <w:t>硫酸雾、氟化物、颗粒物</w:t>
            </w:r>
            <w:r>
              <w:rPr>
                <w:rFonts w:hint="eastAsia"/>
                <w:color w:val="000000" w:themeColor="text1"/>
                <w:sz w:val="18"/>
                <w:szCs w:val="18"/>
                <w:highlight w:val="none"/>
                <w14:textFill>
                  <w14:solidFill>
                    <w14:schemeClr w14:val="tx1"/>
                  </w14:solidFill>
                </w14:textFill>
              </w:rPr>
              <w:t>、非甲烷总烃）</w:t>
            </w:r>
          </w:p>
        </w:tc>
        <w:tc>
          <w:tcPr>
            <w:tcW w:w="1400" w:type="pct"/>
            <w:gridSpan w:val="5"/>
            <w:noWrap w:val="0"/>
            <w:vAlign w:val="center"/>
          </w:tcPr>
          <w:p w14:paraId="3192F0AC">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有组织废气监测</w:t>
            </w:r>
            <w:r>
              <w:rPr>
                <w:color w:val="000000" w:themeColor="text1"/>
                <w:sz w:val="18"/>
                <w:szCs w:val="18"/>
                <w:highlight w:val="none"/>
                <w14:textFill>
                  <w14:solidFill>
                    <w14:schemeClr w14:val="tx1"/>
                  </w14:solidFill>
                </w14:textFill>
              </w:rPr>
              <w:sym w:font="Wingdings 2" w:char="0052"/>
            </w:r>
          </w:p>
        </w:tc>
        <w:tc>
          <w:tcPr>
            <w:tcW w:w="912" w:type="pct"/>
            <w:gridSpan w:val="3"/>
            <w:vMerge w:val="restart"/>
            <w:noWrap w:val="0"/>
            <w:vAlign w:val="center"/>
          </w:tcPr>
          <w:p w14:paraId="2253767E">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无监测□</w:t>
            </w:r>
          </w:p>
        </w:tc>
      </w:tr>
      <w:tr w14:paraId="2E5891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2B7E899D">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vMerge w:val="continue"/>
            <w:noWrap w:val="0"/>
            <w:vAlign w:val="center"/>
          </w:tcPr>
          <w:p w14:paraId="79FA6204">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1318" w:type="pct"/>
            <w:gridSpan w:val="4"/>
            <w:vMerge w:val="continue"/>
            <w:noWrap w:val="0"/>
            <w:vAlign w:val="center"/>
          </w:tcPr>
          <w:p w14:paraId="52BB87B4">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1400" w:type="pct"/>
            <w:gridSpan w:val="5"/>
            <w:noWrap w:val="0"/>
            <w:vAlign w:val="center"/>
          </w:tcPr>
          <w:p w14:paraId="7894A51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无组织废气监测</w:t>
            </w:r>
            <w:r>
              <w:rPr>
                <w:color w:val="000000" w:themeColor="text1"/>
                <w:sz w:val="18"/>
                <w:szCs w:val="18"/>
                <w:highlight w:val="none"/>
                <w14:textFill>
                  <w14:solidFill>
                    <w14:schemeClr w14:val="tx1"/>
                  </w14:solidFill>
                </w14:textFill>
              </w:rPr>
              <w:sym w:font="Wingdings 2" w:char="0052"/>
            </w:r>
          </w:p>
        </w:tc>
        <w:tc>
          <w:tcPr>
            <w:tcW w:w="912" w:type="pct"/>
            <w:gridSpan w:val="3"/>
            <w:vMerge w:val="continue"/>
            <w:noWrap w:val="0"/>
            <w:vAlign w:val="center"/>
          </w:tcPr>
          <w:p w14:paraId="36A3D24D">
            <w:pPr>
              <w:wordWrap w:val="0"/>
              <w:spacing w:line="240" w:lineRule="auto"/>
              <w:ind w:firstLine="0" w:firstLineChars="0"/>
              <w:jc w:val="center"/>
              <w:rPr>
                <w:color w:val="000000" w:themeColor="text1"/>
                <w:sz w:val="18"/>
                <w:szCs w:val="18"/>
                <w:highlight w:val="none"/>
                <w14:textFill>
                  <w14:solidFill>
                    <w14:schemeClr w14:val="tx1"/>
                  </w14:solidFill>
                </w14:textFill>
              </w:rPr>
            </w:pPr>
          </w:p>
        </w:tc>
      </w:tr>
      <w:tr w14:paraId="61A38F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2CA99154">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161AFDC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环境质量监测</w:t>
            </w:r>
          </w:p>
        </w:tc>
        <w:tc>
          <w:tcPr>
            <w:tcW w:w="1318" w:type="pct"/>
            <w:gridSpan w:val="4"/>
            <w:noWrap w:val="0"/>
            <w:vAlign w:val="center"/>
          </w:tcPr>
          <w:p w14:paraId="612D4591">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监测因子：</w:t>
            </w:r>
            <w:r>
              <w:rPr>
                <w:rFonts w:hint="eastAsia"/>
                <w:color w:val="000000" w:themeColor="text1"/>
                <w:sz w:val="18"/>
                <w:szCs w:val="18"/>
                <w:highlight w:val="none"/>
                <w14:textFill>
                  <w14:solidFill>
                    <w14:schemeClr w14:val="tx1"/>
                  </w14:solidFill>
                </w14:textFill>
              </w:rPr>
              <w:t>（</w:t>
            </w:r>
            <w:r>
              <w:rPr>
                <w:rFonts w:hint="eastAsia"/>
                <w:color w:val="000000" w:themeColor="text1"/>
                <w:sz w:val="18"/>
                <w:szCs w:val="18"/>
                <w:highlight w:val="none"/>
                <w:lang w:val="en-US" w:eastAsia="zh-CN"/>
                <w14:textFill>
                  <w14:solidFill>
                    <w14:schemeClr w14:val="tx1"/>
                  </w14:solidFill>
                </w14:textFill>
              </w:rPr>
              <w:t>硫酸雾、氟化物、颗粒物</w:t>
            </w:r>
            <w:r>
              <w:rPr>
                <w:rFonts w:hint="eastAsia"/>
                <w:color w:val="000000" w:themeColor="text1"/>
                <w:sz w:val="18"/>
                <w:szCs w:val="18"/>
                <w:highlight w:val="none"/>
                <w14:textFill>
                  <w14:solidFill>
                    <w14:schemeClr w14:val="tx1"/>
                  </w14:solidFill>
                </w14:textFill>
              </w:rPr>
              <w:t>、非甲烷总烃）</w:t>
            </w:r>
          </w:p>
        </w:tc>
        <w:tc>
          <w:tcPr>
            <w:tcW w:w="1400" w:type="pct"/>
            <w:gridSpan w:val="5"/>
            <w:noWrap w:val="0"/>
            <w:vAlign w:val="center"/>
          </w:tcPr>
          <w:p w14:paraId="333D00D1">
            <w:pPr>
              <w:wordWrap w:val="0"/>
              <w:spacing w:line="240" w:lineRule="auto"/>
              <w:ind w:firstLine="0" w:firstLineChars="0"/>
              <w:jc w:val="center"/>
              <w:rPr>
                <w:rFonts w:hint="eastAsia"/>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监测点位数</w:t>
            </w:r>
            <w:r>
              <w:rPr>
                <w:rFonts w:hint="eastAsia"/>
                <w:color w:val="000000" w:themeColor="text1"/>
                <w:sz w:val="18"/>
                <w:szCs w:val="18"/>
                <w:highlight w:val="none"/>
                <w14:textFill>
                  <w14:solidFill>
                    <w14:schemeClr w14:val="tx1"/>
                  </w14:solidFill>
                </w14:textFill>
              </w:rPr>
              <w:t>（1）</w:t>
            </w:r>
          </w:p>
        </w:tc>
        <w:tc>
          <w:tcPr>
            <w:tcW w:w="912" w:type="pct"/>
            <w:gridSpan w:val="3"/>
            <w:noWrap w:val="0"/>
            <w:vAlign w:val="center"/>
          </w:tcPr>
          <w:p w14:paraId="45CD996B">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无监测□</w:t>
            </w:r>
          </w:p>
        </w:tc>
      </w:tr>
      <w:tr w14:paraId="0F951B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restart"/>
            <w:noWrap w:val="0"/>
            <w:vAlign w:val="center"/>
          </w:tcPr>
          <w:p w14:paraId="7E4959FA">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评价结论</w:t>
            </w:r>
          </w:p>
        </w:tc>
        <w:tc>
          <w:tcPr>
            <w:tcW w:w="776" w:type="pct"/>
            <w:noWrap w:val="0"/>
            <w:vAlign w:val="center"/>
          </w:tcPr>
          <w:p w14:paraId="0CFF0A2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环境影响</w:t>
            </w:r>
          </w:p>
        </w:tc>
        <w:tc>
          <w:tcPr>
            <w:tcW w:w="3631" w:type="pct"/>
            <w:gridSpan w:val="12"/>
            <w:noWrap w:val="0"/>
            <w:vAlign w:val="center"/>
          </w:tcPr>
          <w:p w14:paraId="29C0F7E2">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可以接受</w:t>
            </w:r>
            <w:r>
              <w:rPr>
                <w:color w:val="000000" w:themeColor="text1"/>
                <w:sz w:val="18"/>
                <w:szCs w:val="18"/>
                <w:highlight w:val="none"/>
                <w14:textFill>
                  <w14:solidFill>
                    <w14:schemeClr w14:val="tx1"/>
                  </w14:solidFill>
                </w14:textFill>
              </w:rPr>
              <w:sym w:font="Wingdings 2" w:char="0052"/>
            </w:r>
            <w:r>
              <w:rPr>
                <w:color w:val="000000" w:themeColor="text1"/>
                <w:sz w:val="18"/>
                <w:szCs w:val="18"/>
                <w:highlight w:val="none"/>
                <w14:textFill>
                  <w14:solidFill>
                    <w14:schemeClr w14:val="tx1"/>
                  </w14:solidFill>
                </w14:textFill>
              </w:rPr>
              <w:t xml:space="preserve">           不可以接受 □</w:t>
            </w:r>
          </w:p>
        </w:tc>
      </w:tr>
      <w:tr w14:paraId="22EF777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57AE2C76">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313E37C1">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大气环境防护距离</w:t>
            </w:r>
          </w:p>
        </w:tc>
        <w:tc>
          <w:tcPr>
            <w:tcW w:w="3631" w:type="pct"/>
            <w:gridSpan w:val="12"/>
            <w:noWrap w:val="0"/>
            <w:vAlign w:val="center"/>
          </w:tcPr>
          <w:p w14:paraId="023EC324">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距</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项目区厂界</w:t>
            </w:r>
            <w:r>
              <w:rPr>
                <w:rFonts w:hint="eastAsia"/>
                <w:color w:val="000000" w:themeColor="text1"/>
                <w:sz w:val="18"/>
                <w:szCs w:val="18"/>
                <w:highlight w:val="none"/>
                <w14:textFill>
                  <w14:solidFill>
                    <w14:schemeClr w14:val="tx1"/>
                  </w14:solidFill>
                </w14:textFill>
              </w:rPr>
              <w:t>）</w:t>
            </w:r>
            <w:r>
              <w:rPr>
                <w:color w:val="000000" w:themeColor="text1"/>
                <w:sz w:val="18"/>
                <w:szCs w:val="18"/>
                <w:highlight w:val="none"/>
                <w14:textFill>
                  <w14:solidFill>
                    <w14:schemeClr w14:val="tx1"/>
                  </w14:solidFill>
                </w14:textFill>
              </w:rPr>
              <w:t>最远</w:t>
            </w:r>
            <w:r>
              <w:rPr>
                <w:rFonts w:hint="eastAsia"/>
                <w:color w:val="000000" w:themeColor="text1"/>
                <w:sz w:val="18"/>
                <w:szCs w:val="18"/>
                <w:highlight w:val="none"/>
                <w14:textFill>
                  <w14:solidFill>
                    <w14:schemeClr w14:val="tx1"/>
                  </w14:solidFill>
                </w14:textFill>
              </w:rPr>
              <w:t>（1</w:t>
            </w:r>
            <w:r>
              <w:rPr>
                <w:color w:val="000000" w:themeColor="text1"/>
                <w:sz w:val="18"/>
                <w:szCs w:val="18"/>
                <w:highlight w:val="none"/>
                <w14:textFill>
                  <w14:solidFill>
                    <w14:schemeClr w14:val="tx1"/>
                  </w14:solidFill>
                </w14:textFill>
              </w:rPr>
              <w:t>00</w:t>
            </w:r>
            <w:r>
              <w:rPr>
                <w:rFonts w:hint="eastAsia"/>
                <w:color w:val="000000" w:themeColor="text1"/>
                <w:sz w:val="18"/>
                <w:szCs w:val="18"/>
                <w:highlight w:val="none"/>
                <w14:textFill>
                  <w14:solidFill>
                    <w14:schemeClr w14:val="tx1"/>
                  </w14:solidFill>
                </w14:textFill>
              </w:rPr>
              <w:t>）m</w:t>
            </w:r>
          </w:p>
        </w:tc>
      </w:tr>
      <w:tr w14:paraId="53AA08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591" w:type="pct"/>
            <w:vMerge w:val="continue"/>
            <w:noWrap w:val="0"/>
            <w:vAlign w:val="center"/>
          </w:tcPr>
          <w:p w14:paraId="1FF0C378">
            <w:pPr>
              <w:wordWrap w:val="0"/>
              <w:spacing w:line="240" w:lineRule="auto"/>
              <w:ind w:firstLine="0" w:firstLineChars="0"/>
              <w:jc w:val="center"/>
              <w:rPr>
                <w:color w:val="000000" w:themeColor="text1"/>
                <w:sz w:val="18"/>
                <w:szCs w:val="18"/>
                <w:highlight w:val="none"/>
                <w14:textFill>
                  <w14:solidFill>
                    <w14:schemeClr w14:val="tx1"/>
                  </w14:solidFill>
                </w14:textFill>
              </w:rPr>
            </w:pPr>
          </w:p>
        </w:tc>
        <w:tc>
          <w:tcPr>
            <w:tcW w:w="776" w:type="pct"/>
            <w:noWrap w:val="0"/>
            <w:vAlign w:val="center"/>
          </w:tcPr>
          <w:p w14:paraId="2418745D">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污染源年排放量</w:t>
            </w:r>
          </w:p>
        </w:tc>
        <w:tc>
          <w:tcPr>
            <w:tcW w:w="805" w:type="pct"/>
            <w:gridSpan w:val="2"/>
            <w:noWrap w:val="0"/>
            <w:vAlign w:val="center"/>
          </w:tcPr>
          <w:p w14:paraId="58FB0460">
            <w:pPr>
              <w:wordWrap w:val="0"/>
              <w:spacing w:line="240" w:lineRule="auto"/>
              <w:ind w:firstLine="0" w:firstLineChars="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SO2</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lang w:eastAsia="zh-CN"/>
                <w14:textFill>
                  <w14:solidFill>
                    <w14:schemeClr w14:val="tx1"/>
                  </w14:solidFill>
                </w14:textFill>
              </w:rPr>
              <w:t>（)</w:t>
            </w:r>
            <w:r>
              <w:rPr>
                <w:color w:val="000000" w:themeColor="text1"/>
                <w:sz w:val="18"/>
                <w:szCs w:val="18"/>
                <w:highlight w:val="none"/>
                <w14:textFill>
                  <w14:solidFill>
                    <w14:schemeClr w14:val="tx1"/>
                  </w14:solidFill>
                </w14:textFill>
              </w:rPr>
              <w:t>t/a</w:t>
            </w:r>
          </w:p>
        </w:tc>
        <w:tc>
          <w:tcPr>
            <w:tcW w:w="994" w:type="pct"/>
            <w:gridSpan w:val="4"/>
            <w:noWrap w:val="0"/>
            <w:vAlign w:val="center"/>
          </w:tcPr>
          <w:p w14:paraId="3FFC9F37">
            <w:pPr>
              <w:wordWrap w:val="0"/>
              <w:spacing w:line="240" w:lineRule="auto"/>
              <w:ind w:firstLine="0" w:firstLineChars="0"/>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14:textFill>
                  <w14:solidFill>
                    <w14:schemeClr w14:val="tx1"/>
                  </w14:solidFill>
                </w14:textFill>
              </w:rPr>
              <w:t>NO</w:t>
            </w:r>
            <w:r>
              <w:rPr>
                <w:rFonts w:ascii="Times New Roman" w:hAnsi="Times New Roman" w:eastAsia="宋体" w:cs="Times New Roman"/>
                <w:color w:val="000000" w:themeColor="text1"/>
                <w:sz w:val="18"/>
                <w:szCs w:val="18"/>
                <w:highlight w:val="none"/>
                <w14:textFill>
                  <w14:solidFill>
                    <w14:schemeClr w14:val="tx1"/>
                  </w14:solidFill>
                </w14:textFill>
              </w:rPr>
              <w:t>x:</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ascii="Times New Roman" w:hAnsi="Times New Roman" w:eastAsia="宋体" w:cs="Times New Roman"/>
                <w:color w:val="000000" w:themeColor="text1"/>
                <w:sz w:val="18"/>
                <w:szCs w:val="18"/>
                <w:highlight w:val="none"/>
                <w14:textFill>
                  <w14:solidFill>
                    <w14:schemeClr w14:val="tx1"/>
                  </w14:solidFill>
                </w14:textFill>
              </w:rPr>
              <w:t>t/a</w:t>
            </w:r>
          </w:p>
        </w:tc>
        <w:tc>
          <w:tcPr>
            <w:tcW w:w="919" w:type="pct"/>
            <w:gridSpan w:val="3"/>
            <w:noWrap w:val="0"/>
            <w:vAlign w:val="center"/>
          </w:tcPr>
          <w:p w14:paraId="5333AFEC">
            <w:pPr>
              <w:wordWrap w:val="0"/>
              <w:spacing w:line="240" w:lineRule="auto"/>
              <w:ind w:firstLine="0" w:firstLineChars="0"/>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z w:val="18"/>
                <w:szCs w:val="18"/>
                <w:highlight w:val="none"/>
                <w14:textFill>
                  <w14:solidFill>
                    <w14:schemeClr w14:val="tx1"/>
                  </w14:solidFill>
                </w14:textFill>
              </w:rPr>
              <w:t>颗粒物</w:t>
            </w:r>
            <w:r>
              <w:rPr>
                <w:rFonts w:hint="eastAsia" w:ascii="Times New Roman" w:hAnsi="Times New Roman" w:eastAsia="宋体" w:cs="Times New Roman"/>
                <w:color w:val="000000" w:themeColor="text1"/>
                <w:sz w:val="18"/>
                <w:szCs w:val="18"/>
                <w:highlight w:val="none"/>
                <w:lang w:eastAsia="zh-CN"/>
                <w14:textFill>
                  <w14:solidFill>
                    <w14:schemeClr w14:val="tx1"/>
                  </w14:solidFill>
                </w14:textFill>
              </w:rPr>
              <w:t>：</w:t>
            </w:r>
            <w:r>
              <w:rPr>
                <w:rFonts w:hint="eastAsia" w:ascii="Times New Roman" w:hAnsi="Times New Roman" w:eastAsia="宋体" w:cs="Times New Roman"/>
                <w:color w:val="000000" w:themeColor="text1"/>
                <w:sz w:val="18"/>
                <w:szCs w:val="18"/>
                <w:highlight w:val="none"/>
                <w14:textFill>
                  <w14:solidFill>
                    <w14:schemeClr w14:val="tx1"/>
                  </w14:solidFill>
                </w14:textFill>
              </w:rPr>
              <w:t>（</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0.</w:t>
            </w:r>
            <w:r>
              <w:rPr>
                <w:rFonts w:hint="eastAsia" w:cs="Times New Roman"/>
                <w:color w:val="000000" w:themeColor="text1"/>
                <w:sz w:val="18"/>
                <w:szCs w:val="18"/>
                <w:highlight w:val="none"/>
                <w:lang w:val="en-US" w:eastAsia="zh-CN"/>
                <w14:textFill>
                  <w14:solidFill>
                    <w14:schemeClr w14:val="tx1"/>
                  </w14:solidFill>
                </w14:textFill>
              </w:rPr>
              <w:t>42</w:t>
            </w:r>
            <w:r>
              <w:rPr>
                <w:rFonts w:hint="eastAsia" w:ascii="Times New Roman" w:hAnsi="Times New Roman" w:eastAsia="宋体" w:cs="Times New Roman"/>
                <w:color w:val="000000" w:themeColor="text1"/>
                <w:sz w:val="18"/>
                <w:szCs w:val="18"/>
                <w:highlight w:val="none"/>
                <w14:textFill>
                  <w14:solidFill>
                    <w14:schemeClr w14:val="tx1"/>
                  </w14:solidFill>
                </w14:textFill>
              </w:rPr>
              <w:t>）</w:t>
            </w:r>
            <w:r>
              <w:rPr>
                <w:rFonts w:ascii="Times New Roman" w:hAnsi="Times New Roman" w:eastAsia="宋体" w:cs="Times New Roman"/>
                <w:color w:val="000000" w:themeColor="text1"/>
                <w:sz w:val="18"/>
                <w:szCs w:val="18"/>
                <w:highlight w:val="none"/>
                <w14:textFill>
                  <w14:solidFill>
                    <w14:schemeClr w14:val="tx1"/>
                  </w14:solidFill>
                </w14:textFill>
              </w:rPr>
              <w:t>t/a</w:t>
            </w:r>
          </w:p>
        </w:tc>
        <w:tc>
          <w:tcPr>
            <w:tcW w:w="912" w:type="pct"/>
            <w:gridSpan w:val="3"/>
            <w:noWrap w:val="0"/>
            <w:vAlign w:val="center"/>
          </w:tcPr>
          <w:p w14:paraId="2BC3F4CA">
            <w:pPr>
              <w:wordWrap w:val="0"/>
              <w:spacing w:line="240" w:lineRule="auto"/>
              <w:ind w:firstLine="0" w:firstLineChars="0"/>
              <w:jc w:val="center"/>
              <w:rPr>
                <w:color w:val="000000" w:themeColor="text1"/>
                <w:sz w:val="18"/>
                <w:szCs w:val="18"/>
                <w:highlight w:val="none"/>
                <w14:textFill>
                  <w14:solidFill>
                    <w14:schemeClr w14:val="tx1"/>
                  </w14:solidFill>
                </w14:textFill>
              </w:rPr>
            </w:pPr>
            <w:r>
              <w:rPr>
                <w:color w:val="000000" w:themeColor="text1"/>
                <w:sz w:val="18"/>
                <w:szCs w:val="18"/>
                <w:highlight w:val="none"/>
                <w14:textFill>
                  <w14:solidFill>
                    <w14:schemeClr w14:val="tx1"/>
                  </w14:solidFill>
                </w14:textFill>
              </w:rPr>
              <w:t>VOC</w:t>
            </w:r>
            <w:r>
              <w:rPr>
                <w:rFonts w:hint="eastAsia"/>
                <w:color w:val="000000" w:themeColor="text1"/>
                <w:sz w:val="18"/>
                <w:szCs w:val="18"/>
                <w:highlight w:val="none"/>
                <w:vertAlign w:val="subscript"/>
                <w14:textFill>
                  <w14:solidFill>
                    <w14:schemeClr w14:val="tx1"/>
                  </w14:solidFill>
                </w14:textFill>
              </w:rPr>
              <w:t>S</w:t>
            </w:r>
            <w:r>
              <w:rPr>
                <w:color w:val="000000" w:themeColor="text1"/>
                <w:sz w:val="18"/>
                <w:szCs w:val="18"/>
                <w:highlight w:val="none"/>
                <w14:textFill>
                  <w14:solidFill>
                    <w14:schemeClr w14:val="tx1"/>
                  </w14:solidFill>
                </w14:textFill>
              </w:rPr>
              <w:t>:</w:t>
            </w:r>
            <w:r>
              <w:rPr>
                <w:rFonts w:hint="eastAsia"/>
                <w:color w:val="000000" w:themeColor="text1"/>
                <w:sz w:val="18"/>
                <w:szCs w:val="18"/>
                <w:highlight w:val="none"/>
                <w:lang w:eastAsia="zh-CN"/>
                <w14:textFill>
                  <w14:solidFill>
                    <w14:schemeClr w14:val="tx1"/>
                  </w14:solidFill>
                </w14:textFill>
              </w:rPr>
              <w:t>(</w:t>
            </w:r>
            <w:r>
              <w:rPr>
                <w:rFonts w:hint="eastAsia"/>
                <w:color w:val="000000" w:themeColor="text1"/>
                <w:sz w:val="18"/>
                <w:szCs w:val="18"/>
                <w:highlight w:val="none"/>
                <w:lang w:val="en-US" w:eastAsia="zh-CN"/>
                <w14:textFill>
                  <w14:solidFill>
                    <w14:schemeClr w14:val="tx1"/>
                  </w14:solidFill>
                </w14:textFill>
              </w:rPr>
              <w:t>0.22)</w:t>
            </w:r>
            <w:r>
              <w:rPr>
                <w:color w:val="000000" w:themeColor="text1"/>
                <w:sz w:val="18"/>
                <w:szCs w:val="18"/>
                <w:highlight w:val="none"/>
                <w14:textFill>
                  <w14:solidFill>
                    <w14:schemeClr w14:val="tx1"/>
                  </w14:solidFill>
                </w14:textFill>
              </w:rPr>
              <w:t>t/a</w:t>
            </w:r>
          </w:p>
        </w:tc>
      </w:tr>
    </w:tbl>
    <w:p w14:paraId="0F02DA62">
      <w:pPr>
        <w:wordWrap w:val="0"/>
        <w:ind w:firstLine="42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注：“□”，填“√”；“（  ）”为内容填写项</w:t>
      </w:r>
    </w:p>
    <w:p w14:paraId="20224BCA">
      <w:pPr>
        <w:pStyle w:val="4"/>
        <w:rPr>
          <w:color w:val="000000" w:themeColor="text1"/>
          <w:highlight w:val="none"/>
          <w14:textFill>
            <w14:solidFill>
              <w14:schemeClr w14:val="tx1"/>
            </w14:solidFill>
          </w14:textFill>
        </w:rPr>
      </w:pPr>
      <w:bookmarkStart w:id="1015" w:name="_Toc22575138"/>
      <w:bookmarkStart w:id="1016" w:name="_Toc23063"/>
      <w:bookmarkStart w:id="1017" w:name="_Toc23471"/>
      <w:bookmarkStart w:id="1018" w:name="_Toc2792"/>
      <w:bookmarkStart w:id="1019" w:name="_Toc28636"/>
      <w:bookmarkStart w:id="1020" w:name="_Toc31181"/>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2.2运营期</w:t>
      </w:r>
      <w:r>
        <w:rPr>
          <w:color w:val="000000" w:themeColor="text1"/>
          <w:highlight w:val="none"/>
          <w14:textFill>
            <w14:solidFill>
              <w14:schemeClr w14:val="tx1"/>
            </w14:solidFill>
          </w14:textFill>
        </w:rPr>
        <w:t>水环境影响分析</w:t>
      </w:r>
      <w:bookmarkEnd w:id="1015"/>
      <w:bookmarkEnd w:id="1016"/>
      <w:bookmarkEnd w:id="1017"/>
      <w:bookmarkEnd w:id="1018"/>
      <w:bookmarkEnd w:id="1019"/>
      <w:bookmarkEnd w:id="1020"/>
    </w:p>
    <w:p w14:paraId="3B534620">
      <w:pPr>
        <w:pStyle w:val="5"/>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lang w:val="en-US"/>
          <w14:textFill>
            <w14:solidFill>
              <w14:schemeClr w14:val="tx1"/>
            </w14:solidFill>
          </w14:textFill>
        </w:rPr>
        <w:t>.2.2.1</w:t>
      </w:r>
      <w:r>
        <w:rPr>
          <w:rFonts w:hint="eastAsia"/>
          <w:color w:val="000000" w:themeColor="text1"/>
          <w:highlight w:val="none"/>
          <w:lang w:val="en-US" w:eastAsia="zh-CN"/>
          <w14:textFill>
            <w14:solidFill>
              <w14:schemeClr w14:val="tx1"/>
            </w14:solidFill>
          </w14:textFill>
        </w:rPr>
        <w:t>项目区水文地质条件</w:t>
      </w:r>
    </w:p>
    <w:p w14:paraId="7F2B997D">
      <w:pPr>
        <w:ind w:firstLine="480"/>
        <w:rPr>
          <w:rFonts w:hint="eastAsia"/>
          <w:color w:val="000000" w:themeColor="text1"/>
          <w:highlight w:val="none"/>
          <w:lang w:val="en-US"/>
          <w14:textFill>
            <w14:solidFill>
              <w14:schemeClr w14:val="tx1"/>
            </w14:solidFill>
          </w14:textFill>
        </w:rPr>
      </w:pPr>
      <w:r>
        <w:rPr>
          <w:rFonts w:hint="eastAsia"/>
          <w:color w:val="000000" w:themeColor="text1"/>
          <w:highlight w:val="none"/>
          <w14:textFill>
            <w14:solidFill>
              <w14:schemeClr w14:val="tx1"/>
            </w14:solidFill>
          </w14:textFill>
        </w:rPr>
        <w:t>（1）区域水文地质</w:t>
      </w:r>
    </w:p>
    <w:p w14:paraId="3138D0B1">
      <w:pPr>
        <w:bidi w:val="0"/>
        <w:rPr>
          <w:rFonts w:hint="eastAsia"/>
          <w:color w:val="000000" w:themeColor="text1"/>
          <w:highlight w:val="none"/>
          <w:lang w:val="en-US"/>
          <w14:textFill>
            <w14:solidFill>
              <w14:schemeClr w14:val="tx1"/>
            </w14:solidFill>
          </w14:textFill>
        </w:rPr>
      </w:pPr>
      <w:r>
        <w:rPr>
          <w:rFonts w:hint="eastAsia"/>
          <w:color w:val="000000" w:themeColor="text1"/>
          <w:highlight w:val="none"/>
          <w:lang w:val="en-US"/>
          <w14:textFill>
            <w14:solidFill>
              <w14:schemeClr w14:val="tx1"/>
            </w14:solidFill>
          </w14:textFill>
        </w:rPr>
        <w:t>昌吉高新区南部，地下水埋深在26.4</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27.8m之间</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园区中部地下水埋深在33.2</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35.5m 之间。钻孔揭露底层深度 50m 以内含水层厚度为72m左右，含水层岩性以砂砾石为主，多层结构</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北部地下水埋深在26.1~-31.6m之间，钻孔揭露底层深度200m 以内含水层厚度为52m左右，含水层岩性以砾石、砂砾石为主</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多层结构</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东部地下水埋深在33.8</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36.3m之间</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钻孔揭露地层深度200m 以内含水层厚度为41</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120m不等，含水层岩性以砾石。砂卵砾石维护组，多层结构</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西部地下水埋深在23.4</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28.0m之间，地层深度100m以内钻孔揭露含水层厚度为55m左右，含水层岩性以粉细砂为主，多层结构。</w:t>
      </w:r>
    </w:p>
    <w:p w14:paraId="0A774B0F">
      <w:pPr>
        <w:bidi w:val="0"/>
        <w:rPr>
          <w:rFonts w:hint="eastAsia"/>
          <w:color w:val="000000" w:themeColor="text1"/>
          <w:highlight w:val="none"/>
          <w:lang w:val="en-US"/>
          <w14:textFill>
            <w14:solidFill>
              <w14:schemeClr w14:val="tx1"/>
            </w14:solidFill>
          </w14:textFill>
        </w:rPr>
      </w:pPr>
      <w:r>
        <w:rPr>
          <w:rFonts w:hint="eastAsia"/>
          <w:color w:val="000000" w:themeColor="text1"/>
          <w:highlight w:val="none"/>
          <w:lang w:val="en-US"/>
          <w14:textFill>
            <w14:solidFill>
              <w14:schemeClr w14:val="tx1"/>
            </w14:solidFill>
          </w14:textFill>
        </w:rPr>
        <w:t>园区内地下水流向为SW至NE方向，与园区南边界基本垂直，区外地下水顺含水层通道，沿地下水流向侧向补给区内地下水。地下水以</w:t>
      </w:r>
      <w:r>
        <w:rPr>
          <w:rFonts w:hint="eastAsia"/>
          <w:color w:val="000000" w:themeColor="text1"/>
          <w:highlight w:val="none"/>
          <w:lang w:val="en-US" w:eastAsia="zh-CN"/>
          <w14:textFill>
            <w14:solidFill>
              <w14:schemeClr w14:val="tx1"/>
            </w14:solidFill>
          </w14:textFill>
        </w:rPr>
        <w:t>0.66%～1.2%</w:t>
      </w:r>
      <w:r>
        <w:rPr>
          <w:rFonts w:hint="eastAsia"/>
          <w:color w:val="000000" w:themeColor="text1"/>
          <w:highlight w:val="none"/>
          <w:lang w:val="en-US"/>
          <w14:textFill>
            <w14:solidFill>
              <w14:schemeClr w14:val="tx1"/>
            </w14:solidFill>
          </w14:textFill>
        </w:rPr>
        <w:t>平缓的坡度从SW往NE方向运移，沿地下水流方向，含水层颗粒逐渐变细，地下水径流条件也逐渐变差，而整个园区范围较小，地下水径流条件变化不大。</w:t>
      </w:r>
    </w:p>
    <w:p w14:paraId="5718BE5C">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（2）包气带特征 </w:t>
      </w:r>
    </w:p>
    <w:p w14:paraId="678337B6">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根据园区内项目地勘资料，根据野外实测数据计算得出垂向渗透系数如下表，垂向渗透系数平均为</w:t>
      </w:r>
      <w:r>
        <w:rPr>
          <w:rFonts w:hint="default"/>
          <w:color w:val="000000" w:themeColor="text1"/>
          <w:highlight w:val="none"/>
          <w:lang w:val="en-US" w:eastAsia="zh-CN"/>
          <w14:textFill>
            <w14:solidFill>
              <w14:schemeClr w14:val="tx1"/>
            </w14:solidFill>
          </w14:textFill>
        </w:rPr>
        <w:t>5.0×10</w:t>
      </w:r>
      <w:r>
        <w:rPr>
          <w:rFonts w:hint="default"/>
          <w:color w:val="000000" w:themeColor="text1"/>
          <w:highlight w:val="none"/>
          <w:vertAlign w:val="superscript"/>
          <w:lang w:val="en-US" w:eastAsia="zh-CN"/>
          <w14:textFill>
            <w14:solidFill>
              <w14:schemeClr w14:val="tx1"/>
            </w14:solidFill>
          </w14:textFill>
        </w:rPr>
        <w:t>-6</w:t>
      </w:r>
      <w:r>
        <w:rPr>
          <w:rFonts w:hint="default"/>
          <w:color w:val="000000" w:themeColor="text1"/>
          <w:highlight w:val="none"/>
          <w:lang w:val="en-US" w:eastAsia="zh-CN"/>
          <w14:textFill>
            <w14:solidFill>
              <w14:schemeClr w14:val="tx1"/>
            </w14:solidFill>
          </w14:textFill>
        </w:rPr>
        <w:t>cm/s</w:t>
      </w:r>
      <w:r>
        <w:rPr>
          <w:rFonts w:hint="eastAsia"/>
          <w:color w:val="000000" w:themeColor="text1"/>
          <w:highlight w:val="none"/>
          <w:lang w:val="en-US" w:eastAsia="zh-CN"/>
          <w14:textFill>
            <w14:solidFill>
              <w14:schemeClr w14:val="tx1"/>
            </w14:solidFill>
          </w14:textFill>
        </w:rPr>
        <w:t>。岩（土）层单层厚度</w:t>
      </w:r>
      <w:r>
        <w:rPr>
          <w:rFonts w:hint="default"/>
          <w:color w:val="000000" w:themeColor="text1"/>
          <w:highlight w:val="none"/>
          <w:lang w:val="en-US" w:eastAsia="zh-CN"/>
          <w14:textFill>
            <w14:solidFill>
              <w14:schemeClr w14:val="tx1"/>
            </w14:solidFill>
          </w14:textFill>
        </w:rPr>
        <w:t>Mb</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1.0m</w:t>
      </w:r>
      <w:r>
        <w:rPr>
          <w:rFonts w:hint="eastAsia"/>
          <w:color w:val="000000" w:themeColor="text1"/>
          <w:highlight w:val="none"/>
          <w:lang w:val="en-US" w:eastAsia="zh-CN"/>
          <w14:textFill>
            <w14:solidFill>
              <w14:schemeClr w14:val="tx1"/>
            </w14:solidFill>
          </w14:textFill>
        </w:rPr>
        <w:t>，且分布连续、稳定，“包气带防污性能分级”为“中”级别条件。包气带防污性能不能满足天然防渗小于</w:t>
      </w:r>
      <w:r>
        <w:rPr>
          <w:rFonts w:hint="default"/>
          <w:color w:val="000000" w:themeColor="text1"/>
          <w:highlight w:val="none"/>
          <w:lang w:val="en-US"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10</w:t>
      </w:r>
      <w:r>
        <w:rPr>
          <w:rFonts w:hint="default"/>
          <w:color w:val="000000" w:themeColor="text1"/>
          <w:highlight w:val="none"/>
          <w:vertAlign w:val="superscript"/>
          <w:lang w:val="en-US" w:eastAsia="zh-CN"/>
          <w14:textFill>
            <w14:solidFill>
              <w14:schemeClr w14:val="tx1"/>
            </w14:solidFill>
          </w14:textFill>
        </w:rPr>
        <w:t>-7</w:t>
      </w:r>
      <w:r>
        <w:rPr>
          <w:rFonts w:hint="default"/>
          <w:color w:val="000000" w:themeColor="text1"/>
          <w:highlight w:val="none"/>
          <w:lang w:val="en-US" w:eastAsia="zh-CN"/>
          <w14:textFill>
            <w14:solidFill>
              <w14:schemeClr w14:val="tx1"/>
            </w14:solidFill>
          </w14:textFill>
        </w:rPr>
        <w:t xml:space="preserve">cm/s </w:t>
      </w:r>
      <w:r>
        <w:rPr>
          <w:rFonts w:hint="eastAsia"/>
          <w:color w:val="000000" w:themeColor="text1"/>
          <w:highlight w:val="none"/>
          <w:lang w:val="en-US" w:eastAsia="zh-CN"/>
          <w14:textFill>
            <w14:solidFill>
              <w14:schemeClr w14:val="tx1"/>
            </w14:solidFill>
          </w14:textFill>
        </w:rPr>
        <w:t>的要求，建设项目应做好防渗措施，杜绝污染地下水环境。</w:t>
      </w:r>
    </w:p>
    <w:p w14:paraId="54695898">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（3）包气带污染现状调查</w:t>
      </w:r>
    </w:p>
    <w:p w14:paraId="197F0DC3">
      <w:pPr>
        <w:bidi w:val="0"/>
        <w:rPr>
          <w:color w:val="000000" w:themeColor="text1"/>
          <w14:textFill>
            <w14:solidFill>
              <w14:schemeClr w14:val="tx1"/>
            </w14:solidFill>
          </w14:textFill>
        </w:rPr>
      </w:pPr>
      <w:r>
        <w:rPr>
          <w:color w:val="000000" w:themeColor="text1"/>
          <w14:textFill>
            <w14:solidFill>
              <w14:schemeClr w14:val="tx1"/>
            </w14:solidFill>
          </w14:textFill>
        </w:rPr>
        <w:t>本项目为租赁厂房改扩建项目，根据《环境影响评价技术导则 地下水环境》（HJ 610-2016）要求，二级评价改扩建项目需在潜在污染装置区开展包气带污染现状调查，识别包气带土体污染水平、垂向迁移特征，分析场地原有生产活动是否存在污染物下渗迹象，为地下水污染风险预判提供依据。</w:t>
      </w:r>
    </w:p>
    <w:p w14:paraId="0F4F475A">
      <w:pPr>
        <w:keepNext w:val="0"/>
        <w:keepLines w:val="0"/>
        <w:widowControl/>
        <w:suppressLineNumbers w:val="0"/>
        <w:jc w:val="left"/>
        <w:rPr>
          <w:rFonts w:hint="eastAsia"/>
          <w:color w:val="000000" w:themeColor="text1"/>
          <w:highlight w:val="none"/>
          <w:lang w:val="en-US" w:eastAsia="zh-CN"/>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项目厂区生产、储存区域全部实施水泥硬化防渗，地表硬化封闭，不具备包气带原状土钻孔采样条件。本次包气带污染现状调查不再单独布设包气带取样剖面，通过收集原有工程验收资料、现场排查硬化面破损渗漏痕迹，并结合场地土壤污染现状监测数据综合分析包气带污染状况。经核查，</w:t>
      </w:r>
      <w:r>
        <w:rPr>
          <w:rFonts w:hint="eastAsia" w:cs="Times New Roman"/>
          <w:color w:val="000000" w:themeColor="text1"/>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highlight w:val="none"/>
          <w:lang w:val="en-US" w:eastAsia="zh-CN"/>
          <w14:textFill>
            <w14:solidFill>
              <w14:schemeClr w14:val="tx1"/>
            </w14:solidFill>
          </w14:textFill>
        </w:rPr>
        <w:t>生产车间一般防渗工程已施工完成，</w:t>
      </w:r>
      <w:r>
        <w:rPr>
          <w:rFonts w:hint="eastAsia" w:cs="Times New Roman"/>
          <w:color w:val="000000" w:themeColor="text1"/>
          <w:highlight w:val="none"/>
          <w:lang w:val="en-US" w:eastAsia="zh-CN"/>
          <w14:textFill>
            <w14:solidFill>
              <w14:schemeClr w14:val="tx1"/>
            </w14:solidFill>
          </w14:textFill>
        </w:rPr>
        <w:t>并开展了工程验收（详见附件8），</w:t>
      </w:r>
      <w:r>
        <w:rPr>
          <w:rFonts w:ascii="宋体" w:hAnsi="宋体" w:eastAsia="宋体" w:cs="宋体"/>
          <w:color w:val="000000" w:themeColor="text1"/>
          <w:sz w:val="24"/>
          <w:szCs w:val="24"/>
          <w14:textFill>
            <w14:solidFill>
              <w14:schemeClr w14:val="tx1"/>
            </w14:solidFill>
          </w14:textFill>
        </w:rPr>
        <w:t>厂区防渗系统运行稳定，无历史渗漏事故，土壤监测未检出特征污染物富集，判定硬化层下包气带无明显污染迹象。</w:t>
      </w:r>
      <w:r>
        <w:rPr>
          <w:rFonts w:hint="eastAsia" w:ascii="宋体" w:hAnsi="宋体" w:cs="宋体"/>
          <w:color w:val="000000" w:themeColor="text1"/>
          <w:spacing w:val="0"/>
          <w:kern w:val="0"/>
          <w:position w:val="0"/>
          <w:sz w:val="24"/>
          <w:szCs w:val="24"/>
          <w:lang w:val="en-US" w:eastAsia="zh-CN" w:bidi="ar"/>
          <w14:textFill>
            <w14:solidFill>
              <w14:schemeClr w14:val="tx1"/>
            </w14:solidFill>
          </w14:textFill>
        </w:rPr>
        <w:t>同时结合本次对项目区域地下水及土壤调查结果，项目区下游地下水监测值</w:t>
      </w:r>
      <w:r>
        <w:rPr>
          <w:rFonts w:hint="eastAsia" w:ascii="宋体" w:hAnsi="宋体" w:eastAsia="宋体" w:cs="宋体"/>
          <w:color w:val="000000" w:themeColor="text1"/>
          <w:spacing w:val="0"/>
          <w:kern w:val="0"/>
          <w:position w:val="0"/>
          <w:sz w:val="24"/>
          <w:szCs w:val="24"/>
          <w:lang w:val="en-US" w:eastAsia="zh-CN" w:bidi="ar"/>
          <w14:textFill>
            <w14:solidFill>
              <w14:schemeClr w14:val="tx1"/>
            </w14:solidFill>
          </w14:textFill>
        </w:rPr>
        <w:t>与项目区外背景值对比</w:t>
      </w:r>
      <w:r>
        <w:rPr>
          <w:rFonts w:hint="eastAsia" w:ascii="宋体" w:hAnsi="宋体" w:cs="宋体"/>
          <w:color w:val="000000" w:themeColor="text1"/>
          <w:spacing w:val="0"/>
          <w:kern w:val="0"/>
          <w:position w:val="0"/>
          <w:sz w:val="24"/>
          <w:szCs w:val="24"/>
          <w:lang w:val="en-US" w:eastAsia="zh-CN" w:bidi="ar"/>
          <w14:textFill>
            <w14:solidFill>
              <w14:schemeClr w14:val="tx1"/>
            </w14:solidFill>
          </w14:textFill>
        </w:rPr>
        <w:t>变化不大，</w:t>
      </w:r>
      <w:r>
        <w:rPr>
          <w:rFonts w:hint="eastAsia" w:ascii="宋体" w:hAnsi="宋体" w:eastAsia="宋体" w:cs="宋体"/>
          <w:color w:val="000000" w:themeColor="text1"/>
          <w:spacing w:val="0"/>
          <w:kern w:val="0"/>
          <w:position w:val="0"/>
          <w:sz w:val="24"/>
          <w:szCs w:val="24"/>
          <w:lang w:val="en-US" w:eastAsia="zh-CN" w:bidi="ar"/>
          <w14:textFill>
            <w14:solidFill>
              <w14:schemeClr w14:val="tx1"/>
            </w14:solidFill>
          </w14:textFill>
        </w:rPr>
        <w:t>项目区域布设的3个柱状样点污染物含量与项目区外背景值对比基本一致，说明项目区包气带基本未受到明显污染，</w:t>
      </w:r>
      <w:r>
        <w:rPr>
          <w:color w:val="000000" w:themeColor="text1"/>
          <w14:textFill>
            <w14:solidFill>
              <w14:schemeClr w14:val="tx1"/>
            </w14:solidFill>
          </w14:textFill>
        </w:rPr>
        <w:t>包气带土体未检出特征污染物明显垂向富集现象；场地包气带渗透性能一般，</w:t>
      </w:r>
      <w:r>
        <w:rPr>
          <w:rFonts w:hint="eastAsia"/>
          <w:color w:val="000000" w:themeColor="text1"/>
          <w:highlight w:val="none"/>
          <w:lang w:val="en-US" w:eastAsia="zh-CN"/>
          <w14:textFill>
            <w14:solidFill>
              <w14:schemeClr w14:val="tx1"/>
            </w14:solidFill>
          </w14:textFill>
        </w:rPr>
        <w:t>包气带防污性能分级为中等</w:t>
      </w:r>
      <w:r>
        <w:rPr>
          <w:color w:val="000000" w:themeColor="text1"/>
          <w14:textFill>
            <w14:solidFill>
              <w14:schemeClr w14:val="tx1"/>
            </w14:solidFill>
          </w14:textFill>
        </w:rPr>
        <w:t>。现状条件下，场地包气带无明显污染，历史生产泄漏污染风险较低。</w:t>
      </w:r>
    </w:p>
    <w:p w14:paraId="55742B5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（4）项目区场地防渗措施现状</w:t>
      </w:r>
    </w:p>
    <w:p w14:paraId="72EB11D7">
      <w:pPr>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项目租赁厂房进行建设，租赁的生产车间一般防渗工程已施工完成，现状防渗措施满足《环境影响评价技术导则 地下水环境》一般防渗区防渗要求；危废贮存库、硫酸罐区重点防渗构筑物为新建，后续将按导则重点防渗标准建设。</w:t>
      </w:r>
    </w:p>
    <w:p w14:paraId="034665A5">
      <w:pPr>
        <w:pStyle w:val="5"/>
        <w:bidi w:val="0"/>
        <w:rPr>
          <w:rFonts w:hint="eastAsia"/>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lang w:val="en-US"/>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val="en-US"/>
          <w14:textFill>
            <w14:solidFill>
              <w14:schemeClr w14:val="tx1"/>
            </w14:solidFill>
          </w14:textFill>
        </w:rPr>
        <w:t>.2地下水污染源识别</w:t>
      </w:r>
    </w:p>
    <w:p w14:paraId="34735919">
      <w:pPr>
        <w:bidi w:val="0"/>
        <w:rPr>
          <w:rFonts w:hint="eastAsia"/>
          <w:color w:val="000000" w:themeColor="text1"/>
          <w:highlight w:val="none"/>
          <w:lang w:val="en-US"/>
          <w14:textFill>
            <w14:solidFill>
              <w14:schemeClr w14:val="tx1"/>
            </w14:solidFill>
          </w14:textFill>
        </w:rPr>
      </w:pPr>
      <w:r>
        <w:rPr>
          <w:rFonts w:hint="eastAsia"/>
          <w:color w:val="000000" w:themeColor="text1"/>
          <w:highlight w:val="none"/>
          <w:lang w:val="en-US"/>
          <w14:textFill>
            <w14:solidFill>
              <w14:schemeClr w14:val="tx1"/>
            </w14:solidFill>
          </w14:textFill>
        </w:rPr>
        <w:t>地下水污染途径是多种多样的，大致可归为以下四类</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①间歇入渗型。大气降水或其他灌溉水使污染物随水通过非饱水带，周期地渗入含水层，主要是污染潜水。滤固体废物堆引起的污染，即属此类。②连续入渗型。污染物随水不断地渗入含水层，主要也是污染潜水。废水聚集地段</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如废水渠、废水池、废水渗井等</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和受污染的地表水体连续漏造成地下水污染，即属此类，③越流型。污染物是通过越流的方式从已受污染的含水层</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或天然威水层</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转移到未受污染的含水层</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或天然淡水层</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。污染物或者是通过整个层间，或者是通过地层尖灭的天窗，或者是通过破损的</w:t>
      </w:r>
      <w:r>
        <w:rPr>
          <w:rFonts w:hint="eastAsia"/>
          <w:color w:val="000000" w:themeColor="text1"/>
          <w:highlight w:val="none"/>
          <w:lang w:val="en-US" w:eastAsia="zh-CN"/>
          <w14:textFill>
            <w14:solidFill>
              <w14:schemeClr w14:val="tx1"/>
            </w14:solidFill>
          </w14:textFill>
        </w:rPr>
        <w:t>井</w:t>
      </w:r>
      <w:r>
        <w:rPr>
          <w:rFonts w:hint="eastAsia"/>
          <w:color w:val="000000" w:themeColor="text1"/>
          <w:highlight w:val="none"/>
          <w:lang w:val="en-US"/>
          <w14:textFill>
            <w14:solidFill>
              <w14:schemeClr w14:val="tx1"/>
            </w14:solidFill>
          </w14:textFill>
        </w:rPr>
        <w:t>管，污染潜水和承压水。地下水的开采改变了越流方向，使已受污染的潜水进入未受污染的承压水，即属此类</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val="en-US"/>
          <w14:textFill>
            <w14:solidFill>
              <w14:schemeClr w14:val="tx1"/>
            </w14:solidFill>
          </w14:textFill>
        </w:rPr>
        <w:t>④径流型。污染物通过地下径流进入含水层，污染潜水或承压水。污染物通过地下岩溶孔道进入含水层，即属此类。</w:t>
      </w:r>
    </w:p>
    <w:p w14:paraId="0F6763CA">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本项目位于昌吉高新区</w:t>
      </w:r>
      <w:r>
        <w:rPr>
          <w:rFonts w:hint="eastAsia"/>
          <w:color w:val="000000" w:themeColor="text1"/>
          <w:highlight w:val="none"/>
          <w:lang w:val="en-US"/>
          <w14:textFill>
            <w14:solidFill>
              <w14:schemeClr w14:val="tx1"/>
            </w14:solidFill>
          </w14:textFill>
        </w:rPr>
        <w:t>，该区域无饮用水源，用水通过自来水厂统一供给。项目污水排放水质和水量均符合污水处理厂的接管要求，不会对外环境造成严重的环境影响，仅仅存在事故状态下对厂区地下水环境的污染威胁。根据分析，本项目对地下水可能造成污染的途径如下</w:t>
      </w:r>
      <w:r>
        <w:rPr>
          <w:rFonts w:hint="eastAsia"/>
          <w:color w:val="000000" w:themeColor="text1"/>
          <w:highlight w:val="none"/>
          <w:lang w:val="en-US" w:eastAsia="zh-CN"/>
          <w14:textFill>
            <w14:solidFill>
              <w14:schemeClr w14:val="tx1"/>
            </w14:solidFill>
          </w14:textFill>
        </w:rPr>
        <w:t>：</w:t>
      </w:r>
    </w:p>
    <w:p w14:paraId="0E66B6C4">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（1）固体废物（特别是危险废物）等存储管理不善，造成容器破裂或者随处倾倒，造成其下渗污染地下水。</w:t>
      </w:r>
    </w:p>
    <w:p w14:paraId="51145CC7">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（2）原料储存、生产装置区等如未采取有效防渗措施，在发生事故泄漏时可能会导致原料或产品泄漏进行通过下渗污染地下水。</w:t>
      </w:r>
    </w:p>
    <w:p w14:paraId="7AF21856">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5.2.2.3非</w:t>
      </w:r>
      <w:r>
        <w:rPr>
          <w:rFonts w:hint="eastAsia"/>
          <w:color w:val="000000" w:themeColor="text1"/>
          <w:highlight w:val="none"/>
          <w:lang w:val="en-US"/>
          <w14:textFill>
            <w14:solidFill>
              <w14:schemeClr w14:val="tx1"/>
            </w14:solidFill>
          </w14:textFill>
        </w:rPr>
        <w:t xml:space="preserve">正常情况下地下水环境影响分析 </w:t>
      </w:r>
    </w:p>
    <w:p w14:paraId="108B9A2B">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运移参数及预测模式的选取</w:t>
      </w:r>
    </w:p>
    <w:p w14:paraId="43A20EE0">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①预测情景的设定</w:t>
      </w:r>
    </w:p>
    <w:p w14:paraId="34E793A6">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非正常工说，本项目储罐区原料外泄，装置生产</w:t>
      </w:r>
      <w:r>
        <w:rPr>
          <w:rFonts w:hint="eastAsia"/>
          <w:color w:val="000000" w:themeColor="text1"/>
          <w:highlight w:val="none"/>
          <w:lang w:val="en-US" w:eastAsia="zh-CN"/>
          <w14:textFill>
            <w14:solidFill>
              <w14:schemeClr w14:val="tx1"/>
            </w14:solidFill>
          </w14:textFill>
        </w:rPr>
        <w:t>过程中存在</w:t>
      </w:r>
      <w:r>
        <w:rPr>
          <w:rFonts w:hint="default"/>
          <w:color w:val="000000" w:themeColor="text1"/>
          <w:highlight w:val="none"/>
          <w:lang w:val="en-US" w:eastAsia="zh-CN"/>
          <w14:textFill>
            <w14:solidFill>
              <w14:schemeClr w14:val="tx1"/>
            </w14:solidFill>
          </w14:textFill>
        </w:rPr>
        <w:t>设备的无组织泄漏以及其它方式的无组织排放，物料通过渗漏作用对厂址区域地下水产生污染，是对区域内地下水产生污染的主要污染源。根据类比调查，无组</w:t>
      </w:r>
      <w:r>
        <w:rPr>
          <w:rFonts w:hint="eastAsia"/>
          <w:color w:val="000000" w:themeColor="text1"/>
          <w:highlight w:val="none"/>
          <w:lang w:val="en-US" w:eastAsia="zh-CN"/>
          <w14:textFill>
            <w14:solidFill>
              <w14:schemeClr w14:val="tx1"/>
            </w14:solidFill>
          </w14:textFill>
        </w:rPr>
        <w:t>织泄</w:t>
      </w:r>
      <w:r>
        <w:rPr>
          <w:rFonts w:hint="default"/>
          <w:color w:val="000000" w:themeColor="text1"/>
          <w:highlight w:val="none"/>
          <w:lang w:val="en-US" w:eastAsia="zh-CN"/>
          <w14:textFill>
            <w14:solidFill>
              <w14:schemeClr w14:val="tx1"/>
            </w14:solidFill>
          </w14:textFill>
        </w:rPr>
        <w:t>漏潜在区通常主要集中在装置区、管网接口等处，生产装置的开、停车及装置和管线维修时均有可能产生无组织排放。本工程对地下水的主要污染途径有以下几种，</w:t>
      </w:r>
    </w:p>
    <w:p w14:paraId="1F4BFFA9">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A 物料或固体废物堆放场所处置不当，通过大气降水淋滤作用污染浅层水。本项目的固体废物均进行了综合利用，对于物料的堆放场所均进行地面硬化，加强防渗措施，</w:t>
      </w:r>
      <w:r>
        <w:rPr>
          <w:rFonts w:hint="eastAsia"/>
          <w:color w:val="000000" w:themeColor="text1"/>
          <w:highlight w:val="none"/>
          <w:lang w:val="en-US" w:eastAsia="zh-CN"/>
          <w14:textFill>
            <w14:solidFill>
              <w14:schemeClr w14:val="tx1"/>
            </w14:solidFill>
          </w14:textFill>
        </w:rPr>
        <w:t>从而</w:t>
      </w:r>
      <w:r>
        <w:rPr>
          <w:rFonts w:hint="default"/>
          <w:color w:val="000000" w:themeColor="text1"/>
          <w:highlight w:val="none"/>
          <w:lang w:val="en-US" w:eastAsia="zh-CN"/>
          <w14:textFill>
            <w14:solidFill>
              <w14:schemeClr w14:val="tx1"/>
            </w14:solidFill>
          </w14:textFill>
        </w:rPr>
        <w:t>避免因其堆放不当而对地下水</w:t>
      </w:r>
      <w:r>
        <w:rPr>
          <w:rFonts w:hint="eastAsia"/>
          <w:color w:val="000000" w:themeColor="text1"/>
          <w:highlight w:val="none"/>
          <w:lang w:val="en-US" w:eastAsia="zh-CN"/>
          <w14:textFill>
            <w14:solidFill>
              <w14:schemeClr w14:val="tx1"/>
            </w14:solidFill>
          </w14:textFill>
        </w:rPr>
        <w:t>造成</w:t>
      </w:r>
      <w:r>
        <w:rPr>
          <w:rFonts w:hint="default"/>
          <w:color w:val="000000" w:themeColor="text1"/>
          <w:highlight w:val="none"/>
          <w:lang w:val="en-US" w:eastAsia="zh-CN"/>
          <w14:textFill>
            <w14:solidFill>
              <w14:schemeClr w14:val="tx1"/>
            </w14:solidFill>
          </w14:textFill>
        </w:rPr>
        <w:t>不利影响。</w:t>
      </w:r>
    </w:p>
    <w:p w14:paraId="742A1B9E">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B 本项目向大气排放的污染物可能由于重力沉降，雨水洗等作用而降落到地表，有可能被水携带渗入地下水中。本项目中的废气污染源，设计中均采用先进的工艺和有效治理措施，使排入大气中的污染物得到了较好控制，均达标排放，因此本工程排放的废气对地下水不会产生明显影响。</w:t>
      </w:r>
    </w:p>
    <w:p w14:paraId="04702D5D">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C 厂区内物料渗漏</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短期大量排放</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如突发性事故引起的管线破裂或管线堵塞而造成</w:t>
      </w:r>
      <w:r>
        <w:rPr>
          <w:rFonts w:hint="eastAsia"/>
          <w:color w:val="000000" w:themeColor="text1"/>
          <w:highlight w:val="none"/>
          <w:lang w:val="en-US" w:eastAsia="zh-CN"/>
          <w14:textFill>
            <w14:solidFill>
              <w14:schemeClr w14:val="tx1"/>
            </w14:solidFill>
          </w14:textFill>
        </w:rPr>
        <w:t>溢流）</w:t>
      </w:r>
      <w:r>
        <w:rPr>
          <w:rFonts w:hint="default"/>
          <w:color w:val="000000" w:themeColor="text1"/>
          <w:highlight w:val="none"/>
          <w:lang w:val="en-US" w:eastAsia="zh-CN"/>
          <w14:textFill>
            <w14:solidFill>
              <w14:schemeClr w14:val="tx1"/>
            </w14:solidFill>
          </w14:textFill>
        </w:rPr>
        <w:t>，一般能及时发现，并可通过一定方法加以控制。因此，一般短期大量排放不会造成地下水污染。而长期少量排放</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如装置区无组织泄漏等</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，一般较难发现，特别是同一地点长期泄漏有可能对地下水造成污染。物料废液进入地下后，污染物向地下水系统的迁移途径为</w:t>
      </w:r>
      <w:r>
        <w:rPr>
          <w:rFonts w:hint="eastAsia"/>
          <w:color w:val="000000" w:themeColor="text1"/>
          <w:highlight w:val="none"/>
          <w:lang w:val="en-US" w:eastAsia="zh-CN"/>
          <w14:textFill>
            <w14:solidFill>
              <w14:schemeClr w14:val="tx1"/>
            </w14:solidFill>
          </w14:textFill>
        </w:rPr>
        <w:t>：</w:t>
      </w:r>
    </w:p>
    <w:p w14:paraId="0679F079">
      <w:pPr>
        <w:bidi w:val="0"/>
        <w:rPr>
          <w:rFonts w:hint="default"/>
          <w:color w:val="000000" w:themeColor="text1"/>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2665730</wp:posOffset>
                </wp:positionH>
                <wp:positionV relativeFrom="paragraph">
                  <wp:posOffset>163830</wp:posOffset>
                </wp:positionV>
                <wp:extent cx="298450" cy="0"/>
                <wp:effectExtent l="0" t="38100" r="6350" b="38100"/>
                <wp:wrapNone/>
                <wp:docPr id="11" name="直接箭头连接符 11"/>
                <wp:cNvGraphicFramePr/>
                <a:graphic xmlns:a="http://schemas.openxmlformats.org/drawingml/2006/main">
                  <a:graphicData uri="http://schemas.microsoft.com/office/word/2010/wordprocessingShape">
                    <wps:wsp>
                      <wps:cNvCnPr/>
                      <wps:spPr>
                        <a:xfrm>
                          <a:off x="0" y="0"/>
                          <a:ext cx="298450" cy="0"/>
                        </a:xfrm>
                        <a:prstGeom prst="straightConnector1">
                          <a:avLst/>
                        </a:prstGeom>
                        <a:ln>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09.9pt;margin-top:12.9pt;height:0pt;width:23.5pt;z-index:251661312;mso-width-relative:page;mso-height-relative:page;" filled="f" stroked="t" coordsize="21600,21600" o:gfxdata="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M7CVStYAAAAJAQAADwAA&#10;AAAAAAABACAAAAAiAAAAZHJzL2Rvd25yZXYueG1sUEsBAhQAFAAAAAgAh07iQBAg99YYAgAADQQA&#10;AA4AAAAAAAAAAQAgAAAAJQEAAGRycy9lMm9Eb2MueG1sUEsFBgAAAAAGAAYAWQEAAK8FAAAAAA==&#10;">
                <v:fill on="f" focussize="0,0"/>
                <v:stroke weight="1pt" color="#000000 [3213]" miterlimit="8" joinstyle="miter" endarrow="block"/>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3478530</wp:posOffset>
                </wp:positionH>
                <wp:positionV relativeFrom="paragraph">
                  <wp:posOffset>151130</wp:posOffset>
                </wp:positionV>
                <wp:extent cx="298450" cy="0"/>
                <wp:effectExtent l="0" t="38100" r="6350" b="38100"/>
                <wp:wrapNone/>
                <wp:docPr id="12" name="直接箭头连接符 12"/>
                <wp:cNvGraphicFramePr/>
                <a:graphic xmlns:a="http://schemas.openxmlformats.org/drawingml/2006/main">
                  <a:graphicData uri="http://schemas.microsoft.com/office/word/2010/wordprocessingShape">
                    <wps:wsp>
                      <wps:cNvCnPr/>
                      <wps:spPr>
                        <a:xfrm>
                          <a:off x="0" y="0"/>
                          <a:ext cx="298450" cy="0"/>
                        </a:xfrm>
                        <a:prstGeom prst="straightConnector1">
                          <a:avLst/>
                        </a:prstGeom>
                        <a:ln>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73.9pt;margin-top:11.9pt;height:0pt;width:23.5pt;z-index:251662336;mso-width-relative:page;mso-height-relative:page;" filled="f" stroked="t" coordsize="21600,21600" o:gfxdata="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90lJI1gAAAAkBAAAPAAAA&#10;AAAAAAEAIAAAACIAAABkcnMvZG93bnJldi54bWxQSwECFAAUAAAACACHTuJAYwUugxcCAAANBAAA&#10;DgAAAAAAAAABACAAAAAlAQAAZHJzL2Uyb0RvYy54bWxQSwUGAAAAAAYABgBZAQAArgUAAAAA&#10;">
                <v:fill on="f" focussize="0,0"/>
                <v:stroke weight="1pt" color="#000000 [3213]" miterlimit="8" joinstyle="miter" endarrow="block"/>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1910080</wp:posOffset>
                </wp:positionH>
                <wp:positionV relativeFrom="paragraph">
                  <wp:posOffset>151130</wp:posOffset>
                </wp:positionV>
                <wp:extent cx="298450" cy="0"/>
                <wp:effectExtent l="0" t="38100" r="6350" b="38100"/>
                <wp:wrapNone/>
                <wp:docPr id="10" name="直接箭头连接符 10"/>
                <wp:cNvGraphicFramePr/>
                <a:graphic xmlns:a="http://schemas.openxmlformats.org/drawingml/2006/main">
                  <a:graphicData uri="http://schemas.microsoft.com/office/word/2010/wordprocessingShape">
                    <wps:wsp>
                      <wps:cNvCnPr/>
                      <wps:spPr>
                        <a:xfrm>
                          <a:off x="0" y="0"/>
                          <a:ext cx="298450" cy="0"/>
                        </a:xfrm>
                        <a:prstGeom prst="straightConnector1">
                          <a:avLst/>
                        </a:prstGeom>
                        <a:ln>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50.4pt;margin-top:11.9pt;height:0pt;width:23.5pt;z-index:251660288;mso-width-relative:page;mso-height-relative:page;" filled="f" stroked="t" coordsize="21600,21600" o:gfxdata="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JYUsN1gAAAAkBAAAPAAAA&#10;AAAAAAEAIAAAACIAAABkcnMvZG93bnJldi54bWxQSwECFAAUAAAACACHTuJA/j5vUxcCAAANBAAA&#10;DgAAAAAAAAABACAAAAAlAQAAZHJzL2Uyb0RvYy54bWxQSwUGAAAAAAYABgBZAQAArgUAAAAA&#10;">
                <v:fill on="f" focussize="0,0"/>
                <v:stroke weight="1pt" color="#000000 [3213]" miterlimit="8" joinstyle="miter" endarrow="block"/>
                <v:imagedata o:title=""/>
                <o:lock v:ext="edit" aspectratio="f"/>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1109980</wp:posOffset>
                </wp:positionH>
                <wp:positionV relativeFrom="paragraph">
                  <wp:posOffset>138430</wp:posOffset>
                </wp:positionV>
                <wp:extent cx="298450" cy="0"/>
                <wp:effectExtent l="0" t="38100" r="6350" b="38100"/>
                <wp:wrapNone/>
                <wp:docPr id="9" name="直接箭头连接符 9"/>
                <wp:cNvGraphicFramePr/>
                <a:graphic xmlns:a="http://schemas.openxmlformats.org/drawingml/2006/main">
                  <a:graphicData uri="http://schemas.microsoft.com/office/word/2010/wordprocessingShape">
                    <wps:wsp>
                      <wps:cNvCnPr/>
                      <wps:spPr>
                        <a:xfrm>
                          <a:off x="2252980" y="7590790"/>
                          <a:ext cx="298450" cy="0"/>
                        </a:xfrm>
                        <a:prstGeom prst="straightConnector1">
                          <a:avLst/>
                        </a:prstGeom>
                        <a:ln>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87.4pt;margin-top:10.9pt;height:0pt;width:23.5pt;z-index:251659264;mso-width-relative:page;mso-height-relative:page;" filled="f" stroked="t" coordsize="21600,21600" o:gfxdata="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5Hud&#10;INUAAAAJAQAADwAAAAAAAAABACAAAAAiAAAAZHJzL2Rvd25yZXYueG1sUEsBAhQAFAAAAAgAh07i&#10;QMS4cRclAgAAFwQAAA4AAAAAAAAAAQAgAAAAJAEAAGRycy9lMm9Eb2MueG1sUEsFBgAAAAAGAAYA&#10;WQEAALsFAAAAAA==&#10;">
                <v:fill on="f" focussize="0,0"/>
                <v:stroke weight="1pt" color="#000000 [3213]" miterlimit="8" joinstyle="miter" endarrow="block"/>
                <v:imagedata o:title=""/>
                <o:lock v:ext="edit" aspectratio="f"/>
              </v:shape>
            </w:pict>
          </mc:Fallback>
        </mc:AlternateContent>
      </w:r>
      <w:r>
        <w:rPr>
          <w:rFonts w:hint="default"/>
          <w:color w:val="000000" w:themeColor="text1"/>
          <w:highlight w:val="none"/>
          <w:lang w:val="en-US" w:eastAsia="zh-CN"/>
          <w14:textFill>
            <w14:solidFill>
              <w14:schemeClr w14:val="tx1"/>
            </w14:solidFill>
          </w14:textFill>
        </w:rPr>
        <w:t>入渗污染物</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t>表土层</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t>包气带</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t>含水层</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t>迁移</w:t>
      </w:r>
    </w:p>
    <w:p w14:paraId="3D51C965">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包气带是地下水含水层的天然保护层</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是地表污染物质进入含水层的垂直过渡带。包气带防护性能指包气带的土壤、岩石、水、气系统抵御污染物污染地下水的能力。污染物质进入包气带便于周围介质发生物理化学、生物化学等作用其作用时间越长越充分，包气带净化能力越强。包气带岩土对污染物质吸附能力大小与岩石颗粒大小及比表面积有关，通常粘性大于砂性土。</w:t>
      </w:r>
    </w:p>
    <w:p w14:paraId="2DBE645A">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物料废液对地下水的影响是在泄漏等非正常情况下发生的，加之地下水隔水性能的差异性、含水层、土壤层分布的各向异性等原因，对地下水的预测只能建立在人为的假设基础之上，预测不同情况下的污染变化。</w:t>
      </w:r>
    </w:p>
    <w:p w14:paraId="703CCCC0">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通过项目的建设内容、生产工艺和物料特性等考虑，项目可能造成地下水污染的主要情景为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生产装置的设备或管线连接处开裂或腐蚀磨损等原因，发生跑冒滴漏，</w:t>
      </w:r>
      <w:r>
        <w:rPr>
          <w:rFonts w:hint="eastAsia"/>
          <w:color w:val="000000" w:themeColor="text1"/>
          <w:highlight w:val="none"/>
          <w:lang w:val="en-US" w:eastAsia="zh-CN"/>
          <w14:textFill>
            <w14:solidFill>
              <w14:schemeClr w14:val="tx1"/>
            </w14:solidFill>
          </w14:textFill>
        </w:rPr>
        <w:t>污染物</w:t>
      </w:r>
      <w:r>
        <w:rPr>
          <w:rFonts w:hint="default"/>
          <w:color w:val="000000" w:themeColor="text1"/>
          <w:highlight w:val="none"/>
          <w:lang w:val="en-US" w:eastAsia="zh-CN"/>
          <w14:textFill>
            <w14:solidFill>
              <w14:schemeClr w14:val="tx1"/>
            </w14:solidFill>
          </w14:textFill>
        </w:rPr>
        <w:t>进入地下包气带。</w:t>
      </w:r>
    </w:p>
    <w:p w14:paraId="443418DC">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因此，本次模拟预测情景主要针对非正常</w:t>
      </w:r>
      <w:r>
        <w:rPr>
          <w:rFonts w:hint="eastAsia"/>
          <w:color w:val="000000" w:themeColor="text1"/>
          <w:highlight w:val="none"/>
          <w:lang w:val="en-US" w:eastAsia="zh-CN"/>
          <w14:textFill>
            <w14:solidFill>
              <w14:schemeClr w14:val="tx1"/>
            </w14:solidFill>
          </w14:textFill>
        </w:rPr>
        <w:t>工作</w:t>
      </w:r>
      <w:r>
        <w:rPr>
          <w:rFonts w:hint="default"/>
          <w:color w:val="000000" w:themeColor="text1"/>
          <w:highlight w:val="none"/>
          <w:lang w:val="en-US" w:eastAsia="zh-CN"/>
          <w14:textFill>
            <w14:solidFill>
              <w14:schemeClr w14:val="tx1"/>
            </w14:solidFill>
          </w14:textFill>
        </w:rPr>
        <w:t>下的生产装置的设备或管线连接处开裂或腐蚀磨损等原因，发生跑冒滴漏进行。</w:t>
      </w:r>
    </w:p>
    <w:p w14:paraId="68CB6E03">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②预测时间</w:t>
      </w:r>
    </w:p>
    <w:p w14:paraId="03E32546">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污水对地下水的影响是无意间排放的，加之地下水隔水性能的差异性、含水层、土壤层分布的各向异性等原因，对地下水的预测只能建立在人为的假设基础之上，预测不同情况下的污染变化。根据导则要求，分别预测100d，365d和更长时段对地下水环境的影响。</w:t>
      </w:r>
    </w:p>
    <w:p w14:paraId="3CD44CAD">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③预测范围</w:t>
      </w:r>
    </w:p>
    <w:p w14:paraId="4169B6C4">
      <w:pPr>
        <w:pStyle w:val="27"/>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本项目预测范围与调查评价范围一致，厂区上游1km、两侧各1km、下游2km，共计6km</w:t>
      </w:r>
      <w:r>
        <w:rPr>
          <w:rFonts w:hint="eastAsia"/>
          <w:color w:val="000000" w:themeColor="text1"/>
          <w:highlight w:val="none"/>
          <w:vertAlign w:val="superscript"/>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范围内的地下潜水。</w:t>
      </w:r>
    </w:p>
    <w:p w14:paraId="7D3A50E1">
      <w:pPr>
        <w:pStyle w:val="27"/>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④预测因子</w:t>
      </w:r>
    </w:p>
    <w:p w14:paraId="7935E773">
      <w:pPr>
        <w:pStyle w:val="27"/>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参照《环境影响评价技术导则 地下水环境》</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HJ610-2016</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中有关预测因子选取内容</w:t>
      </w:r>
      <w:r>
        <w:rPr>
          <w:rFonts w:hint="eastAsia"/>
          <w:color w:val="000000" w:themeColor="text1"/>
          <w:highlight w:val="none"/>
          <w:lang w:val="en-US" w:eastAsia="zh-CN"/>
          <w14:textFill>
            <w14:solidFill>
              <w14:schemeClr w14:val="tx1"/>
            </w14:solidFill>
          </w14:textFill>
        </w:rPr>
        <w:t>，按照重金属、持久性有机污染物和其他类别进行分类，并对每一类别中的各项因子采用标准指数法进行排序，分别取标准指数最大的因子作为预测因子。</w:t>
      </w:r>
    </w:p>
    <w:p w14:paraId="1BE104F5">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本项目废水中污染因子主要浓度情况见表5.2.2-1。</w:t>
      </w:r>
    </w:p>
    <w:p w14:paraId="359E0122">
      <w:pPr>
        <w:pStyle w:val="2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表5.2.2-1        主要因子一览表</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13"/>
        <w:gridCol w:w="1813"/>
        <w:gridCol w:w="1815"/>
        <w:gridCol w:w="1815"/>
        <w:gridCol w:w="1815"/>
      </w:tblGrid>
      <w:tr w14:paraId="3436A3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13" w:type="dxa"/>
            <w:tcBorders>
              <w:bottom w:val="single" w:color="auto" w:sz="12" w:space="0"/>
            </w:tcBorders>
            <w:noWrap w:val="0"/>
            <w:vAlign w:val="center"/>
          </w:tcPr>
          <w:p w14:paraId="1D42ADE7">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分类</w:t>
            </w:r>
          </w:p>
        </w:tc>
        <w:tc>
          <w:tcPr>
            <w:tcW w:w="1813" w:type="dxa"/>
            <w:tcBorders>
              <w:bottom w:val="single" w:color="auto" w:sz="12" w:space="0"/>
            </w:tcBorders>
            <w:noWrap w:val="0"/>
            <w:vAlign w:val="center"/>
          </w:tcPr>
          <w:p w14:paraId="158F1431">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污染物种类</w:t>
            </w:r>
          </w:p>
        </w:tc>
        <w:tc>
          <w:tcPr>
            <w:tcW w:w="1815" w:type="dxa"/>
            <w:tcBorders>
              <w:bottom w:val="single" w:color="auto" w:sz="12" w:space="0"/>
            </w:tcBorders>
            <w:noWrap w:val="0"/>
            <w:vAlign w:val="center"/>
          </w:tcPr>
          <w:p w14:paraId="4B6FA872">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浓度（</w:t>
            </w:r>
            <w:r>
              <w:rPr>
                <w:rFonts w:hint="default"/>
                <w:b/>
                <w:bCs/>
                <w:color w:val="000000" w:themeColor="text1"/>
                <w:highlight w:val="none"/>
                <w:lang w:val="en-US" w:eastAsia="zh-CN"/>
                <w14:textFill>
                  <w14:solidFill>
                    <w14:schemeClr w14:val="tx1"/>
                  </w14:solidFill>
                </w14:textFill>
              </w:rPr>
              <w:t>mg/L</w:t>
            </w:r>
            <w:r>
              <w:rPr>
                <w:rFonts w:hint="eastAsia"/>
                <w:b/>
                <w:bCs/>
                <w:color w:val="000000" w:themeColor="text1"/>
                <w:highlight w:val="none"/>
                <w:lang w:val="en-US" w:eastAsia="zh-CN"/>
                <w14:textFill>
                  <w14:solidFill>
                    <w14:schemeClr w14:val="tx1"/>
                  </w14:solidFill>
                </w14:textFill>
              </w:rPr>
              <w:t>）</w:t>
            </w:r>
          </w:p>
        </w:tc>
        <w:tc>
          <w:tcPr>
            <w:tcW w:w="1815" w:type="dxa"/>
            <w:tcBorders>
              <w:bottom w:val="single" w:color="auto" w:sz="12" w:space="0"/>
            </w:tcBorders>
            <w:noWrap w:val="0"/>
            <w:vAlign w:val="center"/>
          </w:tcPr>
          <w:p w14:paraId="039BAB23">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质量标准</w:t>
            </w:r>
          </w:p>
        </w:tc>
        <w:tc>
          <w:tcPr>
            <w:tcW w:w="1815" w:type="dxa"/>
            <w:tcBorders>
              <w:bottom w:val="single" w:color="auto" w:sz="12" w:space="0"/>
            </w:tcBorders>
            <w:noWrap w:val="0"/>
            <w:vAlign w:val="center"/>
          </w:tcPr>
          <w:p w14:paraId="1E2315EB">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占标率</w:t>
            </w:r>
          </w:p>
        </w:tc>
      </w:tr>
      <w:tr w14:paraId="62BABE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13" w:type="dxa"/>
            <w:vMerge w:val="restart"/>
            <w:tcBorders>
              <w:tl2br w:val="nil"/>
              <w:tr2bl w:val="nil"/>
            </w:tcBorders>
            <w:noWrap w:val="0"/>
            <w:vAlign w:val="center"/>
          </w:tcPr>
          <w:p w14:paraId="31817EE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其他</w:t>
            </w:r>
          </w:p>
        </w:tc>
        <w:tc>
          <w:tcPr>
            <w:tcW w:w="1813" w:type="dxa"/>
            <w:tcBorders>
              <w:tl2br w:val="nil"/>
              <w:tr2bl w:val="nil"/>
            </w:tcBorders>
            <w:noWrap w:val="0"/>
            <w:vAlign w:val="center"/>
          </w:tcPr>
          <w:p w14:paraId="3BB28BC8">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丙烯酸</w:t>
            </w:r>
          </w:p>
        </w:tc>
        <w:tc>
          <w:tcPr>
            <w:tcW w:w="1815" w:type="dxa"/>
            <w:tcBorders>
              <w:tl2br w:val="nil"/>
              <w:tr2bl w:val="nil"/>
            </w:tcBorders>
            <w:noWrap w:val="0"/>
            <w:vAlign w:val="center"/>
          </w:tcPr>
          <w:p w14:paraId="572639F8">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28</w:t>
            </w:r>
          </w:p>
        </w:tc>
        <w:tc>
          <w:tcPr>
            <w:tcW w:w="1815" w:type="dxa"/>
            <w:tcBorders>
              <w:tl2br w:val="nil"/>
              <w:tr2bl w:val="nil"/>
            </w:tcBorders>
            <w:noWrap w:val="0"/>
            <w:vAlign w:val="center"/>
          </w:tcPr>
          <w:p w14:paraId="7BD248C5">
            <w:pPr>
              <w:pStyle w:val="26"/>
              <w:bidi w:val="0"/>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0.5</w:t>
            </w:r>
          </w:p>
        </w:tc>
        <w:tc>
          <w:tcPr>
            <w:tcW w:w="1815" w:type="dxa"/>
            <w:tcBorders>
              <w:tl2br w:val="nil"/>
              <w:tr2bl w:val="nil"/>
            </w:tcBorders>
            <w:noWrap w:val="0"/>
            <w:vAlign w:val="center"/>
          </w:tcPr>
          <w:p w14:paraId="0398332B">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56</w:t>
            </w:r>
          </w:p>
        </w:tc>
      </w:tr>
      <w:tr w14:paraId="5B3D5A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813" w:type="dxa"/>
            <w:vMerge w:val="continue"/>
            <w:tcBorders>
              <w:tl2br w:val="nil"/>
              <w:tr2bl w:val="nil"/>
            </w:tcBorders>
            <w:noWrap w:val="0"/>
            <w:vAlign w:val="center"/>
          </w:tcPr>
          <w:p w14:paraId="20F8C397">
            <w:pPr>
              <w:pStyle w:val="26"/>
              <w:bidi w:val="0"/>
              <w:jc w:val="center"/>
              <w:rPr>
                <w:rFonts w:hint="eastAsia"/>
                <w:color w:val="000000" w:themeColor="text1"/>
                <w:highlight w:val="none"/>
                <w:lang w:val="en-US" w:eastAsia="zh-CN"/>
                <w14:textFill>
                  <w14:solidFill>
                    <w14:schemeClr w14:val="tx1"/>
                  </w14:solidFill>
                </w14:textFill>
              </w:rPr>
            </w:pPr>
          </w:p>
        </w:tc>
        <w:tc>
          <w:tcPr>
            <w:tcW w:w="1813" w:type="dxa"/>
            <w:tcBorders>
              <w:tl2br w:val="nil"/>
              <w:tr2bl w:val="nil"/>
            </w:tcBorders>
            <w:noWrap w:val="0"/>
            <w:vAlign w:val="center"/>
          </w:tcPr>
          <w:p w14:paraId="6EC1B956">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w:t>
            </w:r>
          </w:p>
        </w:tc>
        <w:tc>
          <w:tcPr>
            <w:tcW w:w="1815" w:type="dxa"/>
            <w:tcBorders>
              <w:tl2br w:val="nil"/>
              <w:tr2bl w:val="nil"/>
            </w:tcBorders>
            <w:noWrap w:val="0"/>
            <w:vAlign w:val="center"/>
          </w:tcPr>
          <w:p w14:paraId="570E3133">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587</w:t>
            </w:r>
          </w:p>
        </w:tc>
        <w:tc>
          <w:tcPr>
            <w:tcW w:w="1815" w:type="dxa"/>
            <w:tcBorders>
              <w:tl2br w:val="nil"/>
              <w:tr2bl w:val="nil"/>
            </w:tcBorders>
            <w:noWrap w:val="0"/>
            <w:vAlign w:val="center"/>
          </w:tcPr>
          <w:p w14:paraId="4DF5C885">
            <w:pPr>
              <w:pStyle w:val="26"/>
              <w:bidi w:val="0"/>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250</w:t>
            </w:r>
          </w:p>
        </w:tc>
        <w:tc>
          <w:tcPr>
            <w:tcW w:w="1815" w:type="dxa"/>
            <w:tcBorders>
              <w:tl2br w:val="nil"/>
              <w:tr2bl w:val="nil"/>
            </w:tcBorders>
            <w:noWrap w:val="0"/>
            <w:vAlign w:val="center"/>
          </w:tcPr>
          <w:p w14:paraId="54377D8E">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w:t>
            </w:r>
          </w:p>
        </w:tc>
      </w:tr>
    </w:tbl>
    <w:p w14:paraId="49EC5912">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按照地下水导则要求，丙烯酸和硫酸占标率均较大，因此本次</w:t>
      </w:r>
      <w:r>
        <w:rPr>
          <w:rFonts w:hint="default"/>
          <w:color w:val="000000" w:themeColor="text1"/>
          <w:highlight w:val="none"/>
          <w:lang w:val="en-US" w:eastAsia="zh-CN"/>
          <w14:textFill>
            <w14:solidFill>
              <w14:schemeClr w14:val="tx1"/>
            </w14:solidFill>
          </w14:textFill>
        </w:rPr>
        <w:t>选择丙烯酸</w:t>
      </w:r>
      <w:r>
        <w:rPr>
          <w:rFonts w:hint="eastAsia"/>
          <w:color w:val="000000" w:themeColor="text1"/>
          <w:highlight w:val="none"/>
          <w:lang w:val="en-US" w:eastAsia="zh-CN"/>
          <w14:textFill>
            <w14:solidFill>
              <w14:schemeClr w14:val="tx1"/>
            </w14:solidFill>
          </w14:textFill>
        </w:rPr>
        <w:t>和硫酸根</w:t>
      </w:r>
      <w:r>
        <w:rPr>
          <w:rFonts w:hint="default"/>
          <w:color w:val="000000" w:themeColor="text1"/>
          <w:highlight w:val="none"/>
          <w:lang w:val="en-US" w:eastAsia="zh-CN"/>
          <w14:textFill>
            <w14:solidFill>
              <w14:schemeClr w14:val="tx1"/>
            </w14:solidFill>
          </w14:textFill>
        </w:rPr>
        <w:t>作为预测因子。</w:t>
      </w:r>
    </w:p>
    <w:p w14:paraId="6A7E3BAE">
      <w:pPr>
        <w:pStyle w:val="27"/>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设定以下污染物泄漏情景</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发生泄漏后下渗，进入含水层系统，渗一定量后被发现，采取补救措施后不再渗漏。丙烯酸标准参考执行《生活饮用水卫生标准》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GB5749-20</w:t>
      </w:r>
      <w:r>
        <w:rPr>
          <w:rFonts w:hint="eastAsia"/>
          <w:color w:val="000000" w:themeColor="text1"/>
          <w:highlight w:val="none"/>
          <w:lang w:val="en-US" w:eastAsia="zh-CN"/>
          <w14:textFill>
            <w14:solidFill>
              <w14:schemeClr w14:val="tx1"/>
            </w14:solidFill>
          </w14:textFill>
        </w:rPr>
        <w:t>22）</w:t>
      </w:r>
      <w:r>
        <w:rPr>
          <w:rFonts w:hint="default"/>
          <w:color w:val="000000" w:themeColor="text1"/>
          <w:highlight w:val="none"/>
          <w:lang w:val="en-US" w:eastAsia="zh-CN"/>
          <w14:textFill>
            <w14:solidFill>
              <w14:schemeClr w14:val="tx1"/>
            </w14:solidFill>
          </w14:textFill>
        </w:rPr>
        <w:t>附录A中限值，将丙烯酸大于0.5mg的浓度定为超标范围</w:t>
      </w:r>
      <w:r>
        <w:rPr>
          <w:rFonts w:hint="eastAsia"/>
          <w:color w:val="000000" w:themeColor="text1"/>
          <w:highlight w:val="none"/>
          <w:lang w:val="en-US" w:eastAsia="zh-CN"/>
          <w14:textFill>
            <w14:solidFill>
              <w14:schemeClr w14:val="tx1"/>
            </w14:solidFill>
          </w14:textFill>
        </w:rPr>
        <w:t>，硫酸根的标准参照执行</w:t>
      </w:r>
      <w:r>
        <w:rPr>
          <w:rFonts w:hint="default" w:ascii="Times New Roman" w:hAnsi="Times New Roman" w:eastAsia="宋体" w:cs="Times New Roman"/>
          <w:color w:val="000000" w:themeColor="text1"/>
          <w:kern w:val="24"/>
          <w:sz w:val="24"/>
          <w:szCs w:val="24"/>
          <w:highlight w:val="none"/>
          <w14:textFill>
            <w14:solidFill>
              <w14:schemeClr w14:val="tx1"/>
            </w14:solidFill>
          </w14:textFill>
        </w:rPr>
        <w:t>《地下水质量标准》（GB/T14848-2017）中Ⅲ类标准</w:t>
      </w:r>
      <w:r>
        <w:rPr>
          <w:rFonts w:hint="eastAsia" w:ascii="Times New Roman" w:hAnsi="Times New Roman" w:eastAsia="宋体" w:cs="Times New Roman"/>
          <w:color w:val="000000" w:themeColor="text1"/>
          <w:kern w:val="24"/>
          <w:sz w:val="24"/>
          <w:szCs w:val="24"/>
          <w:highlight w:val="none"/>
          <w:lang w:val="en-US" w:eastAsia="zh-CN"/>
          <w14:textFill>
            <w14:solidFill>
              <w14:schemeClr w14:val="tx1"/>
            </w14:solidFill>
          </w14:textFill>
        </w:rPr>
        <w:t>限值250mg/L，</w:t>
      </w:r>
      <w:r>
        <w:rPr>
          <w:rFonts w:hint="default"/>
          <w:color w:val="000000" w:themeColor="text1"/>
          <w:highlight w:val="none"/>
          <w:lang w:val="en-US" w:eastAsia="zh-CN"/>
          <w14:textFill>
            <w14:solidFill>
              <w14:schemeClr w14:val="tx1"/>
            </w14:solidFill>
          </w14:textFill>
        </w:rPr>
        <w:t>预测在特定时间内污染因子与厂界的位置关系，说明污染物的影响程度。</w:t>
      </w:r>
    </w:p>
    <w:p w14:paraId="1CEBA1A4">
      <w:pPr>
        <w:pStyle w:val="27"/>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⑤预测方法</w:t>
      </w:r>
    </w:p>
    <w:p w14:paraId="669B8FEB">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本项目按</w:t>
      </w:r>
      <w:r>
        <w:rPr>
          <w:rFonts w:hint="eastAsia"/>
          <w:color w:val="000000" w:themeColor="text1"/>
          <w:highlight w:val="none"/>
          <w:lang w:val="en-US" w:eastAsia="zh-CN"/>
          <w14:textFill>
            <w14:solidFill>
              <w14:schemeClr w14:val="tx1"/>
            </w14:solidFill>
          </w14:textFill>
        </w:rPr>
        <w:t>Ⅰ</w:t>
      </w:r>
      <w:r>
        <w:rPr>
          <w:rFonts w:hint="default"/>
          <w:color w:val="000000" w:themeColor="text1"/>
          <w:highlight w:val="none"/>
          <w:lang w:val="en-US" w:eastAsia="zh-CN"/>
          <w14:textFill>
            <w14:solidFill>
              <w14:schemeClr w14:val="tx1"/>
            </w14:solidFill>
          </w14:textFill>
        </w:rPr>
        <w:t>类项目地下水环境影响评价级别为二级，按照《环境影响评价技术导则 地下水环境》</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HJ610-2016</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的规定，预测方法可以采用数值法或者解析法，由于本区所处区域水文地质条件较简单，本报告采用解析法对地下水环境影响进行预测。</w:t>
      </w:r>
    </w:p>
    <w:p w14:paraId="713DF95C">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⑥预测源强假设原料储罐设施底部出现局部破裂，造成泄漏事故，本项目原料丙烯酸泄漏量按单个桶最大量0.</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t计算。</w:t>
      </w:r>
    </w:p>
    <w:p w14:paraId="7BC150C3">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预测模型</w:t>
      </w:r>
    </w:p>
    <w:p w14:paraId="7BBF7477">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本项目对地下水环境的影响预测分析采用《环境影响评价技术导则地下水环境》</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HJ610-2016</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推荐的一维稳定流动一维水动力弥散问题中的计算公式进行估算，概化条件为一维半无限长多孔介质柱体，一端为定浓度边界，且不考虑水流的源汇项目，对污染物在含水层中的吸附、挥发、生物化学反应等不作考虑当作保守性污染物考虑，其一维连续污染物运移预测方程为</w:t>
      </w:r>
      <w:r>
        <w:rPr>
          <w:rFonts w:hint="eastAsia"/>
          <w:color w:val="000000" w:themeColor="text1"/>
          <w:highlight w:val="none"/>
          <w:lang w:val="en-US" w:eastAsia="zh-CN"/>
          <w14:textFill>
            <w14:solidFill>
              <w14:schemeClr w14:val="tx1"/>
            </w14:solidFill>
          </w14:textFill>
        </w:rPr>
        <w:t>：</w:t>
      </w:r>
    </w:p>
    <w:p w14:paraId="502F5092">
      <w:pPr>
        <w:keepNext w:val="0"/>
        <w:keepLines w:val="0"/>
        <w:pageBreakBefore w:val="0"/>
        <w:widowControl w:val="0"/>
        <w:shd w:val="clear" w:color="auto" w:fill="auto"/>
        <w:kinsoku/>
        <w:wordWrap w:val="0"/>
        <w:overflowPunct/>
        <w:topLinePunct w:val="0"/>
        <w:autoSpaceDE/>
        <w:autoSpaceDN/>
        <w:bidi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2800350" cy="558800"/>
            <wp:effectExtent l="0" t="0" r="6350" b="0"/>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31"/>
                    <a:stretch>
                      <a:fillRect/>
                    </a:stretch>
                  </pic:blipFill>
                  <pic:spPr>
                    <a:xfrm>
                      <a:off x="0" y="0"/>
                      <a:ext cx="2800350" cy="558800"/>
                    </a:xfrm>
                    <a:prstGeom prst="rect">
                      <a:avLst/>
                    </a:prstGeom>
                    <a:noFill/>
                    <a:ln>
                      <a:noFill/>
                    </a:ln>
                  </pic:spPr>
                </pic:pic>
              </a:graphicData>
            </a:graphic>
          </wp:inline>
        </w:drawing>
      </w:r>
    </w:p>
    <w:p w14:paraId="4F96B47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式中</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x——距注入点的距离，m；</w:t>
      </w:r>
    </w:p>
    <w:p w14:paraId="606C4490">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t——时间，d；</w:t>
      </w:r>
    </w:p>
    <w:p w14:paraId="58946986">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c</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x</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t</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 xml:space="preserve">——t 时刻 x 处的示踪剂浓度，g/L </w:t>
      </w:r>
    </w:p>
    <w:p w14:paraId="3A06BC00">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C</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0</w:t>
      </w:r>
      <w:r>
        <w:rPr>
          <w:rFonts w:hint="default" w:ascii="Times New Roman" w:hAnsi="Times New Roman" w:cs="Times New Roman"/>
          <w:color w:val="000000" w:themeColor="text1"/>
          <w:highlight w:val="none"/>
          <w:lang w:val="en-US" w:eastAsia="zh-CN"/>
          <w14:textFill>
            <w14:solidFill>
              <w14:schemeClr w14:val="tx1"/>
            </w14:solidFill>
          </w14:textFill>
        </w:rPr>
        <w:t>——注入的示踪剂浓度，g/L；</w:t>
      </w:r>
    </w:p>
    <w:p w14:paraId="231BB1F6">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u——水流速度，m/d；</w:t>
      </w:r>
    </w:p>
    <w:p w14:paraId="1B14BBC3">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n—</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有效孔隙度，无量纲；</w:t>
      </w:r>
    </w:p>
    <w:p w14:paraId="11408D0E">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D</w:t>
      </w:r>
      <w:r>
        <w:rPr>
          <w:rFonts w:hint="default" w:ascii="Times New Roman" w:hAnsi="Times New Roman" w:cs="Times New Roman"/>
          <w:color w:val="000000" w:themeColor="text1"/>
          <w:highlight w:val="none"/>
          <w:vertAlign w:val="subscript"/>
          <w:lang w:val="en-US" w:eastAsia="zh-CN"/>
          <w14:textFill>
            <w14:solidFill>
              <w14:schemeClr w14:val="tx1"/>
            </w14:solidFill>
          </w14:textFill>
        </w:rPr>
        <w:t>L</w:t>
      </w:r>
      <w:r>
        <w:rPr>
          <w:rFonts w:hint="default" w:ascii="Times New Roman" w:hAnsi="Times New Roman" w:cs="Times New Roman"/>
          <w:color w:val="000000" w:themeColor="text1"/>
          <w:highlight w:val="none"/>
          <w:lang w:val="en-US" w:eastAsia="zh-CN"/>
          <w14:textFill>
            <w14:solidFill>
              <w14:schemeClr w14:val="tx1"/>
            </w14:solidFill>
          </w14:textFill>
        </w:rPr>
        <w:t>——纵向弥散系数，m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 xml:space="preserve">/d； </w:t>
      </w:r>
    </w:p>
    <w:p w14:paraId="1FAC7DDD">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e</w:t>
      </w:r>
      <w:r>
        <w:rPr>
          <w:rFonts w:hint="default" w:ascii="Times New Roman" w:hAnsi="Times New Roman" w:cs="Times New Roman"/>
          <w:color w:val="000000" w:themeColor="text1"/>
          <w:highlight w:val="none"/>
          <w:lang w:val="en-US" w:eastAsia="zh-CN"/>
          <w14:textFill>
            <w14:solidFill>
              <w14:schemeClr w14:val="tx1"/>
            </w14:solidFill>
          </w14:textFill>
        </w:rPr>
        <w:t>r</w:t>
      </w:r>
      <w:r>
        <w:rPr>
          <w:rFonts w:hint="eastAsia" w:cs="Times New Roman"/>
          <w:color w:val="000000" w:themeColor="text1"/>
          <w:highlight w:val="none"/>
          <w:lang w:val="en-US" w:eastAsia="zh-CN"/>
          <w14:textFill>
            <w14:solidFill>
              <w14:schemeClr w14:val="tx1"/>
            </w14:solidFill>
          </w14:textFill>
        </w:rPr>
        <w:t>fc</w:t>
      </w:r>
      <w:r>
        <w:rPr>
          <w:rFonts w:hint="default" w:ascii="Times New Roman" w:hAnsi="Times New Roman" w:cs="Times New Roman"/>
          <w:color w:val="000000" w:themeColor="text1"/>
          <w:highlight w:val="none"/>
          <w:lang w:val="en-US" w:eastAsia="zh-CN"/>
          <w14:textFill>
            <w14:solidFill>
              <w14:schemeClr w14:val="tx1"/>
            </w14:solidFill>
          </w14:textFill>
        </w:rPr>
        <w:t>（）——余误差函数。</w:t>
      </w:r>
    </w:p>
    <w:p w14:paraId="2FAA011F">
      <w:pPr>
        <w:keepNext w:val="0"/>
        <w:keepLines w:val="0"/>
        <w:pageBreakBefore w:val="0"/>
        <w:widowControl w:val="0"/>
        <w:shd w:val="clear" w:color="auto" w:fill="auto"/>
        <w:kinsoku/>
        <w:wordWrap w:val="0"/>
        <w:overflowPunct/>
        <w:topLinePunct w:val="0"/>
        <w:autoSpaceDE/>
        <w:autoSpaceDN/>
        <w:bidi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②</w:t>
      </w:r>
      <w:r>
        <w:rPr>
          <w:rFonts w:hint="default" w:ascii="Times New Roman" w:hAnsi="Times New Roman" w:eastAsia="宋体" w:cs="Times New Roman"/>
          <w:color w:val="000000" w:themeColor="text1"/>
          <w:sz w:val="24"/>
          <w:szCs w:val="24"/>
          <w:highlight w:val="none"/>
          <w14:textFill>
            <w14:solidFill>
              <w14:schemeClr w14:val="tx1"/>
            </w14:solidFill>
          </w14:textFill>
        </w:rPr>
        <w:t>参数确定</w:t>
      </w:r>
    </w:p>
    <w:p w14:paraId="28191D2A">
      <w:pPr>
        <w:keepNext w:val="0"/>
        <w:keepLines w:val="0"/>
        <w:pageBreakBefore w:val="0"/>
        <w:widowControl w:val="0"/>
        <w:shd w:val="clear" w:color="auto" w:fill="auto"/>
        <w:kinsoku/>
        <w:wordWrap w:val="0"/>
        <w:overflowPunct/>
        <w:topLinePunct w:val="0"/>
        <w:autoSpaceDE/>
        <w:autoSpaceDN/>
        <w:bidi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溶质运移模型建立的关键是模拟参数确定，各模拟参数通常情况下通过野外和室内试验确定。在模拟过程中最重要的水文地质参数是渗透系数，</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根据</w:t>
      </w:r>
      <w:r>
        <w:rPr>
          <w:rFonts w:hint="eastAsia" w:cs="Times New Roman"/>
          <w:color w:val="000000" w:themeColor="text1"/>
          <w:sz w:val="24"/>
          <w:szCs w:val="24"/>
          <w:highlight w:val="none"/>
          <w:lang w:val="en-US" w:eastAsia="zh-CN"/>
          <w14:textFill>
            <w14:solidFill>
              <w14:schemeClr w14:val="tx1"/>
            </w14:solidFill>
          </w14:textFill>
        </w:rPr>
        <w:t>园区</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水文地质勘察报告结果，评价区含水层渗透系数取值0.</w:t>
      </w:r>
      <w:r>
        <w:rPr>
          <w:rFonts w:hint="eastAsia" w:cs="Times New Roman"/>
          <w:color w:val="000000" w:themeColor="text1"/>
          <w:sz w:val="24"/>
          <w:szCs w:val="24"/>
          <w:highlight w:val="none"/>
          <w:lang w:val="en-US" w:eastAsia="zh-CN"/>
          <w14:textFill>
            <w14:solidFill>
              <w14:schemeClr w14:val="tx1"/>
            </w14:solidFill>
          </w14:textFill>
        </w:rPr>
        <w:t>04</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m/d，I为水力梯度根据地下水流场确定为</w:t>
      </w:r>
      <w:r>
        <w:rPr>
          <w:rFonts w:hint="eastAsia" w:cs="Times New Roman"/>
          <w:color w:val="000000" w:themeColor="text1"/>
          <w:sz w:val="24"/>
          <w:szCs w:val="24"/>
          <w:highlight w:val="none"/>
          <w:lang w:val="en-US" w:eastAsia="zh-CN"/>
          <w14:textFill>
            <w14:solidFill>
              <w14:schemeClr w14:val="tx1"/>
            </w14:solidFill>
          </w14:textFill>
        </w:rPr>
        <w:t>0.012，</w:t>
      </w:r>
      <w:r>
        <w:rPr>
          <w:rFonts w:hint="eastAsia"/>
          <w:color w:val="000000" w:themeColor="text1"/>
          <w:highlight w:val="none"/>
          <w:lang w:val="en-US" w:eastAsia="zh-CN"/>
          <w14:textFill>
            <w14:solidFill>
              <w14:schemeClr w14:val="tx1"/>
            </w14:solidFill>
          </w14:textFill>
        </w:rPr>
        <w:t>含水层岩性为中细砂，</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有效孔隙度根据砂岩的经验值0.</w:t>
      </w:r>
      <w:r>
        <w:rPr>
          <w:rFonts w:hint="eastAsia" w:cs="Times New Roman"/>
          <w:color w:val="000000" w:themeColor="text1"/>
          <w:sz w:val="24"/>
          <w:szCs w:val="24"/>
          <w:highlight w:val="none"/>
          <w:lang w:val="en-US" w:eastAsia="zh-CN"/>
          <w14:textFill>
            <w14:solidFill>
              <w14:schemeClr w14:val="tx1"/>
            </w14:solidFill>
          </w14:textFill>
        </w:rPr>
        <w:t>32</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，纵向弥散度经验取值</w:t>
      </w:r>
      <w:r>
        <w:rPr>
          <w:rFonts w:hint="eastAsia" w:cs="Times New Roman"/>
          <w:color w:val="000000" w:themeColor="text1"/>
          <w:sz w:val="24"/>
          <w:szCs w:val="24"/>
          <w:highlight w:val="none"/>
          <w:lang w:val="en-US" w:eastAsia="zh-CN"/>
          <w14:textFill>
            <w14:solidFill>
              <w14:schemeClr w14:val="tx1"/>
            </w14:solidFill>
          </w14:textFill>
        </w:rPr>
        <w:t>4.6</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m，实际流速为0.0</w:t>
      </w:r>
      <w:r>
        <w:rPr>
          <w:rFonts w:hint="eastAsia" w:cs="Times New Roman"/>
          <w:color w:val="000000" w:themeColor="text1"/>
          <w:sz w:val="24"/>
          <w:szCs w:val="24"/>
          <w:highlight w:val="none"/>
          <w:lang w:val="en-US" w:eastAsia="zh-CN"/>
          <w14:textFill>
            <w14:solidFill>
              <w14:schemeClr w14:val="tx1"/>
            </w14:solidFill>
          </w14:textFill>
        </w:rPr>
        <w:t>015</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m/d，</w:t>
      </w:r>
      <w:r>
        <w:rPr>
          <w:rFonts w:hint="default" w:ascii="Times New Roman" w:hAnsi="Times New Roman" w:eastAsia="宋体" w:cs="Times New Roman"/>
          <w:color w:val="000000" w:themeColor="text1"/>
          <w:sz w:val="24"/>
          <w:szCs w:val="24"/>
          <w:highlight w:val="none"/>
          <w14:textFill>
            <w14:solidFill>
              <w14:schemeClr w14:val="tx1"/>
            </w14:solidFill>
          </w14:textFill>
        </w:rPr>
        <w:t>模拟的各项参数值见表</w:t>
      </w:r>
      <w:r>
        <w:rPr>
          <w:rFonts w:hint="eastAsia"/>
          <w:color w:val="000000" w:themeColor="text1"/>
          <w:highlight w:val="none"/>
          <w:lang w:val="en-US" w:eastAsia="zh-CN"/>
          <w14:textFill>
            <w14:solidFill>
              <w14:schemeClr w14:val="tx1"/>
            </w14:solidFill>
          </w14:textFill>
        </w:rPr>
        <w:t>5.2.2-1</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1BF7A7CD">
      <w:pPr>
        <w:pStyle w:val="25"/>
        <w:bidi w:val="0"/>
        <w:rPr>
          <w:rFonts w:hint="default"/>
          <w:color w:val="000000" w:themeColor="text1"/>
          <w:highlight w:val="none"/>
          <w14:textFill>
            <w14:solidFill>
              <w14:schemeClr w14:val="tx1"/>
            </w14:solidFill>
          </w14:textFill>
        </w:rPr>
      </w:pPr>
    </w:p>
    <w:p w14:paraId="003E09DB">
      <w:pPr>
        <w:pStyle w:val="25"/>
        <w:bidi w:val="0"/>
        <w:rPr>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5.2.2-1       预测模型所需参数一览表</w:t>
      </w:r>
    </w:p>
    <w:tbl>
      <w:tblPr>
        <w:tblStyle w:val="21"/>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1390"/>
        <w:gridCol w:w="1460"/>
        <w:gridCol w:w="5235"/>
      </w:tblGrid>
      <w:tr w14:paraId="28FF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tcBorders>
              <w:top w:val="single" w:color="auto" w:sz="12" w:space="0"/>
              <w:left w:val="nil"/>
            </w:tcBorders>
            <w:noWrap w:val="0"/>
            <w:vAlign w:val="center"/>
          </w:tcPr>
          <w:p w14:paraId="422D74B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序号</w:t>
            </w:r>
          </w:p>
        </w:tc>
        <w:tc>
          <w:tcPr>
            <w:tcW w:w="1390" w:type="dxa"/>
            <w:tcBorders>
              <w:top w:val="single" w:color="auto" w:sz="12" w:space="0"/>
            </w:tcBorders>
            <w:noWrap w:val="0"/>
            <w:vAlign w:val="center"/>
          </w:tcPr>
          <w:p w14:paraId="6DD9947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参数</w:t>
            </w:r>
          </w:p>
        </w:tc>
        <w:tc>
          <w:tcPr>
            <w:tcW w:w="1460" w:type="dxa"/>
            <w:tcBorders>
              <w:top w:val="single" w:color="auto" w:sz="12" w:space="0"/>
            </w:tcBorders>
            <w:noWrap w:val="0"/>
            <w:vAlign w:val="center"/>
          </w:tcPr>
          <w:p w14:paraId="57AA57EB">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参数取值</w:t>
            </w:r>
          </w:p>
        </w:tc>
        <w:tc>
          <w:tcPr>
            <w:tcW w:w="5235" w:type="dxa"/>
            <w:tcBorders>
              <w:top w:val="single" w:color="auto" w:sz="12" w:space="0"/>
              <w:right w:val="nil"/>
            </w:tcBorders>
            <w:noWrap w:val="0"/>
            <w:vAlign w:val="center"/>
          </w:tcPr>
          <w:p w14:paraId="12D9BB8A">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数值来源</w:t>
            </w:r>
          </w:p>
        </w:tc>
      </w:tr>
      <w:tr w14:paraId="52385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tcBorders>
              <w:left w:val="nil"/>
            </w:tcBorders>
            <w:noWrap w:val="0"/>
            <w:vAlign w:val="center"/>
          </w:tcPr>
          <w:p w14:paraId="4E6AF47D">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1390" w:type="dxa"/>
            <w:noWrap w:val="0"/>
            <w:vAlign w:val="center"/>
          </w:tcPr>
          <w:p w14:paraId="2458CD03">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水流速度，</w:t>
            </w:r>
            <w:r>
              <w:rPr>
                <w:rFonts w:hint="default"/>
                <w:color w:val="000000" w:themeColor="text1"/>
                <w:highlight w:val="none"/>
                <w:lang w:val="en-US" w:eastAsia="zh-CN"/>
                <w14:textFill>
                  <w14:solidFill>
                    <w14:schemeClr w14:val="tx1"/>
                  </w14:solidFill>
                </w14:textFill>
              </w:rPr>
              <w:t>u</w:t>
            </w:r>
          </w:p>
        </w:tc>
        <w:tc>
          <w:tcPr>
            <w:tcW w:w="1460" w:type="dxa"/>
            <w:noWrap w:val="0"/>
            <w:vAlign w:val="center"/>
          </w:tcPr>
          <w:p w14:paraId="156D50F4">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0015</w:t>
            </w:r>
            <w:r>
              <w:rPr>
                <w:rFonts w:hint="default"/>
                <w:color w:val="000000" w:themeColor="text1"/>
                <w:highlight w:val="none"/>
                <w:lang w:val="en-US" w:eastAsia="zh-CN"/>
                <w14:textFill>
                  <w14:solidFill>
                    <w14:schemeClr w14:val="tx1"/>
                  </w14:solidFill>
                </w14:textFill>
              </w:rPr>
              <w:t>m/d</w:t>
            </w:r>
          </w:p>
        </w:tc>
        <w:tc>
          <w:tcPr>
            <w:tcW w:w="5235" w:type="dxa"/>
            <w:tcBorders>
              <w:right w:val="nil"/>
            </w:tcBorders>
            <w:noWrap w:val="0"/>
            <w:vAlign w:val="center"/>
          </w:tcPr>
          <w:p w14:paraId="576EC65E">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u=kI/n</w:t>
            </w:r>
            <w:r>
              <w:rPr>
                <w:rFonts w:hint="eastAsia"/>
                <w:color w:val="000000" w:themeColor="text1"/>
                <w:highlight w:val="none"/>
                <w:lang w:val="en-US" w:eastAsia="zh-CN"/>
                <w14:textFill>
                  <w14:solidFill>
                    <w14:schemeClr w14:val="tx1"/>
                  </w14:solidFill>
                </w14:textFill>
              </w:rPr>
              <w:t>.本区域潜水含水层渗透系数为0.04</w:t>
            </w:r>
            <w:r>
              <w:rPr>
                <w:rFonts w:hint="default"/>
                <w:color w:val="000000" w:themeColor="text1"/>
                <w:highlight w:val="none"/>
                <w:lang w:val="en-US" w:eastAsia="zh-CN"/>
                <w14:textFill>
                  <w14:solidFill>
                    <w14:schemeClr w14:val="tx1"/>
                  </w14:solidFill>
                </w14:textFill>
              </w:rPr>
              <w:t>m/d</w:t>
            </w:r>
            <w:r>
              <w:rPr>
                <w:rFonts w:hint="eastAsia"/>
                <w:color w:val="000000" w:themeColor="text1"/>
                <w:highlight w:val="none"/>
                <w:lang w:val="en-US" w:eastAsia="zh-CN"/>
                <w14:textFill>
                  <w14:solidFill>
                    <w14:schemeClr w14:val="tx1"/>
                  </w14:solidFill>
                </w14:textFill>
              </w:rPr>
              <w:t>。水力坡度</w:t>
            </w:r>
            <w:r>
              <w:rPr>
                <w:rFonts w:hint="default"/>
                <w:color w:val="000000" w:themeColor="text1"/>
                <w:highlight w:val="none"/>
                <w:lang w:val="en-US" w:eastAsia="zh-CN"/>
                <w14:textFill>
                  <w14:solidFill>
                    <w14:schemeClr w14:val="tx1"/>
                  </w14:solidFill>
                </w14:textFill>
              </w:rPr>
              <w:t>I=</w:t>
            </w:r>
            <w:r>
              <w:rPr>
                <w:rFonts w:hint="eastAsia"/>
                <w:color w:val="000000" w:themeColor="text1"/>
                <w:highlight w:val="none"/>
                <w:lang w:val="en-US" w:eastAsia="zh-CN"/>
                <w14:textFill>
                  <w14:solidFill>
                    <w14:schemeClr w14:val="tx1"/>
                  </w14:solidFill>
                </w14:textFill>
              </w:rPr>
              <w:t>1.2%，因此地下水的渗透流速</w:t>
            </w:r>
            <w:r>
              <w:rPr>
                <w:rFonts w:hint="default"/>
                <w:color w:val="000000" w:themeColor="text1"/>
                <w:highlight w:val="none"/>
                <w:lang w:val="en-US" w:eastAsia="zh-CN"/>
                <w14:textFill>
                  <w14:solidFill>
                    <w14:schemeClr w14:val="tx1"/>
                  </w14:solidFill>
                </w14:textFill>
              </w:rPr>
              <w:t>V=KI=0.0</w:t>
            </w:r>
            <w:r>
              <w:rPr>
                <w:rFonts w:hint="eastAsia"/>
                <w:color w:val="000000" w:themeColor="text1"/>
                <w:highlight w:val="none"/>
                <w:lang w:val="en-US" w:eastAsia="zh-CN"/>
                <w14:textFill>
                  <w14:solidFill>
                    <w14:schemeClr w14:val="tx1"/>
                  </w14:solidFill>
                </w14:textFill>
              </w:rPr>
              <w:t>0048</w:t>
            </w:r>
            <w:r>
              <w:rPr>
                <w:rFonts w:hint="default"/>
                <w:color w:val="000000" w:themeColor="text1"/>
                <w:highlight w:val="none"/>
                <w:lang w:val="en-US" w:eastAsia="zh-CN"/>
                <w14:textFill>
                  <w14:solidFill>
                    <w14:schemeClr w14:val="tx1"/>
                  </w14:solidFill>
                </w14:textFill>
              </w:rPr>
              <w:t>m/d</w:t>
            </w:r>
            <w:r>
              <w:rPr>
                <w:rFonts w:hint="eastAsia"/>
                <w:color w:val="000000" w:themeColor="text1"/>
                <w:highlight w:val="none"/>
                <w:lang w:val="en-US" w:eastAsia="zh-CN"/>
                <w14:textFill>
                  <w14:solidFill>
                    <w14:schemeClr w14:val="tx1"/>
                  </w14:solidFill>
                </w14:textFill>
              </w:rPr>
              <w:t>，平均实际流速</w:t>
            </w:r>
            <w:r>
              <w:rPr>
                <w:rFonts w:hint="default"/>
                <w:color w:val="000000" w:themeColor="text1"/>
                <w:highlight w:val="none"/>
                <w:lang w:val="en-US" w:eastAsia="zh-CN"/>
                <w14:textFill>
                  <w14:solidFill>
                    <w14:schemeClr w14:val="tx1"/>
                  </w14:solidFill>
                </w14:textFill>
              </w:rPr>
              <w:t>u=V/n=0.</w:t>
            </w:r>
            <w:r>
              <w:rPr>
                <w:rFonts w:hint="eastAsia"/>
                <w:color w:val="000000" w:themeColor="text1"/>
                <w:highlight w:val="none"/>
                <w:lang w:val="en-US" w:eastAsia="zh-CN"/>
                <w14:textFill>
                  <w14:solidFill>
                    <w14:schemeClr w14:val="tx1"/>
                  </w14:solidFill>
                </w14:textFill>
              </w:rPr>
              <w:t>0015</w:t>
            </w:r>
            <w:r>
              <w:rPr>
                <w:rFonts w:hint="default"/>
                <w:color w:val="000000" w:themeColor="text1"/>
                <w:highlight w:val="none"/>
                <w:lang w:val="en-US" w:eastAsia="zh-CN"/>
                <w14:textFill>
                  <w14:solidFill>
                    <w14:schemeClr w14:val="tx1"/>
                  </w14:solidFill>
                </w14:textFill>
              </w:rPr>
              <w:t>m/d</w:t>
            </w:r>
            <w:r>
              <w:rPr>
                <w:rFonts w:hint="eastAsia"/>
                <w:color w:val="000000" w:themeColor="text1"/>
                <w:highlight w:val="none"/>
                <w:lang w:val="en-US" w:eastAsia="zh-CN"/>
                <w14:textFill>
                  <w14:solidFill>
                    <w14:schemeClr w14:val="tx1"/>
                  </w14:solidFill>
                </w14:textFill>
              </w:rPr>
              <w:t>。</w:t>
            </w:r>
          </w:p>
        </w:tc>
      </w:tr>
      <w:tr w14:paraId="668C8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tcBorders>
              <w:left w:val="nil"/>
            </w:tcBorders>
            <w:noWrap w:val="0"/>
            <w:vAlign w:val="center"/>
          </w:tcPr>
          <w:p w14:paraId="4243670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1390" w:type="dxa"/>
            <w:noWrap w:val="0"/>
            <w:vAlign w:val="center"/>
          </w:tcPr>
          <w:p w14:paraId="4204B0B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纵向弥散系数，</w:t>
            </w:r>
            <w:r>
              <w:rPr>
                <w:rFonts w:hint="default"/>
                <w:color w:val="000000" w:themeColor="text1"/>
                <w:highlight w:val="none"/>
                <w:lang w:val="en-US" w:eastAsia="zh-CN"/>
                <w14:textFill>
                  <w14:solidFill>
                    <w14:schemeClr w14:val="tx1"/>
                  </w14:solidFill>
                </w14:textFill>
              </w:rPr>
              <w:t>DL</w:t>
            </w:r>
          </w:p>
        </w:tc>
        <w:tc>
          <w:tcPr>
            <w:tcW w:w="1460" w:type="dxa"/>
            <w:noWrap w:val="0"/>
            <w:vAlign w:val="center"/>
          </w:tcPr>
          <w:p w14:paraId="7D3F2BE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w:t>
            </w:r>
          </w:p>
        </w:tc>
        <w:tc>
          <w:tcPr>
            <w:tcW w:w="5235" w:type="dxa"/>
            <w:tcBorders>
              <w:right w:val="nil"/>
            </w:tcBorders>
            <w:noWrap w:val="0"/>
            <w:vAlign w:val="center"/>
          </w:tcPr>
          <w:p w14:paraId="542506D1">
            <w:pPr>
              <w:pStyle w:val="26"/>
              <w:bidi w:val="0"/>
              <w:jc w:val="cente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DL=aLu</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aL</w:t>
            </w:r>
            <w:r>
              <w:rPr>
                <w:rFonts w:hint="eastAsia"/>
                <w:color w:val="000000" w:themeColor="text1"/>
                <w:highlight w:val="none"/>
                <w:lang w:val="en-US" w:eastAsia="zh-CN"/>
                <w14:textFill>
                  <w14:solidFill>
                    <w14:schemeClr w14:val="tx1"/>
                  </w14:solidFill>
                </w14:textFill>
              </w:rPr>
              <w:t>为纵向弥散度。参考研究成果，弥散度应介于</w:t>
            </w:r>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之间，本次模拟取弥散度参数值取4.5。</w:t>
            </w:r>
          </w:p>
        </w:tc>
      </w:tr>
      <w:tr w14:paraId="4C2BB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tcBorders>
              <w:left w:val="nil"/>
            </w:tcBorders>
            <w:noWrap w:val="0"/>
            <w:vAlign w:val="center"/>
          </w:tcPr>
          <w:p w14:paraId="159ED18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1390" w:type="dxa"/>
            <w:noWrap w:val="0"/>
            <w:vAlign w:val="center"/>
          </w:tcPr>
          <w:p w14:paraId="75FEB60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有效孔隙度，</w:t>
            </w:r>
            <w:r>
              <w:rPr>
                <w:rFonts w:hint="default"/>
                <w:color w:val="000000" w:themeColor="text1"/>
                <w:highlight w:val="none"/>
                <w:lang w:val="en-US" w:eastAsia="zh-CN"/>
                <w14:textFill>
                  <w14:solidFill>
                    <w14:schemeClr w14:val="tx1"/>
                  </w14:solidFill>
                </w14:textFill>
              </w:rPr>
              <w:t>n</w:t>
            </w:r>
          </w:p>
        </w:tc>
        <w:tc>
          <w:tcPr>
            <w:tcW w:w="1460" w:type="dxa"/>
            <w:noWrap w:val="0"/>
            <w:vAlign w:val="center"/>
          </w:tcPr>
          <w:p w14:paraId="7878231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0.32</w:t>
            </w:r>
          </w:p>
        </w:tc>
        <w:tc>
          <w:tcPr>
            <w:tcW w:w="5235" w:type="dxa"/>
            <w:tcBorders>
              <w:right w:val="nil"/>
            </w:tcBorders>
            <w:noWrap w:val="0"/>
            <w:vAlign w:val="center"/>
          </w:tcPr>
          <w:p w14:paraId="15A28B66">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含水层岩性为中细砂，孔隙度取经验值</w:t>
            </w:r>
            <w:r>
              <w:rPr>
                <w:rFonts w:hint="default"/>
                <w:color w:val="000000" w:themeColor="text1"/>
                <w:highlight w:val="none"/>
                <w:lang w:val="en-US" w:eastAsia="zh-CN"/>
                <w14:textFill>
                  <w14:solidFill>
                    <w14:schemeClr w14:val="tx1"/>
                  </w14:solidFill>
                </w14:textFill>
              </w:rPr>
              <w:t>0.3</w:t>
            </w:r>
            <w:r>
              <w:rPr>
                <w:rFonts w:hint="eastAsia"/>
                <w:color w:val="000000" w:themeColor="text1"/>
                <w:highlight w:val="none"/>
                <w:lang w:val="en-US" w:eastAsia="zh-CN"/>
                <w14:textFill>
                  <w14:solidFill>
                    <w14:schemeClr w14:val="tx1"/>
                  </w14:solidFill>
                </w14:textFill>
              </w:rPr>
              <w:t>2。</w:t>
            </w:r>
          </w:p>
        </w:tc>
      </w:tr>
      <w:tr w14:paraId="0E45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tcBorders>
              <w:left w:val="nil"/>
              <w:bottom w:val="single" w:color="auto" w:sz="12" w:space="0"/>
            </w:tcBorders>
            <w:noWrap w:val="0"/>
            <w:vAlign w:val="center"/>
          </w:tcPr>
          <w:p w14:paraId="750D0BCD">
            <w:pPr>
              <w:pStyle w:val="26"/>
              <w:bidi w:val="0"/>
              <w:jc w:val="center"/>
              <w:rPr>
                <w:rFonts w:hint="eastAsia"/>
                <w:color w:val="000000" w:themeColor="text1"/>
                <w:highlight w:val="none"/>
                <w:lang w:val="en-US" w:eastAsia="zh-CN"/>
                <w14:textFill>
                  <w14:solidFill>
                    <w14:schemeClr w14:val="tx1"/>
                  </w14:solidFill>
                </w14:textFill>
              </w:rPr>
            </w:pPr>
          </w:p>
        </w:tc>
        <w:tc>
          <w:tcPr>
            <w:tcW w:w="1390" w:type="dxa"/>
            <w:tcBorders>
              <w:bottom w:val="single" w:color="auto" w:sz="12" w:space="0"/>
            </w:tcBorders>
            <w:noWrap w:val="0"/>
            <w:vAlign w:val="center"/>
          </w:tcPr>
          <w:p w14:paraId="1E995987">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时间</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t</w:t>
            </w:r>
          </w:p>
        </w:tc>
        <w:tc>
          <w:tcPr>
            <w:tcW w:w="6695" w:type="dxa"/>
            <w:gridSpan w:val="2"/>
            <w:tcBorders>
              <w:bottom w:val="single" w:color="auto" w:sz="12" w:space="0"/>
              <w:right w:val="nil"/>
            </w:tcBorders>
            <w:noWrap w:val="0"/>
            <w:vAlign w:val="center"/>
          </w:tcPr>
          <w:p w14:paraId="62E010AB">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计算发生渗漏后</w:t>
            </w:r>
            <w:r>
              <w:rPr>
                <w:rFonts w:hint="default"/>
                <w:color w:val="000000" w:themeColor="text1"/>
                <w:highlight w:val="none"/>
                <w:lang w:val="en-US" w:eastAsia="zh-CN"/>
                <w14:textFill>
                  <w14:solidFill>
                    <w14:schemeClr w14:val="tx1"/>
                  </w14:solidFill>
                </w14:textFill>
              </w:rPr>
              <w:t>100d</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1000d</w:t>
            </w:r>
            <w:r>
              <w:rPr>
                <w:rFonts w:hint="eastAsia"/>
                <w:color w:val="000000" w:themeColor="text1"/>
                <w:highlight w:val="none"/>
                <w:lang w:val="en-US" w:eastAsia="zh-CN"/>
                <w14:textFill>
                  <w14:solidFill>
                    <w14:schemeClr w14:val="tx1"/>
                  </w14:solidFill>
                </w14:textFill>
              </w:rPr>
              <w:t>后各预测点的浓度</w:t>
            </w:r>
          </w:p>
        </w:tc>
      </w:tr>
    </w:tbl>
    <w:p w14:paraId="6F7C2B91">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（3）预测结果 </w:t>
      </w:r>
    </w:p>
    <w:p w14:paraId="79B20158">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将污染源输入模型，模拟预测发生渗漏后100d、1000d、10年（3650d）的变化情况，从而得到丙烯酸、硫酸连续渗漏情况下对地下水水质的影响情况，详见表5.2.2-2。</w:t>
      </w:r>
    </w:p>
    <w:p w14:paraId="686B7DF1">
      <w:pPr>
        <w:pStyle w:val="2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表5.2.2-2      事故工况瞬时地下水丙烯酸污染物预测结果</w:t>
      </w:r>
    </w:p>
    <w:tbl>
      <w:tblPr>
        <w:tblStyle w:val="21"/>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3049"/>
        <w:gridCol w:w="1730"/>
        <w:gridCol w:w="1630"/>
        <w:gridCol w:w="1529"/>
      </w:tblGrid>
      <w:tr w14:paraId="032491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133" w:type="dxa"/>
            <w:tcBorders>
              <w:bottom w:val="single" w:color="auto" w:sz="12" w:space="0"/>
            </w:tcBorders>
            <w:vAlign w:val="center"/>
          </w:tcPr>
          <w:p w14:paraId="015F5EF6">
            <w:pPr>
              <w:pStyle w:val="26"/>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污染物</w:t>
            </w:r>
          </w:p>
        </w:tc>
        <w:tc>
          <w:tcPr>
            <w:tcW w:w="3049" w:type="dxa"/>
            <w:tcBorders>
              <w:bottom w:val="single" w:color="auto" w:sz="12" w:space="0"/>
            </w:tcBorders>
            <w:shd w:val="clear" w:color="auto" w:fill="auto"/>
            <w:vAlign w:val="center"/>
          </w:tcPr>
          <w:p w14:paraId="0461EA5C">
            <w:pPr>
              <w:pStyle w:val="26"/>
              <w:bidi w:val="0"/>
              <w:ind w:left="0" w:leftChars="0" w:right="0" w:rightChars="0" w:firstLine="0" w:firstLineChars="0"/>
              <w:jc w:val="cente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时间</w:t>
            </w:r>
          </w:p>
        </w:tc>
        <w:tc>
          <w:tcPr>
            <w:tcW w:w="1730" w:type="dxa"/>
            <w:tcBorders>
              <w:bottom w:val="single" w:color="auto" w:sz="12" w:space="0"/>
            </w:tcBorders>
            <w:vAlign w:val="center"/>
          </w:tcPr>
          <w:p w14:paraId="1D17F001">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100d</w:t>
            </w:r>
          </w:p>
        </w:tc>
        <w:tc>
          <w:tcPr>
            <w:tcW w:w="1630" w:type="dxa"/>
            <w:tcBorders>
              <w:bottom w:val="single" w:color="auto" w:sz="12" w:space="0"/>
            </w:tcBorders>
            <w:vAlign w:val="center"/>
          </w:tcPr>
          <w:p w14:paraId="49E6C774">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1000d</w:t>
            </w:r>
          </w:p>
        </w:tc>
        <w:tc>
          <w:tcPr>
            <w:tcW w:w="1529" w:type="dxa"/>
            <w:tcBorders>
              <w:bottom w:val="single" w:color="auto" w:sz="12" w:space="0"/>
            </w:tcBorders>
            <w:vAlign w:val="center"/>
          </w:tcPr>
          <w:p w14:paraId="5BE0A700">
            <w:pPr>
              <w:pStyle w:val="26"/>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3650d</w:t>
            </w:r>
          </w:p>
        </w:tc>
      </w:tr>
      <w:tr w14:paraId="108575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restart"/>
            <w:tcBorders>
              <w:top w:val="single" w:color="auto" w:sz="12" w:space="0"/>
              <w:tl2br w:val="nil"/>
              <w:tr2bl w:val="nil"/>
            </w:tcBorders>
            <w:vAlign w:val="center"/>
          </w:tcPr>
          <w:p w14:paraId="17EDB90E">
            <w:pPr>
              <w:pStyle w:val="26"/>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丙烯酸</w:t>
            </w:r>
          </w:p>
        </w:tc>
        <w:tc>
          <w:tcPr>
            <w:tcW w:w="3049" w:type="dxa"/>
            <w:tcBorders>
              <w:top w:val="single" w:color="auto" w:sz="12" w:space="0"/>
              <w:tl2br w:val="nil"/>
              <w:tr2bl w:val="nil"/>
            </w:tcBorders>
            <w:shd w:val="clear" w:color="auto" w:fill="auto"/>
            <w:vAlign w:val="center"/>
          </w:tcPr>
          <w:p w14:paraId="074CC494">
            <w:pPr>
              <w:pStyle w:val="26"/>
              <w:bidi w:val="0"/>
              <w:ind w:left="0" w:leftChars="0" w:right="0" w:rightChars="0" w:firstLine="0" w:firstLineChars="0"/>
              <w:jc w:val="both"/>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最大污染浓度（mg/l）</w:t>
            </w:r>
          </w:p>
        </w:tc>
        <w:tc>
          <w:tcPr>
            <w:tcW w:w="1730" w:type="dxa"/>
            <w:tcBorders>
              <w:top w:val="single" w:color="auto" w:sz="12" w:space="0"/>
              <w:tl2br w:val="nil"/>
              <w:tr2bl w:val="nil"/>
            </w:tcBorders>
            <w:vAlign w:val="center"/>
          </w:tcPr>
          <w:p w14:paraId="0F11C57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11.345</w:t>
            </w:r>
          </w:p>
        </w:tc>
        <w:tc>
          <w:tcPr>
            <w:tcW w:w="1630" w:type="dxa"/>
            <w:tcBorders>
              <w:top w:val="single" w:color="auto" w:sz="12" w:space="0"/>
              <w:tl2br w:val="nil"/>
              <w:tr2bl w:val="nil"/>
            </w:tcBorders>
            <w:vAlign w:val="center"/>
          </w:tcPr>
          <w:p w14:paraId="1D4465C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3.456</w:t>
            </w:r>
          </w:p>
        </w:tc>
        <w:tc>
          <w:tcPr>
            <w:tcW w:w="1529" w:type="dxa"/>
            <w:tcBorders>
              <w:top w:val="single" w:color="auto" w:sz="12" w:space="0"/>
              <w:tl2br w:val="nil"/>
              <w:tr2bl w:val="nil"/>
            </w:tcBorders>
            <w:vAlign w:val="center"/>
          </w:tcPr>
          <w:p w14:paraId="0931031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0.845</w:t>
            </w:r>
          </w:p>
        </w:tc>
      </w:tr>
      <w:tr w14:paraId="6CE8C1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continue"/>
            <w:tcBorders>
              <w:tl2br w:val="nil"/>
              <w:tr2bl w:val="nil"/>
            </w:tcBorders>
            <w:vAlign w:val="center"/>
          </w:tcPr>
          <w:p w14:paraId="4BCA52D3">
            <w:pPr>
              <w:pStyle w:val="26"/>
              <w:bidi w:val="0"/>
              <w:jc w:val="center"/>
              <w:rPr>
                <w:rFonts w:hint="eastAsia"/>
                <w:color w:val="000000" w:themeColor="text1"/>
                <w:highlight w:val="none"/>
                <w:lang w:val="en-US" w:eastAsia="zh-CN"/>
                <w14:textFill>
                  <w14:solidFill>
                    <w14:schemeClr w14:val="tx1"/>
                  </w14:solidFill>
                </w14:textFill>
              </w:rPr>
            </w:pPr>
          </w:p>
        </w:tc>
        <w:tc>
          <w:tcPr>
            <w:tcW w:w="3049" w:type="dxa"/>
            <w:tcBorders>
              <w:tl2br w:val="nil"/>
              <w:tr2bl w:val="nil"/>
            </w:tcBorders>
            <w:shd w:val="clear" w:color="auto" w:fill="auto"/>
            <w:vAlign w:val="center"/>
          </w:tcPr>
          <w:p w14:paraId="6F832C40">
            <w:pPr>
              <w:pStyle w:val="26"/>
              <w:bidi w:val="0"/>
              <w:ind w:left="0" w:leftChars="0" w:right="0" w:rightChars="0" w:firstLine="0" w:firstLineChars="0"/>
              <w:jc w:val="both"/>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最大污染浓度对应的距注入点的距离（m）</w:t>
            </w:r>
          </w:p>
        </w:tc>
        <w:tc>
          <w:tcPr>
            <w:tcW w:w="1730" w:type="dxa"/>
            <w:tcBorders>
              <w:tl2br w:val="nil"/>
              <w:tr2bl w:val="nil"/>
            </w:tcBorders>
            <w:vAlign w:val="center"/>
          </w:tcPr>
          <w:p w14:paraId="72D6C9A2">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w:t>
            </w:r>
          </w:p>
        </w:tc>
        <w:tc>
          <w:tcPr>
            <w:tcW w:w="1630" w:type="dxa"/>
            <w:tcBorders>
              <w:tl2br w:val="nil"/>
              <w:tr2bl w:val="nil"/>
            </w:tcBorders>
            <w:vAlign w:val="center"/>
          </w:tcPr>
          <w:p w14:paraId="46F378C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153</w:t>
            </w:r>
          </w:p>
        </w:tc>
        <w:tc>
          <w:tcPr>
            <w:tcW w:w="1529" w:type="dxa"/>
            <w:tcBorders>
              <w:tl2br w:val="nil"/>
              <w:tr2bl w:val="nil"/>
            </w:tcBorders>
            <w:vAlign w:val="center"/>
          </w:tcPr>
          <w:p w14:paraId="64985E45">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537</w:t>
            </w:r>
          </w:p>
        </w:tc>
      </w:tr>
      <w:tr w14:paraId="167A58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restart"/>
            <w:tcBorders>
              <w:tl2br w:val="nil"/>
              <w:tr2bl w:val="nil"/>
            </w:tcBorders>
            <w:vAlign w:val="center"/>
          </w:tcPr>
          <w:p w14:paraId="4B17D69F">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w:t>
            </w:r>
          </w:p>
        </w:tc>
        <w:tc>
          <w:tcPr>
            <w:tcW w:w="3049" w:type="dxa"/>
            <w:tcBorders>
              <w:tl2br w:val="nil"/>
              <w:tr2bl w:val="nil"/>
            </w:tcBorders>
            <w:shd w:val="clear" w:color="auto" w:fill="auto"/>
            <w:vAlign w:val="center"/>
          </w:tcPr>
          <w:p w14:paraId="464D7D61">
            <w:pPr>
              <w:pStyle w:val="26"/>
              <w:bidi w:val="0"/>
              <w:ind w:left="0" w:leftChars="0" w:right="0" w:rightChars="0" w:firstLine="0" w:firstLineChars="0"/>
              <w:jc w:val="both"/>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最大污染浓度（mg/l）</w:t>
            </w:r>
          </w:p>
        </w:tc>
        <w:tc>
          <w:tcPr>
            <w:tcW w:w="1730" w:type="dxa"/>
            <w:tcBorders>
              <w:tl2br w:val="nil"/>
              <w:tr2bl w:val="nil"/>
            </w:tcBorders>
            <w:vAlign w:val="center"/>
          </w:tcPr>
          <w:p w14:paraId="7A13154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362</w:t>
            </w:r>
          </w:p>
        </w:tc>
        <w:tc>
          <w:tcPr>
            <w:tcW w:w="1630" w:type="dxa"/>
            <w:tcBorders>
              <w:tl2br w:val="nil"/>
              <w:tr2bl w:val="nil"/>
            </w:tcBorders>
            <w:vAlign w:val="center"/>
          </w:tcPr>
          <w:p w14:paraId="2F2FD151">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241</w:t>
            </w:r>
          </w:p>
        </w:tc>
        <w:tc>
          <w:tcPr>
            <w:tcW w:w="1529" w:type="dxa"/>
            <w:tcBorders>
              <w:tl2br w:val="nil"/>
              <w:tr2bl w:val="nil"/>
            </w:tcBorders>
            <w:vAlign w:val="center"/>
          </w:tcPr>
          <w:p w14:paraId="5FA6047B">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138</w:t>
            </w:r>
          </w:p>
        </w:tc>
      </w:tr>
      <w:tr w14:paraId="5CD1CA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continue"/>
            <w:tcBorders>
              <w:tl2br w:val="nil"/>
              <w:tr2bl w:val="nil"/>
            </w:tcBorders>
            <w:vAlign w:val="center"/>
          </w:tcPr>
          <w:p w14:paraId="7C5C9A2C">
            <w:pPr>
              <w:pStyle w:val="26"/>
              <w:bidi w:val="0"/>
              <w:jc w:val="center"/>
              <w:rPr>
                <w:rFonts w:hint="eastAsia"/>
                <w:color w:val="000000" w:themeColor="text1"/>
                <w:highlight w:val="none"/>
                <w:lang w:val="en-US" w:eastAsia="zh-CN"/>
                <w14:textFill>
                  <w14:solidFill>
                    <w14:schemeClr w14:val="tx1"/>
                  </w14:solidFill>
                </w14:textFill>
              </w:rPr>
            </w:pPr>
          </w:p>
        </w:tc>
        <w:tc>
          <w:tcPr>
            <w:tcW w:w="3049" w:type="dxa"/>
            <w:tcBorders>
              <w:tl2br w:val="nil"/>
              <w:tr2bl w:val="nil"/>
            </w:tcBorders>
            <w:shd w:val="clear" w:color="auto" w:fill="auto"/>
            <w:vAlign w:val="center"/>
          </w:tcPr>
          <w:p w14:paraId="605CC516">
            <w:pPr>
              <w:pStyle w:val="26"/>
              <w:bidi w:val="0"/>
              <w:ind w:left="0" w:leftChars="0" w:right="0" w:rightChars="0" w:firstLine="0" w:firstLineChars="0"/>
              <w:jc w:val="both"/>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最大污染浓度对应的距注入点的距离（m）</w:t>
            </w:r>
          </w:p>
        </w:tc>
        <w:tc>
          <w:tcPr>
            <w:tcW w:w="1730" w:type="dxa"/>
            <w:tcBorders>
              <w:tl2br w:val="nil"/>
              <w:tr2bl w:val="nil"/>
            </w:tcBorders>
            <w:vAlign w:val="center"/>
          </w:tcPr>
          <w:p w14:paraId="0A2032EC">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88</w:t>
            </w:r>
          </w:p>
        </w:tc>
        <w:tc>
          <w:tcPr>
            <w:tcW w:w="1630" w:type="dxa"/>
            <w:tcBorders>
              <w:tl2br w:val="nil"/>
              <w:tr2bl w:val="nil"/>
            </w:tcBorders>
            <w:vAlign w:val="center"/>
          </w:tcPr>
          <w:p w14:paraId="0941C1E0">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278</w:t>
            </w:r>
          </w:p>
        </w:tc>
        <w:tc>
          <w:tcPr>
            <w:tcW w:w="1529" w:type="dxa"/>
            <w:tcBorders>
              <w:tl2br w:val="nil"/>
              <w:tr2bl w:val="nil"/>
            </w:tcBorders>
            <w:vAlign w:val="center"/>
          </w:tcPr>
          <w:p w14:paraId="05C12548">
            <w:pPr>
              <w:pStyle w:val="26"/>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842</w:t>
            </w:r>
          </w:p>
        </w:tc>
      </w:tr>
    </w:tbl>
    <w:p w14:paraId="4B9E7186">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由上表可知，渗漏的废水会对下游的地下水水质造成一定影响，其影响范围主要集中在渗漏处地下水径流的下游方向。泄漏事故发生后，污染物在地下水流作用下，向地下水径流的下游方向迁移，随着时间的推移，污染物影响范围逐渐增大；由于污染物不断向四周迁移，污染范围内污染物浓度逐渐降低。</w:t>
      </w:r>
    </w:p>
    <w:p w14:paraId="4ACDCD34">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根据项目所在区域浅层地下水水位埋深情况，项目事故工下丙烯酸和硫酸的泄漏会对区域地下水造成一定程度污染影响。因此，需对丙烯酸和硫酸储存区有效防渗措施防止原料发生泄漏污染。</w:t>
      </w:r>
    </w:p>
    <w:p w14:paraId="5B6DE30E">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5.2.2.4地下水环境影响分析结论</w:t>
      </w:r>
    </w:p>
    <w:p w14:paraId="6BA91D8B">
      <w:pPr>
        <w:bidi w:val="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color w:val="000000" w:themeColor="text1"/>
          <w:highlight w:val="none"/>
          <w:lang w:val="en-US" w:eastAsia="zh-CN"/>
          <w14:textFill>
            <w14:solidFill>
              <w14:schemeClr w14:val="tx1"/>
            </w14:solidFill>
          </w14:textFill>
        </w:rPr>
        <w:t>地下水水质影响</w:t>
      </w:r>
    </w:p>
    <w:p w14:paraId="123A0C43">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污染物对地下水的影响主要是由于事故排放等通过垂直渗透进入包气带，进入包气带的污染物在物理、化学和生物作用下经吸附、转化、迁移和分解后输入地下水。</w:t>
      </w:r>
    </w:p>
    <w:p w14:paraId="770F4340">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正常工况下，厂区建设期间采取了必要防护措施，运营期间在严格按照设计要求落实好环保、防渗措施的情况下，基本不会对当地浅层地下水造成影响。</w:t>
      </w:r>
    </w:p>
    <w:p w14:paraId="2F8BF502">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非正常情况下，根据污染物事故泄漏预测可知，污染物在地下水中的运移速度较快，扩散范围较小，对周边环境影响较小。根据污染物跑冒滴漏预测可知，管网跑冒滴漏时，污染物对地下水影响范围较大，为降低跑冒滴漏引起的污水下渗对地下水的影响，应将污水管道采取严格的防腐防渗措施，有效控制地下水的污染。 </w:t>
      </w:r>
    </w:p>
    <w:p w14:paraId="18242573">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企业正式运营中，应通过加强管理监督，维护和完善防渗系统，严格执行防渗措施，建立和完善雨污水的收集、排放系统，尤其要加强生产管理和环保管理，最大限度减轻对地下水环境的影响。</w:t>
      </w:r>
    </w:p>
    <w:p w14:paraId="3365F5E9">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（2）地下水水量影响</w:t>
      </w:r>
    </w:p>
    <w:p w14:paraId="0BCAE88D">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评价区域地下水涵养量主要补给途径为大气降水，项目地下水入渗量通过绿化洒水等进行补给，同时，项目的人工绿地也会增加绿化区地下水的涵养量。</w:t>
      </w:r>
    </w:p>
    <w:p w14:paraId="371FFF16">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项目生产用水和生活用水均由自来水管网提供，不涉及地下水的取用，因此对地下水水量影响较小。 </w:t>
      </w:r>
    </w:p>
    <w:p w14:paraId="0CF5083C">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（3）地下水影响分析结论</w:t>
      </w:r>
    </w:p>
    <w:p w14:paraId="439A6169">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综上所述，建设单位应切实落实好建设项目的废水集中收集预处理工作，做好厂内的地面硬化防渗，包括危废暂存区的地面防渗工作，本项目建设有相应的事故废水收集暂存系统，以及配套泵、管线，收集发生重大事故进行事故应急处理时产生的废水，因此也不会对地下水造成影响。 </w:t>
      </w:r>
    </w:p>
    <w:p w14:paraId="6611B08D">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综上所述，只要做好严格的防渗和管理措施，本项目的建设对地下水环境影响较小。 </w:t>
      </w:r>
    </w:p>
    <w:p w14:paraId="20F7022F">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5.2.3 声环境影响预测与评价</w:t>
      </w:r>
    </w:p>
    <w:p w14:paraId="080FA90A">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5.2.3.1</w:t>
      </w:r>
      <w:r>
        <w:rPr>
          <w:color w:val="000000" w:themeColor="text1"/>
          <w:highlight w:val="none"/>
          <w14:textFill>
            <w14:solidFill>
              <w14:schemeClr w14:val="tx1"/>
            </w14:solidFill>
          </w14:textFill>
        </w:rPr>
        <w:t>预测因子</w:t>
      </w:r>
    </w:p>
    <w:p w14:paraId="0091AF7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本项目预测因子为等效连续A声级。</w:t>
      </w:r>
    </w:p>
    <w:p w14:paraId="5C6F5B63">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5.2.3.2</w:t>
      </w:r>
      <w:r>
        <w:rPr>
          <w:color w:val="000000" w:themeColor="text1"/>
          <w:highlight w:val="none"/>
          <w14:textFill>
            <w14:solidFill>
              <w14:schemeClr w14:val="tx1"/>
            </w14:solidFill>
          </w14:textFill>
        </w:rPr>
        <w:t>评价标准</w:t>
      </w:r>
    </w:p>
    <w:p w14:paraId="3A044DA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本次噪声执行《工业企业厂界环境噪声排放标准》（GB12348-2008）</w:t>
      </w:r>
      <w:r>
        <w:rPr>
          <w:rFonts w:hint="eastAsia"/>
          <w:color w:val="000000" w:themeColor="text1"/>
          <w:highlight w:val="none"/>
          <w:lang w:val="en-US" w:eastAsia="zh-CN"/>
          <w14:textFill>
            <w14:solidFill>
              <w14:schemeClr w14:val="tx1"/>
            </w14:solidFill>
          </w14:textFill>
        </w:rPr>
        <w:t>中</w:t>
      </w:r>
      <w:r>
        <w:rPr>
          <w:color w:val="000000" w:themeColor="text1"/>
          <w:highlight w:val="none"/>
          <w14:textFill>
            <w14:solidFill>
              <w14:schemeClr w14:val="tx1"/>
            </w14:solidFill>
          </w14:textFill>
        </w:rPr>
        <w:t>3类标准，即昼间65dB（A），夜间55dB（A）。</w:t>
      </w:r>
    </w:p>
    <w:p w14:paraId="60501E19">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5.2.3.3基础数据</w:t>
      </w:r>
    </w:p>
    <w:p w14:paraId="19CAE660">
      <w:pPr>
        <w:bidi w:val="0"/>
        <w:rPr>
          <w:color w:val="000000" w:themeColor="text1"/>
          <w:highlight w:val="none"/>
          <w:lang w:val="en-US" w:eastAsia="zh-CN"/>
          <w14:textFill>
            <w14:solidFill>
              <w14:schemeClr w14:val="tx1"/>
            </w14:solidFill>
          </w14:textFill>
        </w:rPr>
      </w:pPr>
      <w:r>
        <w:rPr>
          <w:color w:val="000000" w:themeColor="text1"/>
          <w:highlight w:val="none"/>
          <w:lang w:val="en-US" w:eastAsia="zh-CN"/>
          <w14:textFill>
            <w14:solidFill>
              <w14:schemeClr w14:val="tx1"/>
            </w14:solidFill>
          </w14:textFill>
        </w:rPr>
        <w:t>项目噪声环境影响预测基础数据见表</w:t>
      </w:r>
      <w:r>
        <w:rPr>
          <w:rFonts w:hint="eastAsia"/>
          <w:color w:val="000000" w:themeColor="text1"/>
          <w:highlight w:val="none"/>
          <w:lang w:val="en-US" w:eastAsia="zh-CN"/>
          <w14:textFill>
            <w14:solidFill>
              <w14:schemeClr w14:val="tx1"/>
            </w14:solidFill>
          </w14:textFill>
        </w:rPr>
        <w:t>5.2.3-1</w:t>
      </w:r>
      <w:r>
        <w:rPr>
          <w:color w:val="000000" w:themeColor="text1"/>
          <w:highlight w:val="none"/>
          <w:lang w:val="en-US" w:eastAsia="zh-CN"/>
          <w14:textFill>
            <w14:solidFill>
              <w14:schemeClr w14:val="tx1"/>
            </w14:solidFill>
          </w14:textFill>
        </w:rPr>
        <w:t>。</w:t>
      </w:r>
    </w:p>
    <w:p w14:paraId="52FC49A6">
      <w:pPr>
        <w:pStyle w:val="25"/>
        <w:bidi w:val="0"/>
        <w:rPr>
          <w:color w:val="000000" w:themeColor="text1"/>
          <w:highlight w:val="none"/>
          <w:lang w:val="en-US" w:eastAsia="zh-CN"/>
          <w14:textFill>
            <w14:solidFill>
              <w14:schemeClr w14:val="tx1"/>
            </w14:solidFill>
          </w14:textFill>
        </w:rPr>
      </w:pPr>
      <w:r>
        <w:rPr>
          <w:color w:val="000000" w:themeColor="text1"/>
          <w:highlight w:val="none"/>
          <w:lang w:val="en-US" w:eastAsia="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 xml:space="preserve">5.2.3-1         </w:t>
      </w:r>
      <w:r>
        <w:rPr>
          <w:color w:val="000000" w:themeColor="text1"/>
          <w:highlight w:val="none"/>
          <w:lang w:val="en-US" w:eastAsia="zh-CN"/>
          <w14:textFill>
            <w14:solidFill>
              <w14:schemeClr w14:val="tx1"/>
            </w14:solidFill>
          </w14:textFill>
        </w:rPr>
        <w:t>项目噪声环境影响预测基础数据表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813"/>
        <w:gridCol w:w="1814"/>
        <w:gridCol w:w="1814"/>
        <w:gridCol w:w="1815"/>
        <w:gridCol w:w="1815"/>
      </w:tblGrid>
      <w:tr w14:paraId="1913E2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1" w:hRule="atLeast"/>
          <w:jc w:val="center"/>
        </w:trPr>
        <w:tc>
          <w:tcPr>
            <w:tcW w:w="1813" w:type="dxa"/>
            <w:tcBorders>
              <w:bottom w:val="single" w:color="000000" w:sz="12" w:space="0"/>
            </w:tcBorders>
            <w:noWrap w:val="0"/>
            <w:vAlign w:val="center"/>
          </w:tcPr>
          <w:p w14:paraId="25A498FC">
            <w:pPr>
              <w:pStyle w:val="26"/>
              <w:bidi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1814" w:type="dxa"/>
            <w:tcBorders>
              <w:bottom w:val="single" w:color="000000" w:sz="12" w:space="0"/>
            </w:tcBorders>
            <w:noWrap w:val="0"/>
            <w:vAlign w:val="center"/>
          </w:tcPr>
          <w:p w14:paraId="240B62CD">
            <w:pPr>
              <w:pStyle w:val="26"/>
              <w:bidi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名称</w:t>
            </w:r>
          </w:p>
        </w:tc>
        <w:tc>
          <w:tcPr>
            <w:tcW w:w="1814" w:type="dxa"/>
            <w:tcBorders>
              <w:bottom w:val="single" w:color="000000" w:sz="12" w:space="0"/>
            </w:tcBorders>
            <w:noWrap w:val="0"/>
            <w:vAlign w:val="center"/>
          </w:tcPr>
          <w:p w14:paraId="569A2508">
            <w:pPr>
              <w:pStyle w:val="26"/>
              <w:bidi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单位</w:t>
            </w:r>
          </w:p>
        </w:tc>
        <w:tc>
          <w:tcPr>
            <w:tcW w:w="1815" w:type="dxa"/>
            <w:tcBorders>
              <w:bottom w:val="single" w:color="000000" w:sz="12" w:space="0"/>
            </w:tcBorders>
            <w:noWrap w:val="0"/>
            <w:vAlign w:val="center"/>
          </w:tcPr>
          <w:p w14:paraId="20E35E90">
            <w:pPr>
              <w:pStyle w:val="26"/>
              <w:bidi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数据</w:t>
            </w:r>
          </w:p>
        </w:tc>
        <w:tc>
          <w:tcPr>
            <w:tcW w:w="1815" w:type="dxa"/>
            <w:tcBorders>
              <w:bottom w:val="single" w:color="000000" w:sz="12" w:space="0"/>
            </w:tcBorders>
            <w:noWrap w:val="0"/>
            <w:vAlign w:val="center"/>
          </w:tcPr>
          <w:p w14:paraId="2B35511D">
            <w:pPr>
              <w:pStyle w:val="26"/>
              <w:bidi w:val="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备注</w:t>
            </w:r>
          </w:p>
        </w:tc>
      </w:tr>
      <w:tr w14:paraId="522FFB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0" w:hRule="atLeast"/>
          <w:jc w:val="center"/>
        </w:trPr>
        <w:tc>
          <w:tcPr>
            <w:tcW w:w="1813" w:type="dxa"/>
            <w:tcBorders>
              <w:top w:val="single" w:color="000000" w:sz="12" w:space="0"/>
              <w:tl2br w:val="nil"/>
              <w:tr2bl w:val="nil"/>
            </w:tcBorders>
            <w:noWrap w:val="0"/>
            <w:vAlign w:val="center"/>
          </w:tcPr>
          <w:p w14:paraId="4A51C248">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814" w:type="dxa"/>
            <w:tcBorders>
              <w:top w:val="single" w:color="000000" w:sz="12" w:space="0"/>
              <w:tl2br w:val="nil"/>
              <w:tr2bl w:val="nil"/>
            </w:tcBorders>
            <w:noWrap w:val="0"/>
            <w:vAlign w:val="center"/>
          </w:tcPr>
          <w:p w14:paraId="1817DCF8">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年平均风速</w:t>
            </w:r>
          </w:p>
        </w:tc>
        <w:tc>
          <w:tcPr>
            <w:tcW w:w="1814" w:type="dxa"/>
            <w:tcBorders>
              <w:top w:val="single" w:color="000000" w:sz="12" w:space="0"/>
              <w:tl2br w:val="nil"/>
              <w:tr2bl w:val="nil"/>
            </w:tcBorders>
            <w:noWrap w:val="0"/>
            <w:vAlign w:val="center"/>
          </w:tcPr>
          <w:p w14:paraId="3DEC67CA">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m/s</w:t>
            </w:r>
          </w:p>
        </w:tc>
        <w:tc>
          <w:tcPr>
            <w:tcW w:w="1815" w:type="dxa"/>
            <w:tcBorders>
              <w:top w:val="single" w:color="000000" w:sz="12" w:space="0"/>
              <w:tl2br w:val="nil"/>
              <w:tr2bl w:val="nil"/>
            </w:tcBorders>
            <w:noWrap w:val="0"/>
            <w:vAlign w:val="center"/>
          </w:tcPr>
          <w:p w14:paraId="2DBBC699">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w:t>
            </w:r>
          </w:p>
        </w:tc>
        <w:tc>
          <w:tcPr>
            <w:tcW w:w="1815" w:type="dxa"/>
            <w:tcBorders>
              <w:top w:val="single" w:color="000000" w:sz="12" w:space="0"/>
              <w:tl2br w:val="nil"/>
              <w:tr2bl w:val="nil"/>
            </w:tcBorders>
            <w:noWrap w:val="0"/>
            <w:vAlign w:val="center"/>
          </w:tcPr>
          <w:p w14:paraId="67C255D7">
            <w:pPr>
              <w:pStyle w:val="26"/>
              <w:bidi w:val="0"/>
              <w:jc w:val="center"/>
              <w:rPr>
                <w:color w:val="000000" w:themeColor="text1"/>
                <w:highlight w:val="none"/>
                <w14:textFill>
                  <w14:solidFill>
                    <w14:schemeClr w14:val="tx1"/>
                  </w14:solidFill>
                </w14:textFill>
              </w:rPr>
            </w:pPr>
          </w:p>
        </w:tc>
      </w:tr>
      <w:tr w14:paraId="0DC1A5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0" w:hRule="atLeast"/>
          <w:jc w:val="center"/>
        </w:trPr>
        <w:tc>
          <w:tcPr>
            <w:tcW w:w="1813" w:type="dxa"/>
            <w:tcBorders>
              <w:tl2br w:val="nil"/>
              <w:tr2bl w:val="nil"/>
            </w:tcBorders>
            <w:noWrap w:val="0"/>
            <w:vAlign w:val="center"/>
          </w:tcPr>
          <w:p w14:paraId="58C351EE">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814" w:type="dxa"/>
            <w:tcBorders>
              <w:tl2br w:val="nil"/>
              <w:tr2bl w:val="nil"/>
            </w:tcBorders>
            <w:noWrap w:val="0"/>
            <w:vAlign w:val="center"/>
          </w:tcPr>
          <w:p w14:paraId="1236D4FC">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主导风向</w:t>
            </w:r>
          </w:p>
        </w:tc>
        <w:tc>
          <w:tcPr>
            <w:tcW w:w="1814" w:type="dxa"/>
            <w:tcBorders>
              <w:tl2br w:val="nil"/>
              <w:tr2bl w:val="nil"/>
            </w:tcBorders>
            <w:noWrap w:val="0"/>
            <w:vAlign w:val="center"/>
          </w:tcPr>
          <w:p w14:paraId="49699849">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815" w:type="dxa"/>
            <w:tcBorders>
              <w:tl2br w:val="nil"/>
              <w:tr2bl w:val="nil"/>
            </w:tcBorders>
            <w:noWrap w:val="0"/>
            <w:vAlign w:val="center"/>
          </w:tcPr>
          <w:p w14:paraId="16B3568B">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东北</w:t>
            </w:r>
          </w:p>
        </w:tc>
        <w:tc>
          <w:tcPr>
            <w:tcW w:w="1815" w:type="dxa"/>
            <w:tcBorders>
              <w:tl2br w:val="nil"/>
              <w:tr2bl w:val="nil"/>
            </w:tcBorders>
            <w:noWrap w:val="0"/>
            <w:vAlign w:val="center"/>
          </w:tcPr>
          <w:p w14:paraId="7D820CCA">
            <w:pPr>
              <w:pStyle w:val="26"/>
              <w:bidi w:val="0"/>
              <w:jc w:val="center"/>
              <w:rPr>
                <w:color w:val="000000" w:themeColor="text1"/>
                <w:highlight w:val="none"/>
                <w14:textFill>
                  <w14:solidFill>
                    <w14:schemeClr w14:val="tx1"/>
                  </w14:solidFill>
                </w14:textFill>
              </w:rPr>
            </w:pPr>
          </w:p>
        </w:tc>
      </w:tr>
      <w:tr w14:paraId="030AFA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1" w:hRule="atLeast"/>
          <w:jc w:val="center"/>
        </w:trPr>
        <w:tc>
          <w:tcPr>
            <w:tcW w:w="1813" w:type="dxa"/>
            <w:tcBorders>
              <w:tl2br w:val="nil"/>
              <w:tr2bl w:val="nil"/>
            </w:tcBorders>
            <w:noWrap w:val="0"/>
            <w:vAlign w:val="center"/>
          </w:tcPr>
          <w:p w14:paraId="769CDCDD">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814" w:type="dxa"/>
            <w:tcBorders>
              <w:tl2br w:val="nil"/>
              <w:tr2bl w:val="nil"/>
            </w:tcBorders>
            <w:noWrap w:val="0"/>
            <w:vAlign w:val="center"/>
          </w:tcPr>
          <w:p w14:paraId="50AAF21D">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年平均气温</w:t>
            </w:r>
          </w:p>
        </w:tc>
        <w:tc>
          <w:tcPr>
            <w:tcW w:w="1814" w:type="dxa"/>
            <w:tcBorders>
              <w:tl2br w:val="nil"/>
              <w:tr2bl w:val="nil"/>
            </w:tcBorders>
            <w:noWrap w:val="0"/>
            <w:vAlign w:val="center"/>
          </w:tcPr>
          <w:p w14:paraId="7C2999C0">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815" w:type="dxa"/>
            <w:tcBorders>
              <w:tl2br w:val="nil"/>
              <w:tr2bl w:val="nil"/>
            </w:tcBorders>
            <w:noWrap w:val="0"/>
            <w:vAlign w:val="center"/>
          </w:tcPr>
          <w:p w14:paraId="6B5A9973">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5.6</w:t>
            </w:r>
          </w:p>
        </w:tc>
        <w:tc>
          <w:tcPr>
            <w:tcW w:w="1815" w:type="dxa"/>
            <w:tcBorders>
              <w:tl2br w:val="nil"/>
              <w:tr2bl w:val="nil"/>
            </w:tcBorders>
            <w:noWrap w:val="0"/>
            <w:vAlign w:val="center"/>
          </w:tcPr>
          <w:p w14:paraId="000AFE7F">
            <w:pPr>
              <w:pStyle w:val="26"/>
              <w:bidi w:val="0"/>
              <w:jc w:val="center"/>
              <w:rPr>
                <w:color w:val="000000" w:themeColor="text1"/>
                <w:highlight w:val="none"/>
                <w14:textFill>
                  <w14:solidFill>
                    <w14:schemeClr w14:val="tx1"/>
                  </w14:solidFill>
                </w14:textFill>
              </w:rPr>
            </w:pPr>
          </w:p>
        </w:tc>
      </w:tr>
      <w:tr w14:paraId="1658F2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1" w:hRule="atLeast"/>
          <w:jc w:val="center"/>
        </w:trPr>
        <w:tc>
          <w:tcPr>
            <w:tcW w:w="1813" w:type="dxa"/>
            <w:tcBorders>
              <w:tl2br w:val="nil"/>
              <w:tr2bl w:val="nil"/>
            </w:tcBorders>
            <w:noWrap w:val="0"/>
            <w:vAlign w:val="center"/>
          </w:tcPr>
          <w:p w14:paraId="73C38722">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814" w:type="dxa"/>
            <w:tcBorders>
              <w:tl2br w:val="nil"/>
              <w:tr2bl w:val="nil"/>
            </w:tcBorders>
            <w:noWrap w:val="0"/>
            <w:vAlign w:val="center"/>
          </w:tcPr>
          <w:p w14:paraId="539A1268">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年平均相对湿度</w:t>
            </w:r>
          </w:p>
        </w:tc>
        <w:tc>
          <w:tcPr>
            <w:tcW w:w="1814" w:type="dxa"/>
            <w:tcBorders>
              <w:tl2br w:val="nil"/>
              <w:tr2bl w:val="nil"/>
            </w:tcBorders>
            <w:noWrap w:val="0"/>
            <w:vAlign w:val="center"/>
          </w:tcPr>
          <w:p w14:paraId="7BFB606A">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815" w:type="dxa"/>
            <w:tcBorders>
              <w:tl2br w:val="nil"/>
              <w:tr2bl w:val="nil"/>
            </w:tcBorders>
            <w:noWrap w:val="0"/>
            <w:vAlign w:val="center"/>
          </w:tcPr>
          <w:p w14:paraId="54717671">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50</w:t>
            </w:r>
          </w:p>
        </w:tc>
        <w:tc>
          <w:tcPr>
            <w:tcW w:w="1815" w:type="dxa"/>
            <w:tcBorders>
              <w:tl2br w:val="nil"/>
              <w:tr2bl w:val="nil"/>
            </w:tcBorders>
            <w:noWrap w:val="0"/>
            <w:vAlign w:val="center"/>
          </w:tcPr>
          <w:p w14:paraId="32BE5D4D">
            <w:pPr>
              <w:pStyle w:val="26"/>
              <w:bidi w:val="0"/>
              <w:jc w:val="center"/>
              <w:rPr>
                <w:color w:val="000000" w:themeColor="text1"/>
                <w:highlight w:val="none"/>
                <w14:textFill>
                  <w14:solidFill>
                    <w14:schemeClr w14:val="tx1"/>
                  </w14:solidFill>
                </w14:textFill>
              </w:rPr>
            </w:pPr>
          </w:p>
        </w:tc>
      </w:tr>
      <w:tr w14:paraId="3438BB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0" w:hRule="atLeast"/>
          <w:jc w:val="center"/>
        </w:trPr>
        <w:tc>
          <w:tcPr>
            <w:tcW w:w="1813" w:type="dxa"/>
            <w:tcBorders>
              <w:tl2br w:val="nil"/>
              <w:tr2bl w:val="nil"/>
            </w:tcBorders>
            <w:noWrap w:val="0"/>
            <w:vAlign w:val="center"/>
          </w:tcPr>
          <w:p w14:paraId="5BBCFEC1">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1814" w:type="dxa"/>
            <w:tcBorders>
              <w:tl2br w:val="nil"/>
              <w:tr2bl w:val="nil"/>
            </w:tcBorders>
            <w:noWrap w:val="0"/>
            <w:vAlign w:val="center"/>
          </w:tcPr>
          <w:p w14:paraId="0BB051D7">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大气压强</w:t>
            </w:r>
          </w:p>
        </w:tc>
        <w:tc>
          <w:tcPr>
            <w:tcW w:w="1814" w:type="dxa"/>
            <w:tcBorders>
              <w:tl2br w:val="nil"/>
              <w:tr2bl w:val="nil"/>
            </w:tcBorders>
            <w:noWrap w:val="0"/>
            <w:vAlign w:val="center"/>
          </w:tcPr>
          <w:p w14:paraId="79CB13F0">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atm</w:t>
            </w:r>
          </w:p>
        </w:tc>
        <w:tc>
          <w:tcPr>
            <w:tcW w:w="1815" w:type="dxa"/>
            <w:tcBorders>
              <w:tl2br w:val="nil"/>
              <w:tr2bl w:val="nil"/>
            </w:tcBorders>
            <w:noWrap w:val="0"/>
            <w:vAlign w:val="center"/>
          </w:tcPr>
          <w:p w14:paraId="2E241CDC">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815" w:type="dxa"/>
            <w:tcBorders>
              <w:tl2br w:val="nil"/>
              <w:tr2bl w:val="nil"/>
            </w:tcBorders>
            <w:noWrap w:val="0"/>
            <w:vAlign w:val="center"/>
          </w:tcPr>
          <w:p w14:paraId="72767125">
            <w:pPr>
              <w:pStyle w:val="26"/>
              <w:bidi w:val="0"/>
              <w:jc w:val="center"/>
              <w:rPr>
                <w:color w:val="000000" w:themeColor="text1"/>
                <w:highlight w:val="none"/>
                <w14:textFill>
                  <w14:solidFill>
                    <w14:schemeClr w14:val="tx1"/>
                  </w14:solidFill>
                </w14:textFill>
              </w:rPr>
            </w:pPr>
          </w:p>
        </w:tc>
      </w:tr>
    </w:tbl>
    <w:p w14:paraId="2BE9132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声源和预测点间的地形、高差、障碍物、树林、灌木等的分布情况以及地面覆盖情况（如草地、水面、水泥地面、土质地面等）根据现场踏勘、项目总平图等，并结合卫星图片地理信息数据确定，数据精度为 10m。</w:t>
      </w:r>
    </w:p>
    <w:p w14:paraId="2ED8E56C">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5.2.3.4</w:t>
      </w:r>
      <w:r>
        <w:rPr>
          <w:color w:val="000000" w:themeColor="text1"/>
          <w:highlight w:val="none"/>
          <w14:textFill>
            <w14:solidFill>
              <w14:schemeClr w14:val="tx1"/>
            </w14:solidFill>
          </w14:textFill>
        </w:rPr>
        <w:t>噪声源强</w:t>
      </w:r>
    </w:p>
    <w:p w14:paraId="7814C460">
      <w:pPr>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本项目噪声源主要是设备运行噪声，主要来自生产设备、</w:t>
      </w:r>
      <w:r>
        <w:rPr>
          <w:rFonts w:hint="eastAsia"/>
          <w:color w:val="000000" w:themeColor="text1"/>
          <w:highlight w:val="none"/>
          <w:lang w:val="en-US" w:eastAsia="zh-CN"/>
          <w14:textFill>
            <w14:solidFill>
              <w14:schemeClr w14:val="tx1"/>
            </w14:solidFill>
          </w14:textFill>
        </w:rPr>
        <w:t>风机</w:t>
      </w:r>
      <w:r>
        <w:rPr>
          <w:color w:val="000000" w:themeColor="text1"/>
          <w:highlight w:val="none"/>
          <w14:textFill>
            <w14:solidFill>
              <w14:schemeClr w14:val="tx1"/>
            </w14:solidFill>
          </w14:textFill>
        </w:rPr>
        <w:t>等设备。噪声源强</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"_bookmark94"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t>。</w:t>
      </w:r>
    </w:p>
    <w:p w14:paraId="361A4A51">
      <w:pPr>
        <w:bidi w:val="0"/>
        <w:rPr>
          <w:rFonts w:hint="eastAsia"/>
          <w:color w:val="000000" w:themeColor="text1"/>
          <w:highlight w:val="none"/>
          <w:lang w:val="en-US" w:eastAsia="zh-CN"/>
          <w14:textFill>
            <w14:solidFill>
              <w14:schemeClr w14:val="tx1"/>
            </w14:solidFill>
          </w14:textFill>
        </w:rPr>
      </w:pPr>
    </w:p>
    <w:p w14:paraId="4091E5ED">
      <w:pPr>
        <w:pStyle w:val="27"/>
        <w:rPr>
          <w:rFonts w:hint="default"/>
          <w:color w:val="000000" w:themeColor="text1"/>
          <w:highlight w:val="none"/>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37E9AAA4">
      <w:pPr>
        <w:pStyle w:val="25"/>
        <w:bidi w:val="0"/>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 xml:space="preserve">                  本项目噪声源强调查清单</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室内声源</w:t>
      </w:r>
      <w:r>
        <w:rPr>
          <w:rFonts w:hint="eastAsia"/>
          <w:color w:val="000000" w:themeColor="text1"/>
          <w:highlight w:val="none"/>
          <w:lang w:eastAsia="zh-CN"/>
          <w14:textFill>
            <w14:solidFill>
              <w14:schemeClr w14:val="tx1"/>
            </w14:solidFill>
          </w14:textFill>
        </w:rPr>
        <w:t>）</w:t>
      </w:r>
    </w:p>
    <w:tbl>
      <w:tblPr>
        <w:tblStyle w:val="20"/>
        <w:tblW w:w="1417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485"/>
        <w:gridCol w:w="1138"/>
        <w:gridCol w:w="1391"/>
        <w:gridCol w:w="1920"/>
        <w:gridCol w:w="1301"/>
        <w:gridCol w:w="958"/>
        <w:gridCol w:w="527"/>
        <w:gridCol w:w="558"/>
        <w:gridCol w:w="570"/>
        <w:gridCol w:w="795"/>
        <w:gridCol w:w="871"/>
        <w:gridCol w:w="995"/>
        <w:gridCol w:w="960"/>
        <w:gridCol w:w="855"/>
        <w:gridCol w:w="849"/>
      </w:tblGrid>
      <w:tr w14:paraId="2D7368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85" w:type="dxa"/>
            <w:vMerge w:val="restart"/>
            <w:noWrap w:val="0"/>
            <w:vAlign w:val="center"/>
          </w:tcPr>
          <w:p w14:paraId="1105D8DE">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序号</w:t>
            </w:r>
          </w:p>
        </w:tc>
        <w:tc>
          <w:tcPr>
            <w:tcW w:w="1138" w:type="dxa"/>
            <w:vMerge w:val="restart"/>
            <w:noWrap w:val="0"/>
            <w:vAlign w:val="center"/>
          </w:tcPr>
          <w:p w14:paraId="42305F85">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建筑物名称</w:t>
            </w:r>
          </w:p>
        </w:tc>
        <w:tc>
          <w:tcPr>
            <w:tcW w:w="1391" w:type="dxa"/>
            <w:vMerge w:val="restart"/>
            <w:noWrap w:val="0"/>
            <w:vAlign w:val="center"/>
          </w:tcPr>
          <w:p w14:paraId="4371EDBD">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声源名称</w:t>
            </w:r>
          </w:p>
        </w:tc>
        <w:tc>
          <w:tcPr>
            <w:tcW w:w="3221" w:type="dxa"/>
            <w:gridSpan w:val="2"/>
            <w:noWrap w:val="0"/>
            <w:vAlign w:val="center"/>
          </w:tcPr>
          <w:p w14:paraId="5F8C38B2">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声源源强</w:t>
            </w:r>
          </w:p>
          <w:p w14:paraId="3BC8DA8C">
            <w:pPr>
              <w:pStyle w:val="26"/>
              <w:bidi w:val="0"/>
              <w:jc w:val="center"/>
              <w:rPr>
                <w:rFonts w:hint="eastAsia" w:eastAsia="宋体"/>
                <w:b/>
                <w:bCs/>
                <w:color w:val="000000" w:themeColor="text1"/>
                <w:highlight w:val="none"/>
                <w:lang w:eastAsia="zh-CN"/>
                <w14:textFill>
                  <w14:solidFill>
                    <w14:schemeClr w14:val="tx1"/>
                  </w14:solidFill>
                </w14:textFill>
              </w:rPr>
            </w:pP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任选一种</w:t>
            </w:r>
            <w:r>
              <w:rPr>
                <w:rFonts w:hint="eastAsia"/>
                <w:b/>
                <w:bCs/>
                <w:color w:val="000000" w:themeColor="text1"/>
                <w:highlight w:val="none"/>
                <w:lang w:eastAsia="zh-CN"/>
                <w14:textFill>
                  <w14:solidFill>
                    <w14:schemeClr w14:val="tx1"/>
                  </w14:solidFill>
                </w14:textFill>
              </w:rPr>
              <w:t>）</w:t>
            </w:r>
          </w:p>
        </w:tc>
        <w:tc>
          <w:tcPr>
            <w:tcW w:w="958" w:type="dxa"/>
            <w:vMerge w:val="restart"/>
            <w:noWrap w:val="0"/>
            <w:vAlign w:val="center"/>
          </w:tcPr>
          <w:p w14:paraId="24FD13A6">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声源控制措施</w:t>
            </w:r>
          </w:p>
        </w:tc>
        <w:tc>
          <w:tcPr>
            <w:tcW w:w="1655" w:type="dxa"/>
            <w:gridSpan w:val="3"/>
            <w:noWrap w:val="0"/>
            <w:vAlign w:val="center"/>
          </w:tcPr>
          <w:p w14:paraId="6484DA60">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空间相对位置/m</w:t>
            </w:r>
          </w:p>
        </w:tc>
        <w:tc>
          <w:tcPr>
            <w:tcW w:w="795" w:type="dxa"/>
            <w:vMerge w:val="restart"/>
            <w:noWrap w:val="0"/>
            <w:vAlign w:val="center"/>
          </w:tcPr>
          <w:p w14:paraId="594C4D5D">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距室内边界距离/m</w:t>
            </w:r>
          </w:p>
        </w:tc>
        <w:tc>
          <w:tcPr>
            <w:tcW w:w="871" w:type="dxa"/>
            <w:vMerge w:val="restart"/>
            <w:noWrap w:val="0"/>
            <w:vAlign w:val="center"/>
          </w:tcPr>
          <w:p w14:paraId="6AEA8B7E">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室内边界声级/</w:t>
            </w:r>
          </w:p>
          <w:p w14:paraId="7951193C">
            <w:pPr>
              <w:pStyle w:val="26"/>
              <w:bidi w:val="0"/>
              <w:jc w:val="center"/>
              <w:rPr>
                <w:rFonts w:hint="eastAsia" w:eastAsia="宋体"/>
                <w:b/>
                <w:bCs/>
                <w:color w:val="000000" w:themeColor="text1"/>
                <w:highlight w:val="none"/>
                <w:lang w:eastAsia="zh-CN"/>
                <w14:textFill>
                  <w14:solidFill>
                    <w14:schemeClr w14:val="tx1"/>
                  </w14:solidFill>
                </w14:textFill>
              </w:rPr>
            </w:pPr>
            <w:r>
              <w:rPr>
                <w:rFonts w:hint="eastAsia"/>
                <w:b/>
                <w:bCs/>
                <w:color w:val="000000" w:themeColor="text1"/>
                <w:highlight w:val="none"/>
                <w14:textFill>
                  <w14:solidFill>
                    <w14:schemeClr w14:val="tx1"/>
                  </w14:solidFill>
                </w14:textFill>
              </w:rPr>
              <w:t>dB</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A</w:t>
            </w:r>
            <w:r>
              <w:rPr>
                <w:rFonts w:hint="eastAsia"/>
                <w:b/>
                <w:bCs/>
                <w:color w:val="000000" w:themeColor="text1"/>
                <w:highlight w:val="none"/>
                <w:lang w:eastAsia="zh-CN"/>
                <w14:textFill>
                  <w14:solidFill>
                    <w14:schemeClr w14:val="tx1"/>
                  </w14:solidFill>
                </w14:textFill>
              </w:rPr>
              <w:t>)</w:t>
            </w:r>
          </w:p>
        </w:tc>
        <w:tc>
          <w:tcPr>
            <w:tcW w:w="995" w:type="dxa"/>
            <w:vMerge w:val="restart"/>
            <w:noWrap w:val="0"/>
            <w:vAlign w:val="center"/>
          </w:tcPr>
          <w:p w14:paraId="64A00568">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运行时段</w:t>
            </w:r>
          </w:p>
        </w:tc>
        <w:tc>
          <w:tcPr>
            <w:tcW w:w="960" w:type="dxa"/>
            <w:vMerge w:val="restart"/>
            <w:noWrap w:val="0"/>
            <w:vAlign w:val="center"/>
          </w:tcPr>
          <w:p w14:paraId="033D2CFC">
            <w:pPr>
              <w:pStyle w:val="26"/>
              <w:bidi w:val="0"/>
              <w:jc w:val="center"/>
              <w:rPr>
                <w:rFonts w:hint="eastAsia" w:eastAsia="宋体"/>
                <w:b/>
                <w:bCs/>
                <w:color w:val="000000" w:themeColor="text1"/>
                <w:highlight w:val="none"/>
                <w:lang w:eastAsia="zh-CN"/>
                <w14:textFill>
                  <w14:solidFill>
                    <w14:schemeClr w14:val="tx1"/>
                  </w14:solidFill>
                </w14:textFill>
              </w:rPr>
            </w:pPr>
            <w:r>
              <w:rPr>
                <w:rFonts w:hint="eastAsia"/>
                <w:b/>
                <w:bCs/>
                <w:color w:val="000000" w:themeColor="text1"/>
                <w:highlight w:val="none"/>
                <w14:textFill>
                  <w14:solidFill>
                    <w14:schemeClr w14:val="tx1"/>
                  </w14:solidFill>
                </w14:textFill>
              </w:rPr>
              <w:t>建筑物插入损失/dB</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A</w:t>
            </w:r>
            <w:r>
              <w:rPr>
                <w:rFonts w:hint="eastAsia"/>
                <w:b/>
                <w:bCs/>
                <w:color w:val="000000" w:themeColor="text1"/>
                <w:highlight w:val="none"/>
                <w:lang w:eastAsia="zh-CN"/>
                <w14:textFill>
                  <w14:solidFill>
                    <w14:schemeClr w14:val="tx1"/>
                  </w14:solidFill>
                </w14:textFill>
              </w:rPr>
              <w:t>）</w:t>
            </w:r>
          </w:p>
        </w:tc>
        <w:tc>
          <w:tcPr>
            <w:tcW w:w="1704" w:type="dxa"/>
            <w:gridSpan w:val="2"/>
            <w:noWrap w:val="0"/>
            <w:vAlign w:val="center"/>
          </w:tcPr>
          <w:p w14:paraId="28D41B44">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建筑物外噪声</w:t>
            </w:r>
          </w:p>
        </w:tc>
      </w:tr>
      <w:tr w14:paraId="62E672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85" w:type="dxa"/>
            <w:vMerge w:val="continue"/>
            <w:tcBorders>
              <w:bottom w:val="single" w:color="auto" w:sz="12" w:space="0"/>
            </w:tcBorders>
            <w:noWrap w:val="0"/>
            <w:vAlign w:val="center"/>
          </w:tcPr>
          <w:p w14:paraId="386CC36F">
            <w:pPr>
              <w:pStyle w:val="26"/>
              <w:bidi w:val="0"/>
              <w:jc w:val="center"/>
              <w:rPr>
                <w:rFonts w:hint="eastAsia"/>
                <w:b/>
                <w:bCs/>
                <w:color w:val="000000" w:themeColor="text1"/>
                <w:highlight w:val="none"/>
                <w14:textFill>
                  <w14:solidFill>
                    <w14:schemeClr w14:val="tx1"/>
                  </w14:solidFill>
                </w14:textFill>
              </w:rPr>
            </w:pPr>
          </w:p>
        </w:tc>
        <w:tc>
          <w:tcPr>
            <w:tcW w:w="1138" w:type="dxa"/>
            <w:vMerge w:val="continue"/>
            <w:tcBorders>
              <w:bottom w:val="single" w:color="auto" w:sz="12" w:space="0"/>
            </w:tcBorders>
            <w:noWrap w:val="0"/>
            <w:vAlign w:val="center"/>
          </w:tcPr>
          <w:p w14:paraId="220A3451">
            <w:pPr>
              <w:pStyle w:val="26"/>
              <w:bidi w:val="0"/>
              <w:jc w:val="center"/>
              <w:rPr>
                <w:rFonts w:hint="eastAsia"/>
                <w:b/>
                <w:bCs/>
                <w:color w:val="000000" w:themeColor="text1"/>
                <w:highlight w:val="none"/>
                <w14:textFill>
                  <w14:solidFill>
                    <w14:schemeClr w14:val="tx1"/>
                  </w14:solidFill>
                </w14:textFill>
              </w:rPr>
            </w:pPr>
          </w:p>
        </w:tc>
        <w:tc>
          <w:tcPr>
            <w:tcW w:w="1391" w:type="dxa"/>
            <w:vMerge w:val="continue"/>
            <w:tcBorders>
              <w:bottom w:val="single" w:color="auto" w:sz="12" w:space="0"/>
            </w:tcBorders>
            <w:noWrap w:val="0"/>
            <w:vAlign w:val="center"/>
          </w:tcPr>
          <w:p w14:paraId="29DFF65F">
            <w:pPr>
              <w:pStyle w:val="26"/>
              <w:bidi w:val="0"/>
              <w:jc w:val="center"/>
              <w:rPr>
                <w:rFonts w:hint="eastAsia"/>
                <w:b/>
                <w:bCs/>
                <w:color w:val="000000" w:themeColor="text1"/>
                <w:highlight w:val="none"/>
                <w14:textFill>
                  <w14:solidFill>
                    <w14:schemeClr w14:val="tx1"/>
                  </w14:solidFill>
                </w14:textFill>
              </w:rPr>
            </w:pPr>
          </w:p>
        </w:tc>
        <w:tc>
          <w:tcPr>
            <w:tcW w:w="1920" w:type="dxa"/>
            <w:tcBorders>
              <w:bottom w:val="single" w:color="auto" w:sz="12" w:space="0"/>
            </w:tcBorders>
            <w:noWrap w:val="0"/>
            <w:vAlign w:val="center"/>
          </w:tcPr>
          <w:p w14:paraId="7E5F0476">
            <w:pPr>
              <w:pStyle w:val="26"/>
              <w:bidi w:val="0"/>
              <w:jc w:val="center"/>
              <w:rPr>
                <w:rFonts w:hint="eastAsia" w:eastAsia="宋体"/>
                <w:b/>
                <w:bCs/>
                <w:color w:val="000000" w:themeColor="text1"/>
                <w:highlight w:val="none"/>
                <w:lang w:eastAsia="zh-CN"/>
                <w14:textFill>
                  <w14:solidFill>
                    <w14:schemeClr w14:val="tx1"/>
                  </w14:solidFill>
                </w14:textFill>
              </w:rPr>
            </w:pP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声压级/距声源距离</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dB</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A</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/m</w:t>
            </w:r>
            <w:r>
              <w:rPr>
                <w:rFonts w:hint="eastAsia"/>
                <w:b/>
                <w:bCs/>
                <w:color w:val="000000" w:themeColor="text1"/>
                <w:highlight w:val="none"/>
                <w:lang w:eastAsia="zh-CN"/>
                <w14:textFill>
                  <w14:solidFill>
                    <w14:schemeClr w14:val="tx1"/>
                  </w14:solidFill>
                </w14:textFill>
              </w:rPr>
              <w:t>）</w:t>
            </w:r>
          </w:p>
        </w:tc>
        <w:tc>
          <w:tcPr>
            <w:tcW w:w="1301" w:type="dxa"/>
            <w:tcBorders>
              <w:bottom w:val="single" w:color="auto" w:sz="12" w:space="0"/>
            </w:tcBorders>
            <w:noWrap w:val="0"/>
            <w:vAlign w:val="center"/>
          </w:tcPr>
          <w:p w14:paraId="67AE40EA">
            <w:pPr>
              <w:pStyle w:val="26"/>
              <w:bidi w:val="0"/>
              <w:jc w:val="center"/>
              <w:rPr>
                <w:rFonts w:hint="eastAsia" w:eastAsia="宋体"/>
                <w:b/>
                <w:bCs/>
                <w:color w:val="000000" w:themeColor="text1"/>
                <w:highlight w:val="none"/>
                <w:lang w:eastAsia="zh-CN"/>
                <w14:textFill>
                  <w14:solidFill>
                    <w14:schemeClr w14:val="tx1"/>
                  </w14:solidFill>
                </w14:textFill>
              </w:rPr>
            </w:pPr>
            <w:r>
              <w:rPr>
                <w:rFonts w:hint="eastAsia"/>
                <w:b/>
                <w:bCs/>
                <w:color w:val="000000" w:themeColor="text1"/>
                <w:highlight w:val="none"/>
                <w14:textFill>
                  <w14:solidFill>
                    <w14:schemeClr w14:val="tx1"/>
                  </w14:solidFill>
                </w14:textFill>
              </w:rPr>
              <w:t>声功率级/dB</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A</w:t>
            </w:r>
            <w:r>
              <w:rPr>
                <w:rFonts w:hint="eastAsia"/>
                <w:b/>
                <w:bCs/>
                <w:color w:val="000000" w:themeColor="text1"/>
                <w:highlight w:val="none"/>
                <w:lang w:eastAsia="zh-CN"/>
                <w14:textFill>
                  <w14:solidFill>
                    <w14:schemeClr w14:val="tx1"/>
                  </w14:solidFill>
                </w14:textFill>
              </w:rPr>
              <w:t>）</w:t>
            </w:r>
          </w:p>
        </w:tc>
        <w:tc>
          <w:tcPr>
            <w:tcW w:w="958" w:type="dxa"/>
            <w:vMerge w:val="continue"/>
            <w:tcBorders>
              <w:bottom w:val="single" w:color="auto" w:sz="12" w:space="0"/>
            </w:tcBorders>
            <w:noWrap w:val="0"/>
            <w:vAlign w:val="center"/>
          </w:tcPr>
          <w:p w14:paraId="0885034F">
            <w:pPr>
              <w:pStyle w:val="26"/>
              <w:bidi w:val="0"/>
              <w:jc w:val="center"/>
              <w:rPr>
                <w:rFonts w:hint="eastAsia"/>
                <w:b/>
                <w:bCs/>
                <w:color w:val="000000" w:themeColor="text1"/>
                <w:highlight w:val="none"/>
                <w14:textFill>
                  <w14:solidFill>
                    <w14:schemeClr w14:val="tx1"/>
                  </w14:solidFill>
                </w14:textFill>
              </w:rPr>
            </w:pPr>
          </w:p>
        </w:tc>
        <w:tc>
          <w:tcPr>
            <w:tcW w:w="527" w:type="dxa"/>
            <w:tcBorders>
              <w:bottom w:val="single" w:color="auto" w:sz="12" w:space="0"/>
            </w:tcBorders>
            <w:noWrap w:val="0"/>
            <w:vAlign w:val="center"/>
          </w:tcPr>
          <w:p w14:paraId="452955D9">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x</w:t>
            </w:r>
          </w:p>
        </w:tc>
        <w:tc>
          <w:tcPr>
            <w:tcW w:w="558" w:type="dxa"/>
            <w:tcBorders>
              <w:bottom w:val="single" w:color="auto" w:sz="12" w:space="0"/>
            </w:tcBorders>
            <w:noWrap w:val="0"/>
            <w:vAlign w:val="center"/>
          </w:tcPr>
          <w:p w14:paraId="0E3F3F26">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y</w:t>
            </w:r>
          </w:p>
        </w:tc>
        <w:tc>
          <w:tcPr>
            <w:tcW w:w="570" w:type="dxa"/>
            <w:tcBorders>
              <w:bottom w:val="single" w:color="auto" w:sz="12" w:space="0"/>
            </w:tcBorders>
            <w:noWrap w:val="0"/>
            <w:vAlign w:val="center"/>
          </w:tcPr>
          <w:p w14:paraId="6BF85D60">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z</w:t>
            </w:r>
          </w:p>
        </w:tc>
        <w:tc>
          <w:tcPr>
            <w:tcW w:w="795" w:type="dxa"/>
            <w:vMerge w:val="continue"/>
            <w:tcBorders>
              <w:bottom w:val="single" w:color="auto" w:sz="12" w:space="0"/>
            </w:tcBorders>
            <w:noWrap w:val="0"/>
            <w:vAlign w:val="center"/>
          </w:tcPr>
          <w:p w14:paraId="6DD20CD6">
            <w:pPr>
              <w:pStyle w:val="26"/>
              <w:bidi w:val="0"/>
              <w:jc w:val="center"/>
              <w:rPr>
                <w:rFonts w:hint="eastAsia"/>
                <w:b/>
                <w:bCs/>
                <w:color w:val="000000" w:themeColor="text1"/>
                <w:highlight w:val="none"/>
                <w14:textFill>
                  <w14:solidFill>
                    <w14:schemeClr w14:val="tx1"/>
                  </w14:solidFill>
                </w14:textFill>
              </w:rPr>
            </w:pPr>
          </w:p>
        </w:tc>
        <w:tc>
          <w:tcPr>
            <w:tcW w:w="871" w:type="dxa"/>
            <w:vMerge w:val="continue"/>
            <w:tcBorders>
              <w:bottom w:val="single" w:color="auto" w:sz="12" w:space="0"/>
            </w:tcBorders>
            <w:noWrap w:val="0"/>
            <w:vAlign w:val="center"/>
          </w:tcPr>
          <w:p w14:paraId="77719E0D">
            <w:pPr>
              <w:pStyle w:val="26"/>
              <w:bidi w:val="0"/>
              <w:jc w:val="center"/>
              <w:rPr>
                <w:rFonts w:hint="eastAsia"/>
                <w:b/>
                <w:bCs/>
                <w:color w:val="000000" w:themeColor="text1"/>
                <w:highlight w:val="none"/>
                <w14:textFill>
                  <w14:solidFill>
                    <w14:schemeClr w14:val="tx1"/>
                  </w14:solidFill>
                </w14:textFill>
              </w:rPr>
            </w:pPr>
          </w:p>
        </w:tc>
        <w:tc>
          <w:tcPr>
            <w:tcW w:w="995" w:type="dxa"/>
            <w:vMerge w:val="continue"/>
            <w:tcBorders>
              <w:bottom w:val="single" w:color="auto" w:sz="12" w:space="0"/>
            </w:tcBorders>
            <w:noWrap w:val="0"/>
            <w:vAlign w:val="center"/>
          </w:tcPr>
          <w:p w14:paraId="774D1878">
            <w:pPr>
              <w:pStyle w:val="26"/>
              <w:bidi w:val="0"/>
              <w:jc w:val="center"/>
              <w:rPr>
                <w:rFonts w:hint="eastAsia"/>
                <w:b/>
                <w:bCs/>
                <w:color w:val="000000" w:themeColor="text1"/>
                <w:highlight w:val="none"/>
                <w14:textFill>
                  <w14:solidFill>
                    <w14:schemeClr w14:val="tx1"/>
                  </w14:solidFill>
                </w14:textFill>
              </w:rPr>
            </w:pPr>
          </w:p>
        </w:tc>
        <w:tc>
          <w:tcPr>
            <w:tcW w:w="960" w:type="dxa"/>
            <w:vMerge w:val="continue"/>
            <w:tcBorders>
              <w:bottom w:val="single" w:color="auto" w:sz="12" w:space="0"/>
            </w:tcBorders>
            <w:noWrap w:val="0"/>
            <w:vAlign w:val="center"/>
          </w:tcPr>
          <w:p w14:paraId="4441C106">
            <w:pPr>
              <w:pStyle w:val="26"/>
              <w:bidi w:val="0"/>
              <w:jc w:val="center"/>
              <w:rPr>
                <w:rFonts w:hint="eastAsia"/>
                <w:b/>
                <w:bCs/>
                <w:color w:val="000000" w:themeColor="text1"/>
                <w:highlight w:val="none"/>
                <w14:textFill>
                  <w14:solidFill>
                    <w14:schemeClr w14:val="tx1"/>
                  </w14:solidFill>
                </w14:textFill>
              </w:rPr>
            </w:pPr>
          </w:p>
        </w:tc>
        <w:tc>
          <w:tcPr>
            <w:tcW w:w="855" w:type="dxa"/>
            <w:tcBorders>
              <w:bottom w:val="single" w:color="auto" w:sz="12" w:space="0"/>
            </w:tcBorders>
            <w:noWrap w:val="0"/>
            <w:vAlign w:val="center"/>
          </w:tcPr>
          <w:p w14:paraId="245F0F96">
            <w:pPr>
              <w:pStyle w:val="26"/>
              <w:bidi w:val="0"/>
              <w:jc w:val="center"/>
              <w:rPr>
                <w:rFonts w:hint="eastAsia" w:eastAsia="宋体"/>
                <w:b/>
                <w:bCs/>
                <w:color w:val="000000" w:themeColor="text1"/>
                <w:highlight w:val="none"/>
                <w:lang w:eastAsia="zh-CN"/>
                <w14:textFill>
                  <w14:solidFill>
                    <w14:schemeClr w14:val="tx1"/>
                  </w14:solidFill>
                </w14:textFill>
              </w:rPr>
            </w:pPr>
            <w:r>
              <w:rPr>
                <w:rFonts w:hint="eastAsia"/>
                <w:b/>
                <w:bCs/>
                <w:color w:val="000000" w:themeColor="text1"/>
                <w:highlight w:val="none"/>
                <w14:textFill>
                  <w14:solidFill>
                    <w14:schemeClr w14:val="tx1"/>
                  </w14:solidFill>
                </w14:textFill>
              </w:rPr>
              <w:t>声压级dB</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A</w:t>
            </w:r>
            <w:r>
              <w:rPr>
                <w:rFonts w:hint="eastAsia"/>
                <w:b/>
                <w:bCs/>
                <w:color w:val="000000" w:themeColor="text1"/>
                <w:highlight w:val="none"/>
                <w:lang w:eastAsia="zh-CN"/>
                <w14:textFill>
                  <w14:solidFill>
                    <w14:schemeClr w14:val="tx1"/>
                  </w14:solidFill>
                </w14:textFill>
              </w:rPr>
              <w:t>）</w:t>
            </w:r>
          </w:p>
        </w:tc>
        <w:tc>
          <w:tcPr>
            <w:tcW w:w="849" w:type="dxa"/>
            <w:tcBorders>
              <w:bottom w:val="single" w:color="auto" w:sz="12" w:space="0"/>
            </w:tcBorders>
            <w:noWrap w:val="0"/>
            <w:vAlign w:val="center"/>
          </w:tcPr>
          <w:p w14:paraId="7586EB0C">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建筑物外距离</w:t>
            </w:r>
          </w:p>
        </w:tc>
      </w:tr>
      <w:tr w14:paraId="698448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85" w:type="dxa"/>
            <w:tcBorders>
              <w:top w:val="single" w:color="auto" w:sz="12" w:space="0"/>
              <w:tl2br w:val="nil"/>
              <w:tr2bl w:val="nil"/>
            </w:tcBorders>
            <w:noWrap w:val="0"/>
            <w:vAlign w:val="center"/>
          </w:tcPr>
          <w:p w14:paraId="55561805">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1138" w:type="dxa"/>
            <w:vMerge w:val="restart"/>
            <w:tcBorders>
              <w:top w:val="single" w:color="auto" w:sz="12" w:space="0"/>
              <w:tl2br w:val="nil"/>
              <w:tr2bl w:val="nil"/>
            </w:tcBorders>
            <w:noWrap w:val="0"/>
            <w:vAlign w:val="center"/>
          </w:tcPr>
          <w:p w14:paraId="0FBF9AD7">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车间</w:t>
            </w:r>
          </w:p>
        </w:tc>
        <w:tc>
          <w:tcPr>
            <w:tcW w:w="1391" w:type="dxa"/>
            <w:tcBorders>
              <w:top w:val="single" w:color="auto" w:sz="12" w:space="0"/>
              <w:tl2br w:val="nil"/>
              <w:tr2bl w:val="nil"/>
            </w:tcBorders>
            <w:shd w:val="clear" w:color="auto" w:fill="auto"/>
            <w:noWrap w:val="0"/>
            <w:vAlign w:val="center"/>
          </w:tcPr>
          <w:p w14:paraId="0556F053">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中和搅拌釜</w:t>
            </w:r>
          </w:p>
        </w:tc>
        <w:tc>
          <w:tcPr>
            <w:tcW w:w="1920" w:type="dxa"/>
            <w:tcBorders>
              <w:top w:val="single" w:color="auto" w:sz="12" w:space="0"/>
              <w:tl2br w:val="nil"/>
              <w:tr2bl w:val="nil"/>
            </w:tcBorders>
            <w:noWrap w:val="0"/>
            <w:vAlign w:val="center"/>
          </w:tcPr>
          <w:p w14:paraId="242CD00D">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301" w:type="dxa"/>
            <w:tcBorders>
              <w:top w:val="single" w:color="auto" w:sz="12" w:space="0"/>
              <w:tl2br w:val="nil"/>
              <w:tr2bl w:val="nil"/>
            </w:tcBorders>
            <w:noWrap w:val="0"/>
            <w:vAlign w:val="center"/>
          </w:tcPr>
          <w:p w14:paraId="4CDA5E58">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w:t>
            </w:r>
          </w:p>
        </w:tc>
        <w:tc>
          <w:tcPr>
            <w:tcW w:w="958" w:type="dxa"/>
            <w:tcBorders>
              <w:top w:val="single" w:color="auto" w:sz="12" w:space="0"/>
              <w:tl2br w:val="nil"/>
              <w:tr2bl w:val="nil"/>
            </w:tcBorders>
            <w:noWrap w:val="0"/>
            <w:vAlign w:val="center"/>
          </w:tcPr>
          <w:p w14:paraId="75F20332">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基础减振、</w:t>
            </w:r>
            <w:r>
              <w:rPr>
                <w:rFonts w:hint="eastAsia" w:ascii="宋体" w:hAnsi="宋体" w:cs="宋体"/>
                <w:color w:val="000000" w:themeColor="text1"/>
                <w:sz w:val="21"/>
                <w:szCs w:val="21"/>
                <w:highlight w:val="none"/>
                <w:lang w:val="en-US" w:eastAsia="zh-CN"/>
                <w14:textFill>
                  <w14:solidFill>
                    <w14:schemeClr w14:val="tx1"/>
                  </w14:solidFill>
                </w14:textFill>
              </w:rPr>
              <w:t>厂房隔音</w:t>
            </w:r>
          </w:p>
        </w:tc>
        <w:tc>
          <w:tcPr>
            <w:tcW w:w="527" w:type="dxa"/>
            <w:tcBorders>
              <w:top w:val="single" w:color="auto" w:sz="12" w:space="0"/>
              <w:tl2br w:val="nil"/>
              <w:tr2bl w:val="nil"/>
            </w:tcBorders>
            <w:noWrap w:val="0"/>
            <w:vAlign w:val="center"/>
          </w:tcPr>
          <w:p w14:paraId="78E84EDB">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156</w:t>
            </w:r>
          </w:p>
        </w:tc>
        <w:tc>
          <w:tcPr>
            <w:tcW w:w="558" w:type="dxa"/>
            <w:tcBorders>
              <w:top w:val="single" w:color="auto" w:sz="12" w:space="0"/>
              <w:tl2br w:val="nil"/>
              <w:tr2bl w:val="nil"/>
            </w:tcBorders>
            <w:noWrap w:val="0"/>
            <w:vAlign w:val="center"/>
          </w:tcPr>
          <w:p w14:paraId="7AD31A10">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w:t>
            </w:r>
          </w:p>
        </w:tc>
        <w:tc>
          <w:tcPr>
            <w:tcW w:w="570" w:type="dxa"/>
            <w:tcBorders>
              <w:top w:val="single" w:color="auto" w:sz="12" w:space="0"/>
              <w:tl2br w:val="nil"/>
              <w:tr2bl w:val="nil"/>
            </w:tcBorders>
            <w:noWrap w:val="0"/>
            <w:vAlign w:val="center"/>
          </w:tcPr>
          <w:p w14:paraId="7CBB3786">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95" w:type="dxa"/>
            <w:tcBorders>
              <w:top w:val="single" w:color="auto" w:sz="12" w:space="0"/>
              <w:tl2br w:val="nil"/>
              <w:tr2bl w:val="nil"/>
            </w:tcBorders>
            <w:noWrap w:val="0"/>
            <w:vAlign w:val="center"/>
          </w:tcPr>
          <w:p w14:paraId="23565E40">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871" w:type="dxa"/>
            <w:tcBorders>
              <w:top w:val="single" w:color="auto" w:sz="12" w:space="0"/>
              <w:tl2br w:val="nil"/>
              <w:tr2bl w:val="nil"/>
            </w:tcBorders>
            <w:noWrap w:val="0"/>
            <w:vAlign w:val="center"/>
          </w:tcPr>
          <w:p w14:paraId="49B34C09">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w:t>
            </w:r>
          </w:p>
        </w:tc>
        <w:tc>
          <w:tcPr>
            <w:tcW w:w="995" w:type="dxa"/>
            <w:tcBorders>
              <w:top w:val="single" w:color="auto" w:sz="12" w:space="0"/>
              <w:tl2br w:val="nil"/>
              <w:tr2bl w:val="nil"/>
            </w:tcBorders>
            <w:noWrap w:val="0"/>
            <w:vAlign w:val="center"/>
          </w:tcPr>
          <w:p w14:paraId="33E4052D">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全天</w:t>
            </w:r>
          </w:p>
        </w:tc>
        <w:tc>
          <w:tcPr>
            <w:tcW w:w="960" w:type="dxa"/>
            <w:tcBorders>
              <w:top w:val="single" w:color="auto" w:sz="12" w:space="0"/>
              <w:tl2br w:val="nil"/>
              <w:tr2bl w:val="nil"/>
            </w:tcBorders>
            <w:noWrap w:val="0"/>
            <w:vAlign w:val="center"/>
          </w:tcPr>
          <w:p w14:paraId="4D24236C">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25</w:t>
            </w:r>
          </w:p>
        </w:tc>
        <w:tc>
          <w:tcPr>
            <w:tcW w:w="855" w:type="dxa"/>
            <w:tcBorders>
              <w:top w:val="single" w:color="auto" w:sz="12" w:space="0"/>
              <w:tl2br w:val="nil"/>
              <w:tr2bl w:val="nil"/>
            </w:tcBorders>
            <w:noWrap w:val="0"/>
            <w:vAlign w:val="center"/>
          </w:tcPr>
          <w:p w14:paraId="7DA8205B">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55</w:t>
            </w:r>
          </w:p>
        </w:tc>
        <w:tc>
          <w:tcPr>
            <w:tcW w:w="849" w:type="dxa"/>
            <w:tcBorders>
              <w:top w:val="single" w:color="auto" w:sz="12" w:space="0"/>
              <w:tl2br w:val="nil"/>
              <w:tr2bl w:val="nil"/>
            </w:tcBorders>
            <w:noWrap w:val="0"/>
            <w:vAlign w:val="center"/>
          </w:tcPr>
          <w:p w14:paraId="23085CAA">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w:t>
            </w:r>
          </w:p>
        </w:tc>
      </w:tr>
      <w:tr w14:paraId="68C5E8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85" w:type="dxa"/>
            <w:tcBorders>
              <w:tl2br w:val="nil"/>
              <w:tr2bl w:val="nil"/>
            </w:tcBorders>
            <w:noWrap w:val="0"/>
            <w:vAlign w:val="center"/>
          </w:tcPr>
          <w:p w14:paraId="43C60A6D">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1138" w:type="dxa"/>
            <w:vMerge w:val="continue"/>
            <w:tcBorders>
              <w:tl2br w:val="nil"/>
              <w:tr2bl w:val="nil"/>
            </w:tcBorders>
            <w:noWrap w:val="0"/>
            <w:vAlign w:val="center"/>
          </w:tcPr>
          <w:p w14:paraId="1DB17E48">
            <w:pPr>
              <w:pStyle w:val="26"/>
              <w:bidi w:val="0"/>
              <w:jc w:val="center"/>
              <w:rPr>
                <w:rFonts w:hint="eastAsia"/>
                <w:color w:val="000000" w:themeColor="text1"/>
                <w:highlight w:val="none"/>
                <w14:textFill>
                  <w14:solidFill>
                    <w14:schemeClr w14:val="tx1"/>
                  </w14:solidFill>
                </w14:textFill>
              </w:rPr>
            </w:pPr>
          </w:p>
        </w:tc>
        <w:tc>
          <w:tcPr>
            <w:tcW w:w="1391" w:type="dxa"/>
            <w:tcBorders>
              <w:tl2br w:val="nil"/>
              <w:tr2bl w:val="nil"/>
            </w:tcBorders>
            <w:shd w:val="clear" w:color="auto" w:fill="auto"/>
            <w:noWrap w:val="0"/>
            <w:vAlign w:val="center"/>
          </w:tcPr>
          <w:p w14:paraId="12CAB7A5">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喷淋净化塔</w:t>
            </w:r>
          </w:p>
        </w:tc>
        <w:tc>
          <w:tcPr>
            <w:tcW w:w="1920" w:type="dxa"/>
            <w:tcBorders>
              <w:tl2br w:val="nil"/>
              <w:tr2bl w:val="nil"/>
            </w:tcBorders>
            <w:noWrap w:val="0"/>
            <w:vAlign w:val="center"/>
          </w:tcPr>
          <w:p w14:paraId="78364AA8">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301" w:type="dxa"/>
            <w:tcBorders>
              <w:tl2br w:val="nil"/>
              <w:tr2bl w:val="nil"/>
            </w:tcBorders>
            <w:noWrap w:val="0"/>
            <w:vAlign w:val="center"/>
          </w:tcPr>
          <w:p w14:paraId="44AECCC4">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w:t>
            </w:r>
          </w:p>
        </w:tc>
        <w:tc>
          <w:tcPr>
            <w:tcW w:w="958" w:type="dxa"/>
            <w:tcBorders>
              <w:tl2br w:val="nil"/>
              <w:tr2bl w:val="nil"/>
            </w:tcBorders>
            <w:noWrap w:val="0"/>
            <w:vAlign w:val="center"/>
          </w:tcPr>
          <w:p w14:paraId="6BBBD20E">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基础减振、</w:t>
            </w:r>
            <w:r>
              <w:rPr>
                <w:rFonts w:hint="eastAsia" w:ascii="宋体" w:hAnsi="宋体" w:cs="宋体"/>
                <w:color w:val="000000" w:themeColor="text1"/>
                <w:sz w:val="21"/>
                <w:szCs w:val="21"/>
                <w:highlight w:val="none"/>
                <w:lang w:val="en-US" w:eastAsia="zh-CN"/>
                <w14:textFill>
                  <w14:solidFill>
                    <w14:schemeClr w14:val="tx1"/>
                  </w14:solidFill>
                </w14:textFill>
              </w:rPr>
              <w:t>厂房隔音</w:t>
            </w:r>
          </w:p>
        </w:tc>
        <w:tc>
          <w:tcPr>
            <w:tcW w:w="527" w:type="dxa"/>
            <w:tcBorders>
              <w:tl2br w:val="nil"/>
              <w:tr2bl w:val="nil"/>
            </w:tcBorders>
            <w:noWrap w:val="0"/>
            <w:vAlign w:val="center"/>
          </w:tcPr>
          <w:p w14:paraId="72D9D1D4">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175</w:t>
            </w:r>
          </w:p>
        </w:tc>
        <w:tc>
          <w:tcPr>
            <w:tcW w:w="558" w:type="dxa"/>
            <w:tcBorders>
              <w:tl2br w:val="nil"/>
              <w:tr2bl w:val="nil"/>
            </w:tcBorders>
            <w:noWrap w:val="0"/>
            <w:vAlign w:val="center"/>
          </w:tcPr>
          <w:p w14:paraId="52E96B89">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56</w:t>
            </w:r>
          </w:p>
        </w:tc>
        <w:tc>
          <w:tcPr>
            <w:tcW w:w="570" w:type="dxa"/>
            <w:tcBorders>
              <w:tl2br w:val="nil"/>
              <w:tr2bl w:val="nil"/>
            </w:tcBorders>
            <w:noWrap w:val="0"/>
            <w:vAlign w:val="center"/>
          </w:tcPr>
          <w:p w14:paraId="3E915AE7">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95" w:type="dxa"/>
            <w:tcBorders>
              <w:tl2br w:val="nil"/>
              <w:tr2bl w:val="nil"/>
            </w:tcBorders>
            <w:noWrap w:val="0"/>
            <w:vAlign w:val="center"/>
          </w:tcPr>
          <w:p w14:paraId="1F4B3A19">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871" w:type="dxa"/>
            <w:tcBorders>
              <w:tl2br w:val="nil"/>
              <w:tr2bl w:val="nil"/>
            </w:tcBorders>
            <w:noWrap w:val="0"/>
            <w:vAlign w:val="center"/>
          </w:tcPr>
          <w:p w14:paraId="52FB227D">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85</w:t>
            </w:r>
          </w:p>
        </w:tc>
        <w:tc>
          <w:tcPr>
            <w:tcW w:w="995" w:type="dxa"/>
            <w:tcBorders>
              <w:tl2br w:val="nil"/>
              <w:tr2bl w:val="nil"/>
            </w:tcBorders>
            <w:noWrap w:val="0"/>
            <w:vAlign w:val="center"/>
          </w:tcPr>
          <w:p w14:paraId="0B980C51">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全天</w:t>
            </w:r>
          </w:p>
        </w:tc>
        <w:tc>
          <w:tcPr>
            <w:tcW w:w="960" w:type="dxa"/>
            <w:tcBorders>
              <w:tl2br w:val="nil"/>
              <w:tr2bl w:val="nil"/>
            </w:tcBorders>
            <w:noWrap w:val="0"/>
            <w:vAlign w:val="center"/>
          </w:tcPr>
          <w:p w14:paraId="7B267E68">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25</w:t>
            </w:r>
          </w:p>
        </w:tc>
        <w:tc>
          <w:tcPr>
            <w:tcW w:w="855" w:type="dxa"/>
            <w:tcBorders>
              <w:tl2br w:val="nil"/>
              <w:tr2bl w:val="nil"/>
            </w:tcBorders>
            <w:noWrap w:val="0"/>
            <w:vAlign w:val="center"/>
          </w:tcPr>
          <w:p w14:paraId="54B681E0">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65</w:t>
            </w:r>
          </w:p>
        </w:tc>
        <w:tc>
          <w:tcPr>
            <w:tcW w:w="849" w:type="dxa"/>
            <w:tcBorders>
              <w:tl2br w:val="nil"/>
              <w:tr2bl w:val="nil"/>
            </w:tcBorders>
            <w:noWrap w:val="0"/>
            <w:vAlign w:val="center"/>
          </w:tcPr>
          <w:p w14:paraId="2F0DDB7A">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w:t>
            </w:r>
          </w:p>
        </w:tc>
      </w:tr>
      <w:tr w14:paraId="4F48E3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85" w:type="dxa"/>
            <w:tcBorders>
              <w:tl2br w:val="nil"/>
              <w:tr2bl w:val="nil"/>
            </w:tcBorders>
            <w:noWrap w:val="0"/>
            <w:vAlign w:val="center"/>
          </w:tcPr>
          <w:p w14:paraId="7E64A6CF">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1138" w:type="dxa"/>
            <w:vMerge w:val="continue"/>
            <w:tcBorders>
              <w:tl2br w:val="nil"/>
              <w:tr2bl w:val="nil"/>
            </w:tcBorders>
            <w:noWrap w:val="0"/>
            <w:vAlign w:val="center"/>
          </w:tcPr>
          <w:p w14:paraId="087BF56B">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1391" w:type="dxa"/>
            <w:tcBorders>
              <w:tl2br w:val="nil"/>
              <w:tr2bl w:val="nil"/>
            </w:tcBorders>
            <w:shd w:val="clear" w:color="auto" w:fill="auto"/>
            <w:noWrap w:val="0"/>
            <w:vAlign w:val="center"/>
          </w:tcPr>
          <w:p w14:paraId="00CA2C20">
            <w:pPr>
              <w:pStyle w:val="26"/>
              <w:bidi w:val="0"/>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反应釜</w:t>
            </w:r>
          </w:p>
        </w:tc>
        <w:tc>
          <w:tcPr>
            <w:tcW w:w="1920" w:type="dxa"/>
            <w:tcBorders>
              <w:tl2br w:val="nil"/>
              <w:tr2bl w:val="nil"/>
            </w:tcBorders>
            <w:noWrap w:val="0"/>
            <w:vAlign w:val="center"/>
          </w:tcPr>
          <w:p w14:paraId="59AF5348">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301" w:type="dxa"/>
            <w:tcBorders>
              <w:tl2br w:val="nil"/>
              <w:tr2bl w:val="nil"/>
            </w:tcBorders>
            <w:noWrap w:val="0"/>
            <w:vAlign w:val="center"/>
          </w:tcPr>
          <w:p w14:paraId="3B19CD7C">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w:t>
            </w:r>
          </w:p>
        </w:tc>
        <w:tc>
          <w:tcPr>
            <w:tcW w:w="958" w:type="dxa"/>
            <w:vMerge w:val="restart"/>
            <w:tcBorders>
              <w:tl2br w:val="nil"/>
              <w:tr2bl w:val="nil"/>
            </w:tcBorders>
            <w:noWrap w:val="0"/>
            <w:vAlign w:val="center"/>
          </w:tcPr>
          <w:p w14:paraId="7F7B8C4C">
            <w:pPr>
              <w:pStyle w:val="26"/>
              <w:bidi w:val="0"/>
              <w:jc w:val="center"/>
              <w:rPr>
                <w:rFonts w:hint="eastAsia"/>
                <w:color w:val="000000" w:themeColor="text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基础减振、</w:t>
            </w:r>
            <w:r>
              <w:rPr>
                <w:rFonts w:hint="eastAsia" w:ascii="宋体" w:hAnsi="宋体" w:cs="宋体"/>
                <w:color w:val="000000" w:themeColor="text1"/>
                <w:sz w:val="21"/>
                <w:szCs w:val="21"/>
                <w:highlight w:val="none"/>
                <w:lang w:val="en-US" w:eastAsia="zh-CN"/>
                <w14:textFill>
                  <w14:solidFill>
                    <w14:schemeClr w14:val="tx1"/>
                  </w14:solidFill>
                </w14:textFill>
              </w:rPr>
              <w:t>厂房隔音</w:t>
            </w:r>
          </w:p>
        </w:tc>
        <w:tc>
          <w:tcPr>
            <w:tcW w:w="527" w:type="dxa"/>
            <w:tcBorders>
              <w:tl2br w:val="nil"/>
              <w:tr2bl w:val="nil"/>
            </w:tcBorders>
            <w:noWrap w:val="0"/>
            <w:vAlign w:val="center"/>
          </w:tcPr>
          <w:p w14:paraId="042FC38F">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245</w:t>
            </w:r>
          </w:p>
        </w:tc>
        <w:tc>
          <w:tcPr>
            <w:tcW w:w="558" w:type="dxa"/>
            <w:tcBorders>
              <w:tl2br w:val="nil"/>
              <w:tr2bl w:val="nil"/>
            </w:tcBorders>
            <w:noWrap w:val="0"/>
            <w:vAlign w:val="center"/>
          </w:tcPr>
          <w:p w14:paraId="1910B4F8">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134</w:t>
            </w:r>
          </w:p>
        </w:tc>
        <w:tc>
          <w:tcPr>
            <w:tcW w:w="570" w:type="dxa"/>
            <w:tcBorders>
              <w:tl2br w:val="nil"/>
              <w:tr2bl w:val="nil"/>
            </w:tcBorders>
            <w:noWrap w:val="0"/>
            <w:vAlign w:val="center"/>
          </w:tcPr>
          <w:p w14:paraId="04F76116">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95" w:type="dxa"/>
            <w:tcBorders>
              <w:tl2br w:val="nil"/>
              <w:tr2bl w:val="nil"/>
            </w:tcBorders>
            <w:noWrap w:val="0"/>
            <w:vAlign w:val="center"/>
          </w:tcPr>
          <w:p w14:paraId="22563BE0">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871" w:type="dxa"/>
            <w:tcBorders>
              <w:tl2br w:val="nil"/>
              <w:tr2bl w:val="nil"/>
            </w:tcBorders>
            <w:noWrap w:val="0"/>
            <w:vAlign w:val="center"/>
          </w:tcPr>
          <w:p w14:paraId="2DCBEC78">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w:t>
            </w:r>
          </w:p>
        </w:tc>
        <w:tc>
          <w:tcPr>
            <w:tcW w:w="995" w:type="dxa"/>
            <w:tcBorders>
              <w:tl2br w:val="nil"/>
              <w:tr2bl w:val="nil"/>
            </w:tcBorders>
            <w:noWrap w:val="0"/>
            <w:vAlign w:val="center"/>
          </w:tcPr>
          <w:p w14:paraId="78C7EE08">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全天</w:t>
            </w:r>
          </w:p>
        </w:tc>
        <w:tc>
          <w:tcPr>
            <w:tcW w:w="960" w:type="dxa"/>
            <w:tcBorders>
              <w:tl2br w:val="nil"/>
              <w:tr2bl w:val="nil"/>
            </w:tcBorders>
            <w:noWrap w:val="0"/>
            <w:vAlign w:val="center"/>
          </w:tcPr>
          <w:p w14:paraId="514E0B0A">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25</w:t>
            </w:r>
          </w:p>
        </w:tc>
        <w:tc>
          <w:tcPr>
            <w:tcW w:w="855" w:type="dxa"/>
            <w:tcBorders>
              <w:tl2br w:val="nil"/>
              <w:tr2bl w:val="nil"/>
            </w:tcBorders>
            <w:noWrap w:val="0"/>
            <w:vAlign w:val="center"/>
          </w:tcPr>
          <w:p w14:paraId="4DC86839">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55</w:t>
            </w:r>
          </w:p>
        </w:tc>
        <w:tc>
          <w:tcPr>
            <w:tcW w:w="849" w:type="dxa"/>
            <w:tcBorders>
              <w:tl2br w:val="nil"/>
              <w:tr2bl w:val="nil"/>
            </w:tcBorders>
            <w:noWrap w:val="0"/>
            <w:vAlign w:val="center"/>
          </w:tcPr>
          <w:p w14:paraId="3C556F65">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w:t>
            </w:r>
          </w:p>
        </w:tc>
      </w:tr>
      <w:tr w14:paraId="3D1EE0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85" w:type="dxa"/>
            <w:tcBorders>
              <w:tl2br w:val="nil"/>
              <w:tr2bl w:val="nil"/>
            </w:tcBorders>
            <w:noWrap w:val="0"/>
            <w:vAlign w:val="center"/>
          </w:tcPr>
          <w:p w14:paraId="4F3F9DAB">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p>
        </w:tc>
        <w:tc>
          <w:tcPr>
            <w:tcW w:w="1138" w:type="dxa"/>
            <w:vMerge w:val="continue"/>
            <w:tcBorders>
              <w:tl2br w:val="nil"/>
              <w:tr2bl w:val="nil"/>
            </w:tcBorders>
            <w:noWrap w:val="0"/>
            <w:vAlign w:val="center"/>
          </w:tcPr>
          <w:p w14:paraId="1CD765AA">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c>
          <w:tcPr>
            <w:tcW w:w="1391" w:type="dxa"/>
            <w:tcBorders>
              <w:tl2br w:val="nil"/>
              <w:tr2bl w:val="nil"/>
            </w:tcBorders>
            <w:noWrap w:val="0"/>
            <w:vAlign w:val="center"/>
          </w:tcPr>
          <w:p w14:paraId="0A05A47F">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引风机</w:t>
            </w:r>
          </w:p>
        </w:tc>
        <w:tc>
          <w:tcPr>
            <w:tcW w:w="1920" w:type="dxa"/>
            <w:tcBorders>
              <w:tl2br w:val="nil"/>
              <w:tr2bl w:val="nil"/>
            </w:tcBorders>
            <w:noWrap w:val="0"/>
            <w:vAlign w:val="center"/>
          </w:tcPr>
          <w:p w14:paraId="63A1D64D">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301" w:type="dxa"/>
            <w:tcBorders>
              <w:tl2br w:val="nil"/>
              <w:tr2bl w:val="nil"/>
            </w:tcBorders>
            <w:noWrap w:val="0"/>
            <w:vAlign w:val="center"/>
          </w:tcPr>
          <w:p w14:paraId="0FCDAB3E">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c>
          <w:tcPr>
            <w:tcW w:w="958" w:type="dxa"/>
            <w:vMerge w:val="continue"/>
            <w:tcBorders>
              <w:tl2br w:val="nil"/>
              <w:tr2bl w:val="nil"/>
            </w:tcBorders>
            <w:noWrap w:val="0"/>
            <w:vAlign w:val="center"/>
          </w:tcPr>
          <w:p w14:paraId="3B4DA692">
            <w:pPr>
              <w:pStyle w:val="26"/>
              <w:bidi w:val="0"/>
              <w:jc w:val="center"/>
              <w:rPr>
                <w:rFonts w:hint="eastAsia"/>
                <w:color w:val="000000" w:themeColor="text1"/>
                <w:highlight w:val="none"/>
                <w14:textFill>
                  <w14:solidFill>
                    <w14:schemeClr w14:val="tx1"/>
                  </w14:solidFill>
                </w14:textFill>
              </w:rPr>
            </w:pPr>
          </w:p>
        </w:tc>
        <w:tc>
          <w:tcPr>
            <w:tcW w:w="527" w:type="dxa"/>
            <w:tcBorders>
              <w:tl2br w:val="nil"/>
              <w:tr2bl w:val="nil"/>
            </w:tcBorders>
            <w:noWrap w:val="0"/>
            <w:vAlign w:val="center"/>
          </w:tcPr>
          <w:p w14:paraId="47F06AFD">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278</w:t>
            </w:r>
          </w:p>
        </w:tc>
        <w:tc>
          <w:tcPr>
            <w:tcW w:w="558" w:type="dxa"/>
            <w:tcBorders>
              <w:tl2br w:val="nil"/>
              <w:tr2bl w:val="nil"/>
            </w:tcBorders>
            <w:noWrap w:val="0"/>
            <w:vAlign w:val="center"/>
          </w:tcPr>
          <w:p w14:paraId="3014219A">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158</w:t>
            </w:r>
          </w:p>
        </w:tc>
        <w:tc>
          <w:tcPr>
            <w:tcW w:w="570" w:type="dxa"/>
            <w:tcBorders>
              <w:tl2br w:val="nil"/>
              <w:tr2bl w:val="nil"/>
            </w:tcBorders>
            <w:noWrap w:val="0"/>
            <w:vAlign w:val="center"/>
          </w:tcPr>
          <w:p w14:paraId="0E490A81">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95" w:type="dxa"/>
            <w:tcBorders>
              <w:tl2br w:val="nil"/>
              <w:tr2bl w:val="nil"/>
            </w:tcBorders>
            <w:noWrap w:val="0"/>
            <w:vAlign w:val="center"/>
          </w:tcPr>
          <w:p w14:paraId="0C5E1F4C">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871" w:type="dxa"/>
            <w:tcBorders>
              <w:tl2br w:val="nil"/>
              <w:tr2bl w:val="nil"/>
            </w:tcBorders>
            <w:noWrap w:val="0"/>
            <w:vAlign w:val="center"/>
          </w:tcPr>
          <w:p w14:paraId="3A5B9903">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90</w:t>
            </w:r>
          </w:p>
        </w:tc>
        <w:tc>
          <w:tcPr>
            <w:tcW w:w="995" w:type="dxa"/>
            <w:tcBorders>
              <w:tl2br w:val="nil"/>
              <w:tr2bl w:val="nil"/>
            </w:tcBorders>
            <w:noWrap w:val="0"/>
            <w:vAlign w:val="center"/>
          </w:tcPr>
          <w:p w14:paraId="338050D3">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全天</w:t>
            </w:r>
          </w:p>
        </w:tc>
        <w:tc>
          <w:tcPr>
            <w:tcW w:w="960" w:type="dxa"/>
            <w:tcBorders>
              <w:tl2br w:val="nil"/>
              <w:tr2bl w:val="nil"/>
            </w:tcBorders>
            <w:noWrap w:val="0"/>
            <w:vAlign w:val="center"/>
          </w:tcPr>
          <w:p w14:paraId="43C40DE4">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c>
          <w:tcPr>
            <w:tcW w:w="855" w:type="dxa"/>
            <w:tcBorders>
              <w:tl2br w:val="nil"/>
              <w:tr2bl w:val="nil"/>
            </w:tcBorders>
            <w:noWrap w:val="0"/>
            <w:vAlign w:val="center"/>
          </w:tcPr>
          <w:p w14:paraId="34DB2A9F">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70</w:t>
            </w:r>
          </w:p>
        </w:tc>
        <w:tc>
          <w:tcPr>
            <w:tcW w:w="849" w:type="dxa"/>
            <w:tcBorders>
              <w:tl2br w:val="nil"/>
              <w:tr2bl w:val="nil"/>
            </w:tcBorders>
            <w:noWrap w:val="0"/>
            <w:vAlign w:val="center"/>
          </w:tcPr>
          <w:p w14:paraId="5958092A">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w:t>
            </w:r>
          </w:p>
        </w:tc>
      </w:tr>
      <w:tr w14:paraId="4C1FAA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85" w:type="dxa"/>
            <w:tcBorders>
              <w:tl2br w:val="nil"/>
              <w:tr2bl w:val="nil"/>
            </w:tcBorders>
            <w:noWrap w:val="0"/>
            <w:vAlign w:val="center"/>
          </w:tcPr>
          <w:p w14:paraId="18FC0CE9">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p>
        </w:tc>
        <w:tc>
          <w:tcPr>
            <w:tcW w:w="1138" w:type="dxa"/>
            <w:vMerge w:val="continue"/>
            <w:tcBorders>
              <w:tl2br w:val="nil"/>
              <w:tr2bl w:val="nil"/>
            </w:tcBorders>
            <w:noWrap w:val="0"/>
            <w:vAlign w:val="center"/>
          </w:tcPr>
          <w:p w14:paraId="4BF92F6E">
            <w:pPr>
              <w:pStyle w:val="26"/>
              <w:bidi w:val="0"/>
              <w:jc w:val="center"/>
              <w:rPr>
                <w:rFonts w:hint="eastAsia"/>
                <w:color w:val="000000" w:themeColor="text1"/>
                <w:highlight w:val="none"/>
                <w14:textFill>
                  <w14:solidFill>
                    <w14:schemeClr w14:val="tx1"/>
                  </w14:solidFill>
                </w14:textFill>
              </w:rPr>
            </w:pPr>
          </w:p>
        </w:tc>
        <w:tc>
          <w:tcPr>
            <w:tcW w:w="1391" w:type="dxa"/>
            <w:tcBorders>
              <w:tl2br w:val="nil"/>
              <w:tr2bl w:val="nil"/>
            </w:tcBorders>
            <w:noWrap w:val="0"/>
            <w:vAlign w:val="center"/>
          </w:tcPr>
          <w:p w14:paraId="7A78A513">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水泵</w:t>
            </w:r>
          </w:p>
        </w:tc>
        <w:tc>
          <w:tcPr>
            <w:tcW w:w="1920" w:type="dxa"/>
            <w:tcBorders>
              <w:tl2br w:val="nil"/>
              <w:tr2bl w:val="nil"/>
            </w:tcBorders>
            <w:noWrap w:val="0"/>
            <w:vAlign w:val="center"/>
          </w:tcPr>
          <w:p w14:paraId="3AABCC2F">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301" w:type="dxa"/>
            <w:tcBorders>
              <w:tl2br w:val="nil"/>
              <w:tr2bl w:val="nil"/>
            </w:tcBorders>
            <w:noWrap w:val="0"/>
            <w:vAlign w:val="center"/>
          </w:tcPr>
          <w:p w14:paraId="1E967389">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w:t>
            </w:r>
          </w:p>
        </w:tc>
        <w:tc>
          <w:tcPr>
            <w:tcW w:w="958" w:type="dxa"/>
            <w:vMerge w:val="continue"/>
            <w:tcBorders>
              <w:tl2br w:val="nil"/>
              <w:tr2bl w:val="nil"/>
            </w:tcBorders>
            <w:noWrap w:val="0"/>
            <w:vAlign w:val="center"/>
          </w:tcPr>
          <w:p w14:paraId="4DD2401F">
            <w:pPr>
              <w:pStyle w:val="26"/>
              <w:bidi w:val="0"/>
              <w:jc w:val="center"/>
              <w:rPr>
                <w:rFonts w:hint="eastAsia"/>
                <w:color w:val="000000" w:themeColor="text1"/>
                <w:highlight w:val="none"/>
                <w14:textFill>
                  <w14:solidFill>
                    <w14:schemeClr w14:val="tx1"/>
                  </w14:solidFill>
                </w14:textFill>
              </w:rPr>
            </w:pPr>
          </w:p>
        </w:tc>
        <w:tc>
          <w:tcPr>
            <w:tcW w:w="527" w:type="dxa"/>
            <w:tcBorders>
              <w:tl2br w:val="nil"/>
              <w:tr2bl w:val="nil"/>
            </w:tcBorders>
            <w:noWrap w:val="0"/>
            <w:vAlign w:val="center"/>
          </w:tcPr>
          <w:p w14:paraId="03424AE3">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301</w:t>
            </w:r>
          </w:p>
        </w:tc>
        <w:tc>
          <w:tcPr>
            <w:tcW w:w="558" w:type="dxa"/>
            <w:tcBorders>
              <w:tl2br w:val="nil"/>
              <w:tr2bl w:val="nil"/>
            </w:tcBorders>
            <w:noWrap w:val="0"/>
            <w:vAlign w:val="center"/>
          </w:tcPr>
          <w:p w14:paraId="1F3FE71C">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235</w:t>
            </w:r>
          </w:p>
        </w:tc>
        <w:tc>
          <w:tcPr>
            <w:tcW w:w="570" w:type="dxa"/>
            <w:tcBorders>
              <w:tl2br w:val="nil"/>
              <w:tr2bl w:val="nil"/>
            </w:tcBorders>
            <w:noWrap w:val="0"/>
            <w:vAlign w:val="center"/>
          </w:tcPr>
          <w:p w14:paraId="28BBAFA9">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95" w:type="dxa"/>
            <w:tcBorders>
              <w:tl2br w:val="nil"/>
              <w:tr2bl w:val="nil"/>
            </w:tcBorders>
            <w:noWrap w:val="0"/>
            <w:vAlign w:val="center"/>
          </w:tcPr>
          <w:p w14:paraId="6B90A6F5">
            <w:pPr>
              <w:pStyle w:val="26"/>
              <w:bidi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871" w:type="dxa"/>
            <w:tcBorders>
              <w:tl2br w:val="nil"/>
              <w:tr2bl w:val="nil"/>
            </w:tcBorders>
            <w:noWrap w:val="0"/>
            <w:vAlign w:val="center"/>
          </w:tcPr>
          <w:p w14:paraId="389452A3">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85</w:t>
            </w:r>
          </w:p>
        </w:tc>
        <w:tc>
          <w:tcPr>
            <w:tcW w:w="995" w:type="dxa"/>
            <w:tcBorders>
              <w:tl2br w:val="nil"/>
              <w:tr2bl w:val="nil"/>
            </w:tcBorders>
            <w:noWrap w:val="0"/>
            <w:vAlign w:val="center"/>
          </w:tcPr>
          <w:p w14:paraId="7943FDCD">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全天</w:t>
            </w:r>
          </w:p>
        </w:tc>
        <w:tc>
          <w:tcPr>
            <w:tcW w:w="960" w:type="dxa"/>
            <w:tcBorders>
              <w:tl2br w:val="nil"/>
              <w:tr2bl w:val="nil"/>
            </w:tcBorders>
            <w:noWrap w:val="0"/>
            <w:vAlign w:val="center"/>
          </w:tcPr>
          <w:p w14:paraId="65135899">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c>
          <w:tcPr>
            <w:tcW w:w="855" w:type="dxa"/>
            <w:tcBorders>
              <w:tl2br w:val="nil"/>
              <w:tr2bl w:val="nil"/>
            </w:tcBorders>
            <w:noWrap w:val="0"/>
            <w:vAlign w:val="center"/>
          </w:tcPr>
          <w:p w14:paraId="4CCAD3E4">
            <w:pPr>
              <w:pStyle w:val="26"/>
              <w:bidi w:val="0"/>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65</w:t>
            </w:r>
          </w:p>
        </w:tc>
        <w:tc>
          <w:tcPr>
            <w:tcW w:w="849" w:type="dxa"/>
            <w:tcBorders>
              <w:tl2br w:val="nil"/>
              <w:tr2bl w:val="nil"/>
            </w:tcBorders>
            <w:noWrap w:val="0"/>
            <w:vAlign w:val="center"/>
          </w:tcPr>
          <w:p w14:paraId="031F2828">
            <w:pPr>
              <w:pStyle w:val="26"/>
              <w:bidi w:val="0"/>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1</w:t>
            </w:r>
          </w:p>
        </w:tc>
      </w:tr>
    </w:tbl>
    <w:p w14:paraId="56FC4E2D">
      <w:pPr>
        <w:pStyle w:val="27"/>
        <w:rPr>
          <w:rFonts w:hint="default"/>
          <w:color w:val="000000" w:themeColor="text1"/>
          <w:highlight w:val="none"/>
          <w:lang w:val="en-US" w:eastAsia="zh-CN"/>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2D8E3B5">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5.2.3.5</w:t>
      </w:r>
      <w:r>
        <w:rPr>
          <w:color w:val="000000" w:themeColor="text1"/>
          <w:highlight w:val="none"/>
          <w14:textFill>
            <w14:solidFill>
              <w14:schemeClr w14:val="tx1"/>
            </w14:solidFill>
          </w14:textFill>
        </w:rPr>
        <w:t>预测范围</w:t>
      </w:r>
    </w:p>
    <w:p w14:paraId="448ADED0">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本项目声环境预测范围为项目厂界的噪声值。</w:t>
      </w:r>
    </w:p>
    <w:p w14:paraId="1724E443">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5.2.3.6</w:t>
      </w:r>
      <w:r>
        <w:rPr>
          <w:color w:val="000000" w:themeColor="text1"/>
          <w:highlight w:val="none"/>
          <w14:textFill>
            <w14:solidFill>
              <w14:schemeClr w14:val="tx1"/>
            </w14:solidFill>
          </w14:textFill>
        </w:rPr>
        <w:t>预测方法</w:t>
      </w:r>
    </w:p>
    <w:p w14:paraId="12C359E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本项目运营期噪声预测采用《环境影响评价技术导则 声环境》（HJ2.4-2021）中推荐的工业噪声预测模式，主要针对本项目噪声源对</w:t>
      </w:r>
      <w:r>
        <w:rPr>
          <w:rFonts w:hint="eastAsia"/>
          <w:color w:val="000000" w:themeColor="text1"/>
          <w:highlight w:val="none"/>
          <w:lang w:eastAsia="zh-CN"/>
          <w14:textFill>
            <w14:solidFill>
              <w14:schemeClr w14:val="tx1"/>
            </w14:solidFill>
          </w14:textFill>
        </w:rPr>
        <w:t>厂界</w:t>
      </w:r>
      <w:r>
        <w:rPr>
          <w:color w:val="000000" w:themeColor="text1"/>
          <w:highlight w:val="none"/>
          <w14:textFill>
            <w14:solidFill>
              <w14:schemeClr w14:val="tx1"/>
            </w14:solidFill>
          </w14:textFill>
        </w:rPr>
        <w:t>的影响进行预测，以现状监测</w:t>
      </w:r>
      <w:r>
        <w:rPr>
          <w:rFonts w:hint="eastAsia"/>
          <w:color w:val="000000" w:themeColor="text1"/>
          <w:highlight w:val="none"/>
          <w:lang w:val="en-US" w:eastAsia="zh-CN"/>
          <w14:textFill>
            <w14:solidFill>
              <w14:schemeClr w14:val="tx1"/>
            </w14:solidFill>
          </w14:textFill>
        </w:rPr>
        <w:t>厂</w:t>
      </w:r>
      <w:r>
        <w:rPr>
          <w:color w:val="000000" w:themeColor="text1"/>
          <w:highlight w:val="none"/>
          <w14:textFill>
            <w14:solidFill>
              <w14:schemeClr w14:val="tx1"/>
            </w14:solidFill>
          </w14:textFill>
        </w:rPr>
        <w:t>界声环境监测点监测值作为</w:t>
      </w:r>
      <w:r>
        <w:rPr>
          <w:rFonts w:hint="eastAsia"/>
          <w:color w:val="000000" w:themeColor="text1"/>
          <w:highlight w:val="none"/>
          <w:lang w:eastAsia="zh-CN"/>
          <w14:textFill>
            <w14:solidFill>
              <w14:schemeClr w14:val="tx1"/>
            </w14:solidFill>
          </w14:textFill>
        </w:rPr>
        <w:t>厂</w:t>
      </w:r>
      <w:r>
        <w:rPr>
          <w:color w:val="000000" w:themeColor="text1"/>
          <w:highlight w:val="none"/>
          <w14:textFill>
            <w14:solidFill>
              <w14:schemeClr w14:val="tx1"/>
            </w14:solidFill>
          </w14:textFill>
        </w:rPr>
        <w:t>界现状背景值，根据本项目各主要噪声设备在厂区的分布情况和源强声级值及其与四周厂界的相对距离，通过计算其衰减值得到各声源对厂界的贡献值，并将各声源对厂界的贡献值相叠加。</w:t>
      </w:r>
    </w:p>
    <w:p w14:paraId="23CD3991">
      <w:pPr>
        <w:shd w:val="clear" w:color="auto" w:fill="auto"/>
        <w:bidi w:val="0"/>
        <w:spacing w:line="360" w:lineRule="auto"/>
        <w:ind w:firstLine="480" w:firstLineChars="200"/>
        <w:rPr>
          <w:rFonts w:hint="default"/>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1）</w:t>
      </w:r>
      <w:r>
        <w:rPr>
          <w:rFonts w:hint="default"/>
          <w:color w:val="000000" w:themeColor="text1"/>
          <w:sz w:val="24"/>
          <w:szCs w:val="24"/>
          <w:highlight w:val="none"/>
          <w14:textFill>
            <w14:solidFill>
              <w14:schemeClr w14:val="tx1"/>
            </w14:solidFill>
          </w14:textFill>
        </w:rPr>
        <w:t>预测模式</w:t>
      </w:r>
    </w:p>
    <w:p w14:paraId="371FD92C">
      <w:pPr>
        <w:keepNext w:val="0"/>
        <w:keepLines w:val="0"/>
        <w:pageBreakBefore w:val="0"/>
        <w:widowControl w:val="0"/>
        <w:numPr>
          <w:ilvl w:val="0"/>
          <w:numId w:val="0"/>
        </w:numPr>
        <w:shd w:val="clear" w:color="auto" w:fill="auto"/>
        <w:kinsoku/>
        <w:wordWrap w:val="0"/>
        <w:overflowPunct/>
        <w:topLinePunct w:val="0"/>
        <w:autoSpaceDE/>
        <w:autoSpaceDN/>
        <w:bidi w:val="0"/>
        <w:snapToGrid w:val="0"/>
        <w:spacing w:beforeAutospacing="0" w:line="360" w:lineRule="auto"/>
        <w:ind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①点声源模式</w:t>
      </w:r>
    </w:p>
    <w:p w14:paraId="20E49C43">
      <w:pPr>
        <w:keepNext w:val="0"/>
        <w:keepLines w:val="0"/>
        <w:pageBreakBefore w:val="0"/>
        <w:widowControl w:val="0"/>
        <w:numPr>
          <w:ilvl w:val="0"/>
          <w:numId w:val="0"/>
        </w:numPr>
        <w:shd w:val="clear" w:color="auto" w:fill="auto"/>
        <w:kinsoku/>
        <w:wordWrap w:val="0"/>
        <w:overflowPunct/>
        <w:topLinePunct w:val="0"/>
        <w:autoSpaceDE/>
        <w:autoSpaceDN/>
        <w:bidi w:val="0"/>
        <w:snapToGrid w:val="0"/>
        <w:spacing w:beforeAutospacing="0" w:line="360" w:lineRule="auto"/>
        <w:ind w:right="0" w:rightChars="0"/>
        <w:jc w:val="cente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L</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p2</w:t>
      </w:r>
      <w:r>
        <w:rPr>
          <w:rFonts w:hint="default" w:ascii="Times New Roman" w:hAnsi="Times New Roman" w:eastAsia="宋体" w:cs="Times New Roman"/>
          <w:color w:val="000000" w:themeColor="text1"/>
          <w:sz w:val="24"/>
          <w:szCs w:val="24"/>
          <w:highlight w:val="none"/>
          <w14:textFill>
            <w14:solidFill>
              <w14:schemeClr w14:val="tx1"/>
            </w14:solidFill>
          </w14:textFill>
        </w:rPr>
        <w:t>= L</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p1</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20lg</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r</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/r</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1</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619F4306">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式中，L</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p2</w:t>
      </w:r>
      <w:r>
        <w:rPr>
          <w:rFonts w:hint="default" w:ascii="Times New Roman" w:hAnsi="Times New Roman" w:eastAsia="宋体" w:cs="Times New Roman"/>
          <w:color w:val="000000" w:themeColor="text1"/>
          <w:sz w:val="24"/>
          <w:szCs w:val="24"/>
          <w:highlight w:val="none"/>
          <w14:textFill>
            <w14:solidFill>
              <w14:schemeClr w14:val="tx1"/>
            </w14:solidFill>
          </w14:textFill>
        </w:rPr>
        <w:t>——预测点声级值，dB</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A</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34E31907">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L</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p1</w:t>
      </w:r>
      <w:r>
        <w:rPr>
          <w:rFonts w:hint="default" w:ascii="Times New Roman" w:hAnsi="Times New Roman" w:eastAsia="宋体" w:cs="Times New Roman"/>
          <w:color w:val="000000" w:themeColor="text1"/>
          <w:sz w:val="24"/>
          <w:szCs w:val="24"/>
          <w:highlight w:val="none"/>
          <w14:textFill>
            <w14:solidFill>
              <w14:schemeClr w14:val="tx1"/>
            </w14:solidFill>
          </w14:textFill>
        </w:rPr>
        <w:t>——距声源r1处的声级，dB</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A</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3CC195C0">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r</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——预测点与点声源的距离，</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60D79A21">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r</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——声源监测距离，</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6396D149">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②噪声叠加公式</w:t>
      </w:r>
    </w:p>
    <w:p w14:paraId="598660EC">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不同的噪声源共同作用于某个预测点，该预测点噪声值为各声源传播到预测点声级的叠加后的总等效声级Leq，计算公式如下：</w:t>
      </w:r>
    </w:p>
    <w:p w14:paraId="302112B9">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eastAsia="zh-CN"/>
          <w14:textFill>
            <w14:solidFill>
              <w14:schemeClr w14:val="tx1"/>
            </w14:solidFill>
          </w14:textFill>
        </w:rPr>
        <w:t>a.</w:t>
      </w:r>
      <w:r>
        <w:rPr>
          <w:rFonts w:hint="default" w:ascii="Times New Roman" w:hAnsi="Times New Roman" w:eastAsia="宋体" w:cs="Times New Roman"/>
          <w:color w:val="000000" w:themeColor="text1"/>
          <w:sz w:val="24"/>
          <w:szCs w:val="24"/>
          <w:highlight w:val="none"/>
          <w14:textFill>
            <w14:solidFill>
              <w14:schemeClr w14:val="tx1"/>
            </w14:solidFill>
          </w14:textFill>
        </w:rPr>
        <w:t>建设项目声源在预测点产生的等效声级贡献值（</w:t>
      </w: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29" o:spt="75" type="#_x0000_t75" style="height:18.6pt;width:21.6pt;" o:ole="t" filled="f" o:preferrelative="t" stroked="f" coordsize="21600,21600">
            <v:path/>
            <v:fill on="f" focussize="0,0"/>
            <v:stroke on="f" joinstyle="miter"/>
            <v:imagedata r:id="rId33" o:title=""/>
            <o:lock v:ext="edit" aspectratio="t"/>
            <w10:wrap type="none"/>
            <w10:anchorlock/>
          </v:shape>
          <o:OLEObject Type="Embed" ProgID="Equation.DSMT4" ShapeID="_x0000_i1029" DrawAspect="Content" ObjectID="_1468075729" r:id="rId32">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）计算公式：</w:t>
      </w:r>
    </w:p>
    <w:p w14:paraId="2F09AA3F">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0" o:spt="75" type="#_x0000_t75" style="height:36pt;width:130.8pt;" o:ole="t" filled="f" o:preferrelative="t" stroked="f" coordsize="21600,21600">
            <v:path/>
            <v:fill on="f" focussize="0,0"/>
            <v:stroke on="f" joinstyle="miter"/>
            <v:imagedata r:id="rId35" o:title=""/>
            <o:lock v:ext="edit" aspectratio="t"/>
            <w10:wrap type="none"/>
            <w10:anchorlock/>
          </v:shape>
          <o:OLEObject Type="Embed" ProgID="Equation.3" ShapeID="_x0000_i1030" DrawAspect="Content" ObjectID="_1468075730" r:id="rId34">
            <o:LockedField>false</o:LockedField>
          </o:OLEObject>
        </w:object>
      </w:r>
    </w:p>
    <w:p w14:paraId="4536B130">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w:t>
      </w: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1" o:spt="75" type="#_x0000_t75" style="height:18.6pt;width:21.6pt;" o:ole="t" filled="f" o:preferrelative="t" stroked="f" coordsize="21600,21600">
            <v:path/>
            <v:fill on="f" focussize="0,0"/>
            <v:stroke on="f" joinstyle="miter"/>
            <v:imagedata r:id="rId37" o:title=""/>
            <o:lock v:ext="edit" aspectratio="t"/>
            <w10:wrap type="none"/>
            <w10:anchorlock/>
          </v:shape>
          <o:OLEObject Type="Embed" ProgID="Equation.3" ShapeID="_x0000_i1031" DrawAspect="Content" ObjectID="_1468075731" r:id="rId36">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—建设项目声源在预测点的等效声级贡献值，dB（A）；</w:t>
      </w:r>
    </w:p>
    <w:p w14:paraId="0B9A45BD">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right="0" w:rightChars="0" w:firstLine="1200" w:firstLineChars="5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2" o:spt="75" type="#_x0000_t75" style="height:18pt;width:16.8pt;" o:ole="t" filled="f" o:preferrelative="t" stroked="f" coordsize="21600,21600">
            <v:path/>
            <v:fill on="f" focussize="0,0"/>
            <v:stroke on="f" joinstyle="miter"/>
            <v:imagedata r:id="rId39" o:title=""/>
            <o:lock v:ext="edit" aspectratio="t"/>
            <w10:wrap type="none"/>
            <w10:anchorlock/>
          </v:shape>
          <o:OLEObject Type="Embed" ProgID="Equation.3" ShapeID="_x0000_i1032" DrawAspect="Content" ObjectID="_1468075732" r:id="rId38">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—声源在预测点产生的A声级，dB（A）；</w:t>
      </w:r>
    </w:p>
    <w:p w14:paraId="7F8EA033">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right="0" w:rightChars="0" w:firstLine="1200" w:firstLineChars="5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3" o:spt="75" type="#_x0000_t75" style="height:13.2pt;width:11.4pt;" o:ole="t" filled="f" o:preferrelative="t" stroked="f" coordsize="21600,21600">
            <v:path/>
            <v:fill on="f" focussize="0,0"/>
            <v:stroke on="f" joinstyle="miter"/>
            <v:imagedata r:id="rId41" o:title=""/>
            <o:lock v:ext="edit" aspectratio="t"/>
            <w10:wrap type="none"/>
            <w10:anchorlock/>
          </v:shape>
          <o:OLEObject Type="Embed" ProgID="Equation.3" ShapeID="_x0000_i1033" DrawAspect="Content" ObjectID="_1468075733" r:id="rId40">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—预测计算的时间段，</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S</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0C9A76BC">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right="0" w:rightChars="0" w:firstLine="1200" w:firstLineChars="5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4" o:spt="75" type="#_x0000_t75" style="height:18pt;width:9pt;" o:ole="t" filled="f" o:preferrelative="t" stroked="f" coordsize="21600,21600">
            <v:path/>
            <v:fill on="f" focussize="0,0"/>
            <v:stroke on="f" joinstyle="miter"/>
            <v:imagedata r:id="rId43" o:title=""/>
            <o:lock v:ext="edit" aspectratio="t"/>
            <w10:wrap type="none"/>
            <w10:anchorlock/>
          </v:shape>
          <o:OLEObject Type="Embed" ProgID="Equation.3" ShapeID="_x0000_i1034" DrawAspect="Content" ObjectID="_1468075734" r:id="rId42">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5" o:spt="75" type="#_x0000_t75" style="height:13.2pt;width:6.6pt;" o:ole="t" filled="f" o:preferrelative="t" stroked="f" coordsize="21600,21600">
            <v:path/>
            <v:fill on="f" focussize="0,0"/>
            <v:stroke on="f" joinstyle="miter"/>
            <v:imagedata r:id="rId45" o:title=""/>
            <o:lock v:ext="edit" aspectratio="t"/>
            <w10:wrap type="none"/>
            <w10:anchorlock/>
          </v:shape>
          <o:OLEObject Type="Embed" ProgID="Equation.3" ShapeID="_x0000_i1035" DrawAspect="Content" ObjectID="_1468075735" r:id="rId44">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声源在</w:t>
      </w: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6" o:spt="75" type="#_x0000_t75" style="height:13.2pt;width:11.4pt;" o:ole="t" filled="f" o:preferrelative="t" stroked="f" coordsize="21600,21600">
            <v:path/>
            <v:fill on="f" focussize="0,0"/>
            <v:stroke on="f" joinstyle="miter"/>
            <v:imagedata r:id="rId47" o:title=""/>
            <o:lock v:ext="edit" aspectratio="t"/>
            <w10:wrap type="none"/>
            <w10:anchorlock/>
          </v:shape>
          <o:OLEObject Type="Embed" ProgID="Equation.3" ShapeID="_x0000_i1036" DrawAspect="Content" ObjectID="_1468075736" r:id="rId46">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时段内的运行时间，</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S</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1AE900FE">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eastAsia="zh-CN"/>
          <w14:textFill>
            <w14:solidFill>
              <w14:schemeClr w14:val="tx1"/>
            </w14:solidFill>
          </w14:textFill>
        </w:rPr>
        <w:t>b.</w:t>
      </w:r>
      <w:r>
        <w:rPr>
          <w:rFonts w:hint="default" w:ascii="Times New Roman" w:hAnsi="Times New Roman" w:eastAsia="宋体" w:cs="Times New Roman"/>
          <w:color w:val="000000" w:themeColor="text1"/>
          <w:sz w:val="24"/>
          <w:szCs w:val="24"/>
          <w:highlight w:val="none"/>
          <w14:textFill>
            <w14:solidFill>
              <w14:schemeClr w14:val="tx1"/>
            </w14:solidFill>
          </w14:textFill>
        </w:rPr>
        <w:t>预测点的预测等效声级（</w:t>
      </w: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7" o:spt="75" type="#_x0000_t75" style="height:18.6pt;width:16.8pt;" o:ole="t" filled="f" o:preferrelative="t" stroked="f" coordsize="21600,21600">
            <v:path/>
            <v:fill on="f" focussize="0,0"/>
            <v:stroke on="f" joinstyle="miter"/>
            <v:imagedata r:id="rId49" o:title=""/>
            <o:lock v:ext="edit" aspectratio="t"/>
            <w10:wrap type="none"/>
            <w10:anchorlock/>
          </v:shape>
          <o:OLEObject Type="Embed" ProgID="Equation.DSMT4" ShapeID="_x0000_i1037" DrawAspect="Content" ObjectID="_1468075737" r:id="rId48">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）计算公式：</w:t>
      </w:r>
    </w:p>
    <w:p w14:paraId="70D42A4A">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8" o:spt="75" type="#_x0000_t75" style="height:24pt;width:139.2pt;" o:ole="t" filled="f" o:preferrelative="t" stroked="f" coordsize="21600,21600">
            <v:path/>
            <v:fill on="f" focussize="0,0"/>
            <v:stroke on="f" joinstyle="miter"/>
            <v:imagedata r:id="rId51" o:title=""/>
            <o:lock v:ext="edit" aspectratio="t"/>
            <w10:wrap type="none"/>
            <w10:anchorlock/>
          </v:shape>
          <o:OLEObject Type="Embed" ProgID="Equation.DSMT4" ShapeID="_x0000_i1038" DrawAspect="Content" ObjectID="_1468075738" r:id="rId50">
            <o:LockedField>false</o:LockedField>
          </o:OLEObject>
        </w:object>
      </w:r>
    </w:p>
    <w:p w14:paraId="78813F67">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w:t>
      </w: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39" o:spt="75" type="#_x0000_t75" style="height:18.6pt;width:21.6pt;" o:ole="t" filled="f" o:preferrelative="t" stroked="f" coordsize="21600,21600">
            <v:path/>
            <v:fill on="f" focussize="0,0"/>
            <v:stroke on="f" joinstyle="miter"/>
            <v:imagedata r:id="rId37" o:title=""/>
            <o:lock v:ext="edit" aspectratio="t"/>
            <w10:wrap type="none"/>
            <w10:anchorlock/>
          </v:shape>
          <o:OLEObject Type="Embed" ProgID="Equation.DSMT4" ShapeID="_x0000_i1039" DrawAspect="Content" ObjectID="_1468075739" r:id="rId52">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—建设项目声源在预测点的等效声级贡献值，dB（A）；</w:t>
      </w:r>
    </w:p>
    <w:p w14:paraId="01E1F4AE">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1200" w:firstLineChars="5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object>
          <v:shape id="_x0000_i1040" o:spt="75" type="#_x0000_t75" style="height:18.6pt;width:21.6pt;" o:ole="t" filled="f" o:preferrelative="t" stroked="f" coordsize="21600,21600">
            <v:path/>
            <v:fill on="f" focussize="0,0"/>
            <v:stroke on="f" joinstyle="miter"/>
            <v:imagedata r:id="rId54" o:title=""/>
            <o:lock v:ext="edit" aspectratio="t"/>
            <w10:wrap type="none"/>
            <w10:anchorlock/>
          </v:shape>
          <o:OLEObject Type="Embed" ProgID="Equation.DSMT4" ShapeID="_x0000_i1040" DrawAspect="Content" ObjectID="_1468075740" r:id="rId53">
            <o:LockedField>false</o:LockedField>
          </o:OLEObject>
        </w:object>
      </w:r>
      <w:r>
        <w:rPr>
          <w:rFonts w:hint="default" w:ascii="Times New Roman" w:hAnsi="Times New Roman" w:eastAsia="宋体" w:cs="Times New Roman"/>
          <w:color w:val="000000" w:themeColor="text1"/>
          <w:sz w:val="24"/>
          <w:szCs w:val="24"/>
          <w:highlight w:val="none"/>
          <w14:textFill>
            <w14:solidFill>
              <w14:schemeClr w14:val="tx1"/>
            </w14:solidFill>
          </w14:textFill>
        </w:rPr>
        <w:t>—预测点的背景值，dB（A）。</w:t>
      </w:r>
    </w:p>
    <w:p w14:paraId="2A5271E5">
      <w:pPr>
        <w:keepNext w:val="0"/>
        <w:keepLines w:val="0"/>
        <w:pageBreakBefore w:val="0"/>
        <w:widowControl w:val="0"/>
        <w:shd w:val="clear" w:color="auto" w:fill="auto"/>
        <w:kinsoku/>
        <w:wordWrap w:val="0"/>
        <w:overflowPunct/>
        <w:topLinePunct w:val="0"/>
        <w:autoSpaceDE/>
        <w:autoSpaceDN/>
        <w:bidi w:val="0"/>
        <w:snapToGrid w:val="0"/>
        <w:spacing w:beforeAutospacing="0" w:line="360" w:lineRule="auto"/>
        <w:ind w:left="0" w:leftChars="0" w:right="0" w:rightChars="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）噪声影响预测结果</w:t>
      </w:r>
    </w:p>
    <w:p w14:paraId="3CFBD1EA">
      <w:pPr>
        <w:keepNext w:val="0"/>
        <w:keepLines w:val="0"/>
        <w:pageBreakBefore w:val="0"/>
        <w:widowControl w:val="0"/>
        <w:shd w:val="clear" w:color="auto" w:fill="auto"/>
        <w:kinsoku/>
        <w:wordWrap w:val="0"/>
        <w:overflowPunct/>
        <w:topLinePunct w:val="0"/>
        <w:autoSpaceDE/>
        <w:autoSpaceDN/>
        <w:bidi w:val="0"/>
        <w:adjustRightInd w:val="0"/>
        <w:snapToGrid w:val="0"/>
        <w:spacing w:beforeAutospacing="0" w:line="360" w:lineRule="auto"/>
        <w:ind w:left="0" w:leftChars="0" w:right="0" w:rightChars="0" w:firstLine="480" w:firstLineChars="200"/>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根据全厂项目平面布置、噪声源分布及采取的降噪措施，预测出项目建成后对厂区</w:t>
      </w:r>
      <w:r>
        <w:rPr>
          <w:rFonts w:hint="eastAsia" w:cs="Times New Roman"/>
          <w:color w:val="000000" w:themeColor="text1"/>
          <w:sz w:val="24"/>
          <w:szCs w:val="24"/>
          <w:highlight w:val="none"/>
          <w:lang w:eastAsia="zh-CN"/>
          <w14:textFill>
            <w14:solidFill>
              <w14:schemeClr w14:val="tx1"/>
            </w14:solidFill>
          </w14:textFill>
        </w:rPr>
        <w:t>厂</w:t>
      </w:r>
      <w:r>
        <w:rPr>
          <w:rFonts w:hint="default" w:ascii="Times New Roman" w:hAnsi="Times New Roman" w:eastAsia="宋体" w:cs="Times New Roman"/>
          <w:color w:val="000000" w:themeColor="text1"/>
          <w:sz w:val="24"/>
          <w:szCs w:val="24"/>
          <w:highlight w:val="none"/>
          <w14:textFill>
            <w14:solidFill>
              <w14:schemeClr w14:val="tx1"/>
            </w14:solidFill>
          </w14:textFill>
        </w:rPr>
        <w:t>界噪声</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贡献</w:t>
      </w:r>
      <w:r>
        <w:rPr>
          <w:rFonts w:hint="default" w:ascii="Times New Roman" w:hAnsi="Times New Roman" w:eastAsia="宋体" w:cs="Times New Roman"/>
          <w:color w:val="000000" w:themeColor="text1"/>
          <w:sz w:val="24"/>
          <w:szCs w:val="24"/>
          <w:highlight w:val="none"/>
          <w14:textFill>
            <w14:solidFill>
              <w14:schemeClr w14:val="tx1"/>
            </w14:solidFill>
          </w14:textFill>
        </w:rPr>
        <w:t>值见表</w:t>
      </w:r>
      <w:r>
        <w:rPr>
          <w:rFonts w:hint="eastAsia" w:cs="Times New Roman"/>
          <w:color w:val="000000" w:themeColor="text1"/>
          <w:sz w:val="24"/>
          <w:szCs w:val="24"/>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.2.3-3</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01D166D6">
      <w:pPr>
        <w:pStyle w:val="25"/>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5.2.3-3</w:t>
      </w:r>
      <w:r>
        <w:rPr>
          <w:rFonts w:hint="default"/>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14:textFill>
            <w14:solidFill>
              <w14:schemeClr w14:val="tx1"/>
            </w14:solidFill>
          </w14:textFill>
        </w:rPr>
        <w:t xml:space="preserve"> 噪声源对厂界预测点的</w:t>
      </w:r>
      <w:r>
        <w:rPr>
          <w:rFonts w:hint="eastAsia"/>
          <w:color w:val="000000" w:themeColor="text1"/>
          <w:highlight w:val="none"/>
          <w:lang w:val="en-US" w:eastAsia="zh-CN"/>
          <w14:textFill>
            <w14:solidFill>
              <w14:schemeClr w14:val="tx1"/>
            </w14:solidFill>
          </w14:textFill>
        </w:rPr>
        <w:t>贡献</w:t>
      </w:r>
      <w:r>
        <w:rPr>
          <w:rFonts w:hint="default"/>
          <w:color w:val="000000" w:themeColor="text1"/>
          <w:highlight w:val="none"/>
          <w14:textFill>
            <w14:solidFill>
              <w14:schemeClr w14:val="tx1"/>
            </w14:solidFill>
          </w14:textFill>
        </w:rPr>
        <w:t>值</w:t>
      </w:r>
    </w:p>
    <w:tbl>
      <w:tblPr>
        <w:tblStyle w:val="20"/>
        <w:tblW w:w="9180"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845"/>
        <w:gridCol w:w="1329"/>
        <w:gridCol w:w="1211"/>
        <w:gridCol w:w="842"/>
        <w:gridCol w:w="1575"/>
        <w:gridCol w:w="1322"/>
        <w:gridCol w:w="873"/>
        <w:gridCol w:w="1183"/>
      </w:tblGrid>
      <w:tr w14:paraId="41D2B27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845" w:type="dxa"/>
            <w:vMerge w:val="restart"/>
            <w:noWrap w:val="0"/>
            <w:vAlign w:val="center"/>
          </w:tcPr>
          <w:p w14:paraId="1B5DA972">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序号</w:t>
            </w:r>
          </w:p>
        </w:tc>
        <w:tc>
          <w:tcPr>
            <w:tcW w:w="1329" w:type="dxa"/>
            <w:vMerge w:val="restart"/>
            <w:noWrap w:val="0"/>
            <w:vAlign w:val="center"/>
          </w:tcPr>
          <w:p w14:paraId="715E4DFE">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位置</w:t>
            </w:r>
          </w:p>
        </w:tc>
        <w:tc>
          <w:tcPr>
            <w:tcW w:w="2053" w:type="dxa"/>
            <w:gridSpan w:val="2"/>
            <w:noWrap w:val="0"/>
            <w:vAlign w:val="center"/>
          </w:tcPr>
          <w:p w14:paraId="2B472F27">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背景值</w:t>
            </w:r>
          </w:p>
        </w:tc>
        <w:tc>
          <w:tcPr>
            <w:tcW w:w="1575" w:type="dxa"/>
            <w:vMerge w:val="restart"/>
            <w:noWrap w:val="0"/>
            <w:vAlign w:val="center"/>
          </w:tcPr>
          <w:p w14:paraId="3ECD0A18">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本项目贡献值</w:t>
            </w:r>
          </w:p>
        </w:tc>
        <w:tc>
          <w:tcPr>
            <w:tcW w:w="2195" w:type="dxa"/>
            <w:gridSpan w:val="2"/>
            <w:noWrap w:val="0"/>
            <w:vAlign w:val="center"/>
          </w:tcPr>
          <w:p w14:paraId="0D0F9D44">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标准值</w:t>
            </w:r>
          </w:p>
        </w:tc>
        <w:tc>
          <w:tcPr>
            <w:tcW w:w="1183" w:type="dxa"/>
            <w:vMerge w:val="restart"/>
            <w:tcBorders>
              <w:bottom w:val="single" w:color="000000" w:sz="12" w:space="0"/>
            </w:tcBorders>
            <w:noWrap w:val="0"/>
            <w:vAlign w:val="center"/>
          </w:tcPr>
          <w:p w14:paraId="666C33F4">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是否达标</w:t>
            </w:r>
          </w:p>
        </w:tc>
      </w:tr>
      <w:tr w14:paraId="2A630F5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845" w:type="dxa"/>
            <w:vMerge w:val="continue"/>
            <w:tcBorders>
              <w:bottom w:val="single" w:color="000000" w:sz="12" w:space="0"/>
            </w:tcBorders>
            <w:noWrap w:val="0"/>
            <w:vAlign w:val="center"/>
          </w:tcPr>
          <w:p w14:paraId="1457A1EC">
            <w:pPr>
              <w:pStyle w:val="26"/>
              <w:bidi w:val="0"/>
              <w:jc w:val="center"/>
              <w:rPr>
                <w:b/>
                <w:bCs/>
                <w:color w:val="000000" w:themeColor="text1"/>
                <w:highlight w:val="none"/>
                <w14:textFill>
                  <w14:solidFill>
                    <w14:schemeClr w14:val="tx1"/>
                  </w14:solidFill>
                </w14:textFill>
              </w:rPr>
            </w:pPr>
          </w:p>
        </w:tc>
        <w:tc>
          <w:tcPr>
            <w:tcW w:w="1329" w:type="dxa"/>
            <w:vMerge w:val="continue"/>
            <w:tcBorders>
              <w:bottom w:val="single" w:color="000000" w:sz="12" w:space="0"/>
            </w:tcBorders>
            <w:noWrap w:val="0"/>
            <w:vAlign w:val="center"/>
          </w:tcPr>
          <w:p w14:paraId="78386C64">
            <w:pPr>
              <w:pStyle w:val="26"/>
              <w:bidi w:val="0"/>
              <w:jc w:val="center"/>
              <w:rPr>
                <w:b/>
                <w:bCs/>
                <w:color w:val="000000" w:themeColor="text1"/>
                <w:highlight w:val="none"/>
                <w14:textFill>
                  <w14:solidFill>
                    <w14:schemeClr w14:val="tx1"/>
                  </w14:solidFill>
                </w14:textFill>
              </w:rPr>
            </w:pPr>
          </w:p>
        </w:tc>
        <w:tc>
          <w:tcPr>
            <w:tcW w:w="1211" w:type="dxa"/>
            <w:tcBorders>
              <w:bottom w:val="single" w:color="000000" w:sz="12" w:space="0"/>
            </w:tcBorders>
            <w:noWrap w:val="0"/>
            <w:vAlign w:val="center"/>
          </w:tcPr>
          <w:p w14:paraId="5B0BF95A">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昼间</w:t>
            </w:r>
          </w:p>
        </w:tc>
        <w:tc>
          <w:tcPr>
            <w:tcW w:w="842" w:type="dxa"/>
            <w:tcBorders>
              <w:bottom w:val="single" w:color="000000" w:sz="12" w:space="0"/>
            </w:tcBorders>
            <w:noWrap w:val="0"/>
            <w:vAlign w:val="center"/>
          </w:tcPr>
          <w:p w14:paraId="5114E2EF">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夜间</w:t>
            </w:r>
          </w:p>
        </w:tc>
        <w:tc>
          <w:tcPr>
            <w:tcW w:w="1575" w:type="dxa"/>
            <w:vMerge w:val="continue"/>
            <w:tcBorders>
              <w:bottom w:val="single" w:color="000000" w:sz="12" w:space="0"/>
            </w:tcBorders>
            <w:noWrap w:val="0"/>
            <w:vAlign w:val="center"/>
          </w:tcPr>
          <w:p w14:paraId="6463C5FD">
            <w:pPr>
              <w:pStyle w:val="26"/>
              <w:bidi w:val="0"/>
              <w:jc w:val="center"/>
              <w:rPr>
                <w:b/>
                <w:bCs/>
                <w:color w:val="000000" w:themeColor="text1"/>
                <w:highlight w:val="none"/>
                <w14:textFill>
                  <w14:solidFill>
                    <w14:schemeClr w14:val="tx1"/>
                  </w14:solidFill>
                </w14:textFill>
              </w:rPr>
            </w:pPr>
          </w:p>
        </w:tc>
        <w:tc>
          <w:tcPr>
            <w:tcW w:w="1322" w:type="dxa"/>
            <w:tcBorders>
              <w:bottom w:val="single" w:color="000000" w:sz="12" w:space="0"/>
            </w:tcBorders>
            <w:noWrap w:val="0"/>
            <w:vAlign w:val="center"/>
          </w:tcPr>
          <w:p w14:paraId="4BF5C67C">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昼</w:t>
            </w:r>
          </w:p>
        </w:tc>
        <w:tc>
          <w:tcPr>
            <w:tcW w:w="873" w:type="dxa"/>
            <w:tcBorders>
              <w:bottom w:val="single" w:color="000000" w:sz="12" w:space="0"/>
            </w:tcBorders>
            <w:noWrap w:val="0"/>
            <w:vAlign w:val="center"/>
          </w:tcPr>
          <w:p w14:paraId="3AD8BEE4">
            <w:pPr>
              <w:pStyle w:val="26"/>
              <w:bidi w:val="0"/>
              <w:jc w:val="center"/>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夜</w:t>
            </w:r>
          </w:p>
        </w:tc>
        <w:tc>
          <w:tcPr>
            <w:tcW w:w="1183" w:type="dxa"/>
            <w:vMerge w:val="continue"/>
            <w:tcBorders>
              <w:top w:val="single" w:color="000000" w:sz="12" w:space="0"/>
              <w:bottom w:val="single" w:color="000000" w:sz="12" w:space="0"/>
            </w:tcBorders>
            <w:noWrap w:val="0"/>
            <w:vAlign w:val="center"/>
          </w:tcPr>
          <w:p w14:paraId="37A9DCD8">
            <w:pPr>
              <w:pStyle w:val="26"/>
              <w:bidi w:val="0"/>
              <w:jc w:val="center"/>
              <w:rPr>
                <w:color w:val="000000" w:themeColor="text1"/>
                <w:highlight w:val="none"/>
                <w14:textFill>
                  <w14:solidFill>
                    <w14:schemeClr w14:val="tx1"/>
                  </w14:solidFill>
                </w14:textFill>
              </w:rPr>
            </w:pPr>
          </w:p>
        </w:tc>
      </w:tr>
      <w:tr w14:paraId="129F97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845" w:type="dxa"/>
            <w:tcBorders>
              <w:top w:val="single" w:color="000000" w:sz="12" w:space="0"/>
              <w:tl2br w:val="nil"/>
              <w:tr2bl w:val="nil"/>
            </w:tcBorders>
            <w:noWrap w:val="0"/>
            <w:vAlign w:val="center"/>
          </w:tcPr>
          <w:p w14:paraId="4A280120">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329" w:type="dxa"/>
            <w:tcBorders>
              <w:top w:val="single" w:color="000000" w:sz="12" w:space="0"/>
              <w:tl2br w:val="nil"/>
              <w:tr2bl w:val="nil"/>
            </w:tcBorders>
            <w:noWrap w:val="0"/>
            <w:vAlign w:val="center"/>
          </w:tcPr>
          <w:p w14:paraId="7C34BF88">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厂区</w:t>
            </w:r>
            <w:r>
              <w:rPr>
                <w:rFonts w:hint="eastAsia"/>
                <w:color w:val="000000" w:themeColor="text1"/>
                <w:highlight w:val="none"/>
                <w14:textFill>
                  <w14:solidFill>
                    <w14:schemeClr w14:val="tx1"/>
                  </w14:solidFill>
                </w14:textFill>
              </w:rPr>
              <w:t>边界东</w:t>
            </w:r>
          </w:p>
        </w:tc>
        <w:tc>
          <w:tcPr>
            <w:tcW w:w="1211" w:type="dxa"/>
            <w:tcBorders>
              <w:top w:val="single" w:color="000000" w:sz="12" w:space="0"/>
              <w:tl2br w:val="nil"/>
              <w:tr2bl w:val="nil"/>
            </w:tcBorders>
            <w:noWrap w:val="0"/>
            <w:vAlign w:val="center"/>
          </w:tcPr>
          <w:p w14:paraId="336FF7D4">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53</w:t>
            </w:r>
          </w:p>
        </w:tc>
        <w:tc>
          <w:tcPr>
            <w:tcW w:w="842" w:type="dxa"/>
            <w:tcBorders>
              <w:top w:val="single" w:color="000000" w:sz="12" w:space="0"/>
              <w:tl2br w:val="nil"/>
              <w:tr2bl w:val="nil"/>
            </w:tcBorders>
            <w:noWrap w:val="0"/>
            <w:vAlign w:val="center"/>
          </w:tcPr>
          <w:p w14:paraId="1A38EE5D">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45</w:t>
            </w:r>
          </w:p>
        </w:tc>
        <w:tc>
          <w:tcPr>
            <w:tcW w:w="1575" w:type="dxa"/>
            <w:tcBorders>
              <w:top w:val="single" w:color="000000" w:sz="12" w:space="0"/>
              <w:tl2br w:val="nil"/>
              <w:tr2bl w:val="nil"/>
            </w:tcBorders>
            <w:noWrap w:val="0"/>
            <w:vAlign w:val="center"/>
          </w:tcPr>
          <w:p w14:paraId="4A3B635A">
            <w:pPr>
              <w:pStyle w:val="26"/>
              <w:bidi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42.1</w:t>
            </w:r>
          </w:p>
        </w:tc>
        <w:tc>
          <w:tcPr>
            <w:tcW w:w="1322" w:type="dxa"/>
            <w:tcBorders>
              <w:top w:val="single" w:color="000000" w:sz="12" w:space="0"/>
              <w:tl2br w:val="nil"/>
              <w:tr2bl w:val="nil"/>
            </w:tcBorders>
            <w:noWrap w:val="0"/>
            <w:vAlign w:val="center"/>
          </w:tcPr>
          <w:p w14:paraId="04ABFC09">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65</w:t>
            </w:r>
          </w:p>
        </w:tc>
        <w:tc>
          <w:tcPr>
            <w:tcW w:w="873" w:type="dxa"/>
            <w:tcBorders>
              <w:top w:val="single" w:color="000000" w:sz="12" w:space="0"/>
              <w:tl2br w:val="nil"/>
              <w:tr2bl w:val="nil"/>
            </w:tcBorders>
            <w:noWrap w:val="0"/>
            <w:vAlign w:val="center"/>
          </w:tcPr>
          <w:p w14:paraId="6D36542A">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55</w:t>
            </w:r>
          </w:p>
        </w:tc>
        <w:tc>
          <w:tcPr>
            <w:tcW w:w="1183" w:type="dxa"/>
            <w:tcBorders>
              <w:top w:val="single" w:color="000000" w:sz="12" w:space="0"/>
            </w:tcBorders>
            <w:noWrap w:val="0"/>
            <w:vAlign w:val="center"/>
          </w:tcPr>
          <w:p w14:paraId="75C7225D">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昼夜达标</w:t>
            </w:r>
          </w:p>
        </w:tc>
      </w:tr>
      <w:tr w14:paraId="6CE943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845" w:type="dxa"/>
            <w:tcBorders>
              <w:tl2br w:val="nil"/>
              <w:tr2bl w:val="nil"/>
            </w:tcBorders>
            <w:noWrap w:val="0"/>
            <w:vAlign w:val="center"/>
          </w:tcPr>
          <w:p w14:paraId="2039FBE4">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329" w:type="dxa"/>
            <w:tcBorders>
              <w:tl2br w:val="nil"/>
              <w:tr2bl w:val="nil"/>
            </w:tcBorders>
            <w:noWrap w:val="0"/>
            <w:vAlign w:val="center"/>
          </w:tcPr>
          <w:p w14:paraId="40C0A01B">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厂区</w:t>
            </w:r>
            <w:r>
              <w:rPr>
                <w:rFonts w:hint="eastAsia"/>
                <w:color w:val="000000" w:themeColor="text1"/>
                <w:highlight w:val="none"/>
                <w14:textFill>
                  <w14:solidFill>
                    <w14:schemeClr w14:val="tx1"/>
                  </w14:solidFill>
                </w14:textFill>
              </w:rPr>
              <w:t>边界南</w:t>
            </w:r>
          </w:p>
        </w:tc>
        <w:tc>
          <w:tcPr>
            <w:tcW w:w="1211" w:type="dxa"/>
            <w:tcBorders>
              <w:tl2br w:val="nil"/>
              <w:tr2bl w:val="nil"/>
            </w:tcBorders>
            <w:noWrap w:val="0"/>
            <w:vAlign w:val="center"/>
          </w:tcPr>
          <w:p w14:paraId="0001427C">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54</w:t>
            </w:r>
          </w:p>
        </w:tc>
        <w:tc>
          <w:tcPr>
            <w:tcW w:w="842" w:type="dxa"/>
            <w:tcBorders>
              <w:tl2br w:val="nil"/>
              <w:tr2bl w:val="nil"/>
            </w:tcBorders>
            <w:noWrap w:val="0"/>
            <w:vAlign w:val="center"/>
          </w:tcPr>
          <w:p w14:paraId="347107E6">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44</w:t>
            </w:r>
          </w:p>
        </w:tc>
        <w:tc>
          <w:tcPr>
            <w:tcW w:w="1575" w:type="dxa"/>
            <w:tcBorders>
              <w:tl2br w:val="nil"/>
              <w:tr2bl w:val="nil"/>
            </w:tcBorders>
            <w:noWrap w:val="0"/>
            <w:vAlign w:val="center"/>
          </w:tcPr>
          <w:p w14:paraId="14DD509D">
            <w:pPr>
              <w:pStyle w:val="26"/>
              <w:bidi w:val="0"/>
              <w:jc w:val="center"/>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p>
        </w:tc>
        <w:tc>
          <w:tcPr>
            <w:tcW w:w="1322" w:type="dxa"/>
            <w:tcBorders>
              <w:tl2br w:val="nil"/>
              <w:tr2bl w:val="nil"/>
            </w:tcBorders>
            <w:noWrap w:val="0"/>
            <w:vAlign w:val="center"/>
          </w:tcPr>
          <w:p w14:paraId="48AF7B28">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65</w:t>
            </w:r>
          </w:p>
        </w:tc>
        <w:tc>
          <w:tcPr>
            <w:tcW w:w="873" w:type="dxa"/>
            <w:tcBorders>
              <w:tl2br w:val="nil"/>
              <w:tr2bl w:val="nil"/>
            </w:tcBorders>
            <w:noWrap w:val="0"/>
            <w:vAlign w:val="center"/>
          </w:tcPr>
          <w:p w14:paraId="57B1EBD7">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55</w:t>
            </w:r>
          </w:p>
        </w:tc>
        <w:tc>
          <w:tcPr>
            <w:tcW w:w="1183" w:type="dxa"/>
            <w:tcBorders>
              <w:tl2br w:val="nil"/>
              <w:tr2bl w:val="nil"/>
            </w:tcBorders>
            <w:noWrap w:val="0"/>
            <w:vAlign w:val="center"/>
          </w:tcPr>
          <w:p w14:paraId="357C19F7">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昼夜达标</w:t>
            </w:r>
          </w:p>
        </w:tc>
      </w:tr>
      <w:tr w14:paraId="3D5E89F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845" w:type="dxa"/>
            <w:tcBorders>
              <w:tl2br w:val="nil"/>
              <w:tr2bl w:val="nil"/>
            </w:tcBorders>
            <w:noWrap w:val="0"/>
            <w:vAlign w:val="center"/>
          </w:tcPr>
          <w:p w14:paraId="4FB99E18">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329" w:type="dxa"/>
            <w:tcBorders>
              <w:tl2br w:val="nil"/>
              <w:tr2bl w:val="nil"/>
            </w:tcBorders>
            <w:noWrap w:val="0"/>
            <w:vAlign w:val="center"/>
          </w:tcPr>
          <w:p w14:paraId="36B6D3C7">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厂区</w:t>
            </w:r>
            <w:r>
              <w:rPr>
                <w:rFonts w:hint="eastAsia"/>
                <w:color w:val="000000" w:themeColor="text1"/>
                <w:highlight w:val="none"/>
                <w14:textFill>
                  <w14:solidFill>
                    <w14:schemeClr w14:val="tx1"/>
                  </w14:solidFill>
                </w14:textFill>
              </w:rPr>
              <w:t>边界西</w:t>
            </w:r>
          </w:p>
        </w:tc>
        <w:tc>
          <w:tcPr>
            <w:tcW w:w="1211" w:type="dxa"/>
            <w:tcBorders>
              <w:tl2br w:val="nil"/>
              <w:tr2bl w:val="nil"/>
            </w:tcBorders>
            <w:noWrap w:val="0"/>
            <w:vAlign w:val="center"/>
          </w:tcPr>
          <w:p w14:paraId="685216ED">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55</w:t>
            </w:r>
          </w:p>
        </w:tc>
        <w:tc>
          <w:tcPr>
            <w:tcW w:w="842" w:type="dxa"/>
            <w:tcBorders>
              <w:tl2br w:val="nil"/>
              <w:tr2bl w:val="nil"/>
            </w:tcBorders>
            <w:noWrap w:val="0"/>
            <w:vAlign w:val="center"/>
          </w:tcPr>
          <w:p w14:paraId="180EBC60">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47</w:t>
            </w:r>
          </w:p>
        </w:tc>
        <w:tc>
          <w:tcPr>
            <w:tcW w:w="1575" w:type="dxa"/>
            <w:tcBorders>
              <w:tl2br w:val="nil"/>
              <w:tr2bl w:val="nil"/>
            </w:tcBorders>
            <w:noWrap w:val="0"/>
            <w:vAlign w:val="center"/>
          </w:tcPr>
          <w:p w14:paraId="5ABAC788">
            <w:pPr>
              <w:pStyle w:val="26"/>
              <w:bidi w:val="0"/>
              <w:jc w:val="center"/>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7</w:t>
            </w:r>
          </w:p>
        </w:tc>
        <w:tc>
          <w:tcPr>
            <w:tcW w:w="1322" w:type="dxa"/>
            <w:tcBorders>
              <w:tl2br w:val="nil"/>
              <w:tr2bl w:val="nil"/>
            </w:tcBorders>
            <w:noWrap w:val="0"/>
            <w:vAlign w:val="center"/>
          </w:tcPr>
          <w:p w14:paraId="4DC31FF8">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65</w:t>
            </w:r>
          </w:p>
        </w:tc>
        <w:tc>
          <w:tcPr>
            <w:tcW w:w="873" w:type="dxa"/>
            <w:tcBorders>
              <w:tl2br w:val="nil"/>
              <w:tr2bl w:val="nil"/>
            </w:tcBorders>
            <w:noWrap w:val="0"/>
            <w:vAlign w:val="center"/>
          </w:tcPr>
          <w:p w14:paraId="4FED08C2">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55</w:t>
            </w:r>
          </w:p>
        </w:tc>
        <w:tc>
          <w:tcPr>
            <w:tcW w:w="1183" w:type="dxa"/>
            <w:tcBorders>
              <w:tl2br w:val="nil"/>
              <w:tr2bl w:val="nil"/>
            </w:tcBorders>
            <w:noWrap w:val="0"/>
            <w:vAlign w:val="center"/>
          </w:tcPr>
          <w:p w14:paraId="0DE44C57">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昼夜达标</w:t>
            </w:r>
          </w:p>
        </w:tc>
      </w:tr>
      <w:tr w14:paraId="752EDA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845" w:type="dxa"/>
            <w:tcBorders>
              <w:tl2br w:val="nil"/>
              <w:tr2bl w:val="nil"/>
            </w:tcBorders>
            <w:noWrap w:val="0"/>
            <w:vAlign w:val="center"/>
          </w:tcPr>
          <w:p w14:paraId="53C70671">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329" w:type="dxa"/>
            <w:tcBorders>
              <w:tl2br w:val="nil"/>
              <w:tr2bl w:val="nil"/>
            </w:tcBorders>
            <w:noWrap w:val="0"/>
            <w:vAlign w:val="center"/>
          </w:tcPr>
          <w:p w14:paraId="652879E5">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厂区</w:t>
            </w:r>
            <w:r>
              <w:rPr>
                <w:rFonts w:hint="eastAsia"/>
                <w:color w:val="000000" w:themeColor="text1"/>
                <w:highlight w:val="none"/>
                <w14:textFill>
                  <w14:solidFill>
                    <w14:schemeClr w14:val="tx1"/>
                  </w14:solidFill>
                </w14:textFill>
              </w:rPr>
              <w:t>边界北</w:t>
            </w:r>
          </w:p>
        </w:tc>
        <w:tc>
          <w:tcPr>
            <w:tcW w:w="1211" w:type="dxa"/>
            <w:tcBorders>
              <w:tl2br w:val="nil"/>
              <w:tr2bl w:val="nil"/>
            </w:tcBorders>
            <w:noWrap w:val="0"/>
            <w:vAlign w:val="center"/>
          </w:tcPr>
          <w:p w14:paraId="647C5E2A">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52</w:t>
            </w:r>
          </w:p>
        </w:tc>
        <w:tc>
          <w:tcPr>
            <w:tcW w:w="842" w:type="dxa"/>
            <w:tcBorders>
              <w:tl2br w:val="nil"/>
              <w:tr2bl w:val="nil"/>
            </w:tcBorders>
            <w:noWrap w:val="0"/>
            <w:vAlign w:val="center"/>
          </w:tcPr>
          <w:p w14:paraId="7BB35E5D">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44</w:t>
            </w:r>
          </w:p>
        </w:tc>
        <w:tc>
          <w:tcPr>
            <w:tcW w:w="1575" w:type="dxa"/>
            <w:tcBorders>
              <w:tl2br w:val="nil"/>
              <w:tr2bl w:val="nil"/>
            </w:tcBorders>
            <w:noWrap w:val="0"/>
            <w:vAlign w:val="center"/>
          </w:tcPr>
          <w:p w14:paraId="627E5797">
            <w:pPr>
              <w:pStyle w:val="26"/>
              <w:bidi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48.7</w:t>
            </w:r>
          </w:p>
        </w:tc>
        <w:tc>
          <w:tcPr>
            <w:tcW w:w="1322" w:type="dxa"/>
            <w:tcBorders>
              <w:tl2br w:val="nil"/>
              <w:tr2bl w:val="nil"/>
            </w:tcBorders>
            <w:noWrap w:val="0"/>
            <w:vAlign w:val="center"/>
          </w:tcPr>
          <w:p w14:paraId="2EE875CB">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65</w:t>
            </w:r>
          </w:p>
        </w:tc>
        <w:tc>
          <w:tcPr>
            <w:tcW w:w="873" w:type="dxa"/>
            <w:tcBorders>
              <w:tl2br w:val="nil"/>
              <w:tr2bl w:val="nil"/>
            </w:tcBorders>
            <w:noWrap w:val="0"/>
            <w:vAlign w:val="center"/>
          </w:tcPr>
          <w:p w14:paraId="01BDDD35">
            <w:pPr>
              <w:pStyle w:val="26"/>
              <w:bidi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55</w:t>
            </w:r>
          </w:p>
        </w:tc>
        <w:tc>
          <w:tcPr>
            <w:tcW w:w="1183" w:type="dxa"/>
            <w:tcBorders>
              <w:tl2br w:val="nil"/>
              <w:tr2bl w:val="nil"/>
            </w:tcBorders>
            <w:noWrap w:val="0"/>
            <w:vAlign w:val="center"/>
          </w:tcPr>
          <w:p w14:paraId="33FA0C96">
            <w:pPr>
              <w:pStyle w:val="26"/>
              <w:bidi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昼夜达标</w:t>
            </w:r>
          </w:p>
        </w:tc>
      </w:tr>
    </w:tbl>
    <w:p w14:paraId="5E26DB8B">
      <w:pPr>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拟建项目运营期间厂界执行《工业企业厂界环境噪声排放标准》（GB12348-2008）中</w:t>
      </w: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14:textFill>
            <w14:solidFill>
              <w14:schemeClr w14:val="tx1"/>
            </w14:solidFill>
          </w14:textFill>
        </w:rPr>
        <w:t>类标准</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由</w:t>
      </w:r>
      <w:r>
        <w:rPr>
          <w:rFonts w:hint="eastAsia"/>
          <w:color w:val="000000" w:themeColor="text1"/>
          <w:highlight w:val="none"/>
          <w:lang w:val="en-US" w:eastAsia="zh-CN"/>
          <w14:textFill>
            <w14:solidFill>
              <w14:schemeClr w14:val="tx1"/>
            </w14:solidFill>
          </w14:textFill>
        </w:rPr>
        <w:t>上</w:t>
      </w:r>
      <w:r>
        <w:rPr>
          <w:rFonts w:hint="default"/>
          <w:color w:val="000000" w:themeColor="text1"/>
          <w:highlight w:val="none"/>
          <w14:textFill>
            <w14:solidFill>
              <w14:schemeClr w14:val="tx1"/>
            </w14:solidFill>
          </w14:textFill>
        </w:rPr>
        <w:t>表中可</w:t>
      </w:r>
      <w:r>
        <w:rPr>
          <w:rFonts w:hint="default"/>
          <w:color w:val="000000" w:themeColor="text1"/>
          <w:highlight w:val="none"/>
          <w:lang w:val="en-US" w:eastAsia="zh-CN"/>
          <w14:textFill>
            <w14:solidFill>
              <w14:schemeClr w14:val="tx1"/>
            </w14:solidFill>
          </w14:textFill>
        </w:rPr>
        <w:t>知</w:t>
      </w:r>
      <w:r>
        <w:rPr>
          <w:rFonts w:hint="default"/>
          <w:color w:val="000000" w:themeColor="text1"/>
          <w:highlight w:val="none"/>
          <w14:textFill>
            <w14:solidFill>
              <w14:schemeClr w14:val="tx1"/>
            </w14:solidFill>
          </w14:textFill>
        </w:rPr>
        <w:t>，项目运营期间，昼间厂界噪声值满足标准，运营</w:t>
      </w:r>
      <w:r>
        <w:rPr>
          <w:rFonts w:hint="eastAsia"/>
          <w:color w:val="000000" w:themeColor="text1"/>
          <w:highlight w:val="none"/>
          <w:lang w:eastAsia="zh-CN"/>
          <w14:textFill>
            <w14:solidFill>
              <w14:schemeClr w14:val="tx1"/>
            </w14:solidFill>
          </w14:textFill>
        </w:rPr>
        <w:t>期间</w:t>
      </w:r>
      <w:r>
        <w:rPr>
          <w:rFonts w:hint="default"/>
          <w:color w:val="000000" w:themeColor="text1"/>
          <w:highlight w:val="none"/>
          <w14:textFill>
            <w14:solidFill>
              <w14:schemeClr w14:val="tx1"/>
            </w14:solidFill>
          </w14:textFill>
        </w:rPr>
        <w:t>噪声对周边环境影响较小。</w:t>
      </w:r>
    </w:p>
    <w:p w14:paraId="31E0BA3E">
      <w:pPr>
        <w:pStyle w:val="4"/>
        <w:bidi w:val="0"/>
        <w:rPr>
          <w:color w:val="000000" w:themeColor="text1"/>
          <w:highlight w:val="none"/>
          <w14:textFill>
            <w14:solidFill>
              <w14:schemeClr w14:val="tx1"/>
            </w14:solidFill>
          </w14:textFill>
        </w:rPr>
      </w:pPr>
      <w:bookmarkStart w:id="1021" w:name="_Toc21085"/>
      <w:bookmarkStart w:id="1022" w:name="_Toc22575140"/>
      <w:bookmarkStart w:id="1023" w:name="_Toc8736"/>
      <w:bookmarkStart w:id="1024" w:name="_Toc21725"/>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2.4运营期</w:t>
      </w:r>
      <w:r>
        <w:rPr>
          <w:color w:val="000000" w:themeColor="text1"/>
          <w:highlight w:val="none"/>
          <w14:textFill>
            <w14:solidFill>
              <w14:schemeClr w14:val="tx1"/>
            </w14:solidFill>
          </w14:textFill>
        </w:rPr>
        <w:t>固废环境影响分析</w:t>
      </w:r>
      <w:bookmarkEnd w:id="1021"/>
      <w:bookmarkEnd w:id="1022"/>
      <w:bookmarkEnd w:id="1023"/>
      <w:bookmarkEnd w:id="1024"/>
    </w:p>
    <w:p w14:paraId="26828C2D">
      <w:pPr>
        <w:pStyle w:val="5"/>
        <w:rPr>
          <w:color w:val="000000" w:themeColor="text1"/>
          <w:highlight w:val="none"/>
          <w:lang w:val="en-US"/>
          <w14:textFill>
            <w14:solidFill>
              <w14:schemeClr w14:val="tx1"/>
            </w14:solidFill>
          </w14:textFill>
        </w:rPr>
      </w:pPr>
      <w:bookmarkStart w:id="1025" w:name="_Toc400779888"/>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lang w:val="en-US"/>
          <w14:textFill>
            <w14:solidFill>
              <w14:schemeClr w14:val="tx1"/>
            </w14:solidFill>
          </w14:textFill>
        </w:rPr>
        <w:t>.2.4.1固废产生情况</w:t>
      </w:r>
    </w:p>
    <w:p w14:paraId="4BBD359E">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本项目运营期固废主要包括</w:t>
      </w:r>
      <w:r>
        <w:rPr>
          <w:rFonts w:hint="eastAsia"/>
          <w:color w:val="000000" w:themeColor="text1"/>
          <w:highlight w:val="none"/>
          <w14:textFill>
            <w14:solidFill>
              <w14:schemeClr w14:val="tx1"/>
            </w14:solidFill>
          </w14:textFill>
        </w:rPr>
        <w:t>生活垃圾、</w:t>
      </w:r>
      <w:r>
        <w:rPr>
          <w:color w:val="000000" w:themeColor="text1"/>
          <w:highlight w:val="none"/>
          <w14:textFill>
            <w14:solidFill>
              <w14:schemeClr w14:val="tx1"/>
            </w14:solidFill>
          </w14:textFill>
        </w:rPr>
        <w:t>一般固废</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危险废物</w:t>
      </w:r>
      <w:bookmarkEnd w:id="1025"/>
      <w:r>
        <w:rPr>
          <w:rFonts w:hint="eastAsia"/>
          <w:color w:val="000000" w:themeColor="text1"/>
          <w:highlight w:val="none"/>
          <w14:textFill>
            <w14:solidFill>
              <w14:schemeClr w14:val="tx1"/>
            </w14:solidFill>
          </w14:textFill>
        </w:rPr>
        <w:t>，各种固废产生量及处置方式如下表</w:t>
      </w:r>
      <w:r>
        <w:rPr>
          <w:rFonts w:hint="eastAsia"/>
          <w:color w:val="000000" w:themeColor="text1"/>
          <w:highlight w:val="none"/>
          <w:lang w:val="en-US" w:eastAsia="zh-CN"/>
          <w14:textFill>
            <w14:solidFill>
              <w14:schemeClr w14:val="tx1"/>
            </w14:solidFill>
          </w14:textFill>
        </w:rPr>
        <w:t>5.2.4-1</w:t>
      </w:r>
      <w:r>
        <w:rPr>
          <w:rFonts w:hint="eastAsia"/>
          <w:color w:val="000000" w:themeColor="text1"/>
          <w:highlight w:val="none"/>
          <w14:textFill>
            <w14:solidFill>
              <w14:schemeClr w14:val="tx1"/>
            </w14:solidFill>
          </w14:textFill>
        </w:rPr>
        <w:t>。</w:t>
      </w:r>
    </w:p>
    <w:p w14:paraId="7391A6AD">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.2.4-1     固废产生情况一览表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2004"/>
        <w:gridCol w:w="1731"/>
        <w:gridCol w:w="1634"/>
        <w:gridCol w:w="1331"/>
        <w:gridCol w:w="2371"/>
      </w:tblGrid>
      <w:tr w14:paraId="07A3E10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04" w:type="dxa"/>
            <w:tcBorders>
              <w:bottom w:val="single" w:color="000000" w:sz="12" w:space="0"/>
            </w:tcBorders>
            <w:noWrap w:val="0"/>
            <w:vAlign w:val="center"/>
          </w:tcPr>
          <w:p w14:paraId="7CABE95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名称</w:t>
            </w:r>
          </w:p>
        </w:tc>
        <w:tc>
          <w:tcPr>
            <w:tcW w:w="1731" w:type="dxa"/>
            <w:tcBorders>
              <w:bottom w:val="single" w:color="000000" w:sz="12" w:space="0"/>
            </w:tcBorders>
            <w:noWrap w:val="0"/>
            <w:vAlign w:val="center"/>
          </w:tcPr>
          <w:p w14:paraId="6532F786">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来源</w:t>
            </w:r>
          </w:p>
        </w:tc>
        <w:tc>
          <w:tcPr>
            <w:tcW w:w="1634" w:type="dxa"/>
            <w:tcBorders>
              <w:bottom w:val="single" w:color="000000" w:sz="12" w:space="0"/>
            </w:tcBorders>
            <w:noWrap w:val="0"/>
            <w:vAlign w:val="center"/>
          </w:tcPr>
          <w:p w14:paraId="678484F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产生量 (t/a )</w:t>
            </w:r>
          </w:p>
        </w:tc>
        <w:tc>
          <w:tcPr>
            <w:tcW w:w="1331" w:type="dxa"/>
            <w:tcBorders>
              <w:bottom w:val="single" w:color="000000" w:sz="12" w:space="0"/>
            </w:tcBorders>
            <w:noWrap w:val="0"/>
            <w:vAlign w:val="center"/>
          </w:tcPr>
          <w:p w14:paraId="0952ACC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属性</w:t>
            </w:r>
          </w:p>
        </w:tc>
        <w:tc>
          <w:tcPr>
            <w:tcW w:w="2371" w:type="dxa"/>
            <w:tcBorders>
              <w:bottom w:val="single" w:color="000000" w:sz="12" w:space="0"/>
            </w:tcBorders>
            <w:noWrap w:val="0"/>
            <w:vAlign w:val="center"/>
          </w:tcPr>
          <w:p w14:paraId="1CC2B6F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处理方式</w:t>
            </w:r>
          </w:p>
        </w:tc>
      </w:tr>
      <w:tr w14:paraId="22F3D1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04" w:type="dxa"/>
            <w:tcBorders>
              <w:top w:val="single" w:color="000000" w:sz="12" w:space="0"/>
              <w:bottom w:val="single" w:color="000000" w:sz="4" w:space="0"/>
            </w:tcBorders>
            <w:noWrap w:val="0"/>
            <w:vAlign w:val="center"/>
          </w:tcPr>
          <w:p w14:paraId="4391403D">
            <w:pPr>
              <w:pStyle w:val="26"/>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未沾染有毒有害物质的包装袋</w:t>
            </w:r>
          </w:p>
        </w:tc>
        <w:tc>
          <w:tcPr>
            <w:tcW w:w="1731" w:type="dxa"/>
            <w:tcBorders>
              <w:top w:val="single" w:color="000000" w:sz="12" w:space="0"/>
              <w:bottom w:val="single" w:color="000000" w:sz="4" w:space="0"/>
            </w:tcBorders>
            <w:noWrap w:val="0"/>
            <w:vAlign w:val="center"/>
          </w:tcPr>
          <w:p w14:paraId="1B9F1021">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投料</w:t>
            </w:r>
          </w:p>
        </w:tc>
        <w:tc>
          <w:tcPr>
            <w:tcW w:w="1634" w:type="dxa"/>
            <w:tcBorders>
              <w:top w:val="single" w:color="000000" w:sz="12" w:space="0"/>
              <w:bottom w:val="single" w:color="000000" w:sz="4" w:space="0"/>
            </w:tcBorders>
            <w:noWrap w:val="0"/>
            <w:vAlign w:val="center"/>
          </w:tcPr>
          <w:p w14:paraId="46AB41A7">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2.8</w:t>
            </w:r>
          </w:p>
        </w:tc>
        <w:tc>
          <w:tcPr>
            <w:tcW w:w="1331" w:type="dxa"/>
            <w:vMerge w:val="restart"/>
            <w:tcBorders>
              <w:top w:val="single" w:color="000000" w:sz="12" w:space="0"/>
            </w:tcBorders>
            <w:noWrap w:val="0"/>
            <w:vAlign w:val="center"/>
          </w:tcPr>
          <w:p w14:paraId="2CAA22A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一般固废</w:t>
            </w:r>
          </w:p>
        </w:tc>
        <w:tc>
          <w:tcPr>
            <w:tcW w:w="2371" w:type="dxa"/>
            <w:tcBorders>
              <w:top w:val="single" w:color="000000" w:sz="12" w:space="0"/>
              <w:bottom w:val="single" w:color="000000" w:sz="4" w:space="0"/>
            </w:tcBorders>
            <w:noWrap w:val="0"/>
            <w:vAlign w:val="center"/>
          </w:tcPr>
          <w:p w14:paraId="489578D9">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集中收集后由</w:t>
            </w:r>
            <w:r>
              <w:rPr>
                <w:rFonts w:hint="default"/>
                <w:color w:val="000000" w:themeColor="text1"/>
                <w:highlight w:val="none"/>
                <w:lang w:val="en-US" w:eastAsia="zh-CN"/>
                <w14:textFill>
                  <w14:solidFill>
                    <w14:schemeClr w14:val="tx1"/>
                  </w14:solidFill>
                </w14:textFill>
              </w:rPr>
              <w:t>外售废品回收公司</w:t>
            </w:r>
          </w:p>
        </w:tc>
      </w:tr>
      <w:tr w14:paraId="35BA22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04" w:type="dxa"/>
            <w:tcBorders>
              <w:top w:val="single" w:color="000000" w:sz="4" w:space="0"/>
            </w:tcBorders>
            <w:noWrap w:val="0"/>
            <w:vAlign w:val="center"/>
          </w:tcPr>
          <w:p w14:paraId="281AB43A">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废离子交换树脂</w:t>
            </w:r>
          </w:p>
        </w:tc>
        <w:tc>
          <w:tcPr>
            <w:tcW w:w="1731" w:type="dxa"/>
            <w:tcBorders>
              <w:top w:val="single" w:color="000000" w:sz="4" w:space="0"/>
            </w:tcBorders>
            <w:noWrap w:val="0"/>
            <w:vAlign w:val="center"/>
          </w:tcPr>
          <w:p w14:paraId="02AF1758">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纯水制备</w:t>
            </w:r>
          </w:p>
        </w:tc>
        <w:tc>
          <w:tcPr>
            <w:tcW w:w="1634" w:type="dxa"/>
            <w:tcBorders>
              <w:top w:val="single" w:color="000000" w:sz="4" w:space="0"/>
            </w:tcBorders>
            <w:noWrap w:val="0"/>
            <w:vAlign w:val="center"/>
          </w:tcPr>
          <w:p w14:paraId="002C1D71">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w:t>
            </w:r>
          </w:p>
        </w:tc>
        <w:tc>
          <w:tcPr>
            <w:tcW w:w="1331" w:type="dxa"/>
            <w:vMerge w:val="continue"/>
            <w:noWrap w:val="0"/>
            <w:vAlign w:val="center"/>
          </w:tcPr>
          <w:p w14:paraId="12A4433D">
            <w:pPr>
              <w:pStyle w:val="26"/>
              <w:rPr>
                <w:color w:val="000000" w:themeColor="text1"/>
                <w:highlight w:val="none"/>
                <w14:textFill>
                  <w14:solidFill>
                    <w14:schemeClr w14:val="tx1"/>
                  </w14:solidFill>
                </w14:textFill>
              </w:rPr>
            </w:pPr>
          </w:p>
        </w:tc>
        <w:tc>
          <w:tcPr>
            <w:tcW w:w="2371" w:type="dxa"/>
            <w:tcBorders>
              <w:top w:val="single" w:color="000000" w:sz="4" w:space="0"/>
            </w:tcBorders>
            <w:noWrap w:val="0"/>
            <w:vAlign w:val="center"/>
          </w:tcPr>
          <w:p w14:paraId="074CE2EE">
            <w:pPr>
              <w:pStyle w:val="26"/>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厂家回收</w:t>
            </w:r>
          </w:p>
        </w:tc>
      </w:tr>
      <w:tr w14:paraId="03BE95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004" w:type="dxa"/>
            <w:noWrap w:val="0"/>
            <w:vAlign w:val="center"/>
          </w:tcPr>
          <w:p w14:paraId="5B8005C3">
            <w:pPr>
              <w:pStyle w:val="26"/>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沾染有毒有害物质的化学品包装袋</w:t>
            </w:r>
          </w:p>
        </w:tc>
        <w:tc>
          <w:tcPr>
            <w:tcW w:w="1731" w:type="dxa"/>
            <w:noWrap w:val="0"/>
            <w:vAlign w:val="center"/>
          </w:tcPr>
          <w:p w14:paraId="30ED8768">
            <w:pPr>
              <w:pStyle w:val="2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投料</w:t>
            </w:r>
          </w:p>
        </w:tc>
        <w:tc>
          <w:tcPr>
            <w:tcW w:w="1634" w:type="dxa"/>
            <w:noWrap w:val="0"/>
            <w:vAlign w:val="center"/>
          </w:tcPr>
          <w:p w14:paraId="13E105CD">
            <w:pPr>
              <w:pStyle w:val="26"/>
              <w:bidi w:val="0"/>
              <w:ind w:left="0" w:leftChars="0" w:right="0" w:rightChars="0" w:firstLine="0" w:firstLineChars="0"/>
              <w:jc w:val="center"/>
              <w:rPr>
                <w:rFonts w:hint="default"/>
                <w:color w:val="000000" w:themeColor="text1"/>
                <w:highlight w:val="none"/>
                <w:lang w:val="en-US"/>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0.6</w:t>
            </w:r>
          </w:p>
        </w:tc>
        <w:tc>
          <w:tcPr>
            <w:tcW w:w="1331" w:type="dxa"/>
            <w:vMerge w:val="restart"/>
            <w:noWrap w:val="0"/>
            <w:vAlign w:val="center"/>
          </w:tcPr>
          <w:p w14:paraId="2D08811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危险废物</w:t>
            </w:r>
          </w:p>
        </w:tc>
        <w:tc>
          <w:tcPr>
            <w:tcW w:w="2371" w:type="dxa"/>
            <w:vMerge w:val="restart"/>
            <w:noWrap w:val="0"/>
            <w:vAlign w:val="center"/>
          </w:tcPr>
          <w:p w14:paraId="0D27DECB">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暂</w:t>
            </w:r>
            <w:r>
              <w:rPr>
                <w:rFonts w:hint="eastAsia"/>
                <w:color w:val="000000" w:themeColor="text1"/>
                <w:highlight w:val="none"/>
                <w:lang w:eastAsia="zh-CN"/>
                <w14:textFill>
                  <w14:solidFill>
                    <w14:schemeClr w14:val="tx1"/>
                  </w14:solidFill>
                </w14:textFill>
              </w:rPr>
              <w:t>存</w:t>
            </w:r>
            <w:r>
              <w:rPr>
                <w:color w:val="000000" w:themeColor="text1"/>
                <w:highlight w:val="none"/>
                <w14:textFill>
                  <w14:solidFill>
                    <w14:schemeClr w14:val="tx1"/>
                  </w14:solidFill>
                </w14:textFill>
              </w:rPr>
              <w:t>于</w:t>
            </w:r>
            <w:r>
              <w:rPr>
                <w:rFonts w:hint="eastAsia"/>
                <w:color w:val="000000" w:themeColor="text1"/>
                <w:highlight w:val="none"/>
                <w:lang w:eastAsia="zh-CN"/>
                <w14:textFill>
                  <w14:solidFill>
                    <w14:schemeClr w14:val="tx1"/>
                  </w14:solidFill>
                </w14:textFill>
              </w:rPr>
              <w:t>危废贮存库</w:t>
            </w:r>
            <w:r>
              <w:rPr>
                <w:color w:val="000000" w:themeColor="text1"/>
                <w:highlight w:val="none"/>
                <w14:textFill>
                  <w14:solidFill>
                    <w14:schemeClr w14:val="tx1"/>
                  </w14:solidFill>
                </w14:textFill>
              </w:rPr>
              <w:t>，定期交由有资质单位处置</w:t>
            </w:r>
          </w:p>
        </w:tc>
      </w:tr>
      <w:tr w14:paraId="12FC7A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04" w:type="dxa"/>
            <w:noWrap w:val="0"/>
            <w:vAlign w:val="center"/>
          </w:tcPr>
          <w:p w14:paraId="150B802B">
            <w:pPr>
              <w:pStyle w:val="26"/>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废润滑油</w:t>
            </w:r>
          </w:p>
        </w:tc>
        <w:tc>
          <w:tcPr>
            <w:tcW w:w="1731" w:type="dxa"/>
            <w:noWrap w:val="0"/>
            <w:vAlign w:val="center"/>
          </w:tcPr>
          <w:p w14:paraId="795D980B">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机械维修</w:t>
            </w:r>
            <w:r>
              <w:rPr>
                <w:rFonts w:hint="eastAsia"/>
                <w:color w:val="000000" w:themeColor="text1"/>
                <w:highlight w:val="none"/>
                <w14:textFill>
                  <w14:solidFill>
                    <w14:schemeClr w14:val="tx1"/>
                  </w14:solidFill>
                </w14:textFill>
              </w:rPr>
              <w:t>保养</w:t>
            </w:r>
          </w:p>
        </w:tc>
        <w:tc>
          <w:tcPr>
            <w:tcW w:w="1634" w:type="dxa"/>
            <w:noWrap w:val="0"/>
            <w:vAlign w:val="center"/>
          </w:tcPr>
          <w:p w14:paraId="0D13085A">
            <w:pPr>
              <w:pStyle w:val="26"/>
              <w:bidi w:val="0"/>
              <w:ind w:left="0" w:leftChars="0" w:right="0" w:rightChars="0" w:firstLine="0" w:firstLineChars="0"/>
              <w:jc w:val="center"/>
              <w:rPr>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0.3</w:t>
            </w:r>
          </w:p>
        </w:tc>
        <w:tc>
          <w:tcPr>
            <w:tcW w:w="1331" w:type="dxa"/>
            <w:vMerge w:val="continue"/>
            <w:noWrap w:val="0"/>
            <w:vAlign w:val="center"/>
          </w:tcPr>
          <w:p w14:paraId="266E7C96">
            <w:pPr>
              <w:pStyle w:val="26"/>
              <w:rPr>
                <w:color w:val="000000" w:themeColor="text1"/>
                <w:highlight w:val="none"/>
                <w14:textFill>
                  <w14:solidFill>
                    <w14:schemeClr w14:val="tx1"/>
                  </w14:solidFill>
                </w14:textFill>
              </w:rPr>
            </w:pPr>
          </w:p>
        </w:tc>
        <w:tc>
          <w:tcPr>
            <w:tcW w:w="2371" w:type="dxa"/>
            <w:vMerge w:val="continue"/>
            <w:noWrap w:val="0"/>
            <w:vAlign w:val="center"/>
          </w:tcPr>
          <w:p w14:paraId="71EC6124">
            <w:pPr>
              <w:pStyle w:val="26"/>
              <w:rPr>
                <w:color w:val="000000" w:themeColor="text1"/>
                <w:highlight w:val="none"/>
                <w14:textFill>
                  <w14:solidFill>
                    <w14:schemeClr w14:val="tx1"/>
                  </w14:solidFill>
                </w14:textFill>
              </w:rPr>
            </w:pPr>
          </w:p>
        </w:tc>
      </w:tr>
      <w:tr w14:paraId="7D3E1A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04" w:type="dxa"/>
            <w:noWrap w:val="0"/>
            <w:vAlign w:val="center"/>
          </w:tcPr>
          <w:p w14:paraId="44255C37">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废润滑油桶</w:t>
            </w:r>
          </w:p>
        </w:tc>
        <w:tc>
          <w:tcPr>
            <w:tcW w:w="1731" w:type="dxa"/>
            <w:noWrap w:val="0"/>
            <w:vAlign w:val="center"/>
          </w:tcPr>
          <w:p w14:paraId="10DE3D3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机械维修</w:t>
            </w:r>
            <w:r>
              <w:rPr>
                <w:rFonts w:hint="eastAsia"/>
                <w:color w:val="000000" w:themeColor="text1"/>
                <w:highlight w:val="none"/>
                <w14:textFill>
                  <w14:solidFill>
                    <w14:schemeClr w14:val="tx1"/>
                  </w14:solidFill>
                </w14:textFill>
              </w:rPr>
              <w:t>保养</w:t>
            </w:r>
          </w:p>
        </w:tc>
        <w:tc>
          <w:tcPr>
            <w:tcW w:w="1634" w:type="dxa"/>
            <w:noWrap w:val="0"/>
            <w:vAlign w:val="center"/>
          </w:tcPr>
          <w:p w14:paraId="3DA3F3F6">
            <w:pPr>
              <w:pStyle w:val="26"/>
              <w:bidi w:val="0"/>
              <w:ind w:left="0" w:leftChars="0" w:right="0" w:rightChars="0" w:firstLine="0" w:firstLineChars="0"/>
              <w:jc w:val="center"/>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0.2</w:t>
            </w:r>
          </w:p>
        </w:tc>
        <w:tc>
          <w:tcPr>
            <w:tcW w:w="1331" w:type="dxa"/>
            <w:vMerge w:val="continue"/>
            <w:noWrap w:val="0"/>
            <w:vAlign w:val="center"/>
          </w:tcPr>
          <w:p w14:paraId="48814D47">
            <w:pPr>
              <w:pStyle w:val="26"/>
              <w:rPr>
                <w:color w:val="000000" w:themeColor="text1"/>
                <w:highlight w:val="none"/>
                <w14:textFill>
                  <w14:solidFill>
                    <w14:schemeClr w14:val="tx1"/>
                  </w14:solidFill>
                </w14:textFill>
              </w:rPr>
            </w:pPr>
          </w:p>
        </w:tc>
        <w:tc>
          <w:tcPr>
            <w:tcW w:w="2371" w:type="dxa"/>
            <w:vMerge w:val="continue"/>
            <w:noWrap w:val="0"/>
            <w:vAlign w:val="center"/>
          </w:tcPr>
          <w:p w14:paraId="7EE30DE9">
            <w:pPr>
              <w:pStyle w:val="26"/>
              <w:rPr>
                <w:color w:val="000000" w:themeColor="text1"/>
                <w:highlight w:val="none"/>
                <w14:textFill>
                  <w14:solidFill>
                    <w14:schemeClr w14:val="tx1"/>
                  </w14:solidFill>
                </w14:textFill>
              </w:rPr>
            </w:pPr>
          </w:p>
        </w:tc>
      </w:tr>
      <w:tr w14:paraId="39B456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004" w:type="dxa"/>
            <w:noWrap w:val="0"/>
            <w:vAlign w:val="center"/>
          </w:tcPr>
          <w:p w14:paraId="727CC0B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生活垃圾</w:t>
            </w:r>
          </w:p>
        </w:tc>
        <w:tc>
          <w:tcPr>
            <w:tcW w:w="1731" w:type="dxa"/>
            <w:noWrap w:val="0"/>
            <w:vAlign w:val="center"/>
          </w:tcPr>
          <w:p w14:paraId="43915CF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日常生活</w:t>
            </w:r>
          </w:p>
        </w:tc>
        <w:tc>
          <w:tcPr>
            <w:tcW w:w="1634" w:type="dxa"/>
            <w:noWrap w:val="0"/>
            <w:vAlign w:val="center"/>
          </w:tcPr>
          <w:p w14:paraId="1413C91F">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5.4</w:t>
            </w:r>
          </w:p>
        </w:tc>
        <w:tc>
          <w:tcPr>
            <w:tcW w:w="1331" w:type="dxa"/>
            <w:noWrap w:val="0"/>
            <w:vAlign w:val="center"/>
          </w:tcPr>
          <w:p w14:paraId="38254C05">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生活垃圾</w:t>
            </w:r>
          </w:p>
        </w:tc>
        <w:tc>
          <w:tcPr>
            <w:tcW w:w="2371" w:type="dxa"/>
            <w:noWrap w:val="0"/>
            <w:vAlign w:val="center"/>
          </w:tcPr>
          <w:p w14:paraId="1EAD26B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环卫部门统一处理</w:t>
            </w:r>
          </w:p>
        </w:tc>
      </w:tr>
    </w:tbl>
    <w:p w14:paraId="741987A0">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lang w:val="en-US"/>
          <w14:textFill>
            <w14:solidFill>
              <w14:schemeClr w14:val="tx1"/>
            </w14:solidFill>
          </w14:textFill>
        </w:rPr>
        <w:t>.2.4.2</w:t>
      </w:r>
      <w:r>
        <w:rPr>
          <w:color w:val="000000" w:themeColor="text1"/>
          <w:highlight w:val="none"/>
          <w:lang w:val="en-US"/>
          <w14:textFill>
            <w14:solidFill>
              <w14:schemeClr w14:val="tx1"/>
            </w14:solidFill>
          </w14:textFill>
        </w:rPr>
        <w:t xml:space="preserve">一般工业固废环境影响分析 </w:t>
      </w:r>
    </w:p>
    <w:p w14:paraId="75E9461A">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建设单位在生产车间西北角隔离区域（占地面积10m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）作为一般固废暂存区，用于存储</w:t>
      </w:r>
      <w:r>
        <w:rPr>
          <w:rFonts w:hint="default"/>
          <w:color w:val="000000" w:themeColor="text1"/>
          <w:highlight w:val="none"/>
          <w:lang w:val="en-US" w:eastAsia="zh-CN"/>
          <w14:textFill>
            <w14:solidFill>
              <w14:schemeClr w14:val="tx1"/>
            </w14:solidFill>
          </w14:textFill>
        </w:rPr>
        <w:t>未沾染有毒有害物质的包装袋</w:t>
      </w:r>
      <w:r>
        <w:rPr>
          <w:rFonts w:hint="eastAsia"/>
          <w:color w:val="000000" w:themeColor="text1"/>
          <w:highlight w:val="none"/>
          <w:lang w:val="en-US" w:eastAsia="zh-CN"/>
          <w14:textFill>
            <w14:solidFill>
              <w14:schemeClr w14:val="tx1"/>
            </w14:solidFill>
          </w14:textFill>
        </w:rPr>
        <w:t>等一般固废，根据核算，项目需贮存的一般固废量约2.8</w:t>
      </w:r>
      <w:r>
        <w:rPr>
          <w:rFonts w:hint="default"/>
          <w:color w:val="000000" w:themeColor="text1"/>
          <w:highlight w:val="none"/>
          <w:lang w:val="en-US" w:eastAsia="zh-CN"/>
          <w14:textFill>
            <w14:solidFill>
              <w14:schemeClr w14:val="tx1"/>
            </w14:solidFill>
          </w14:textFill>
        </w:rPr>
        <w:t>t/a</w:t>
      </w:r>
      <w:r>
        <w:rPr>
          <w:rFonts w:hint="eastAsia"/>
          <w:color w:val="000000" w:themeColor="text1"/>
          <w:highlight w:val="none"/>
          <w:lang w:val="en-US" w:eastAsia="zh-CN"/>
          <w14:textFill>
            <w14:solidFill>
              <w14:schemeClr w14:val="tx1"/>
            </w14:solidFill>
          </w14:textFill>
        </w:rPr>
        <w:t>。本次评价按照固废容重</w:t>
      </w:r>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eastAsia="zh-CN"/>
          <w14:textFill>
            <w14:solidFill>
              <w14:schemeClr w14:val="tx1"/>
            </w14:solidFill>
          </w14:textFill>
        </w:rPr>
        <w:t>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计，则项目产生的固废容积约6.12</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/a</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vertAlign w:val="baseline"/>
          <w:lang w:val="en-US" w:eastAsia="zh-CN"/>
          <w14:textFill>
            <w14:solidFill>
              <w14:schemeClr w14:val="tx1"/>
            </w14:solidFill>
          </w14:textFill>
        </w:rPr>
        <w:t>满足项目固废产生量。</w:t>
      </w:r>
      <w:r>
        <w:rPr>
          <w:rFonts w:hint="eastAsia"/>
          <w:color w:val="000000" w:themeColor="text1"/>
          <w:highlight w:val="none"/>
          <w:lang w:val="en-US" w:eastAsia="zh-CN"/>
          <w14:textFill>
            <w14:solidFill>
              <w14:schemeClr w14:val="tx1"/>
            </w14:solidFill>
          </w14:textFill>
        </w:rPr>
        <w:t>并设置专人管理，如实记录一般工业固体废物的产生量、综合利用量、处置量、贮存量，并严格落实《一般工业固体废物贮存和填埋污染控制标准 GB18599-2020》的相关要求，必须确保项目产生的一般固体废物得到妥善处置。</w:t>
      </w:r>
    </w:p>
    <w:p w14:paraId="682E2571">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综上所述，本项目固体废物处置符合国家技术政策，固体废物全部分类妥善处置，实现零排放，可避免固体废物排放对环境的二次污染，不会对周围环境产生不利影响。</w:t>
      </w:r>
    </w:p>
    <w:p w14:paraId="4214D349">
      <w:pPr>
        <w:pStyle w:val="5"/>
        <w:rPr>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lang w:val="en-US"/>
          <w14:textFill>
            <w14:solidFill>
              <w14:schemeClr w14:val="tx1"/>
            </w14:solidFill>
          </w14:textFill>
        </w:rPr>
        <w:t>.2.4.3危险废物</w:t>
      </w:r>
      <w:r>
        <w:rPr>
          <w:color w:val="000000" w:themeColor="text1"/>
          <w:highlight w:val="none"/>
          <w:lang w:val="en-US"/>
          <w14:textFill>
            <w14:solidFill>
              <w14:schemeClr w14:val="tx1"/>
            </w14:solidFill>
          </w14:textFill>
        </w:rPr>
        <w:t>环境影响分析</w:t>
      </w:r>
    </w:p>
    <w:p w14:paraId="32FB8E2C">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）危险废物贮存场所（设施）环境影响分析</w:t>
      </w:r>
    </w:p>
    <w:p w14:paraId="7340CB3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项目危废暂存库</w:t>
      </w:r>
      <w:r>
        <w:rPr>
          <w:color w:val="000000" w:themeColor="text1"/>
          <w:highlight w:val="none"/>
          <w14:textFill>
            <w14:solidFill>
              <w14:schemeClr w14:val="tx1"/>
            </w14:solidFill>
          </w14:textFill>
        </w:rPr>
        <w:t>废气主要来源于危废暂存库中外溢的无组织废气，</w:t>
      </w:r>
      <w:r>
        <w:rPr>
          <w:rFonts w:hint="eastAsia"/>
          <w:color w:val="000000" w:themeColor="text1"/>
          <w:highlight w:val="none"/>
          <w14:textFill>
            <w14:solidFill>
              <w14:schemeClr w14:val="tx1"/>
            </w14:solidFill>
          </w14:textFill>
        </w:rPr>
        <w:t>本项目危废中含有废机油等易挥发物质，储存阶段会产生少量无组织呼吸废气，</w:t>
      </w:r>
      <w:r>
        <w:rPr>
          <w:color w:val="000000" w:themeColor="text1"/>
          <w:highlight w:val="none"/>
          <w14:textFill>
            <w14:solidFill>
              <w14:schemeClr w14:val="tx1"/>
            </w14:solidFill>
          </w14:textFill>
        </w:rPr>
        <w:t>由于各暂存库散发一定量的有机废气</w:t>
      </w:r>
      <w:r>
        <w:rPr>
          <w:rFonts w:hint="eastAsia"/>
          <w:color w:val="000000" w:themeColor="text1"/>
          <w:highlight w:val="none"/>
          <w14:textFill>
            <w14:solidFill>
              <w14:schemeClr w14:val="tx1"/>
            </w14:solidFill>
          </w14:textFill>
        </w:rPr>
        <w:t>根据《环境影响评价实用技术指南》（机械工业出版社，李爱贞、周兆驹、林国栋等，2008年），在储存过程中无组织挥发量极小，属无组织排放源。本项目收集的废润滑油等危险废物放入桶中密闭暂存处理，产生的挥发性有机废气量较少，通过设置防静电、防爆通风等措施，废气对环境影响较小。</w:t>
      </w:r>
    </w:p>
    <w:p w14:paraId="7864811D">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危险废物</w:t>
      </w:r>
      <w:r>
        <w:rPr>
          <w:rFonts w:hint="eastAsia"/>
          <w:color w:val="000000" w:themeColor="text1"/>
          <w:highlight w:val="none"/>
          <w:lang w:val="en-US" w:eastAsia="zh-CN"/>
          <w14:textFill>
            <w14:solidFill>
              <w14:schemeClr w14:val="tx1"/>
            </w14:solidFill>
          </w14:textFill>
        </w:rPr>
        <w:t>贮存库</w:t>
      </w:r>
      <w:r>
        <w:rPr>
          <w:color w:val="000000" w:themeColor="text1"/>
          <w:highlight w:val="none"/>
          <w14:textFill>
            <w14:solidFill>
              <w14:schemeClr w14:val="tx1"/>
            </w14:solidFill>
          </w14:textFill>
        </w:rPr>
        <w:t>设置</w:t>
      </w:r>
      <w:r>
        <w:rPr>
          <w:rFonts w:hint="eastAsia"/>
          <w:color w:val="000000" w:themeColor="text1"/>
          <w:highlight w:val="none"/>
          <w14:textFill>
            <w14:solidFill>
              <w14:schemeClr w14:val="tx1"/>
            </w14:solidFill>
          </w14:textFill>
        </w:rPr>
        <w:t>要求</w:t>
      </w:r>
    </w:p>
    <w:p w14:paraId="0CD1F904">
      <w:pP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建设单位在生产车间西北角设置1座占地面积10m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的</w:t>
      </w:r>
      <w:r>
        <w:rPr>
          <w:rFonts w:hint="eastAsia"/>
          <w:color w:val="000000" w:themeColor="text1"/>
          <w:highlight w:val="none"/>
          <w:lang w:eastAsia="zh-CN"/>
          <w14:textFill>
            <w14:solidFill>
              <w14:schemeClr w14:val="tx1"/>
            </w14:solidFill>
          </w14:textFill>
        </w:rPr>
        <w:t>危废贮存库，</w:t>
      </w:r>
      <w:r>
        <w:rPr>
          <w:color w:val="000000" w:themeColor="text1"/>
          <w:highlight w:val="none"/>
          <w14:textFill>
            <w14:solidFill>
              <w14:schemeClr w14:val="tx1"/>
            </w14:solidFill>
          </w14:textFill>
        </w:rPr>
        <w:t>按照《危险废物贮存污染控制标准》（GB18597-20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）要求进行建设，防渗层为至少1m厚黏土层（渗透系数≤1.0×1</w:t>
      </w:r>
      <w:r>
        <w:rPr>
          <w:rFonts w:hint="eastAsia"/>
          <w:color w:val="000000" w:themeColor="text1"/>
          <w:highlight w:val="none"/>
          <w:lang w:val="en-US" w:eastAsia="zh-CN"/>
          <w14:textFill>
            <w14:solidFill>
              <w14:schemeClr w14:val="tx1"/>
            </w14:solidFill>
          </w14:textFill>
        </w:rPr>
        <w:t>0</w:t>
      </w:r>
      <w:r>
        <w:rPr>
          <w:rFonts w:hint="eastAsia"/>
          <w:color w:val="000000" w:themeColor="text1"/>
          <w:highlight w:val="none"/>
          <w:vertAlign w:val="superscript"/>
          <w:lang w:val="en-US" w:eastAsia="zh-CN"/>
          <w14:textFill>
            <w14:solidFill>
              <w14:schemeClr w14:val="tx1"/>
            </w14:solidFill>
          </w14:textFill>
        </w:rPr>
        <w:t>-10</w:t>
      </w:r>
      <w:r>
        <w:rPr>
          <w:color w:val="000000" w:themeColor="text1"/>
          <w:highlight w:val="none"/>
          <w14:textFill>
            <w14:solidFill>
              <w14:schemeClr w14:val="tx1"/>
            </w14:solidFill>
          </w14:textFill>
        </w:rPr>
        <w:t>cm/s）；或2mm厚高密度聚乙烯；或至少2mm 厚其他人工材料，渗透系数≤1.0×10</w:t>
      </w:r>
      <w:r>
        <w:rPr>
          <w:rFonts w:hint="eastAsia"/>
          <w:color w:val="000000" w:themeColor="text1"/>
          <w:highlight w:val="none"/>
          <w:vertAlign w:val="superscript"/>
          <w:lang w:val="en-US" w:eastAsia="zh-CN"/>
          <w14:textFill>
            <w14:solidFill>
              <w14:schemeClr w14:val="tx1"/>
            </w14:solidFill>
          </w14:textFill>
        </w:rPr>
        <w:t>-</w:t>
      </w:r>
      <w:r>
        <w:rPr>
          <w:color w:val="000000" w:themeColor="text1"/>
          <w:highlight w:val="none"/>
          <w:vertAlign w:val="superscript"/>
          <w14:textFill>
            <w14:solidFill>
              <w14:schemeClr w14:val="tx1"/>
            </w14:solidFill>
          </w14:textFill>
        </w:rPr>
        <w:t>10</w:t>
      </w:r>
      <w:r>
        <w:rPr>
          <w:color w:val="000000" w:themeColor="text1"/>
          <w:highlight w:val="none"/>
          <w14:textFill>
            <w14:solidFill>
              <w14:schemeClr w14:val="tx1"/>
            </w14:solidFill>
          </w14:textFill>
        </w:rPr>
        <w:t>cm/s，危废暂存库地面采用水泥硬化，铺设环氧树脂进行防腐，并按照</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中的要求</w:t>
      </w:r>
      <w:r>
        <w:rPr>
          <w:color w:val="000000" w:themeColor="text1"/>
          <w:highlight w:val="none"/>
          <w14:textFill>
            <w14:solidFill>
              <w14:schemeClr w14:val="tx1"/>
            </w14:solidFill>
          </w14:textFill>
        </w:rPr>
        <w:t>进行管理。</w:t>
      </w:r>
    </w:p>
    <w:p w14:paraId="37FE21B2">
      <w:pPr>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危废贮存库</w:t>
      </w:r>
      <w:r>
        <w:rPr>
          <w:color w:val="000000" w:themeColor="text1"/>
          <w:highlight w:val="none"/>
          <w14:textFill>
            <w14:solidFill>
              <w14:schemeClr w14:val="tx1"/>
            </w14:solidFill>
          </w14:textFill>
        </w:rPr>
        <w:t>应进行防渗漏处理，并按</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）进行设计，并按《</w:t>
      </w:r>
      <w:r>
        <w:rPr>
          <w:rFonts w:hint="eastAsia"/>
          <w:color w:val="000000" w:themeColor="text1"/>
          <w:highlight w:val="none"/>
          <w14:textFill>
            <w14:solidFill>
              <w14:schemeClr w14:val="tx1"/>
            </w14:solidFill>
          </w14:textFill>
        </w:rPr>
        <w:t>危险废物识别标志设置技术规范</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（HJ</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276-2022</w:t>
      </w:r>
      <w:r>
        <w:rPr>
          <w:color w:val="000000" w:themeColor="text1"/>
          <w:highlight w:val="none"/>
          <w14:textFill>
            <w14:solidFill>
              <w14:schemeClr w14:val="tx1"/>
            </w14:solidFill>
          </w14:textFill>
        </w:rPr>
        <w:t>）的规定设置警示标志。收运车应采用密闭运输方式，防止外泄。在厂内应设置专用的危险废物贮存设施。要求应远离办公生活区，贮存间的地基必须经防渗处理，以及贮存间要保证能防风、防雨、防晒，并由专人严格管理，确保危险废物的存放安全。</w:t>
      </w:r>
    </w:p>
    <w:p w14:paraId="0DED7ECE">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贮存间的地面与裙脚要用坚固、防渗的材料建造，建筑材料必须与危险废物相容</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不相互反应</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设施内要有安全照明设施和观察窗口；用以存放装载液体、半固体危险废物容器的地方，必须有耐腐蚀的硬化地面，且表面无裂隙；应设计堵截泄漏的裙脚，地面与裙脚所围建的容积不低于堵截最大容器的最大储量；不相容的危险废物必须分开存放，并设有隔离间隔断。</w:t>
      </w:r>
    </w:p>
    <w:p w14:paraId="544121C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危险废物贮存要求</w:t>
      </w:r>
    </w:p>
    <w:p w14:paraId="620FAAE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①危险废物</w:t>
      </w:r>
      <w:r>
        <w:rPr>
          <w:rFonts w:hint="eastAsia"/>
          <w:color w:val="000000" w:themeColor="text1"/>
          <w:highlight w:val="none"/>
          <w14:textFill>
            <w14:solidFill>
              <w14:schemeClr w14:val="tx1"/>
            </w14:solidFill>
          </w14:textFill>
        </w:rPr>
        <w:t>分区</w:t>
      </w:r>
      <w:r>
        <w:rPr>
          <w:color w:val="000000" w:themeColor="text1"/>
          <w:highlight w:val="none"/>
          <w14:textFill>
            <w14:solidFill>
              <w14:schemeClr w14:val="tx1"/>
            </w14:solidFill>
          </w14:textFill>
        </w:rPr>
        <w:t>贮存</w:t>
      </w:r>
      <w:r>
        <w:rPr>
          <w:rFonts w:hint="eastAsia"/>
          <w:color w:val="000000" w:themeColor="text1"/>
          <w:highlight w:val="none"/>
          <w14:textFill>
            <w14:solidFill>
              <w14:schemeClr w14:val="tx1"/>
            </w14:solidFill>
          </w14:textFill>
        </w:rPr>
        <w:t>管理</w:t>
      </w:r>
      <w:r>
        <w:rPr>
          <w:color w:val="000000" w:themeColor="text1"/>
          <w:highlight w:val="none"/>
          <w14:textFill>
            <w14:solidFill>
              <w14:schemeClr w14:val="tx1"/>
            </w14:solidFill>
          </w14:textFill>
        </w:rPr>
        <w:t>要求：</w:t>
      </w:r>
      <w:r>
        <w:rPr>
          <w:rFonts w:hint="eastAsia"/>
          <w:color w:val="000000" w:themeColor="text1"/>
          <w:highlight w:val="none"/>
          <w:lang w:eastAsia="zh-CN"/>
          <w14:textFill>
            <w14:solidFill>
              <w14:schemeClr w14:val="tx1"/>
            </w14:solidFill>
          </w14:textFill>
        </w:rPr>
        <w:t>危废贮存库</w:t>
      </w:r>
      <w:r>
        <w:rPr>
          <w:rFonts w:hint="eastAsia"/>
          <w:color w:val="000000" w:themeColor="text1"/>
          <w:highlight w:val="none"/>
          <w14:textFill>
            <w14:solidFill>
              <w14:schemeClr w14:val="tx1"/>
            </w14:solidFill>
          </w14:textFill>
        </w:rPr>
        <w:t>内不同贮存分区之间应采取隔离措施。隔离措施可根据危险废物特性采用过道、隔板或隔墙等方式；贮存危险废物应根据危险废物的类别、形态、物理化学性质和污染防治要求进行分类贮存，且应避免危险废物与不相容的物质或材料接触。</w:t>
      </w:r>
    </w:p>
    <w:p w14:paraId="00FAA38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对危险废物贮存容器的要求：对在常温常压下不水解、不挥发的固体危险废物可在贮存间内分别堆放，除此之外的危险废物必须装入容器内；使用盛装危险废物的 容器应当符合标准要求，其材质要满足相应的强度要求，并且要与危险废物相容；禁止将不相容的危险废物在同一容器内混装，无法装入常用容器的，可用防漏胶袋盛装。</w:t>
      </w:r>
    </w:p>
    <w:p w14:paraId="39C1FC9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②厂内应设专人管理，须做好危险废物情况的记录，记录上须注明危险废物的名称、数量、特性和包装容器的类别、入库时间、存放库位、废物出库日期及接收单位名称；危险废物贮存间的管理</w:t>
      </w:r>
      <w:r>
        <w:rPr>
          <w:rFonts w:hint="eastAsia"/>
          <w:color w:val="000000" w:themeColor="text1"/>
          <w:highlight w:val="none"/>
          <w:lang w:eastAsia="zh-CN"/>
          <w14:textFill>
            <w14:solidFill>
              <w14:schemeClr w14:val="tx1"/>
            </w14:solidFill>
          </w14:textFill>
        </w:rPr>
        <w:t>人员</w:t>
      </w:r>
      <w:r>
        <w:rPr>
          <w:color w:val="000000" w:themeColor="text1"/>
          <w:highlight w:val="none"/>
          <w14:textFill>
            <w14:solidFill>
              <w14:schemeClr w14:val="tx1"/>
            </w14:solidFill>
          </w14:textFill>
        </w:rPr>
        <w:t>必须定期对所贮存的危险废物包装容器及贮存设施进行检查，发现破损，应及时采取措施清理更换。危险废物贮存间内禁止存放除危险废物及应急工具</w:t>
      </w:r>
      <w:r>
        <w:rPr>
          <w:rFonts w:hint="eastAsia"/>
          <w:color w:val="000000" w:themeColor="text1"/>
          <w:highlight w:val="none"/>
          <w:lang w:eastAsia="zh-CN"/>
          <w14:textFill>
            <w14:solidFill>
              <w14:schemeClr w14:val="tx1"/>
            </w14:solidFill>
          </w14:textFill>
        </w:rPr>
        <w:t>以外</w:t>
      </w:r>
      <w:r>
        <w:rPr>
          <w:color w:val="000000" w:themeColor="text1"/>
          <w:highlight w:val="none"/>
          <w14:textFill>
            <w14:solidFill>
              <w14:schemeClr w14:val="tx1"/>
            </w14:solidFill>
          </w14:textFill>
        </w:rPr>
        <w:t>的其他物品。</w:t>
      </w:r>
    </w:p>
    <w:p w14:paraId="38A3A519">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危险废物运输</w:t>
      </w:r>
      <w:r>
        <w:rPr>
          <w:rFonts w:hint="eastAsia"/>
          <w:color w:val="000000" w:themeColor="text1"/>
          <w:highlight w:val="none"/>
          <w14:textFill>
            <w14:solidFill>
              <w14:schemeClr w14:val="tx1"/>
            </w14:solidFill>
          </w14:textFill>
        </w:rPr>
        <w:t>管理要求</w:t>
      </w:r>
    </w:p>
    <w:p w14:paraId="28A08099">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①厂内转移。本项目危险废物从产生点至危废暂存库的转移距离较短，且转移路线避开了办公区等人员集中区，因此本项目危险废物厂内转移过程影响较小。</w:t>
      </w:r>
    </w:p>
    <w:p w14:paraId="5A90A1E9">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①危险废物外运严格按照《危险废物转移</w:t>
      </w:r>
      <w:r>
        <w:rPr>
          <w:rFonts w:hint="eastAsia"/>
          <w:color w:val="000000" w:themeColor="text1"/>
          <w:highlight w:val="none"/>
          <w:lang w:eastAsia="zh-CN"/>
          <w14:textFill>
            <w14:solidFill>
              <w14:schemeClr w14:val="tx1"/>
            </w14:solidFill>
          </w14:textFill>
        </w:rPr>
        <w:t>管理办法》</w:t>
      </w:r>
      <w:r>
        <w:rPr>
          <w:color w:val="000000" w:themeColor="text1"/>
          <w:highlight w:val="none"/>
          <w14:textFill>
            <w14:solidFill>
              <w14:schemeClr w14:val="tx1"/>
            </w14:solidFill>
          </w14:textFill>
        </w:rPr>
        <w:t>的要求管理</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危险废物收集应填写《危险废物内部转运记录表》，并将记录表作为危险废物管理的重要档案妥善保存。收集结束后应清理和恢复收集作 业区域，确保作业区域环境整洁安全。收集过危险废物的容器、设备、设施、场所及 其他物品转作他用</w:t>
      </w:r>
      <w:r>
        <w:rPr>
          <w:rFonts w:hint="eastAsia"/>
          <w:color w:val="000000" w:themeColor="text1"/>
          <w:highlight w:val="none"/>
          <w:lang w:eastAsia="zh-CN"/>
          <w14:textFill>
            <w14:solidFill>
              <w14:schemeClr w14:val="tx1"/>
            </w14:solidFill>
          </w14:textFill>
        </w:rPr>
        <w:t>时</w:t>
      </w:r>
      <w:r>
        <w:rPr>
          <w:color w:val="000000" w:themeColor="text1"/>
          <w:highlight w:val="none"/>
          <w14:textFill>
            <w14:solidFill>
              <w14:schemeClr w14:val="tx1"/>
            </w14:solidFill>
          </w14:textFill>
        </w:rPr>
        <w:t>，应消除污染，确保其使用安全。企业对收集、贮存、运输的 专职人员进行定期技术培训，培训内容包括危险废物包装和标识、运输要求、危险废 物转移联单管理。</w:t>
      </w:r>
    </w:p>
    <w:p w14:paraId="453FE169">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④危险废物运输应由持有危险废物经营许可证的单位按照其许可证的经营范围组织实施，承担危险废物运输的单位应获得交通运输部门颁发的危险货物运输资质，同时运输路线应避开居民集中居住区和饮用水源保护区等环境敏感区。</w:t>
      </w:r>
    </w:p>
    <w:p w14:paraId="18672B7C">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危险废物</w:t>
      </w:r>
      <w:r>
        <w:rPr>
          <w:rFonts w:hint="eastAsia"/>
          <w:color w:val="000000" w:themeColor="text1"/>
          <w:highlight w:val="none"/>
          <w14:textFill>
            <w14:solidFill>
              <w14:schemeClr w14:val="tx1"/>
            </w14:solidFill>
          </w14:textFill>
        </w:rPr>
        <w:t>处置要求</w:t>
      </w:r>
    </w:p>
    <w:p w14:paraId="1ADD13C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由于项目暂未实施，危险废物暂未产生及收集，企业承诺在项目正式运营前与有资质单位签订危废处置协议。 </w:t>
      </w:r>
    </w:p>
    <w:p w14:paraId="46279774">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综上所述，本项目产生的固体废物均</w:t>
      </w:r>
      <w:r>
        <w:rPr>
          <w:rFonts w:hint="eastAsia"/>
          <w:color w:val="000000" w:themeColor="text1"/>
          <w:highlight w:val="none"/>
          <w14:textFill>
            <w14:solidFill>
              <w14:schemeClr w14:val="tx1"/>
            </w14:solidFill>
          </w14:textFill>
        </w:rPr>
        <w:t>按照</w:t>
      </w:r>
      <w:r>
        <w:rPr>
          <w:color w:val="000000" w:themeColor="text1"/>
          <w:highlight w:val="none"/>
          <w14:textFill>
            <w14:solidFill>
              <w14:schemeClr w14:val="tx1"/>
            </w14:solidFill>
          </w14:textFill>
        </w:rPr>
        <w:t>废物处置减量化、资源化和无害化的技术政策，优先对各类可回收工业固废进行回收利用；对无法利用的固废委托当地环卫部门进行焚烧或填埋处置；对列入《国家危险废物名录》</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的废物，应</w:t>
      </w:r>
      <w:r>
        <w:rPr>
          <w:rFonts w:hint="eastAsia"/>
          <w:color w:val="000000" w:themeColor="text1"/>
          <w:highlight w:val="none"/>
          <w:lang w:eastAsia="zh-CN"/>
          <w14:textFill>
            <w14:solidFill>
              <w14:schemeClr w14:val="tx1"/>
            </w14:solidFill>
          </w14:textFill>
        </w:rPr>
        <w:t>按照《中华人民共和国</w:t>
      </w:r>
      <w:r>
        <w:rPr>
          <w:color w:val="000000" w:themeColor="text1"/>
          <w:highlight w:val="none"/>
          <w14:textFill>
            <w14:solidFill>
              <w14:schemeClr w14:val="tx1"/>
            </w14:solidFill>
          </w14:textFill>
        </w:rPr>
        <w:t>固体废物污染环境防治法》和</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）中的相关规定，委托有危废处理资质的单位进行合理处置</w:t>
      </w:r>
      <w:r>
        <w:rPr>
          <w:rFonts w:hint="eastAsia"/>
          <w:color w:val="000000" w:themeColor="text1"/>
          <w:highlight w:val="none"/>
          <w14:textFill>
            <w14:solidFill>
              <w14:schemeClr w14:val="tx1"/>
            </w14:solidFill>
          </w14:textFill>
        </w:rPr>
        <w:t>，各类固废均</w:t>
      </w:r>
      <w:r>
        <w:rPr>
          <w:color w:val="000000" w:themeColor="text1"/>
          <w:highlight w:val="none"/>
          <w14:textFill>
            <w14:solidFill>
              <w14:schemeClr w14:val="tx1"/>
            </w14:solidFill>
          </w14:textFill>
        </w:rPr>
        <w:t>得到了妥善处置和利用，对外环境的影响可减至最小程度，不会产生二次污染，对环境影响较小。</w:t>
      </w:r>
    </w:p>
    <w:p w14:paraId="5A98D02E">
      <w:pPr>
        <w:pStyle w:val="4"/>
        <w:rPr>
          <w:color w:val="000000" w:themeColor="text1"/>
          <w:highlight w:val="none"/>
          <w14:textFill>
            <w14:solidFill>
              <w14:schemeClr w14:val="tx1"/>
            </w14:solidFill>
          </w14:textFill>
        </w:rPr>
      </w:pPr>
      <w:bookmarkStart w:id="1026" w:name="_Toc1256"/>
      <w:bookmarkStart w:id="1027" w:name="_Toc8430"/>
      <w:bookmarkStart w:id="1028" w:name="_Toc27135"/>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2.5运营期</w:t>
      </w:r>
      <w:r>
        <w:rPr>
          <w:color w:val="000000" w:themeColor="text1"/>
          <w:highlight w:val="none"/>
          <w14:textFill>
            <w14:solidFill>
              <w14:schemeClr w14:val="tx1"/>
            </w14:solidFill>
          </w14:textFill>
        </w:rPr>
        <w:t>土壤环境影响分析</w:t>
      </w:r>
      <w:bookmarkEnd w:id="1026"/>
      <w:bookmarkEnd w:id="1027"/>
      <w:bookmarkEnd w:id="1028"/>
    </w:p>
    <w:p w14:paraId="042F76F9">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lang w:val="en-US"/>
          <w14:textFill>
            <w14:solidFill>
              <w14:schemeClr w14:val="tx1"/>
            </w14:solidFill>
          </w14:textFill>
        </w:rPr>
        <w:t>.</w:t>
      </w:r>
      <w:r>
        <w:rPr>
          <w:rFonts w:hint="eastAsia"/>
          <w:color w:val="000000" w:themeColor="text1"/>
          <w:highlight w:val="none"/>
          <w:lang w:val="en-US"/>
          <w14:textFill>
            <w14:solidFill>
              <w14:schemeClr w14:val="tx1"/>
            </w14:solidFill>
          </w14:textFill>
        </w:rPr>
        <w:t>2.5.1土壤环境影响识别</w:t>
      </w:r>
    </w:p>
    <w:p w14:paraId="33093BF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污染物可以通过多种途径进入土壤，主要类型有以下三种。 </w:t>
      </w:r>
    </w:p>
    <w:p w14:paraId="2008191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）大气污染型：工程经治理后排放的大气污染物，通过降水、扩散和重力作用降落至地面，渗透进入土壤，进而污染土壤环境； </w:t>
      </w:r>
    </w:p>
    <w:p w14:paraId="554E2D70">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 xml:space="preserve">）水污染型：工程产生的生产废水，发生泄漏事故，未进行及时处理，进入周围环境，将会污染周围土壤环境；或未经处理、处理不达标，排入周围水体，将对土壤造成一定程度的影响； </w:t>
      </w:r>
    </w:p>
    <w:p w14:paraId="7D14FAE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）固体废物污染型：项目厂区危险废物、一般工业固体废物、生活垃圾等在运输、贮存或堆放过程中通过扩散、降水淋洗等直接或间接地影响土壤。</w:t>
      </w:r>
    </w:p>
    <w:p w14:paraId="08E0F810">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本项目土壤环境影响类型为</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污染影响型</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w:t>
      </w:r>
      <w:r>
        <w:rPr>
          <w:rFonts w:ascii="宋体" w:hAnsi="宋体" w:cs="宋体"/>
          <w:color w:val="000000" w:themeColor="text1"/>
          <w:highlight w:val="none"/>
          <w14:textFill>
            <w14:solidFill>
              <w14:schemeClr w14:val="tx1"/>
            </w14:solidFill>
          </w14:textFill>
        </w:rPr>
        <w:t>工程重点分析运营期对项目地及周边区域土壤环境的影响。本项目排放的大气污染物不涉及气溶胶类物质、重金属粉尘、放射性元素等，不涉及大气沉降影响</w:t>
      </w:r>
      <w:r>
        <w:rPr>
          <w:rFonts w:hint="eastAsia" w:ascii="宋体" w:hAnsi="宋体" w:cs="宋体"/>
          <w:color w:val="000000" w:themeColor="text1"/>
          <w:highlight w:val="none"/>
          <w14:textFill>
            <w14:solidFill>
              <w14:schemeClr w14:val="tx1"/>
            </w14:solidFill>
          </w14:textFill>
        </w:rPr>
        <w:t>。</w:t>
      </w:r>
    </w:p>
    <w:p w14:paraId="1FE522E3">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运营期对土壤环境的影响途径主要为：垂直入渗影响。 </w:t>
      </w:r>
    </w:p>
    <w:p w14:paraId="535BC8CE">
      <w:pPr>
        <w:pStyle w:val="27"/>
        <w:rPr>
          <w:rFonts w:hint="eastAsia"/>
          <w:color w:val="000000" w:themeColor="text1"/>
          <w:highlight w:val="none"/>
          <w14:textFill>
            <w14:solidFill>
              <w14:schemeClr w14:val="tx1"/>
            </w14:solidFill>
          </w14:textFill>
        </w:rPr>
      </w:pPr>
    </w:p>
    <w:p w14:paraId="466842C8">
      <w:pPr>
        <w:pStyle w:val="5"/>
        <w:shd w:val="clea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5.2.5.2土壤污染现状调查</w:t>
      </w:r>
    </w:p>
    <w:p w14:paraId="5BFD631B">
      <w:pPr>
        <w:bidi w:val="0"/>
        <w:rPr>
          <w:color w:val="000000" w:themeColor="text1"/>
          <w14:textFill>
            <w14:solidFill>
              <w14:schemeClr w14:val="tx1"/>
            </w14:solidFill>
          </w14:textFill>
        </w:rPr>
      </w:pPr>
      <w:r>
        <w:rPr>
          <w:color w:val="000000" w:themeColor="text1"/>
          <w14:textFill>
            <w14:solidFill>
              <w14:schemeClr w14:val="tx1"/>
            </w14:solidFill>
          </w14:textFill>
        </w:rPr>
        <w:t>本项目属于扩建污染影响型建设项目，土壤环境评价等级为</w:t>
      </w:r>
      <w:r>
        <w:rPr>
          <w:rFonts w:hint="eastAsia"/>
          <w:color w:val="000000" w:themeColor="text1"/>
          <w:lang w:val="en-US" w:eastAsia="zh-CN"/>
          <w14:textFill>
            <w14:solidFill>
              <w14:schemeClr w14:val="tx1"/>
            </w14:solidFill>
          </w14:textFill>
        </w:rPr>
        <w:t>一</w:t>
      </w:r>
      <w:r>
        <w:rPr>
          <w:color w:val="000000" w:themeColor="text1"/>
          <w14:textFill>
            <w14:solidFill>
              <w14:schemeClr w14:val="tx1"/>
            </w14:solidFill>
          </w14:textFill>
        </w:rPr>
        <w:t>级，按照《环境影响评价技术导则 土壤环境（试行）》（HJ 964-2018）要求，需开展现有工程土壤环境保护措施情况调查，并重点调查主要装置或设施附近的土壤污染现状。本次调查在收集现有工程环评、验收资料、防渗设计及历年环境管理台账基础上，梳理现有厂区防渗分区、污染防控设施、泄漏应急处置措施的落实情况，核查原料储罐区、反应生产区、物料输送管线等重点装置区域防渗层完好性，识别现有工程土壤污染防控存在的短板。</w:t>
      </w:r>
    </w:p>
    <w:p w14:paraId="20BF65E5">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项目现有项目环评及查阅项目建设资料结合现场踏勘情况，原有项目生产过程无废水外排，生活污水排入园区污水管网，项目区生产车间及原料库房采取了混凝土浇筑，经现场踏勘，现场未发现遗留的原辅材料、固废、废水等。</w:t>
      </w:r>
    </w:p>
    <w:p w14:paraId="313DF4F7">
      <w:pPr>
        <w:keepNext w:val="0"/>
        <w:keepLines w:val="0"/>
        <w:widowControl/>
        <w:suppressLineNumbers w:val="0"/>
        <w:shd w:val="clear"/>
        <w:jc w:val="left"/>
        <w:rPr>
          <w:rFonts w:hint="eastAsia" w:ascii="宋体" w:hAnsi="宋体" w:cs="宋体"/>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color w:val="000000" w:themeColor="text1"/>
          <w:spacing w:val="0"/>
          <w:kern w:val="0"/>
          <w:position w:val="0"/>
          <w:sz w:val="24"/>
          <w:szCs w:val="24"/>
          <w:highlight w:val="none"/>
          <w:lang w:val="en-US" w:eastAsia="zh-CN" w:bidi="ar"/>
          <w14:textFill>
            <w14:solidFill>
              <w14:schemeClr w14:val="tx1"/>
            </w14:solidFill>
          </w14:textFill>
        </w:rPr>
        <w:t>根据本次土壤环境现状调查可知，项目建设厂区内土壤采样点各监测因子均满足《土壤环境质量建设用地土壤污染风险管控标准</w:t>
      </w:r>
      <w:r>
        <w:rPr>
          <w:rFonts w:hint="default" w:ascii="Times New Roman" w:hAnsi="Times New Roman" w:eastAsia="宋体" w:cs="Times New Roman"/>
          <w:color w:val="000000" w:themeColor="text1"/>
          <w:spacing w:val="0"/>
          <w:kern w:val="0"/>
          <w:position w:val="0"/>
          <w:sz w:val="24"/>
          <w:szCs w:val="24"/>
          <w:highlight w:val="none"/>
          <w:lang w:val="en-US" w:eastAsia="zh-CN" w:bidi="ar"/>
          <w14:textFill>
            <w14:solidFill>
              <w14:schemeClr w14:val="tx1"/>
            </w14:solidFill>
          </w14:textFill>
        </w:rPr>
        <w:t>(</w:t>
      </w:r>
      <w:r>
        <w:rPr>
          <w:rFonts w:hint="eastAsia" w:ascii="宋体" w:hAnsi="宋体" w:eastAsia="宋体" w:cs="宋体"/>
          <w:color w:val="000000" w:themeColor="text1"/>
          <w:spacing w:val="0"/>
          <w:kern w:val="0"/>
          <w:position w:val="0"/>
          <w:sz w:val="24"/>
          <w:szCs w:val="24"/>
          <w:highlight w:val="none"/>
          <w:lang w:val="en-US" w:eastAsia="zh-CN" w:bidi="ar"/>
          <w14:textFill>
            <w14:solidFill>
              <w14:schemeClr w14:val="tx1"/>
            </w14:solidFill>
          </w14:textFill>
        </w:rPr>
        <w:t>试行</w:t>
      </w:r>
      <w:r>
        <w:rPr>
          <w:rFonts w:hint="default" w:ascii="Times New Roman" w:hAnsi="Times New Roman" w:eastAsia="宋体" w:cs="Times New Roman"/>
          <w:color w:val="000000" w:themeColor="text1"/>
          <w:spacing w:val="0"/>
          <w:kern w:val="0"/>
          <w:position w:val="0"/>
          <w:sz w:val="24"/>
          <w:szCs w:val="24"/>
          <w:highlight w:val="none"/>
          <w:lang w:val="en-US" w:eastAsia="zh-CN" w:bidi="ar"/>
          <w14:textFill>
            <w14:solidFill>
              <w14:schemeClr w14:val="tx1"/>
            </w14:solidFill>
          </w14:textFill>
        </w:rPr>
        <w:t>)</w:t>
      </w:r>
      <w:r>
        <w:rPr>
          <w:rFonts w:hint="eastAsia" w:ascii="宋体" w:hAnsi="宋体" w:eastAsia="宋体" w:cs="宋体"/>
          <w:color w:val="000000" w:themeColor="text1"/>
          <w:spacing w:val="0"/>
          <w:kern w:val="0"/>
          <w:positio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pacing w:val="0"/>
          <w:kern w:val="0"/>
          <w:position w:val="0"/>
          <w:sz w:val="24"/>
          <w:szCs w:val="24"/>
          <w:highlight w:val="none"/>
          <w:lang w:val="en-US" w:eastAsia="zh-CN" w:bidi="ar"/>
          <w14:textFill>
            <w14:solidFill>
              <w14:schemeClr w14:val="tx1"/>
            </w14:solidFill>
          </w14:textFill>
        </w:rPr>
        <w:t>(GB36600-2018)</w:t>
      </w:r>
      <w:r>
        <w:rPr>
          <w:rFonts w:hint="eastAsia" w:ascii="宋体" w:hAnsi="宋体" w:eastAsia="宋体" w:cs="宋体"/>
          <w:color w:val="000000" w:themeColor="text1"/>
          <w:spacing w:val="0"/>
          <w:kern w:val="0"/>
          <w:position w:val="0"/>
          <w:sz w:val="24"/>
          <w:szCs w:val="24"/>
          <w:highlight w:val="none"/>
          <w:lang w:val="en-US" w:eastAsia="zh-CN" w:bidi="ar"/>
          <w14:textFill>
            <w14:solidFill>
              <w14:schemeClr w14:val="tx1"/>
            </w14:solidFill>
          </w14:textFill>
        </w:rPr>
        <w:t>中第二类用地风险筛选值标准的要求</w:t>
      </w:r>
      <w:r>
        <w:rPr>
          <w:rFonts w:hint="eastAsia" w:ascii="宋体" w:hAnsi="宋体" w:cs="宋体"/>
          <w:color w:val="000000" w:themeColor="text1"/>
          <w:spacing w:val="0"/>
          <w:kern w:val="0"/>
          <w:position w:val="0"/>
          <w:sz w:val="24"/>
          <w:szCs w:val="24"/>
          <w:highlight w:val="none"/>
          <w:lang w:val="en-US" w:eastAsia="zh-CN" w:bidi="ar"/>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土壤污染物无明显表层富集、垂向下渗污染特征。地块当前土壤环境质量满足工业用地管控要求，不存在遗留污染地块，土壤环境现状良好。</w:t>
      </w:r>
    </w:p>
    <w:p w14:paraId="2F9BAB03">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lang w:val="en-US"/>
          <w14:textFill>
            <w14:solidFill>
              <w14:schemeClr w14:val="tx1"/>
            </w14:solidFill>
          </w14:textFill>
        </w:rPr>
        <w:t>.2.5.</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lang w:val="en-US"/>
          <w14:textFill>
            <w14:solidFill>
              <w14:schemeClr w14:val="tx1"/>
            </w14:solidFill>
          </w14:textFill>
        </w:rPr>
        <w:t xml:space="preserve">土壤环境影响分析 </w:t>
      </w:r>
    </w:p>
    <w:p w14:paraId="441F687F">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本项目土壤环境评价等级为一级，根据《环境影响评价技术导则 土壤环境（试行）》（HJ 964-2018）要求，需开展非正常工况事故情景下土壤污染迁移预测分析。项目生产使用浓硫酸，存在储罐、管道破损泄漏风险，泄漏硫酸可通过硬化破损区域入渗包气带，造成土壤酸化、硫酸盐累积污染。本次重点对浓硫酸瞬时泄漏入渗情景开展预测分析，识别土壤污染程度、垂向迁移规律及环境风险。</w:t>
      </w:r>
    </w:p>
    <w:p w14:paraId="2AD5D6F2">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正常</w:t>
      </w:r>
      <w:r>
        <w:rPr>
          <w:rFonts w:hint="eastAsia"/>
          <w:color w:val="000000" w:themeColor="text1"/>
          <w:highlight w:val="none"/>
          <w:lang w:val="en-US" w:eastAsia="zh-CN"/>
          <w14:textFill>
            <w14:solidFill>
              <w14:schemeClr w14:val="tx1"/>
            </w14:solidFill>
          </w14:textFill>
        </w:rPr>
        <w:t>工况</w:t>
      </w:r>
    </w:p>
    <w:p w14:paraId="3594434E">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正常</w:t>
      </w:r>
      <w:r>
        <w:rPr>
          <w:rFonts w:hint="eastAsia"/>
          <w:color w:val="000000" w:themeColor="text1"/>
          <w:highlight w:val="none"/>
          <w:lang w:val="en-US" w:eastAsia="zh-CN"/>
          <w14:textFill>
            <w14:solidFill>
              <w14:schemeClr w14:val="tx1"/>
            </w14:solidFill>
          </w14:textFill>
        </w:rPr>
        <w:t>工况</w:t>
      </w:r>
      <w:r>
        <w:rPr>
          <w:rFonts w:hint="default"/>
          <w:color w:val="000000" w:themeColor="text1"/>
          <w:highlight w:val="none"/>
          <w:lang w:val="en-US" w:eastAsia="zh-CN"/>
          <w14:textFill>
            <w14:solidFill>
              <w14:schemeClr w14:val="tx1"/>
            </w14:solidFill>
          </w14:textFill>
        </w:rPr>
        <w:t>下，项目拟采取分区防渗措施，罐区、</w:t>
      </w:r>
      <w:r>
        <w:rPr>
          <w:rFonts w:hint="eastAsia"/>
          <w:color w:val="000000" w:themeColor="text1"/>
          <w:highlight w:val="none"/>
          <w:lang w:val="en-US" w:eastAsia="zh-CN"/>
          <w14:textFill>
            <w14:solidFill>
              <w14:schemeClr w14:val="tx1"/>
            </w14:solidFill>
          </w14:textFill>
        </w:rPr>
        <w:t>危废贮存库</w:t>
      </w:r>
      <w:r>
        <w:rPr>
          <w:rFonts w:hint="default"/>
          <w:color w:val="000000" w:themeColor="text1"/>
          <w:highlight w:val="none"/>
          <w:lang w:val="en-US" w:eastAsia="zh-CN"/>
          <w14:textFill>
            <w14:solidFill>
              <w14:schemeClr w14:val="tx1"/>
            </w14:solidFill>
          </w14:textFill>
        </w:rPr>
        <w:t>等均为重点防渗区，正常情况下废水及</w:t>
      </w:r>
      <w:r>
        <w:rPr>
          <w:rFonts w:hint="eastAsia"/>
          <w:color w:val="000000" w:themeColor="text1"/>
          <w:highlight w:val="none"/>
          <w:lang w:val="en-US" w:eastAsia="zh-CN"/>
          <w14:textFill>
            <w14:solidFill>
              <w14:schemeClr w14:val="tx1"/>
            </w14:solidFill>
          </w14:textFill>
        </w:rPr>
        <w:t>硫酸</w:t>
      </w:r>
      <w:r>
        <w:rPr>
          <w:rFonts w:hint="default"/>
          <w:color w:val="000000" w:themeColor="text1"/>
          <w:highlight w:val="none"/>
          <w:lang w:val="en-US" w:eastAsia="zh-CN"/>
          <w14:textFill>
            <w14:solidFill>
              <w14:schemeClr w14:val="tx1"/>
            </w14:solidFill>
          </w14:textFill>
        </w:rPr>
        <w:t>等不会下渗到土壤中。同时，项目各种物料均在设备、料罐和管道内，污水均在管道和钢筋混凝土池内，不会有物料和污水渗漏至地下的情景发生，对土壤环境影响不大。另外，项目大气污染物包括粉尘、挥发性有机物，不包含重金属、有机物等易累积和难降解的污染物，对土壤环境影响不大。因此，本项目采取相关防护措施，正常情况下项目对土壤环境影响不大。</w:t>
      </w:r>
    </w:p>
    <w:p w14:paraId="5ECED75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非正常</w:t>
      </w:r>
      <w:r>
        <w:rPr>
          <w:rFonts w:hint="eastAsia"/>
          <w:color w:val="000000" w:themeColor="text1"/>
          <w:highlight w:val="none"/>
          <w:lang w:val="en-US" w:eastAsia="zh-CN"/>
          <w14:textFill>
            <w14:solidFill>
              <w14:schemeClr w14:val="tx1"/>
            </w14:solidFill>
          </w14:textFill>
        </w:rPr>
        <w:t>工况</w:t>
      </w:r>
    </w:p>
    <w:p w14:paraId="778F5D74">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项目非正常情况下，</w:t>
      </w:r>
      <w:r>
        <w:rPr>
          <w:rFonts w:hint="eastAsia"/>
          <w:color w:val="000000" w:themeColor="text1"/>
          <w:highlight w:val="none"/>
          <w:lang w:val="en-US" w:eastAsia="zh-CN"/>
          <w14:textFill>
            <w14:solidFill>
              <w14:schemeClr w14:val="tx1"/>
            </w14:solidFill>
          </w14:textFill>
        </w:rPr>
        <w:t>硫酸</w:t>
      </w:r>
      <w:r>
        <w:rPr>
          <w:rFonts w:hint="default"/>
          <w:color w:val="000000" w:themeColor="text1"/>
          <w:highlight w:val="none"/>
          <w:lang w:val="en-US" w:eastAsia="zh-CN"/>
          <w14:textFill>
            <w14:solidFill>
              <w14:schemeClr w14:val="tx1"/>
            </w14:solidFill>
          </w14:textFill>
        </w:rPr>
        <w:t>等液态</w:t>
      </w:r>
      <w:r>
        <w:rPr>
          <w:rFonts w:hint="eastAsia"/>
          <w:color w:val="000000" w:themeColor="text1"/>
          <w:highlight w:val="none"/>
          <w:lang w:val="en-US" w:eastAsia="zh-CN"/>
          <w14:textFill>
            <w14:solidFill>
              <w14:schemeClr w14:val="tx1"/>
            </w14:solidFill>
          </w14:textFill>
        </w:rPr>
        <w:t>物料</w:t>
      </w:r>
      <w:r>
        <w:rPr>
          <w:rFonts w:hint="default"/>
          <w:color w:val="000000" w:themeColor="text1"/>
          <w:highlight w:val="none"/>
          <w:lang w:val="en-US" w:eastAsia="zh-CN"/>
          <w14:textFill>
            <w14:solidFill>
              <w14:schemeClr w14:val="tx1"/>
            </w14:solidFill>
          </w14:textFill>
        </w:rPr>
        <w:t>罐发生渗漏时，污染物的垂直渗入将对土壤环境的污染影响。</w:t>
      </w:r>
    </w:p>
    <w:p w14:paraId="75C06A23">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本环评仅对非正常</w:t>
      </w:r>
      <w:r>
        <w:rPr>
          <w:rFonts w:hint="eastAsia"/>
          <w:color w:val="000000" w:themeColor="text1"/>
          <w:highlight w:val="none"/>
          <w:lang w:val="en-US" w:eastAsia="zh-CN"/>
          <w14:textFill>
            <w14:solidFill>
              <w14:schemeClr w14:val="tx1"/>
            </w14:solidFill>
          </w14:textFill>
        </w:rPr>
        <w:t>工程</w:t>
      </w:r>
      <w:r>
        <w:rPr>
          <w:rFonts w:hint="default"/>
          <w:color w:val="000000" w:themeColor="text1"/>
          <w:highlight w:val="none"/>
          <w:lang w:val="en-US" w:eastAsia="zh-CN"/>
          <w14:textFill>
            <w14:solidFill>
              <w14:schemeClr w14:val="tx1"/>
            </w14:solidFill>
          </w14:textFill>
        </w:rPr>
        <w:t>进行预测，采用《土壤环境质量建设用地土壤污染风险管控标准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试行</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GB36600-2018</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附录 E1方法一进行土壤污染预测。</w:t>
      </w:r>
    </w:p>
    <w:p w14:paraId="33ECD9C1">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预测范围</w:t>
      </w:r>
    </w:p>
    <w:p w14:paraId="71D820F4">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土壤预测范围与现状调查范围一致，即边界外扩200m的矩形区域。</w:t>
      </w:r>
    </w:p>
    <w:p w14:paraId="17A509C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预测时段</w:t>
      </w:r>
    </w:p>
    <w:p w14:paraId="32E6A2FA">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结合本项目特点，选取运行</w:t>
      </w:r>
      <w:r>
        <w:rPr>
          <w:rFonts w:hint="eastAsia"/>
          <w:color w:val="000000" w:themeColor="text1"/>
          <w:highlight w:val="none"/>
          <w:lang w:val="en-US" w:eastAsia="zh-CN"/>
          <w14:textFill>
            <w14:solidFill>
              <w14:schemeClr w14:val="tx1"/>
            </w14:solidFill>
          </w14:textFill>
        </w:rPr>
        <w:t>阶段做</w:t>
      </w:r>
      <w:r>
        <w:rPr>
          <w:rFonts w:hint="default"/>
          <w:color w:val="000000" w:themeColor="text1"/>
          <w:highlight w:val="none"/>
          <w:lang w:val="en-US" w:eastAsia="zh-CN"/>
          <w14:textFill>
            <w14:solidFill>
              <w14:schemeClr w14:val="tx1"/>
            </w14:solidFill>
          </w14:textFill>
        </w:rPr>
        <w:t xml:space="preserve"> 10年为预测时段。</w:t>
      </w:r>
    </w:p>
    <w:p w14:paraId="34D0F14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预测情景</w:t>
      </w:r>
    </w:p>
    <w:p w14:paraId="19083CFC">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本次预测选取最不利保守事故情景：硫酸储存设施发生破损，浓硫酸瞬时泄漏，局部防渗层破损，应急收集存在短时滞后，少量硫酸渗入包气带土壤，形成点状垂向入渗污染。</w:t>
      </w:r>
    </w:p>
    <w:p w14:paraId="0BBCCED0">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预测因子</w:t>
      </w:r>
    </w:p>
    <w:p w14:paraId="6B3DC95C">
      <w:pPr>
        <w:bidi w:val="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预测因子选取硫酸盐（SO₄²⁻）作为特征污染因子，同步分析土壤pH酸化影响。由于《土壤环境质量 建设用地土壤污染风险管控标准》（GB36600-2019）无硫酸盐、pH筛选值，本次以区域土壤背景值作为对照，重点分析污染物增量、垂向迁移特征及污染影响范围。</w:t>
      </w:r>
    </w:p>
    <w:p w14:paraId="69F1E95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预测方法</w:t>
      </w:r>
    </w:p>
    <w:p w14:paraId="7E3F228B">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采用《环境影响评价技术导则·土壤环境</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试行</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》J964-2018</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附录E方法进行预测。</w:t>
      </w:r>
      <w:r>
        <w:rPr>
          <w:color w:val="000000" w:themeColor="text1"/>
          <w:highlight w:val="none"/>
          <w14:textFill>
            <w14:solidFill>
              <w14:schemeClr w14:val="tx1"/>
            </w14:solidFill>
          </w14:textFill>
        </w:rPr>
        <w:t>硫酸进入土壤后发生两类变化：一是氢离子与土壤碳酸盐、黏土矿物发生中和反应，酸化影响集中在浅层；二是硫酸根离子吸附性极弱，随土壤入渗水持续向下迁移，是长期土壤污染主控因子。</w:t>
      </w:r>
    </w:p>
    <w:p w14:paraId="66F32EC5">
      <w:pPr>
        <w:ind w:firstLine="480"/>
        <w:rPr>
          <w:rFonts w:hint="eastAsia"/>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①</w:t>
      </w:r>
      <w:r>
        <w:rPr>
          <w:rFonts w:hint="eastAsia"/>
          <w:color w:val="000000" w:themeColor="text1"/>
          <w:highlight w:val="none"/>
          <w:lang w:val="zh-CN"/>
          <w14:textFill>
            <w14:solidFill>
              <w14:schemeClr w14:val="tx1"/>
            </w14:solidFill>
          </w14:textFill>
        </w:rPr>
        <w:t>一维非饱和溶质垂向运移控制方程：</w:t>
      </w:r>
    </w:p>
    <w:p w14:paraId="6188585E">
      <w:pPr>
        <w:ind w:firstLine="0" w:firstLineChars="0"/>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drawing>
          <wp:anchor distT="0" distB="0" distL="114300" distR="114300" simplePos="0" relativeHeight="251663360" behindDoc="0" locked="0" layoutInCell="1" allowOverlap="1">
            <wp:simplePos x="0" y="0"/>
            <wp:positionH relativeFrom="column">
              <wp:posOffset>988695</wp:posOffset>
            </wp:positionH>
            <wp:positionV relativeFrom="paragraph">
              <wp:posOffset>160020</wp:posOffset>
            </wp:positionV>
            <wp:extent cx="2466975" cy="572135"/>
            <wp:effectExtent l="0" t="0" r="9525" b="12065"/>
            <wp:wrapNone/>
            <wp:docPr id="3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
                    <pic:cNvPicPr>
                      <a:picLocks noChangeAspect="1"/>
                    </pic:cNvPicPr>
                  </pic:nvPicPr>
                  <pic:blipFill>
                    <a:blip r:embed="rId55"/>
                    <a:stretch>
                      <a:fillRect/>
                    </a:stretch>
                  </pic:blipFill>
                  <pic:spPr>
                    <a:xfrm>
                      <a:off x="0" y="0"/>
                      <a:ext cx="2466975" cy="572135"/>
                    </a:xfrm>
                    <a:prstGeom prst="rect">
                      <a:avLst/>
                    </a:prstGeom>
                    <a:noFill/>
                    <a:ln>
                      <a:noFill/>
                    </a:ln>
                  </pic:spPr>
                </pic:pic>
              </a:graphicData>
            </a:graphic>
          </wp:anchor>
        </w:drawing>
      </w:r>
    </w:p>
    <w:p w14:paraId="60698E83">
      <w:pPr>
        <w:ind w:firstLine="480"/>
        <w:rPr>
          <w:color w:val="000000" w:themeColor="text1"/>
          <w:highlight w:val="none"/>
          <w:lang w:val="zh-CN"/>
          <w14:textFill>
            <w14:solidFill>
              <w14:schemeClr w14:val="tx1"/>
            </w14:solidFill>
          </w14:textFill>
        </w:rPr>
      </w:pPr>
    </w:p>
    <w:p w14:paraId="0C5ED79A">
      <w:pPr>
        <w:wordWrap/>
        <w:adjustRightInd w:val="0"/>
        <w:snapToGrid w:val="0"/>
        <w:ind w:firstLine="480"/>
        <w:rPr>
          <w:color w:val="000000" w:themeColor="text1"/>
          <w:highlight w:val="none"/>
          <w:lang w:val="zh-CN" w:bidi="zh-CN"/>
          <w14:textFill>
            <w14:solidFill>
              <w14:schemeClr w14:val="tx1"/>
            </w14:solidFill>
          </w14:textFill>
        </w:rPr>
      </w:pPr>
    </w:p>
    <w:p w14:paraId="150DD236">
      <w:pPr>
        <w:wordWrap/>
        <w:adjustRightInd w:val="0"/>
        <w:snapToGrid w:val="0"/>
        <w:ind w:firstLine="480"/>
        <w:rPr>
          <w:color w:val="000000" w:themeColor="text1"/>
          <w:highlight w:val="none"/>
          <w:lang w:val="zh-CN" w:bidi="zh-CN"/>
          <w14:textFill>
            <w14:solidFill>
              <w14:schemeClr w14:val="tx1"/>
            </w14:solidFill>
          </w14:textFill>
        </w:rPr>
      </w:pPr>
    </w:p>
    <w:p w14:paraId="4D25F619">
      <w:pPr>
        <w:ind w:firstLine="480"/>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式中：c—污染物介质中的浓度，mg/L；</w:t>
      </w:r>
    </w:p>
    <w:p w14:paraId="0ABCBCA3">
      <w:pPr>
        <w:ind w:firstLine="1200" w:firstLineChars="500"/>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D—弥散系数，m</w:t>
      </w:r>
      <w:r>
        <w:rPr>
          <w:color w:val="000000" w:themeColor="text1"/>
          <w:highlight w:val="none"/>
          <w:vertAlign w:val="superscript"/>
          <w:lang w:val="zh-CN"/>
          <w14:textFill>
            <w14:solidFill>
              <w14:schemeClr w14:val="tx1"/>
            </w14:solidFill>
          </w14:textFill>
        </w:rPr>
        <w:t>2</w:t>
      </w:r>
      <w:r>
        <w:rPr>
          <w:color w:val="000000" w:themeColor="text1"/>
          <w:highlight w:val="none"/>
          <w:lang w:val="zh-CN"/>
          <w14:textFill>
            <w14:solidFill>
              <w14:schemeClr w14:val="tx1"/>
            </w14:solidFill>
          </w14:textFill>
        </w:rPr>
        <w:t>/d；</w:t>
      </w:r>
    </w:p>
    <w:p w14:paraId="29CA7C9D">
      <w:pPr>
        <w:ind w:firstLine="1200" w:firstLineChars="500"/>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q—渗流速度，m/d；</w:t>
      </w:r>
    </w:p>
    <w:p w14:paraId="6E19CB34">
      <w:pPr>
        <w:ind w:firstLine="1200" w:firstLineChars="500"/>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z—沿z轴的距离，m；</w:t>
      </w:r>
    </w:p>
    <w:p w14:paraId="01A3AC48">
      <w:pPr>
        <w:ind w:firstLine="1200" w:firstLineChars="500"/>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t—时间变量，d；</w:t>
      </w:r>
    </w:p>
    <w:p w14:paraId="668A7168">
      <w:pPr>
        <w:ind w:firstLine="1200" w:firstLineChars="500"/>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θ—土壤含水率，%。</w:t>
      </w:r>
    </w:p>
    <w:p w14:paraId="72C32556">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②</w:t>
      </w:r>
      <w:r>
        <w:rPr>
          <w:color w:val="000000" w:themeColor="text1"/>
          <w:highlight w:val="none"/>
          <w:lang w:val="zh-CN"/>
          <w14:textFill>
            <w14:solidFill>
              <w14:schemeClr w14:val="tx1"/>
            </w14:solidFill>
          </w14:textFill>
        </w:rPr>
        <w:t>初始条件</w:t>
      </w:r>
    </w:p>
    <w:p w14:paraId="044EFC99">
      <w:pPr>
        <w:ind w:firstLine="480"/>
        <w:rPr>
          <w:color w:val="000000" w:themeColor="text1"/>
          <w:highlight w:val="none"/>
          <w:lang w:val="zh-CN"/>
          <w14:textFill>
            <w14:solidFill>
              <w14:schemeClr w14:val="tx1"/>
            </w14:solidFill>
          </w14:textFill>
        </w:rPr>
      </w:pPr>
      <w:r>
        <w:rPr>
          <w:color w:val="000000" w:themeColor="text1"/>
          <w:highlight w:val="none"/>
          <w:lang w:val="zh-CN"/>
          <w14:textFill>
            <w14:solidFill>
              <w14:schemeClr w14:val="tx1"/>
            </w14:solidFill>
          </w14:textFill>
        </w:rPr>
        <w:t>第一类Dirichlet边界条件：</w:t>
      </w:r>
    </w:p>
    <w:p w14:paraId="7C0540AC">
      <w:pPr>
        <w:wordWrap/>
        <w:adjustRightInd w:val="0"/>
        <w:snapToGrid w:val="0"/>
        <w:ind w:firstLine="480"/>
        <w:jc w:val="center"/>
        <w:rPr>
          <w:color w:val="000000" w:themeColor="text1"/>
          <w:highlight w:val="none"/>
          <w:lang w:val="zh-CN" w:bidi="zh-CN"/>
          <w14:textFill>
            <w14:solidFill>
              <w14:schemeClr w14:val="tx1"/>
            </w14:solidFill>
          </w14:textFill>
        </w:rPr>
      </w:pPr>
      <w:r>
        <w:rPr>
          <w:color w:val="000000" w:themeColor="text1"/>
          <w:highlight w:val="none"/>
          <w:lang w:val="zh-CN" w:bidi="zh-CN"/>
          <w14:textFill>
            <w14:solidFill>
              <w14:schemeClr w14:val="tx1"/>
            </w14:solidFill>
          </w14:textFill>
        </w:rPr>
        <w:drawing>
          <wp:inline distT="0" distB="0" distL="114300" distR="114300">
            <wp:extent cx="3783965" cy="547370"/>
            <wp:effectExtent l="0" t="0" r="635" b="11430"/>
            <wp:docPr id="29" name="图片 2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图片1"/>
                    <pic:cNvPicPr>
                      <a:picLocks noChangeAspect="1"/>
                    </pic:cNvPicPr>
                  </pic:nvPicPr>
                  <pic:blipFill>
                    <a:blip r:embed="rId56"/>
                    <a:srcRect b="75104"/>
                    <a:stretch>
                      <a:fillRect/>
                    </a:stretch>
                  </pic:blipFill>
                  <pic:spPr>
                    <a:xfrm>
                      <a:off x="0" y="0"/>
                      <a:ext cx="3783965" cy="547370"/>
                    </a:xfrm>
                    <a:prstGeom prst="rect">
                      <a:avLst/>
                    </a:prstGeom>
                    <a:noFill/>
                    <a:ln>
                      <a:noFill/>
                    </a:ln>
                  </pic:spPr>
                </pic:pic>
              </a:graphicData>
            </a:graphic>
          </wp:inline>
        </w:drawing>
      </w:r>
    </w:p>
    <w:p w14:paraId="0444D8E2">
      <w:pPr>
        <w:wordWrap/>
        <w:adjustRightInd w:val="0"/>
        <w:snapToGrid w:val="0"/>
        <w:ind w:firstLine="0" w:firstLineChars="0"/>
        <w:jc w:val="center"/>
        <w:rPr>
          <w:color w:val="000000" w:themeColor="text1"/>
          <w:highlight w:val="none"/>
          <w:lang w:val="zh-CN" w:bidi="zh-CN"/>
          <w14:textFill>
            <w14:solidFill>
              <w14:schemeClr w14:val="tx1"/>
            </w14:solidFill>
          </w14:textFill>
        </w:rPr>
      </w:pPr>
      <w:r>
        <w:rPr>
          <w:color w:val="000000" w:themeColor="text1"/>
          <w:highlight w:val="none"/>
          <w:lang w:val="zh-CN" w:bidi="zh-CN"/>
          <w14:textFill>
            <w14:solidFill>
              <w14:schemeClr w14:val="tx1"/>
            </w14:solidFill>
          </w14:textFill>
        </w:rPr>
        <w:drawing>
          <wp:inline distT="0" distB="0" distL="114300" distR="114300">
            <wp:extent cx="3698240" cy="1621155"/>
            <wp:effectExtent l="0" t="0" r="10160" b="4445"/>
            <wp:docPr id="36" name="图片 2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2" descr="图片1"/>
                    <pic:cNvPicPr>
                      <a:picLocks noChangeAspect="1"/>
                    </pic:cNvPicPr>
                  </pic:nvPicPr>
                  <pic:blipFill>
                    <a:blip r:embed="rId56"/>
                    <a:srcRect t="24481"/>
                    <a:stretch>
                      <a:fillRect/>
                    </a:stretch>
                  </pic:blipFill>
                  <pic:spPr>
                    <a:xfrm>
                      <a:off x="0" y="0"/>
                      <a:ext cx="3698240" cy="1621155"/>
                    </a:xfrm>
                    <a:prstGeom prst="rect">
                      <a:avLst/>
                    </a:prstGeom>
                    <a:noFill/>
                    <a:ln>
                      <a:noFill/>
                    </a:ln>
                  </pic:spPr>
                </pic:pic>
              </a:graphicData>
            </a:graphic>
          </wp:inline>
        </w:drawing>
      </w:r>
    </w:p>
    <w:p w14:paraId="43FBCBA9">
      <w:pPr>
        <w:ind w:firstLine="480"/>
        <w:rPr>
          <w:rFonts w:hint="eastAsia"/>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③</w:t>
      </w:r>
      <w:r>
        <w:rPr>
          <w:rFonts w:hint="eastAsia"/>
          <w:color w:val="000000" w:themeColor="text1"/>
          <w:highlight w:val="none"/>
          <w:lang w:val="zh-CN"/>
          <w14:textFill>
            <w14:solidFill>
              <w14:schemeClr w14:val="tx1"/>
            </w14:solidFill>
          </w14:textFill>
        </w:rPr>
        <w:t>模型概化</w:t>
      </w:r>
    </w:p>
    <w:p w14:paraId="1C4FF1D5">
      <w:pPr>
        <w:ind w:firstLine="480"/>
        <w:rPr>
          <w:rFonts w:hint="eastAsia"/>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1）边界条件</w:t>
      </w:r>
    </w:p>
    <w:p w14:paraId="194C8134">
      <w:pPr>
        <w:ind w:firstLine="480"/>
        <w:rPr>
          <w:rFonts w:hint="eastAsia"/>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模型上边界概化为稳定的污染物定水头补给边界，下边界为自由排泄边界。</w:t>
      </w:r>
    </w:p>
    <w:p w14:paraId="2FB92D6E">
      <w:pPr>
        <w:ind w:firstLine="480"/>
        <w:rPr>
          <w:rFonts w:hint="eastAsia"/>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2）土壤概化</w:t>
      </w:r>
    </w:p>
    <w:p w14:paraId="71B8D8DF">
      <w:pPr>
        <w:ind w:firstLine="480"/>
        <w:rPr>
          <w:rFonts w:hint="eastAsia"/>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结合本项目岩土工程勘察及水文地质勘察成果，将土壤概化为一种类型，渗透系数</w:t>
      </w: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0015</w:t>
      </w:r>
      <w:r>
        <w:rPr>
          <w:color w:val="000000" w:themeColor="text1"/>
          <w:highlight w:val="none"/>
          <w14:textFill>
            <w14:solidFill>
              <w14:schemeClr w14:val="tx1"/>
            </w14:solidFill>
          </w14:textFill>
        </w:rPr>
        <w:t>m/d</w:t>
      </w:r>
      <w:r>
        <w:rPr>
          <w:rFonts w:hint="eastAsia"/>
          <w:color w:val="000000" w:themeColor="text1"/>
          <w:highlight w:val="none"/>
          <w:lang w:val="zh-CN"/>
          <w14:textFill>
            <w14:solidFill>
              <w14:schemeClr w14:val="tx1"/>
            </w14:solidFill>
          </w14:textFill>
        </w:rPr>
        <w:t>。</w:t>
      </w:r>
    </w:p>
    <w:p w14:paraId="7B94F6AB">
      <w:pPr>
        <w:ind w:firstLine="480"/>
        <w:rPr>
          <w:rFonts w:hint="eastAsia"/>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③</w:t>
      </w:r>
      <w:r>
        <w:rPr>
          <w:rFonts w:hint="eastAsia"/>
          <w:color w:val="000000" w:themeColor="text1"/>
          <w:highlight w:val="none"/>
          <w:lang w:val="zh-CN"/>
          <w14:textFill>
            <w14:solidFill>
              <w14:schemeClr w14:val="tx1"/>
            </w14:solidFill>
          </w14:textFill>
        </w:rPr>
        <w:t>土壤污染预测结果</w:t>
      </w:r>
    </w:p>
    <w:p w14:paraId="5757326B">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w:t>
      </w:r>
      <w:r>
        <w:rPr>
          <w:rFonts w:hint="eastAsia"/>
          <w:color w:val="000000" w:themeColor="text1"/>
          <w:highlight w:val="none"/>
          <w14:textFill>
            <w14:solidFill>
              <w14:schemeClr w14:val="tx1"/>
            </w14:solidFill>
          </w14:textFill>
        </w:rPr>
        <w:t>渗漏并持续深入土壤并不断向下渗透，在不同水平年污染物沿土壤迁移模拟结果见表</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w:t>
      </w:r>
    </w:p>
    <w:p w14:paraId="3A903C7F">
      <w:pPr>
        <w:pStyle w:val="25"/>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 xml:space="preserve">1    </w:t>
      </w:r>
      <w:r>
        <w:rPr>
          <w:color w:val="000000" w:themeColor="text1"/>
          <w:highlight w:val="none"/>
          <w14:textFill>
            <w14:solidFill>
              <w14:schemeClr w14:val="tx1"/>
            </w14:solidFill>
          </w14:textFill>
        </w:rPr>
        <w:t>硫酸泄漏包气带不同深度硫酸盐浓度预测结果（mg/L）</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11"/>
        <w:gridCol w:w="1512"/>
        <w:gridCol w:w="1512"/>
        <w:gridCol w:w="1512"/>
        <w:gridCol w:w="1512"/>
        <w:gridCol w:w="1512"/>
      </w:tblGrid>
      <w:tr w14:paraId="683D99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8" w:hRule="atLeast"/>
          <w:jc w:val="center"/>
        </w:trPr>
        <w:tc>
          <w:tcPr>
            <w:tcW w:w="1080" w:type="dxa"/>
            <w:tcBorders>
              <w:bottom w:val="single" w:color="auto" w:sz="12" w:space="0"/>
            </w:tcBorders>
            <w:shd w:val="clear" w:color="auto" w:fill="auto"/>
            <w:noWrap/>
            <w:vAlign w:val="center"/>
          </w:tcPr>
          <w:p w14:paraId="37153F18">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深度 z (m)</w:t>
            </w:r>
          </w:p>
        </w:tc>
        <w:tc>
          <w:tcPr>
            <w:tcW w:w="1080" w:type="dxa"/>
            <w:tcBorders>
              <w:bottom w:val="single" w:color="auto" w:sz="12" w:space="0"/>
            </w:tcBorders>
            <w:shd w:val="clear" w:color="auto" w:fill="auto"/>
            <w:noWrap/>
            <w:vAlign w:val="center"/>
          </w:tcPr>
          <w:p w14:paraId="1DE9075E">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t=10d</w:t>
            </w:r>
          </w:p>
        </w:tc>
        <w:tc>
          <w:tcPr>
            <w:tcW w:w="1080" w:type="dxa"/>
            <w:tcBorders>
              <w:bottom w:val="single" w:color="auto" w:sz="12" w:space="0"/>
            </w:tcBorders>
            <w:shd w:val="clear" w:color="auto" w:fill="auto"/>
            <w:noWrap/>
            <w:vAlign w:val="center"/>
          </w:tcPr>
          <w:p w14:paraId="3D0DD96D">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t=100d</w:t>
            </w:r>
          </w:p>
        </w:tc>
        <w:tc>
          <w:tcPr>
            <w:tcW w:w="1080" w:type="dxa"/>
            <w:tcBorders>
              <w:bottom w:val="single" w:color="auto" w:sz="12" w:space="0"/>
            </w:tcBorders>
            <w:shd w:val="clear" w:color="auto" w:fill="auto"/>
            <w:noWrap/>
            <w:vAlign w:val="center"/>
          </w:tcPr>
          <w:p w14:paraId="6D7E15B6">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t=365d</w:t>
            </w:r>
          </w:p>
        </w:tc>
        <w:tc>
          <w:tcPr>
            <w:tcW w:w="1080" w:type="dxa"/>
            <w:tcBorders>
              <w:bottom w:val="single" w:color="auto" w:sz="12" w:space="0"/>
            </w:tcBorders>
            <w:shd w:val="clear" w:color="auto" w:fill="auto"/>
            <w:noWrap/>
            <w:vAlign w:val="center"/>
          </w:tcPr>
          <w:p w14:paraId="298341C6">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t=1095d</w:t>
            </w:r>
          </w:p>
        </w:tc>
        <w:tc>
          <w:tcPr>
            <w:tcW w:w="1080" w:type="dxa"/>
            <w:tcBorders>
              <w:bottom w:val="single" w:color="auto" w:sz="12" w:space="0"/>
            </w:tcBorders>
            <w:shd w:val="clear" w:color="auto" w:fill="auto"/>
            <w:noWrap/>
            <w:vAlign w:val="center"/>
          </w:tcPr>
          <w:p w14:paraId="46ABAC4E">
            <w:pPr>
              <w:pStyle w:val="26"/>
              <w:bidi w:val="0"/>
              <w:rPr>
                <w:rFonts w:hint="eastAsia"/>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t=3650d</w:t>
            </w:r>
          </w:p>
        </w:tc>
      </w:tr>
      <w:tr w14:paraId="498797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0" w:type="auto"/>
            <w:tcBorders>
              <w:top w:val="single" w:color="auto" w:sz="12" w:space="0"/>
              <w:tl2br w:val="nil"/>
              <w:tr2bl w:val="nil"/>
            </w:tcBorders>
            <w:shd w:val="clear" w:color="auto" w:fill="auto"/>
            <w:noWrap/>
            <w:vAlign w:val="center"/>
          </w:tcPr>
          <w:p w14:paraId="173F664B">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op w:val="single" w:color="auto" w:sz="12" w:space="0"/>
              <w:tl2br w:val="nil"/>
              <w:tr2bl w:val="nil"/>
            </w:tcBorders>
            <w:shd w:val="clear" w:color="auto" w:fill="auto"/>
            <w:noWrap/>
            <w:vAlign w:val="center"/>
          </w:tcPr>
          <w:p w14:paraId="6D6D0361">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142.61</w:t>
            </w:r>
          </w:p>
        </w:tc>
        <w:tc>
          <w:tcPr>
            <w:tcW w:w="0" w:type="auto"/>
            <w:tcBorders>
              <w:top w:val="single" w:color="auto" w:sz="12" w:space="0"/>
              <w:tl2br w:val="nil"/>
              <w:tr2bl w:val="nil"/>
            </w:tcBorders>
            <w:shd w:val="clear" w:color="auto" w:fill="auto"/>
            <w:noWrap/>
            <w:vAlign w:val="center"/>
          </w:tcPr>
          <w:p w14:paraId="00CC950F">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12.92</w:t>
            </w:r>
          </w:p>
        </w:tc>
        <w:tc>
          <w:tcPr>
            <w:tcW w:w="0" w:type="auto"/>
            <w:tcBorders>
              <w:top w:val="single" w:color="auto" w:sz="12" w:space="0"/>
              <w:tl2br w:val="nil"/>
              <w:tr2bl w:val="nil"/>
            </w:tcBorders>
            <w:shd w:val="clear" w:color="auto" w:fill="auto"/>
            <w:noWrap/>
            <w:vAlign w:val="center"/>
          </w:tcPr>
          <w:p w14:paraId="21167A81">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3.55</w:t>
            </w:r>
          </w:p>
        </w:tc>
        <w:tc>
          <w:tcPr>
            <w:tcW w:w="0" w:type="auto"/>
            <w:tcBorders>
              <w:top w:val="single" w:color="auto" w:sz="12" w:space="0"/>
              <w:tl2br w:val="nil"/>
              <w:tr2bl w:val="nil"/>
            </w:tcBorders>
            <w:shd w:val="clear" w:color="auto" w:fill="auto"/>
            <w:noWrap/>
            <w:vAlign w:val="center"/>
          </w:tcPr>
          <w:p w14:paraId="723CB049">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1.18</w:t>
            </w:r>
          </w:p>
        </w:tc>
        <w:tc>
          <w:tcPr>
            <w:tcW w:w="0" w:type="auto"/>
            <w:tcBorders>
              <w:top w:val="single" w:color="auto" w:sz="12" w:space="0"/>
              <w:tl2br w:val="nil"/>
              <w:tr2bl w:val="nil"/>
            </w:tcBorders>
            <w:shd w:val="clear" w:color="auto" w:fill="auto"/>
            <w:noWrap/>
            <w:vAlign w:val="center"/>
          </w:tcPr>
          <w:p w14:paraId="4AD64068">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0.35</w:t>
            </w:r>
          </w:p>
        </w:tc>
      </w:tr>
      <w:tr w14:paraId="79B948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0" w:type="auto"/>
            <w:tcBorders>
              <w:tl2br w:val="nil"/>
              <w:tr2bl w:val="nil"/>
            </w:tcBorders>
            <w:shd w:val="clear" w:color="auto" w:fill="auto"/>
            <w:noWrap/>
            <w:vAlign w:val="center"/>
          </w:tcPr>
          <w:p w14:paraId="634FE2BF">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0" w:type="auto"/>
            <w:tcBorders>
              <w:tl2br w:val="nil"/>
              <w:tr2bl w:val="nil"/>
            </w:tcBorders>
            <w:shd w:val="clear" w:color="auto" w:fill="auto"/>
            <w:noWrap/>
            <w:vAlign w:val="center"/>
          </w:tcPr>
          <w:p w14:paraId="0A1C36AA">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38.47</w:t>
            </w:r>
          </w:p>
        </w:tc>
        <w:tc>
          <w:tcPr>
            <w:tcW w:w="0" w:type="auto"/>
            <w:tcBorders>
              <w:tl2br w:val="nil"/>
              <w:tr2bl w:val="nil"/>
            </w:tcBorders>
            <w:shd w:val="clear" w:color="auto" w:fill="auto"/>
            <w:noWrap/>
            <w:vAlign w:val="center"/>
          </w:tcPr>
          <w:p w14:paraId="29DAD742">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26.73</w:t>
            </w:r>
          </w:p>
        </w:tc>
        <w:tc>
          <w:tcPr>
            <w:tcW w:w="0" w:type="auto"/>
            <w:tcBorders>
              <w:tl2br w:val="nil"/>
              <w:tr2bl w:val="nil"/>
            </w:tcBorders>
            <w:shd w:val="clear" w:color="auto" w:fill="auto"/>
            <w:noWrap/>
            <w:vAlign w:val="center"/>
          </w:tcPr>
          <w:p w14:paraId="42453FCC">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7.84</w:t>
            </w:r>
          </w:p>
        </w:tc>
        <w:tc>
          <w:tcPr>
            <w:tcW w:w="0" w:type="auto"/>
            <w:tcBorders>
              <w:tl2br w:val="nil"/>
              <w:tr2bl w:val="nil"/>
            </w:tcBorders>
            <w:shd w:val="clear" w:color="auto" w:fill="auto"/>
            <w:noWrap/>
            <w:vAlign w:val="center"/>
          </w:tcPr>
          <w:p w14:paraId="6072AEE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2.64</w:t>
            </w:r>
          </w:p>
        </w:tc>
        <w:tc>
          <w:tcPr>
            <w:tcW w:w="0" w:type="auto"/>
            <w:tcBorders>
              <w:tl2br w:val="nil"/>
              <w:tr2bl w:val="nil"/>
            </w:tcBorders>
            <w:shd w:val="clear" w:color="auto" w:fill="auto"/>
            <w:noWrap/>
            <w:vAlign w:val="center"/>
          </w:tcPr>
          <w:p w14:paraId="5DD5C57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0.78</w:t>
            </w:r>
          </w:p>
        </w:tc>
      </w:tr>
      <w:tr w14:paraId="0950D8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0" w:type="auto"/>
            <w:tcBorders>
              <w:tl2br w:val="nil"/>
              <w:tr2bl w:val="nil"/>
            </w:tcBorders>
            <w:shd w:val="clear" w:color="auto" w:fill="auto"/>
            <w:noWrap/>
            <w:vAlign w:val="center"/>
          </w:tcPr>
          <w:p w14:paraId="424208E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0" w:type="auto"/>
            <w:tcBorders>
              <w:tl2br w:val="nil"/>
              <w:tr2bl w:val="nil"/>
            </w:tcBorders>
            <w:shd w:val="clear" w:color="auto" w:fill="auto"/>
            <w:noWrap/>
            <w:vAlign w:val="center"/>
          </w:tcPr>
          <w:p w14:paraId="2903BE1D">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0.02</w:t>
            </w:r>
          </w:p>
        </w:tc>
        <w:tc>
          <w:tcPr>
            <w:tcW w:w="0" w:type="auto"/>
            <w:tcBorders>
              <w:tl2br w:val="nil"/>
              <w:tr2bl w:val="nil"/>
            </w:tcBorders>
            <w:shd w:val="clear" w:color="auto" w:fill="auto"/>
            <w:noWrap/>
            <w:vAlign w:val="center"/>
          </w:tcPr>
          <w:p w14:paraId="482CB187">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37.56</w:t>
            </w:r>
          </w:p>
        </w:tc>
        <w:tc>
          <w:tcPr>
            <w:tcW w:w="0" w:type="auto"/>
            <w:tcBorders>
              <w:tl2br w:val="nil"/>
              <w:tr2bl w:val="nil"/>
            </w:tcBorders>
            <w:shd w:val="clear" w:color="auto" w:fill="auto"/>
            <w:noWrap/>
            <w:vAlign w:val="center"/>
          </w:tcPr>
          <w:p w14:paraId="75F102D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12.34</w:t>
            </w:r>
          </w:p>
        </w:tc>
        <w:tc>
          <w:tcPr>
            <w:tcW w:w="0" w:type="auto"/>
            <w:tcBorders>
              <w:tl2br w:val="nil"/>
              <w:tr2bl w:val="nil"/>
            </w:tcBorders>
            <w:shd w:val="clear" w:color="auto" w:fill="auto"/>
            <w:noWrap/>
            <w:vAlign w:val="center"/>
          </w:tcPr>
          <w:p w14:paraId="7F5030C8">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4.27</w:t>
            </w:r>
          </w:p>
        </w:tc>
        <w:tc>
          <w:tcPr>
            <w:tcW w:w="0" w:type="auto"/>
            <w:tcBorders>
              <w:tl2br w:val="nil"/>
              <w:tr2bl w:val="nil"/>
            </w:tcBorders>
            <w:shd w:val="clear" w:color="auto" w:fill="auto"/>
            <w:noWrap/>
            <w:vAlign w:val="center"/>
          </w:tcPr>
          <w:p w14:paraId="717745D8">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1.28</w:t>
            </w:r>
          </w:p>
        </w:tc>
      </w:tr>
      <w:tr w14:paraId="1E3403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0" w:type="auto"/>
            <w:tcBorders>
              <w:tl2br w:val="nil"/>
              <w:tr2bl w:val="nil"/>
            </w:tcBorders>
            <w:shd w:val="clear" w:color="auto" w:fill="auto"/>
            <w:noWrap/>
            <w:vAlign w:val="center"/>
          </w:tcPr>
          <w:p w14:paraId="3EF8BB4A">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0" w:type="auto"/>
            <w:tcBorders>
              <w:tl2br w:val="nil"/>
              <w:tr2bl w:val="nil"/>
            </w:tcBorders>
            <w:shd w:val="clear" w:color="auto" w:fill="auto"/>
            <w:noWrap/>
            <w:vAlign w:val="center"/>
          </w:tcPr>
          <w:p w14:paraId="55D82F2A">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l2br w:val="nil"/>
              <w:tr2bl w:val="nil"/>
            </w:tcBorders>
            <w:shd w:val="clear" w:color="auto" w:fill="auto"/>
            <w:noWrap/>
            <w:vAlign w:val="center"/>
          </w:tcPr>
          <w:p w14:paraId="4B648CEF">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26.41</w:t>
            </w:r>
          </w:p>
        </w:tc>
        <w:tc>
          <w:tcPr>
            <w:tcW w:w="0" w:type="auto"/>
            <w:tcBorders>
              <w:tl2br w:val="nil"/>
              <w:tr2bl w:val="nil"/>
            </w:tcBorders>
            <w:shd w:val="clear" w:color="auto" w:fill="auto"/>
            <w:noWrap/>
            <w:vAlign w:val="center"/>
          </w:tcPr>
          <w:p w14:paraId="4CE73B24">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16.12</w:t>
            </w:r>
          </w:p>
        </w:tc>
        <w:tc>
          <w:tcPr>
            <w:tcW w:w="0" w:type="auto"/>
            <w:tcBorders>
              <w:tl2br w:val="nil"/>
              <w:tr2bl w:val="nil"/>
            </w:tcBorders>
            <w:shd w:val="clear" w:color="auto" w:fill="auto"/>
            <w:noWrap/>
            <w:vAlign w:val="center"/>
          </w:tcPr>
          <w:p w14:paraId="581C5387">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6.01</w:t>
            </w:r>
          </w:p>
        </w:tc>
        <w:tc>
          <w:tcPr>
            <w:tcW w:w="0" w:type="auto"/>
            <w:tcBorders>
              <w:tl2br w:val="nil"/>
              <w:tr2bl w:val="nil"/>
            </w:tcBorders>
            <w:shd w:val="clear" w:color="auto" w:fill="auto"/>
            <w:noWrap/>
            <w:vAlign w:val="center"/>
          </w:tcPr>
          <w:p w14:paraId="6061BE47">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1.83</w:t>
            </w:r>
          </w:p>
        </w:tc>
      </w:tr>
      <w:tr w14:paraId="04E849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8" w:hRule="atLeast"/>
          <w:jc w:val="center"/>
        </w:trPr>
        <w:tc>
          <w:tcPr>
            <w:tcW w:w="0" w:type="auto"/>
            <w:tcBorders>
              <w:tl2br w:val="nil"/>
              <w:tr2bl w:val="nil"/>
            </w:tcBorders>
            <w:shd w:val="clear" w:color="auto" w:fill="auto"/>
            <w:noWrap/>
            <w:vAlign w:val="center"/>
          </w:tcPr>
          <w:p w14:paraId="5838B2A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p>
        </w:tc>
        <w:tc>
          <w:tcPr>
            <w:tcW w:w="0" w:type="auto"/>
            <w:tcBorders>
              <w:tl2br w:val="nil"/>
              <w:tr2bl w:val="nil"/>
            </w:tcBorders>
            <w:shd w:val="clear" w:color="auto" w:fill="auto"/>
            <w:noWrap/>
            <w:vAlign w:val="center"/>
          </w:tcPr>
          <w:p w14:paraId="7272224F">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l2br w:val="nil"/>
              <w:tr2bl w:val="nil"/>
            </w:tcBorders>
            <w:shd w:val="clear" w:color="auto" w:fill="auto"/>
            <w:noWrap/>
            <w:vAlign w:val="center"/>
          </w:tcPr>
          <w:p w14:paraId="264FFE2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8.11</w:t>
            </w:r>
          </w:p>
        </w:tc>
        <w:tc>
          <w:tcPr>
            <w:tcW w:w="0" w:type="auto"/>
            <w:tcBorders>
              <w:tl2br w:val="nil"/>
              <w:tr2bl w:val="nil"/>
            </w:tcBorders>
            <w:shd w:val="clear" w:color="auto" w:fill="auto"/>
            <w:noWrap/>
            <w:vAlign w:val="center"/>
          </w:tcPr>
          <w:p w14:paraId="75DE0602">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17.94</w:t>
            </w:r>
          </w:p>
        </w:tc>
        <w:tc>
          <w:tcPr>
            <w:tcW w:w="0" w:type="auto"/>
            <w:tcBorders>
              <w:tl2br w:val="nil"/>
              <w:tr2bl w:val="nil"/>
            </w:tcBorders>
            <w:shd w:val="clear" w:color="auto" w:fill="auto"/>
            <w:noWrap/>
            <w:vAlign w:val="center"/>
          </w:tcPr>
          <w:p w14:paraId="6DC68D2F">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7.68</w:t>
            </w:r>
          </w:p>
        </w:tc>
        <w:tc>
          <w:tcPr>
            <w:tcW w:w="0" w:type="auto"/>
            <w:tcBorders>
              <w:tl2br w:val="nil"/>
              <w:tr2bl w:val="nil"/>
            </w:tcBorders>
            <w:shd w:val="clear" w:color="auto" w:fill="auto"/>
            <w:noWrap/>
            <w:vAlign w:val="center"/>
          </w:tcPr>
          <w:p w14:paraId="01248238">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w:t>
            </w:r>
          </w:p>
        </w:tc>
      </w:tr>
      <w:tr w14:paraId="1DDC79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0" w:type="auto"/>
            <w:tcBorders>
              <w:tl2br w:val="nil"/>
              <w:tr2bl w:val="nil"/>
            </w:tcBorders>
            <w:shd w:val="clear" w:color="auto" w:fill="auto"/>
            <w:noWrap/>
            <w:vAlign w:val="center"/>
          </w:tcPr>
          <w:p w14:paraId="62F08641">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p>
        </w:tc>
        <w:tc>
          <w:tcPr>
            <w:tcW w:w="0" w:type="auto"/>
            <w:tcBorders>
              <w:tl2br w:val="nil"/>
              <w:tr2bl w:val="nil"/>
            </w:tcBorders>
            <w:shd w:val="clear" w:color="auto" w:fill="auto"/>
            <w:noWrap/>
            <w:vAlign w:val="center"/>
          </w:tcPr>
          <w:p w14:paraId="5D6ED7A8">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l2br w:val="nil"/>
              <w:tr2bl w:val="nil"/>
            </w:tcBorders>
            <w:shd w:val="clear" w:color="auto" w:fill="auto"/>
            <w:noWrap/>
            <w:vAlign w:val="center"/>
          </w:tcPr>
          <w:p w14:paraId="13A2AB29">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0.72</w:t>
            </w:r>
          </w:p>
        </w:tc>
        <w:tc>
          <w:tcPr>
            <w:tcW w:w="0" w:type="auto"/>
            <w:tcBorders>
              <w:tl2br w:val="nil"/>
              <w:tr2bl w:val="nil"/>
            </w:tcBorders>
            <w:shd w:val="clear" w:color="auto" w:fill="auto"/>
            <w:noWrap/>
            <w:vAlign w:val="center"/>
          </w:tcPr>
          <w:p w14:paraId="6AC51306">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16.68</w:t>
            </w:r>
          </w:p>
        </w:tc>
        <w:tc>
          <w:tcPr>
            <w:tcW w:w="0" w:type="auto"/>
            <w:tcBorders>
              <w:tl2br w:val="nil"/>
              <w:tr2bl w:val="nil"/>
            </w:tcBorders>
            <w:shd w:val="clear" w:color="auto" w:fill="auto"/>
            <w:noWrap/>
            <w:vAlign w:val="center"/>
          </w:tcPr>
          <w:p w14:paraId="3DB8F0B1">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9.02</w:t>
            </w:r>
          </w:p>
        </w:tc>
        <w:tc>
          <w:tcPr>
            <w:tcW w:w="0" w:type="auto"/>
            <w:tcBorders>
              <w:tl2br w:val="nil"/>
              <w:tr2bl w:val="nil"/>
            </w:tcBorders>
            <w:shd w:val="clear" w:color="auto" w:fill="auto"/>
            <w:noWrap/>
            <w:vAlign w:val="center"/>
          </w:tcPr>
          <w:p w14:paraId="2A42DEE9">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2.97</w:t>
            </w:r>
          </w:p>
        </w:tc>
      </w:tr>
      <w:tr w14:paraId="6AD707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0" w:type="auto"/>
            <w:tcBorders>
              <w:tl2br w:val="nil"/>
              <w:tr2bl w:val="nil"/>
            </w:tcBorders>
            <w:shd w:val="clear" w:color="auto" w:fill="auto"/>
            <w:noWrap/>
            <w:vAlign w:val="center"/>
          </w:tcPr>
          <w:p w14:paraId="32F08C5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p>
        </w:tc>
        <w:tc>
          <w:tcPr>
            <w:tcW w:w="0" w:type="auto"/>
            <w:tcBorders>
              <w:tl2br w:val="nil"/>
              <w:tr2bl w:val="nil"/>
            </w:tcBorders>
            <w:shd w:val="clear" w:color="auto" w:fill="auto"/>
            <w:noWrap/>
            <w:vAlign w:val="center"/>
          </w:tcPr>
          <w:p w14:paraId="1EE90FFD">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l2br w:val="nil"/>
              <w:tr2bl w:val="nil"/>
            </w:tcBorders>
            <w:shd w:val="clear" w:color="auto" w:fill="auto"/>
            <w:noWrap/>
            <w:vAlign w:val="center"/>
          </w:tcPr>
          <w:p w14:paraId="1B0B3BB9">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0.03</w:t>
            </w:r>
          </w:p>
        </w:tc>
        <w:tc>
          <w:tcPr>
            <w:tcW w:w="0" w:type="auto"/>
            <w:tcBorders>
              <w:tl2br w:val="nil"/>
              <w:tr2bl w:val="nil"/>
            </w:tcBorders>
            <w:shd w:val="clear" w:color="auto" w:fill="auto"/>
            <w:noWrap/>
            <w:vAlign w:val="center"/>
          </w:tcPr>
          <w:p w14:paraId="0788EA3B">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12.84</w:t>
            </w:r>
          </w:p>
        </w:tc>
        <w:tc>
          <w:tcPr>
            <w:tcW w:w="0" w:type="auto"/>
            <w:tcBorders>
              <w:tl2br w:val="nil"/>
              <w:tr2bl w:val="nil"/>
            </w:tcBorders>
            <w:shd w:val="clear" w:color="auto" w:fill="auto"/>
            <w:noWrap/>
            <w:vAlign w:val="center"/>
          </w:tcPr>
          <w:p w14:paraId="61DFC43A">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9.78</w:t>
            </w:r>
          </w:p>
        </w:tc>
        <w:tc>
          <w:tcPr>
            <w:tcW w:w="0" w:type="auto"/>
            <w:tcBorders>
              <w:tl2br w:val="nil"/>
              <w:tr2bl w:val="nil"/>
            </w:tcBorders>
            <w:shd w:val="clear" w:color="auto" w:fill="auto"/>
            <w:noWrap/>
            <w:vAlign w:val="center"/>
          </w:tcPr>
          <w:p w14:paraId="306BCD60">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3.51</w:t>
            </w:r>
          </w:p>
        </w:tc>
      </w:tr>
      <w:tr w14:paraId="5E12EC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0" w:type="auto"/>
            <w:tcBorders>
              <w:tl2br w:val="nil"/>
              <w:tr2bl w:val="nil"/>
            </w:tcBorders>
            <w:shd w:val="clear" w:color="auto" w:fill="auto"/>
            <w:noWrap/>
            <w:vAlign w:val="center"/>
          </w:tcPr>
          <w:p w14:paraId="50AA087F">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p>
        </w:tc>
        <w:tc>
          <w:tcPr>
            <w:tcW w:w="0" w:type="auto"/>
            <w:tcBorders>
              <w:tl2br w:val="nil"/>
              <w:tr2bl w:val="nil"/>
            </w:tcBorders>
            <w:shd w:val="clear" w:color="auto" w:fill="auto"/>
            <w:noWrap/>
            <w:vAlign w:val="center"/>
          </w:tcPr>
          <w:p w14:paraId="6A51A834">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l2br w:val="nil"/>
              <w:tr2bl w:val="nil"/>
            </w:tcBorders>
            <w:shd w:val="clear" w:color="auto" w:fill="auto"/>
            <w:noWrap/>
            <w:vAlign w:val="center"/>
          </w:tcPr>
          <w:p w14:paraId="25C16048">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l2br w:val="nil"/>
              <w:tr2bl w:val="nil"/>
            </w:tcBorders>
            <w:shd w:val="clear" w:color="auto" w:fill="auto"/>
            <w:noWrap/>
            <w:vAlign w:val="center"/>
          </w:tcPr>
          <w:p w14:paraId="0D4C38FC">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7.95</w:t>
            </w:r>
          </w:p>
        </w:tc>
        <w:tc>
          <w:tcPr>
            <w:tcW w:w="0" w:type="auto"/>
            <w:tcBorders>
              <w:tl2br w:val="nil"/>
              <w:tr2bl w:val="nil"/>
            </w:tcBorders>
            <w:shd w:val="clear" w:color="auto" w:fill="auto"/>
            <w:noWrap/>
            <w:vAlign w:val="center"/>
          </w:tcPr>
          <w:p w14:paraId="6083C459">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9.8</w:t>
            </w:r>
          </w:p>
        </w:tc>
        <w:tc>
          <w:tcPr>
            <w:tcW w:w="0" w:type="auto"/>
            <w:tcBorders>
              <w:tl2br w:val="nil"/>
              <w:tr2bl w:val="nil"/>
            </w:tcBorders>
            <w:shd w:val="clear" w:color="auto" w:fill="auto"/>
            <w:noWrap/>
            <w:vAlign w:val="center"/>
          </w:tcPr>
          <w:p w14:paraId="439D1EFF">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3.97</w:t>
            </w:r>
          </w:p>
        </w:tc>
      </w:tr>
      <w:tr w14:paraId="4C1005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0" w:type="auto"/>
            <w:tcBorders>
              <w:tl2br w:val="nil"/>
              <w:tr2bl w:val="nil"/>
            </w:tcBorders>
            <w:shd w:val="clear" w:color="auto" w:fill="auto"/>
            <w:noWrap/>
            <w:vAlign w:val="center"/>
          </w:tcPr>
          <w:p w14:paraId="7AF10346">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p>
        </w:tc>
        <w:tc>
          <w:tcPr>
            <w:tcW w:w="0" w:type="auto"/>
            <w:tcBorders>
              <w:tl2br w:val="nil"/>
              <w:tr2bl w:val="nil"/>
            </w:tcBorders>
            <w:shd w:val="clear" w:color="auto" w:fill="auto"/>
            <w:noWrap/>
            <w:vAlign w:val="center"/>
          </w:tcPr>
          <w:p w14:paraId="1ADB110E">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l2br w:val="nil"/>
              <w:tr2bl w:val="nil"/>
            </w:tcBorders>
            <w:shd w:val="clear" w:color="auto" w:fill="auto"/>
            <w:noWrap/>
            <w:vAlign w:val="center"/>
          </w:tcPr>
          <w:p w14:paraId="164560BA">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w:t>
            </w:r>
          </w:p>
        </w:tc>
        <w:tc>
          <w:tcPr>
            <w:tcW w:w="0" w:type="auto"/>
            <w:tcBorders>
              <w:tl2br w:val="nil"/>
              <w:tr2bl w:val="nil"/>
            </w:tcBorders>
            <w:shd w:val="clear" w:color="auto" w:fill="auto"/>
            <w:noWrap/>
            <w:vAlign w:val="center"/>
          </w:tcPr>
          <w:p w14:paraId="2B0EF48B">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3.82</w:t>
            </w:r>
          </w:p>
        </w:tc>
        <w:tc>
          <w:tcPr>
            <w:tcW w:w="0" w:type="auto"/>
            <w:tcBorders>
              <w:tl2br w:val="nil"/>
              <w:tr2bl w:val="nil"/>
            </w:tcBorders>
            <w:shd w:val="clear" w:color="auto" w:fill="auto"/>
            <w:noWrap/>
            <w:vAlign w:val="center"/>
          </w:tcPr>
          <w:p w14:paraId="41D2428C">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9.05</w:t>
            </w:r>
          </w:p>
        </w:tc>
        <w:tc>
          <w:tcPr>
            <w:tcW w:w="0" w:type="auto"/>
            <w:tcBorders>
              <w:tl2br w:val="nil"/>
              <w:tr2bl w:val="nil"/>
            </w:tcBorders>
            <w:shd w:val="clear" w:color="auto" w:fill="auto"/>
            <w:noWrap/>
            <w:vAlign w:val="center"/>
          </w:tcPr>
          <w:p w14:paraId="63B831DC">
            <w:pPr>
              <w:pStyle w:val="26"/>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4.32</w:t>
            </w:r>
          </w:p>
        </w:tc>
      </w:tr>
    </w:tbl>
    <w:p w14:paraId="7B28F2B4">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根据预测结果，</w:t>
      </w:r>
      <w:r>
        <w:rPr>
          <w:color w:val="000000" w:themeColor="text1"/>
          <w:highlight w:val="none"/>
          <w14:textFill>
            <w14:solidFill>
              <w14:schemeClr w14:val="tx1"/>
            </w14:solidFill>
          </w14:textFill>
        </w:rPr>
        <w:t>泄漏100d：污染物主要集中在浅层2m范围，浓度峰值出现在2m处，峰值浓度37.56mg/L；5m以深基本无污染物，污染特征为浅层富集、影响深度浅、浓度集中。（2）泄漏365d：污染锋面整体下移，浓度峰值下移至4m（17.94mg/L），0～7m均检出污染物，污染物已逐步向包气带深部运移，深部浓度显著抬升。（3）泄漏1095d：污染羽主体迁移至6～7m深度，峰值浓度9.80mg/L，污染锋面接近包气带底板。（4）泄漏3650d：包气带内污染物充分弥散稀释，整体浓度趋于均匀，表层浓度持续降低，深部维持稳定低浓度补给，污染无累积加重趋势。</w:t>
      </w:r>
    </w:p>
    <w:p w14:paraId="70B7BA1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整体迁移规律：随泄漏时间延长，硫酸盐污染锋面持续向下迁移，峰值位置不断下移、峰值浓度逐步衰减、污染垂向范围持续拓宽；由于包气带入渗速率极低，污染物迁移速度缓慢，侧向扩散极弱，污染始终局限于泄漏点位垂向剖面，无大范围面状污染。</w:t>
      </w:r>
    </w:p>
    <w:p w14:paraId="47DD84DF">
      <w:pPr>
        <w:pStyle w:val="5"/>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5.2.5.4</w:t>
      </w:r>
      <w:r>
        <w:rPr>
          <w:color w:val="000000" w:themeColor="text1"/>
          <w:highlight w:val="none"/>
          <w14:textFill>
            <w14:solidFill>
              <w14:schemeClr w14:val="tx1"/>
            </w14:solidFill>
          </w14:textFill>
        </w:rPr>
        <w:t>土壤酸化影响分析</w:t>
      </w:r>
    </w:p>
    <w:p w14:paraId="4C74244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浓硫酸入渗后短期内造成表层土壤pH降低，产生局部酸化。但土壤中黏土矿物、碳酸盐组分具有良好的酸碱缓冲能力，绝大部分氢离子在浅层土壤被中和消耗，酸化无法向深部延伸。随着降水长期淋溶、阳离子交换及土壤矿物修复作用，土壤pH可逐步恢复至区域背景水平。因此，硫酸泄漏造成的土壤酸化为局部、浅层、暂时性影响，无永久性土壤退化风险。</w:t>
      </w:r>
    </w:p>
    <w:p w14:paraId="172DCD65">
      <w:pPr>
        <w:pStyle w:val="5"/>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5.2.5.5小结</w:t>
      </w:r>
    </w:p>
    <w:p w14:paraId="7F35D895">
      <w:pPr>
        <w:keepNext w:val="0"/>
        <w:keepLines w:val="0"/>
        <w:widowControl/>
        <w:suppressLineNumbers w:val="0"/>
        <w:jc w:val="left"/>
        <w:rPr>
          <w:color w:val="000000" w:themeColor="text1"/>
          <w:highlight w:val="none"/>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正常工况下，项目对土壤环境无不利影响。最不利硫酸泄漏事故情景下，硫酸盐仅造成局部垂向浅层污染，污染迁移缓慢、无大面积扩散、无长期累积污染风险；土壤酸化仅为短暂浅层现象，可自然修复。项目落实防渗、围堰、巡检、应急管控措施后，土壤环境风险整体可控</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p>
    <w:p w14:paraId="3A05045A">
      <w:pPr>
        <w:bidi w:val="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本项目土壤环境自查表见表</w:t>
      </w:r>
      <w:r>
        <w:rPr>
          <w:rFonts w:hint="eastAsia" w:cs="Times New Roman"/>
          <w:color w:val="000000" w:themeColor="text1"/>
          <w:sz w:val="24"/>
          <w:szCs w:val="24"/>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.2.5-</w:t>
      </w:r>
      <w:r>
        <w:rPr>
          <w:rFonts w:hint="eastAsia"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23A48362">
      <w:pPr>
        <w:pStyle w:val="25"/>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 xml:space="preserve">5.2.5-2      </w:t>
      </w:r>
      <w:r>
        <w:rPr>
          <w:rFonts w:hint="default"/>
          <w:color w:val="000000" w:themeColor="text1"/>
          <w:highlight w:val="none"/>
          <w14:textFill>
            <w14:solidFill>
              <w14:schemeClr w14:val="tx1"/>
            </w14:solidFill>
          </w14:textFill>
        </w:rPr>
        <w:t>土壤环境影响评价自查表</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742"/>
        <w:gridCol w:w="1234"/>
        <w:gridCol w:w="877"/>
        <w:gridCol w:w="324"/>
        <w:gridCol w:w="1249"/>
        <w:gridCol w:w="249"/>
        <w:gridCol w:w="2170"/>
        <w:gridCol w:w="800"/>
      </w:tblGrid>
      <w:tr w14:paraId="58FA66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93" w:type="pct"/>
            <w:gridSpan w:val="2"/>
            <w:tcBorders>
              <w:bottom w:val="single" w:color="auto" w:sz="12" w:space="0"/>
            </w:tcBorders>
            <w:noWrap w:val="0"/>
            <w:vAlign w:val="center"/>
          </w:tcPr>
          <w:p w14:paraId="306AC635">
            <w:pPr>
              <w:pStyle w:val="26"/>
              <w:bidi w:val="0"/>
              <w:rPr>
                <w:rFonts w:hint="default"/>
                <w:b/>
                <w:bCs/>
                <w:color w:val="000000" w:themeColor="text1"/>
                <w:highlight w:val="none"/>
                <w:lang w:val="en-US" w:eastAsia="zh-CN"/>
                <w14:textFill>
                  <w14:solidFill>
                    <w14:schemeClr w14:val="tx1"/>
                  </w14:solidFill>
                </w14:textFill>
              </w:rPr>
            </w:pPr>
            <w:bookmarkStart w:id="1029" w:name="6环境风险评价与分析"/>
            <w:bookmarkEnd w:id="1029"/>
            <w:r>
              <w:rPr>
                <w:rFonts w:hint="default"/>
                <w:b/>
                <w:bCs/>
                <w:color w:val="000000" w:themeColor="text1"/>
                <w:highlight w:val="none"/>
                <w:lang w:val="en-US" w:eastAsia="zh-CN"/>
                <w14:textFill>
                  <w14:solidFill>
                    <w14:schemeClr w14:val="tx1"/>
                  </w14:solidFill>
                </w14:textFill>
              </w:rPr>
              <w:t>工作内容</w:t>
            </w:r>
          </w:p>
        </w:tc>
        <w:tc>
          <w:tcPr>
            <w:tcW w:w="3366" w:type="pct"/>
            <w:gridSpan w:val="6"/>
            <w:tcBorders>
              <w:bottom w:val="single" w:color="auto" w:sz="12" w:space="0"/>
            </w:tcBorders>
            <w:noWrap w:val="0"/>
            <w:vAlign w:val="center"/>
          </w:tcPr>
          <w:p w14:paraId="4D0DABFE">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完成情况</w:t>
            </w:r>
          </w:p>
        </w:tc>
        <w:tc>
          <w:tcPr>
            <w:tcW w:w="439" w:type="pct"/>
            <w:tcBorders>
              <w:bottom w:val="single" w:color="auto" w:sz="12" w:space="0"/>
            </w:tcBorders>
            <w:noWrap w:val="0"/>
            <w:vAlign w:val="center"/>
          </w:tcPr>
          <w:p w14:paraId="735CFE64">
            <w:pPr>
              <w:pStyle w:val="26"/>
              <w:bidi w:val="0"/>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备注</w:t>
            </w:r>
          </w:p>
        </w:tc>
      </w:tr>
      <w:tr w14:paraId="677B0A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restart"/>
            <w:tcBorders>
              <w:top w:val="single" w:color="auto" w:sz="12" w:space="0"/>
              <w:tl2br w:val="nil"/>
              <w:tr2bl w:val="nil"/>
            </w:tcBorders>
            <w:noWrap w:val="0"/>
            <w:vAlign w:val="center"/>
          </w:tcPr>
          <w:p w14:paraId="143F64B6">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影响识别</w:t>
            </w:r>
          </w:p>
        </w:tc>
        <w:tc>
          <w:tcPr>
            <w:tcW w:w="961" w:type="pct"/>
            <w:tcBorders>
              <w:top w:val="single" w:color="auto" w:sz="12" w:space="0"/>
              <w:tl2br w:val="nil"/>
              <w:tr2bl w:val="nil"/>
            </w:tcBorders>
            <w:noWrap w:val="0"/>
            <w:vAlign w:val="center"/>
          </w:tcPr>
          <w:p w14:paraId="68E7BBA4">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影响类型</w:t>
            </w:r>
          </w:p>
        </w:tc>
        <w:tc>
          <w:tcPr>
            <w:tcW w:w="3366" w:type="pct"/>
            <w:gridSpan w:val="6"/>
            <w:tcBorders>
              <w:top w:val="single" w:color="auto" w:sz="12" w:space="0"/>
              <w:tl2br w:val="nil"/>
              <w:tr2bl w:val="nil"/>
            </w:tcBorders>
            <w:noWrap w:val="0"/>
            <w:vAlign w:val="center"/>
          </w:tcPr>
          <w:p w14:paraId="0CA0375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污染影响型</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；生态影响型</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两种兼有□</w:t>
            </w:r>
          </w:p>
        </w:tc>
        <w:tc>
          <w:tcPr>
            <w:tcW w:w="439" w:type="pct"/>
            <w:tcBorders>
              <w:top w:val="single" w:color="auto" w:sz="12" w:space="0"/>
              <w:tl2br w:val="nil"/>
              <w:tr2bl w:val="nil"/>
            </w:tcBorders>
            <w:noWrap w:val="0"/>
            <w:vAlign w:val="center"/>
          </w:tcPr>
          <w:p w14:paraId="2198252D">
            <w:pPr>
              <w:pStyle w:val="26"/>
              <w:bidi w:val="0"/>
              <w:rPr>
                <w:rFonts w:hint="default"/>
                <w:color w:val="000000" w:themeColor="text1"/>
                <w:highlight w:val="none"/>
                <w:lang w:val="en-US" w:eastAsia="zh-CN"/>
                <w14:textFill>
                  <w14:solidFill>
                    <w14:schemeClr w14:val="tx1"/>
                  </w14:solidFill>
                </w14:textFill>
              </w:rPr>
            </w:pPr>
          </w:p>
        </w:tc>
      </w:tr>
      <w:tr w14:paraId="4F00A4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367CC71D">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1DCCA06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土地利用类型</w:t>
            </w:r>
          </w:p>
        </w:tc>
        <w:tc>
          <w:tcPr>
            <w:tcW w:w="3366" w:type="pct"/>
            <w:gridSpan w:val="6"/>
            <w:tcBorders>
              <w:tl2br w:val="nil"/>
              <w:tr2bl w:val="nil"/>
            </w:tcBorders>
            <w:noWrap w:val="0"/>
            <w:vAlign w:val="center"/>
          </w:tcPr>
          <w:p w14:paraId="50E6691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建设用地</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；农用地□；未利用地 </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p>
        </w:tc>
        <w:tc>
          <w:tcPr>
            <w:tcW w:w="439" w:type="pct"/>
            <w:tcBorders>
              <w:tl2br w:val="nil"/>
              <w:tr2bl w:val="nil"/>
            </w:tcBorders>
            <w:noWrap w:val="0"/>
            <w:vAlign w:val="center"/>
          </w:tcPr>
          <w:p w14:paraId="630F1B41">
            <w:pPr>
              <w:pStyle w:val="26"/>
              <w:bidi w:val="0"/>
              <w:rPr>
                <w:rFonts w:hint="default"/>
                <w:color w:val="000000" w:themeColor="text1"/>
                <w:highlight w:val="none"/>
                <w:lang w:val="en-US" w:eastAsia="zh-CN"/>
                <w14:textFill>
                  <w14:solidFill>
                    <w14:schemeClr w14:val="tx1"/>
                  </w14:solidFill>
                </w14:textFill>
              </w:rPr>
            </w:pPr>
          </w:p>
        </w:tc>
      </w:tr>
      <w:tr w14:paraId="1A46AC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388305FC">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13D67E6C">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占地规模</w:t>
            </w:r>
          </w:p>
        </w:tc>
        <w:tc>
          <w:tcPr>
            <w:tcW w:w="3366" w:type="pct"/>
            <w:gridSpan w:val="6"/>
            <w:tcBorders>
              <w:tl2br w:val="nil"/>
              <w:tr2bl w:val="nil"/>
            </w:tcBorders>
            <w:noWrap w:val="0"/>
            <w:vAlign w:val="center"/>
          </w:tcPr>
          <w:p w14:paraId="52CBA018">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(0.35)</w:t>
            </w:r>
            <w:r>
              <w:rPr>
                <w:rFonts w:hint="default"/>
                <w:color w:val="000000" w:themeColor="text1"/>
                <w:highlight w:val="none"/>
                <w:lang w:val="en-US" w:eastAsia="zh-CN"/>
                <w14:textFill>
                  <w14:solidFill>
                    <w14:schemeClr w14:val="tx1"/>
                  </w14:solidFill>
                </w14:textFill>
              </w:rPr>
              <w:t>h</w:t>
            </w:r>
            <w:r>
              <w:rPr>
                <w:rFonts w:hint="eastAsia"/>
                <w:color w:val="000000" w:themeColor="text1"/>
                <w:highlight w:val="none"/>
                <w:lang w:val="en-US" w:eastAsia="zh-CN"/>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2</w:t>
            </w:r>
          </w:p>
        </w:tc>
        <w:tc>
          <w:tcPr>
            <w:tcW w:w="439" w:type="pct"/>
            <w:tcBorders>
              <w:tl2br w:val="nil"/>
              <w:tr2bl w:val="nil"/>
            </w:tcBorders>
            <w:noWrap w:val="0"/>
            <w:vAlign w:val="center"/>
          </w:tcPr>
          <w:p w14:paraId="5A723C30">
            <w:pPr>
              <w:pStyle w:val="26"/>
              <w:bidi w:val="0"/>
              <w:rPr>
                <w:rFonts w:hint="default"/>
                <w:color w:val="000000" w:themeColor="text1"/>
                <w:highlight w:val="none"/>
                <w:lang w:val="en-US" w:eastAsia="zh-CN"/>
                <w14:textFill>
                  <w14:solidFill>
                    <w14:schemeClr w14:val="tx1"/>
                  </w14:solidFill>
                </w14:textFill>
              </w:rPr>
            </w:pPr>
          </w:p>
        </w:tc>
      </w:tr>
      <w:tr w14:paraId="31CEAA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3EC09FD8">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2A23ED0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敏感目标信息</w:t>
            </w:r>
          </w:p>
        </w:tc>
        <w:tc>
          <w:tcPr>
            <w:tcW w:w="3366" w:type="pct"/>
            <w:gridSpan w:val="6"/>
            <w:tcBorders>
              <w:tl2br w:val="nil"/>
              <w:tr2bl w:val="nil"/>
            </w:tcBorders>
            <w:noWrap w:val="0"/>
            <w:vAlign w:val="center"/>
          </w:tcPr>
          <w:p w14:paraId="3A6EC98E">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敏感目标</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）、方位</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）、距离</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w:t>
            </w:r>
          </w:p>
        </w:tc>
        <w:tc>
          <w:tcPr>
            <w:tcW w:w="439" w:type="pct"/>
            <w:tcBorders>
              <w:tl2br w:val="nil"/>
              <w:tr2bl w:val="nil"/>
            </w:tcBorders>
            <w:noWrap w:val="0"/>
            <w:vAlign w:val="center"/>
          </w:tcPr>
          <w:p w14:paraId="6177A18E">
            <w:pPr>
              <w:pStyle w:val="26"/>
              <w:bidi w:val="0"/>
              <w:rPr>
                <w:rFonts w:hint="default"/>
                <w:color w:val="000000" w:themeColor="text1"/>
                <w:highlight w:val="none"/>
                <w:lang w:val="en-US" w:eastAsia="zh-CN"/>
                <w14:textFill>
                  <w14:solidFill>
                    <w14:schemeClr w14:val="tx1"/>
                  </w14:solidFill>
                </w14:textFill>
              </w:rPr>
            </w:pPr>
          </w:p>
        </w:tc>
      </w:tr>
      <w:tr w14:paraId="7E8320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3C366ABB">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4732C5DE">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影响途径</w:t>
            </w:r>
          </w:p>
        </w:tc>
        <w:tc>
          <w:tcPr>
            <w:tcW w:w="3366" w:type="pct"/>
            <w:gridSpan w:val="6"/>
            <w:tcBorders>
              <w:tl2br w:val="nil"/>
              <w:tr2bl w:val="nil"/>
            </w:tcBorders>
            <w:noWrap w:val="0"/>
            <w:vAlign w:val="center"/>
          </w:tcPr>
          <w:p w14:paraId="0C106A3D">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大气沉降</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；地面漫流□；垂直入渗</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；地下水位□；其他（  ）</w:t>
            </w:r>
          </w:p>
        </w:tc>
        <w:tc>
          <w:tcPr>
            <w:tcW w:w="439" w:type="pct"/>
            <w:tcBorders>
              <w:tl2br w:val="nil"/>
              <w:tr2bl w:val="nil"/>
            </w:tcBorders>
            <w:noWrap w:val="0"/>
            <w:vAlign w:val="center"/>
          </w:tcPr>
          <w:p w14:paraId="5B6FAA80">
            <w:pPr>
              <w:pStyle w:val="26"/>
              <w:bidi w:val="0"/>
              <w:rPr>
                <w:rFonts w:hint="default"/>
                <w:color w:val="000000" w:themeColor="text1"/>
                <w:highlight w:val="none"/>
                <w:lang w:val="en-US" w:eastAsia="zh-CN"/>
                <w14:textFill>
                  <w14:solidFill>
                    <w14:schemeClr w14:val="tx1"/>
                  </w14:solidFill>
                </w14:textFill>
              </w:rPr>
            </w:pPr>
          </w:p>
        </w:tc>
      </w:tr>
      <w:tr w14:paraId="5BE804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6E3768AE">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286BC714">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全部污染物</w:t>
            </w:r>
          </w:p>
        </w:tc>
        <w:tc>
          <w:tcPr>
            <w:tcW w:w="3366" w:type="pct"/>
            <w:gridSpan w:val="6"/>
            <w:tcBorders>
              <w:tl2br w:val="nil"/>
              <w:tr2bl w:val="nil"/>
            </w:tcBorders>
            <w:noWrap w:val="0"/>
            <w:vAlign w:val="center"/>
          </w:tcPr>
          <w:p w14:paraId="684FBE83">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硫酸雾、非甲烷总烃、</w:t>
            </w:r>
            <w:r>
              <w:rPr>
                <w:rFonts w:hint="eastAsia" w:ascii="Times New Roman" w:hAnsi="Times New Roman" w:eastAsia="宋体" w:cs="Times New Roman"/>
                <w:color w:val="000000" w:themeColor="text1"/>
                <w:highlight w:val="none"/>
                <w:lang w:val="en-US" w:eastAsia="zh-CN"/>
                <w14:textFill>
                  <w14:solidFill>
                    <w14:schemeClr w14:val="tx1"/>
                  </w14:solidFill>
                </w14:textFill>
              </w:rPr>
              <w:t xml:space="preserve">颗粒物、氟化物等 </w:t>
            </w:r>
          </w:p>
        </w:tc>
        <w:tc>
          <w:tcPr>
            <w:tcW w:w="439" w:type="pct"/>
            <w:tcBorders>
              <w:tl2br w:val="nil"/>
              <w:tr2bl w:val="nil"/>
            </w:tcBorders>
            <w:noWrap w:val="0"/>
            <w:vAlign w:val="center"/>
          </w:tcPr>
          <w:p w14:paraId="36D54F76">
            <w:pPr>
              <w:pStyle w:val="26"/>
              <w:bidi w:val="0"/>
              <w:rPr>
                <w:rFonts w:hint="default"/>
                <w:color w:val="000000" w:themeColor="text1"/>
                <w:highlight w:val="none"/>
                <w:lang w:val="en-US" w:eastAsia="zh-CN"/>
                <w14:textFill>
                  <w14:solidFill>
                    <w14:schemeClr w14:val="tx1"/>
                  </w14:solidFill>
                </w14:textFill>
              </w:rPr>
            </w:pPr>
          </w:p>
        </w:tc>
      </w:tr>
      <w:tr w14:paraId="01130F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53E1D592">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00D13B8C">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特征因子</w:t>
            </w:r>
          </w:p>
        </w:tc>
        <w:tc>
          <w:tcPr>
            <w:tcW w:w="3366" w:type="pct"/>
            <w:gridSpan w:val="6"/>
            <w:tcBorders>
              <w:tl2br w:val="nil"/>
              <w:tr2bl w:val="nil"/>
            </w:tcBorders>
            <w:noWrap w:val="0"/>
            <w:vAlign w:val="center"/>
          </w:tcPr>
          <w:p w14:paraId="64BE4A10">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硫酸雾</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439" w:type="pct"/>
            <w:tcBorders>
              <w:tl2br w:val="nil"/>
              <w:tr2bl w:val="nil"/>
            </w:tcBorders>
            <w:noWrap w:val="0"/>
            <w:vAlign w:val="center"/>
          </w:tcPr>
          <w:p w14:paraId="4D427711">
            <w:pPr>
              <w:pStyle w:val="26"/>
              <w:bidi w:val="0"/>
              <w:rPr>
                <w:rFonts w:hint="default"/>
                <w:color w:val="000000" w:themeColor="text1"/>
                <w:highlight w:val="none"/>
                <w:lang w:val="en-US" w:eastAsia="zh-CN"/>
                <w14:textFill>
                  <w14:solidFill>
                    <w14:schemeClr w14:val="tx1"/>
                  </w14:solidFill>
                </w14:textFill>
              </w:rPr>
            </w:pPr>
          </w:p>
        </w:tc>
      </w:tr>
      <w:tr w14:paraId="32F50C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7F0A86F4">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161CD6F1">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所属土壤环境影响评价项目类别</w:t>
            </w:r>
          </w:p>
        </w:tc>
        <w:tc>
          <w:tcPr>
            <w:tcW w:w="3366" w:type="pct"/>
            <w:gridSpan w:val="6"/>
            <w:tcBorders>
              <w:tl2br w:val="nil"/>
              <w:tr2bl w:val="nil"/>
            </w:tcBorders>
            <w:noWrap w:val="0"/>
            <w:vAlign w:val="center"/>
          </w:tcPr>
          <w:p w14:paraId="27F84E50">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Ⅰ类</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Ⅱ类□； Ⅲ类□；Ⅳ类□</w:t>
            </w:r>
          </w:p>
        </w:tc>
        <w:tc>
          <w:tcPr>
            <w:tcW w:w="439" w:type="pct"/>
            <w:tcBorders>
              <w:tl2br w:val="nil"/>
              <w:tr2bl w:val="nil"/>
            </w:tcBorders>
            <w:noWrap w:val="0"/>
            <w:vAlign w:val="center"/>
          </w:tcPr>
          <w:p w14:paraId="082C4B32">
            <w:pPr>
              <w:pStyle w:val="26"/>
              <w:bidi w:val="0"/>
              <w:rPr>
                <w:rFonts w:hint="default"/>
                <w:color w:val="000000" w:themeColor="text1"/>
                <w:highlight w:val="none"/>
                <w:lang w:val="en-US" w:eastAsia="zh-CN"/>
                <w14:textFill>
                  <w14:solidFill>
                    <w14:schemeClr w14:val="tx1"/>
                  </w14:solidFill>
                </w14:textFill>
              </w:rPr>
            </w:pPr>
          </w:p>
        </w:tc>
      </w:tr>
      <w:tr w14:paraId="548A51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1A95A74C">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4C39A5B0">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敏感程度</w:t>
            </w:r>
          </w:p>
        </w:tc>
        <w:tc>
          <w:tcPr>
            <w:tcW w:w="3366" w:type="pct"/>
            <w:gridSpan w:val="6"/>
            <w:tcBorders>
              <w:tl2br w:val="nil"/>
              <w:tr2bl w:val="nil"/>
            </w:tcBorders>
            <w:noWrap w:val="0"/>
            <w:vAlign w:val="center"/>
          </w:tcPr>
          <w:p w14:paraId="4FC09A03">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敏感□；较敏感□；不敏感</w:t>
            </w:r>
            <w:r>
              <w:rPr>
                <w:rFonts w:hint="eastAsia"/>
                <w:color w:val="000000" w:themeColor="text1"/>
                <w:highlight w:val="none"/>
                <w:lang w:val="en-US" w:eastAsia="zh-CN"/>
                <w14:textFill>
                  <w14:solidFill>
                    <w14:schemeClr w14:val="tx1"/>
                  </w14:solidFill>
                </w14:textFill>
              </w:rPr>
              <w:t>☑</w:t>
            </w:r>
          </w:p>
        </w:tc>
        <w:tc>
          <w:tcPr>
            <w:tcW w:w="439" w:type="pct"/>
            <w:tcBorders>
              <w:tl2br w:val="nil"/>
              <w:tr2bl w:val="nil"/>
            </w:tcBorders>
            <w:noWrap w:val="0"/>
            <w:vAlign w:val="center"/>
          </w:tcPr>
          <w:p w14:paraId="7BC6DFDE">
            <w:pPr>
              <w:pStyle w:val="26"/>
              <w:bidi w:val="0"/>
              <w:rPr>
                <w:rFonts w:hint="default"/>
                <w:color w:val="000000" w:themeColor="text1"/>
                <w:highlight w:val="none"/>
                <w:lang w:val="en-US" w:eastAsia="zh-CN"/>
                <w14:textFill>
                  <w14:solidFill>
                    <w14:schemeClr w14:val="tx1"/>
                  </w14:solidFill>
                </w14:textFill>
              </w:rPr>
            </w:pPr>
          </w:p>
        </w:tc>
      </w:tr>
      <w:tr w14:paraId="7C9BFB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93" w:type="pct"/>
            <w:gridSpan w:val="2"/>
            <w:tcBorders>
              <w:tl2br w:val="nil"/>
              <w:tr2bl w:val="nil"/>
            </w:tcBorders>
            <w:noWrap w:val="0"/>
            <w:vAlign w:val="top"/>
          </w:tcPr>
          <w:p w14:paraId="2916DBD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评价工作等级</w:t>
            </w:r>
          </w:p>
        </w:tc>
        <w:tc>
          <w:tcPr>
            <w:tcW w:w="3366" w:type="pct"/>
            <w:gridSpan w:val="6"/>
            <w:tcBorders>
              <w:tl2br w:val="nil"/>
              <w:tr2bl w:val="nil"/>
            </w:tcBorders>
            <w:noWrap w:val="0"/>
            <w:vAlign w:val="center"/>
          </w:tcPr>
          <w:p w14:paraId="5085BD32">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一级□；二级</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；三级□</w:t>
            </w:r>
          </w:p>
        </w:tc>
        <w:tc>
          <w:tcPr>
            <w:tcW w:w="439" w:type="pct"/>
            <w:tcBorders>
              <w:tl2br w:val="nil"/>
              <w:tr2bl w:val="nil"/>
            </w:tcBorders>
            <w:noWrap w:val="0"/>
            <w:vAlign w:val="center"/>
          </w:tcPr>
          <w:p w14:paraId="63328DB9">
            <w:pPr>
              <w:pStyle w:val="26"/>
              <w:bidi w:val="0"/>
              <w:rPr>
                <w:rFonts w:hint="default"/>
                <w:color w:val="000000" w:themeColor="text1"/>
                <w:highlight w:val="none"/>
                <w:lang w:val="en-US" w:eastAsia="zh-CN"/>
                <w14:textFill>
                  <w14:solidFill>
                    <w14:schemeClr w14:val="tx1"/>
                  </w14:solidFill>
                </w14:textFill>
              </w:rPr>
            </w:pPr>
          </w:p>
        </w:tc>
      </w:tr>
      <w:tr w14:paraId="5A48FC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restart"/>
            <w:tcBorders>
              <w:tl2br w:val="nil"/>
              <w:tr2bl w:val="nil"/>
            </w:tcBorders>
            <w:noWrap w:val="0"/>
            <w:vAlign w:val="top"/>
          </w:tcPr>
          <w:p w14:paraId="4C50E56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现状调查内容</w:t>
            </w:r>
          </w:p>
        </w:tc>
        <w:tc>
          <w:tcPr>
            <w:tcW w:w="961" w:type="pct"/>
            <w:tcBorders>
              <w:tl2br w:val="nil"/>
              <w:tr2bl w:val="nil"/>
            </w:tcBorders>
            <w:noWrap w:val="0"/>
            <w:vAlign w:val="center"/>
          </w:tcPr>
          <w:p w14:paraId="58B71386">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资料收集</w:t>
            </w:r>
          </w:p>
        </w:tc>
        <w:tc>
          <w:tcPr>
            <w:tcW w:w="3366" w:type="pct"/>
            <w:gridSpan w:val="6"/>
            <w:tcBorders>
              <w:tl2br w:val="nil"/>
              <w:tr2bl w:val="nil"/>
            </w:tcBorders>
            <w:noWrap w:val="0"/>
            <w:vAlign w:val="center"/>
          </w:tcPr>
          <w:p w14:paraId="50E1D3B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a</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b</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c</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d</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p>
        </w:tc>
        <w:tc>
          <w:tcPr>
            <w:tcW w:w="439" w:type="pct"/>
            <w:tcBorders>
              <w:tl2br w:val="nil"/>
              <w:tr2bl w:val="nil"/>
            </w:tcBorders>
            <w:noWrap w:val="0"/>
            <w:vAlign w:val="center"/>
          </w:tcPr>
          <w:p w14:paraId="47D0B854">
            <w:pPr>
              <w:pStyle w:val="26"/>
              <w:bidi w:val="0"/>
              <w:rPr>
                <w:rFonts w:hint="default"/>
                <w:color w:val="000000" w:themeColor="text1"/>
                <w:highlight w:val="none"/>
                <w:lang w:val="en-US" w:eastAsia="zh-CN"/>
                <w14:textFill>
                  <w14:solidFill>
                    <w14:schemeClr w14:val="tx1"/>
                  </w14:solidFill>
                </w14:textFill>
              </w:rPr>
            </w:pPr>
          </w:p>
        </w:tc>
      </w:tr>
      <w:tr w14:paraId="792696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03118E6A">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7B48240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理化特性</w:t>
            </w:r>
          </w:p>
        </w:tc>
        <w:tc>
          <w:tcPr>
            <w:tcW w:w="3366" w:type="pct"/>
            <w:gridSpan w:val="6"/>
            <w:tcBorders>
              <w:tl2br w:val="nil"/>
              <w:tr2bl w:val="nil"/>
            </w:tcBorders>
            <w:noWrap w:val="0"/>
            <w:vAlign w:val="center"/>
          </w:tcPr>
          <w:p w14:paraId="4534809A">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见监测报告</w:t>
            </w:r>
          </w:p>
        </w:tc>
        <w:tc>
          <w:tcPr>
            <w:tcW w:w="439" w:type="pct"/>
            <w:tcBorders>
              <w:tl2br w:val="nil"/>
              <w:tr2bl w:val="nil"/>
            </w:tcBorders>
            <w:noWrap w:val="0"/>
            <w:vAlign w:val="center"/>
          </w:tcPr>
          <w:p w14:paraId="5202B96A">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同附录 C</w:t>
            </w:r>
          </w:p>
        </w:tc>
      </w:tr>
      <w:tr w14:paraId="215B0D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3CE9369F">
            <w:pPr>
              <w:pStyle w:val="26"/>
              <w:bidi w:val="0"/>
              <w:rPr>
                <w:rFonts w:hint="default"/>
                <w:color w:val="000000" w:themeColor="text1"/>
                <w:highlight w:val="none"/>
                <w:lang w:val="en-US" w:eastAsia="zh-CN"/>
                <w14:textFill>
                  <w14:solidFill>
                    <w14:schemeClr w14:val="tx1"/>
                  </w14:solidFill>
                </w14:textFill>
              </w:rPr>
            </w:pPr>
          </w:p>
        </w:tc>
        <w:tc>
          <w:tcPr>
            <w:tcW w:w="961" w:type="pct"/>
            <w:vMerge w:val="restart"/>
            <w:tcBorders>
              <w:tl2br w:val="nil"/>
              <w:tr2bl w:val="nil"/>
            </w:tcBorders>
            <w:noWrap w:val="0"/>
            <w:vAlign w:val="center"/>
          </w:tcPr>
          <w:p w14:paraId="579B57A6">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现状监测点位</w:t>
            </w:r>
          </w:p>
        </w:tc>
        <w:tc>
          <w:tcPr>
            <w:tcW w:w="681" w:type="pct"/>
            <w:tcBorders>
              <w:tl2br w:val="nil"/>
              <w:tr2bl w:val="nil"/>
            </w:tcBorders>
            <w:noWrap w:val="0"/>
            <w:vAlign w:val="center"/>
          </w:tcPr>
          <w:p w14:paraId="1CE67569">
            <w:pPr>
              <w:pStyle w:val="26"/>
              <w:bidi w:val="0"/>
              <w:rPr>
                <w:rFonts w:hint="default"/>
                <w:color w:val="000000" w:themeColor="text1"/>
                <w:highlight w:val="none"/>
                <w:lang w:val="en-US" w:eastAsia="zh-CN"/>
                <w14:textFill>
                  <w14:solidFill>
                    <w14:schemeClr w14:val="tx1"/>
                  </w14:solidFill>
                </w14:textFill>
              </w:rPr>
            </w:pPr>
          </w:p>
        </w:tc>
        <w:tc>
          <w:tcPr>
            <w:tcW w:w="663" w:type="pct"/>
            <w:gridSpan w:val="2"/>
            <w:tcBorders>
              <w:tl2br w:val="nil"/>
              <w:tr2bl w:val="nil"/>
            </w:tcBorders>
            <w:noWrap w:val="0"/>
            <w:vAlign w:val="center"/>
          </w:tcPr>
          <w:p w14:paraId="0758DEAC">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占地范围内</w:t>
            </w:r>
          </w:p>
        </w:tc>
        <w:tc>
          <w:tcPr>
            <w:tcW w:w="689" w:type="pct"/>
            <w:tcBorders>
              <w:tl2br w:val="nil"/>
              <w:tr2bl w:val="nil"/>
            </w:tcBorders>
            <w:noWrap w:val="0"/>
            <w:vAlign w:val="center"/>
          </w:tcPr>
          <w:p w14:paraId="73F3FB09">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占地范围外</w:t>
            </w:r>
          </w:p>
        </w:tc>
        <w:tc>
          <w:tcPr>
            <w:tcW w:w="1332" w:type="pct"/>
            <w:gridSpan w:val="2"/>
            <w:tcBorders>
              <w:tl2br w:val="nil"/>
              <w:tr2bl w:val="nil"/>
            </w:tcBorders>
            <w:noWrap w:val="0"/>
            <w:vAlign w:val="center"/>
          </w:tcPr>
          <w:p w14:paraId="0BF6FA0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深度</w:t>
            </w:r>
          </w:p>
        </w:tc>
        <w:tc>
          <w:tcPr>
            <w:tcW w:w="439" w:type="pct"/>
            <w:vMerge w:val="restart"/>
            <w:tcBorders>
              <w:tl2br w:val="nil"/>
              <w:tr2bl w:val="nil"/>
            </w:tcBorders>
            <w:noWrap w:val="0"/>
            <w:vAlign w:val="center"/>
          </w:tcPr>
          <w:p w14:paraId="7F31B8C0">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点位布置图</w:t>
            </w:r>
          </w:p>
        </w:tc>
      </w:tr>
      <w:tr w14:paraId="7056EC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14948E58">
            <w:pPr>
              <w:pStyle w:val="26"/>
              <w:bidi w:val="0"/>
              <w:rPr>
                <w:rFonts w:hint="default"/>
                <w:color w:val="000000" w:themeColor="text1"/>
                <w:highlight w:val="none"/>
                <w:lang w:val="en-US" w:eastAsia="zh-CN"/>
                <w14:textFill>
                  <w14:solidFill>
                    <w14:schemeClr w14:val="tx1"/>
                  </w14:solidFill>
                </w14:textFill>
              </w:rPr>
            </w:pPr>
          </w:p>
        </w:tc>
        <w:tc>
          <w:tcPr>
            <w:tcW w:w="961" w:type="pct"/>
            <w:vMerge w:val="continue"/>
            <w:tcBorders>
              <w:tl2br w:val="nil"/>
              <w:tr2bl w:val="nil"/>
            </w:tcBorders>
            <w:noWrap w:val="0"/>
            <w:vAlign w:val="center"/>
          </w:tcPr>
          <w:p w14:paraId="6F8B6D58">
            <w:pPr>
              <w:pStyle w:val="26"/>
              <w:bidi w:val="0"/>
              <w:rPr>
                <w:rFonts w:hint="default"/>
                <w:color w:val="000000" w:themeColor="text1"/>
                <w:highlight w:val="none"/>
                <w:lang w:val="en-US" w:eastAsia="zh-CN"/>
                <w14:textFill>
                  <w14:solidFill>
                    <w14:schemeClr w14:val="tx1"/>
                  </w14:solidFill>
                </w14:textFill>
              </w:rPr>
            </w:pPr>
          </w:p>
        </w:tc>
        <w:tc>
          <w:tcPr>
            <w:tcW w:w="681" w:type="pct"/>
            <w:tcBorders>
              <w:tl2br w:val="nil"/>
              <w:tr2bl w:val="nil"/>
            </w:tcBorders>
            <w:noWrap w:val="0"/>
            <w:vAlign w:val="center"/>
          </w:tcPr>
          <w:p w14:paraId="22C5579E">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表层样点数</w:t>
            </w:r>
          </w:p>
        </w:tc>
        <w:tc>
          <w:tcPr>
            <w:tcW w:w="663" w:type="pct"/>
            <w:gridSpan w:val="2"/>
            <w:tcBorders>
              <w:tl2br w:val="nil"/>
              <w:tr2bl w:val="nil"/>
            </w:tcBorders>
            <w:noWrap w:val="0"/>
            <w:vAlign w:val="center"/>
          </w:tcPr>
          <w:p w14:paraId="380CA612">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689" w:type="pct"/>
            <w:tcBorders>
              <w:tl2br w:val="nil"/>
              <w:tr2bl w:val="nil"/>
            </w:tcBorders>
            <w:noWrap w:val="0"/>
            <w:vAlign w:val="center"/>
          </w:tcPr>
          <w:p w14:paraId="26101A6B">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1332" w:type="pct"/>
            <w:gridSpan w:val="2"/>
            <w:tcBorders>
              <w:tl2br w:val="nil"/>
              <w:tr2bl w:val="nil"/>
            </w:tcBorders>
            <w:noWrap w:val="0"/>
            <w:vAlign w:val="center"/>
          </w:tcPr>
          <w:p w14:paraId="7B03A2F3">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0.2</w:t>
            </w:r>
            <w:r>
              <w:rPr>
                <w:rFonts w:hint="eastAsia"/>
                <w:color w:val="000000" w:themeColor="text1"/>
                <w:highlight w:val="none"/>
                <w:lang w:val="en-US" w:eastAsia="zh-CN"/>
                <w14:textFill>
                  <w14:solidFill>
                    <w14:schemeClr w14:val="tx1"/>
                  </w14:solidFill>
                </w14:textFill>
              </w:rPr>
              <w:t>m</w:t>
            </w:r>
            <w:r>
              <w:rPr>
                <w:rFonts w:hint="default"/>
                <w:color w:val="000000" w:themeColor="text1"/>
                <w:highlight w:val="none"/>
                <w:lang w:val="en-US" w:eastAsia="zh-CN"/>
                <w14:textFill>
                  <w14:solidFill>
                    <w14:schemeClr w14:val="tx1"/>
                  </w14:solidFill>
                </w14:textFill>
              </w:rPr>
              <w:t>取样</w:t>
            </w:r>
          </w:p>
        </w:tc>
        <w:tc>
          <w:tcPr>
            <w:tcW w:w="439" w:type="pct"/>
            <w:vMerge w:val="continue"/>
            <w:tcBorders>
              <w:tl2br w:val="nil"/>
              <w:tr2bl w:val="nil"/>
            </w:tcBorders>
            <w:noWrap w:val="0"/>
            <w:vAlign w:val="center"/>
          </w:tcPr>
          <w:p w14:paraId="7BA77CB3">
            <w:pPr>
              <w:pStyle w:val="26"/>
              <w:bidi w:val="0"/>
              <w:rPr>
                <w:rFonts w:hint="default"/>
                <w:color w:val="000000" w:themeColor="text1"/>
                <w:highlight w:val="none"/>
                <w:lang w:val="en-US" w:eastAsia="zh-CN"/>
                <w14:textFill>
                  <w14:solidFill>
                    <w14:schemeClr w14:val="tx1"/>
                  </w14:solidFill>
                </w14:textFill>
              </w:rPr>
            </w:pPr>
          </w:p>
        </w:tc>
      </w:tr>
      <w:tr w14:paraId="35F8E7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39416A8B">
            <w:pPr>
              <w:pStyle w:val="26"/>
              <w:bidi w:val="0"/>
              <w:rPr>
                <w:rFonts w:hint="default"/>
                <w:color w:val="000000" w:themeColor="text1"/>
                <w:highlight w:val="none"/>
                <w:lang w:val="en-US" w:eastAsia="zh-CN"/>
                <w14:textFill>
                  <w14:solidFill>
                    <w14:schemeClr w14:val="tx1"/>
                  </w14:solidFill>
                </w14:textFill>
              </w:rPr>
            </w:pPr>
          </w:p>
        </w:tc>
        <w:tc>
          <w:tcPr>
            <w:tcW w:w="961" w:type="pct"/>
            <w:vMerge w:val="continue"/>
            <w:tcBorders>
              <w:tl2br w:val="nil"/>
              <w:tr2bl w:val="nil"/>
            </w:tcBorders>
            <w:noWrap w:val="0"/>
            <w:vAlign w:val="center"/>
          </w:tcPr>
          <w:p w14:paraId="18A8B6AF">
            <w:pPr>
              <w:pStyle w:val="26"/>
              <w:bidi w:val="0"/>
              <w:rPr>
                <w:rFonts w:hint="default"/>
                <w:color w:val="000000" w:themeColor="text1"/>
                <w:highlight w:val="none"/>
                <w:lang w:val="en-US" w:eastAsia="zh-CN"/>
                <w14:textFill>
                  <w14:solidFill>
                    <w14:schemeClr w14:val="tx1"/>
                  </w14:solidFill>
                </w14:textFill>
              </w:rPr>
            </w:pPr>
          </w:p>
        </w:tc>
        <w:tc>
          <w:tcPr>
            <w:tcW w:w="681" w:type="pct"/>
            <w:tcBorders>
              <w:tl2br w:val="nil"/>
              <w:tr2bl w:val="nil"/>
            </w:tcBorders>
            <w:noWrap w:val="0"/>
            <w:vAlign w:val="center"/>
          </w:tcPr>
          <w:p w14:paraId="0FB99CD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柱状样点数</w:t>
            </w:r>
          </w:p>
        </w:tc>
        <w:tc>
          <w:tcPr>
            <w:tcW w:w="663" w:type="pct"/>
            <w:gridSpan w:val="2"/>
            <w:tcBorders>
              <w:tl2br w:val="nil"/>
              <w:tr2bl w:val="nil"/>
            </w:tcBorders>
            <w:noWrap w:val="0"/>
            <w:vAlign w:val="center"/>
          </w:tcPr>
          <w:p w14:paraId="0FABA437">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689" w:type="pct"/>
            <w:tcBorders>
              <w:tl2br w:val="nil"/>
              <w:tr2bl w:val="nil"/>
            </w:tcBorders>
            <w:noWrap w:val="0"/>
            <w:vAlign w:val="center"/>
          </w:tcPr>
          <w:p w14:paraId="420C1711">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w:t>
            </w:r>
          </w:p>
        </w:tc>
        <w:tc>
          <w:tcPr>
            <w:tcW w:w="1332" w:type="pct"/>
            <w:gridSpan w:val="2"/>
            <w:tcBorders>
              <w:tl2br w:val="nil"/>
              <w:tr2bl w:val="nil"/>
            </w:tcBorders>
            <w:noWrap w:val="0"/>
            <w:vAlign w:val="center"/>
          </w:tcPr>
          <w:p w14:paraId="2AACC34D">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0.5</w:t>
            </w:r>
            <w:r>
              <w:rPr>
                <w:rFonts w:hint="eastAsia"/>
                <w:color w:val="000000" w:themeColor="text1"/>
                <w:highlight w:val="none"/>
                <w:lang w:val="en-US" w:eastAsia="zh-CN"/>
                <w14:textFill>
                  <w14:solidFill>
                    <w14:schemeClr w14:val="tx1"/>
                  </w14:solidFill>
                </w14:textFill>
              </w:rPr>
              <w:t>m</w:t>
            </w:r>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m</w:t>
            </w: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m</w:t>
            </w:r>
            <w:r>
              <w:rPr>
                <w:rFonts w:hint="default"/>
                <w:color w:val="000000" w:themeColor="text1"/>
                <w:highlight w:val="none"/>
                <w:lang w:val="en-US" w:eastAsia="zh-CN"/>
                <w14:textFill>
                  <w14:solidFill>
                    <w14:schemeClr w14:val="tx1"/>
                  </w14:solidFill>
                </w14:textFill>
              </w:rPr>
              <w:t>分别取样</w:t>
            </w:r>
          </w:p>
        </w:tc>
        <w:tc>
          <w:tcPr>
            <w:tcW w:w="439" w:type="pct"/>
            <w:vMerge w:val="continue"/>
            <w:tcBorders>
              <w:tl2br w:val="nil"/>
              <w:tr2bl w:val="nil"/>
            </w:tcBorders>
            <w:noWrap w:val="0"/>
            <w:vAlign w:val="center"/>
          </w:tcPr>
          <w:p w14:paraId="0D15D2E6">
            <w:pPr>
              <w:pStyle w:val="26"/>
              <w:bidi w:val="0"/>
              <w:rPr>
                <w:rFonts w:hint="default"/>
                <w:color w:val="000000" w:themeColor="text1"/>
                <w:highlight w:val="none"/>
                <w:lang w:val="en-US" w:eastAsia="zh-CN"/>
                <w14:textFill>
                  <w14:solidFill>
                    <w14:schemeClr w14:val="tx1"/>
                  </w14:solidFill>
                </w14:textFill>
              </w:rPr>
            </w:pPr>
          </w:p>
        </w:tc>
      </w:tr>
      <w:tr w14:paraId="0A8EDA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263AE159">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59D0ABB8">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现状监测因子</w:t>
            </w:r>
          </w:p>
        </w:tc>
        <w:tc>
          <w:tcPr>
            <w:tcW w:w="3366" w:type="pct"/>
            <w:gridSpan w:val="6"/>
            <w:tcBorders>
              <w:tl2br w:val="nil"/>
              <w:tr2bl w:val="nil"/>
            </w:tcBorders>
            <w:noWrap w:val="0"/>
            <w:vAlign w:val="center"/>
          </w:tcPr>
          <w:p w14:paraId="547AD5D2">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基本项目45项</w:t>
            </w:r>
          </w:p>
        </w:tc>
        <w:tc>
          <w:tcPr>
            <w:tcW w:w="439" w:type="pct"/>
            <w:tcBorders>
              <w:tl2br w:val="nil"/>
              <w:tr2bl w:val="nil"/>
            </w:tcBorders>
            <w:noWrap w:val="0"/>
            <w:vAlign w:val="center"/>
          </w:tcPr>
          <w:p w14:paraId="498D96CF">
            <w:pPr>
              <w:pStyle w:val="26"/>
              <w:bidi w:val="0"/>
              <w:rPr>
                <w:rFonts w:hint="default"/>
                <w:color w:val="000000" w:themeColor="text1"/>
                <w:highlight w:val="none"/>
                <w:lang w:val="en-US" w:eastAsia="zh-CN"/>
                <w14:textFill>
                  <w14:solidFill>
                    <w14:schemeClr w14:val="tx1"/>
                  </w14:solidFill>
                </w14:textFill>
              </w:rPr>
            </w:pPr>
          </w:p>
        </w:tc>
      </w:tr>
      <w:tr w14:paraId="05C6D7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restart"/>
            <w:tcBorders>
              <w:tl2br w:val="nil"/>
              <w:tr2bl w:val="nil"/>
            </w:tcBorders>
            <w:noWrap w:val="0"/>
            <w:vAlign w:val="top"/>
          </w:tcPr>
          <w:p w14:paraId="392A516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现状评价</w:t>
            </w:r>
          </w:p>
        </w:tc>
        <w:tc>
          <w:tcPr>
            <w:tcW w:w="961" w:type="pct"/>
            <w:tcBorders>
              <w:tl2br w:val="nil"/>
              <w:tr2bl w:val="nil"/>
            </w:tcBorders>
            <w:noWrap w:val="0"/>
            <w:vAlign w:val="center"/>
          </w:tcPr>
          <w:p w14:paraId="0A6E7054">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评价因子</w:t>
            </w:r>
          </w:p>
        </w:tc>
        <w:tc>
          <w:tcPr>
            <w:tcW w:w="3366" w:type="pct"/>
            <w:gridSpan w:val="6"/>
            <w:tcBorders>
              <w:tl2br w:val="nil"/>
              <w:tr2bl w:val="nil"/>
            </w:tcBorders>
            <w:noWrap w:val="0"/>
            <w:vAlign w:val="center"/>
          </w:tcPr>
          <w:p w14:paraId="390F3D8C">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基本项目45项</w:t>
            </w:r>
          </w:p>
        </w:tc>
        <w:tc>
          <w:tcPr>
            <w:tcW w:w="439" w:type="pct"/>
            <w:tcBorders>
              <w:tl2br w:val="nil"/>
              <w:tr2bl w:val="nil"/>
            </w:tcBorders>
            <w:noWrap w:val="0"/>
            <w:vAlign w:val="center"/>
          </w:tcPr>
          <w:p w14:paraId="68842E46">
            <w:pPr>
              <w:pStyle w:val="26"/>
              <w:bidi w:val="0"/>
              <w:rPr>
                <w:rFonts w:hint="default"/>
                <w:color w:val="000000" w:themeColor="text1"/>
                <w:highlight w:val="none"/>
                <w:lang w:val="en-US" w:eastAsia="zh-CN"/>
                <w14:textFill>
                  <w14:solidFill>
                    <w14:schemeClr w14:val="tx1"/>
                  </w14:solidFill>
                </w14:textFill>
              </w:rPr>
            </w:pPr>
          </w:p>
        </w:tc>
      </w:tr>
      <w:tr w14:paraId="55DD93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65EA3600">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59DD8CC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评价标准</w:t>
            </w:r>
          </w:p>
        </w:tc>
        <w:tc>
          <w:tcPr>
            <w:tcW w:w="3366" w:type="pct"/>
            <w:gridSpan w:val="6"/>
            <w:tcBorders>
              <w:tl2br w:val="nil"/>
              <w:tr2bl w:val="nil"/>
            </w:tcBorders>
            <w:noWrap w:val="0"/>
            <w:vAlign w:val="center"/>
          </w:tcPr>
          <w:p w14:paraId="1DFEAD4B">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GB15618□； GB36600</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；表D.1</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r>
              <w:rPr>
                <w:rFonts w:hint="default"/>
                <w:color w:val="000000" w:themeColor="text1"/>
                <w:highlight w:val="none"/>
                <w:lang w:val="en-US" w:eastAsia="zh-CN"/>
                <w14:textFill>
                  <w14:solidFill>
                    <w14:schemeClr w14:val="tx1"/>
                  </w14:solidFill>
                </w14:textFill>
              </w:rPr>
              <w:t>；表D.2</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r>
              <w:rPr>
                <w:rFonts w:hint="default"/>
                <w:color w:val="000000" w:themeColor="text1"/>
                <w:highlight w:val="none"/>
                <w:lang w:val="en-US" w:eastAsia="zh-CN"/>
                <w14:textFill>
                  <w14:solidFill>
                    <w14:schemeClr w14:val="tx1"/>
                  </w14:solidFill>
                </w14:textFill>
              </w:rPr>
              <w:t>；其他</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w:t>
            </w:r>
          </w:p>
        </w:tc>
        <w:tc>
          <w:tcPr>
            <w:tcW w:w="439" w:type="pct"/>
            <w:tcBorders>
              <w:tl2br w:val="nil"/>
              <w:tr2bl w:val="nil"/>
            </w:tcBorders>
            <w:noWrap w:val="0"/>
            <w:vAlign w:val="center"/>
          </w:tcPr>
          <w:p w14:paraId="55E7D4DF">
            <w:pPr>
              <w:pStyle w:val="26"/>
              <w:bidi w:val="0"/>
              <w:rPr>
                <w:rFonts w:hint="default"/>
                <w:color w:val="000000" w:themeColor="text1"/>
                <w:highlight w:val="none"/>
                <w:lang w:val="en-US" w:eastAsia="zh-CN"/>
                <w14:textFill>
                  <w14:solidFill>
                    <w14:schemeClr w14:val="tx1"/>
                  </w14:solidFill>
                </w14:textFill>
              </w:rPr>
            </w:pPr>
          </w:p>
        </w:tc>
      </w:tr>
      <w:tr w14:paraId="3D5EE8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2738C0AC">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64E0E32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现状评价结论</w:t>
            </w:r>
          </w:p>
        </w:tc>
        <w:tc>
          <w:tcPr>
            <w:tcW w:w="3366" w:type="pct"/>
            <w:gridSpan w:val="6"/>
            <w:tcBorders>
              <w:tl2br w:val="nil"/>
              <w:tr2bl w:val="nil"/>
            </w:tcBorders>
            <w:noWrap w:val="0"/>
            <w:vAlign w:val="center"/>
          </w:tcPr>
          <w:p w14:paraId="26192A4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项目区域土壤环境质量满足</w:t>
            </w:r>
            <w:r>
              <w:rPr>
                <w:rFonts w:hint="default"/>
                <w:color w:val="000000" w:themeColor="text1"/>
                <w:highlight w:val="none"/>
                <w:lang w:val="en-US" w:eastAsia="zh-CN"/>
                <w14:textFill>
                  <w14:solidFill>
                    <w14:schemeClr w14:val="tx1"/>
                  </w14:solidFill>
                </w14:textFill>
              </w:rPr>
              <w:t>《土壤环境质量</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t>建设用地土壤污染风险管控标准（试行）》（GB36600-2018）表1中第二类用筛选值</w:t>
            </w:r>
            <w:r>
              <w:rPr>
                <w:rFonts w:hint="eastAsia"/>
                <w:color w:val="000000" w:themeColor="text1"/>
                <w:highlight w:val="none"/>
                <w:lang w:val="en-US" w:eastAsia="zh-CN"/>
                <w14:textFill>
                  <w14:solidFill>
                    <w14:schemeClr w14:val="tx1"/>
                  </w14:solidFill>
                </w14:textFill>
              </w:rPr>
              <w:t>，</w:t>
            </w:r>
          </w:p>
        </w:tc>
        <w:tc>
          <w:tcPr>
            <w:tcW w:w="439" w:type="pct"/>
            <w:tcBorders>
              <w:tl2br w:val="nil"/>
              <w:tr2bl w:val="nil"/>
            </w:tcBorders>
            <w:noWrap w:val="0"/>
            <w:vAlign w:val="center"/>
          </w:tcPr>
          <w:p w14:paraId="525D26C2">
            <w:pPr>
              <w:pStyle w:val="26"/>
              <w:bidi w:val="0"/>
              <w:rPr>
                <w:rFonts w:hint="default"/>
                <w:color w:val="000000" w:themeColor="text1"/>
                <w:highlight w:val="none"/>
                <w:lang w:val="en-US" w:eastAsia="zh-CN"/>
                <w14:textFill>
                  <w14:solidFill>
                    <w14:schemeClr w14:val="tx1"/>
                  </w14:solidFill>
                </w14:textFill>
              </w:rPr>
            </w:pPr>
          </w:p>
        </w:tc>
      </w:tr>
      <w:tr w14:paraId="2199C2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restart"/>
            <w:tcBorders>
              <w:tl2br w:val="nil"/>
              <w:tr2bl w:val="nil"/>
            </w:tcBorders>
            <w:noWrap w:val="0"/>
            <w:vAlign w:val="center"/>
          </w:tcPr>
          <w:p w14:paraId="50B44BF8">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影响预测</w:t>
            </w:r>
          </w:p>
        </w:tc>
        <w:tc>
          <w:tcPr>
            <w:tcW w:w="961" w:type="pct"/>
            <w:tcBorders>
              <w:tl2br w:val="nil"/>
              <w:tr2bl w:val="nil"/>
            </w:tcBorders>
            <w:noWrap w:val="0"/>
            <w:vAlign w:val="center"/>
          </w:tcPr>
          <w:p w14:paraId="3FD709F8">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预测因子</w:t>
            </w:r>
          </w:p>
        </w:tc>
        <w:tc>
          <w:tcPr>
            <w:tcW w:w="3366" w:type="pct"/>
            <w:gridSpan w:val="6"/>
            <w:tcBorders>
              <w:tl2br w:val="nil"/>
              <w:tr2bl w:val="nil"/>
            </w:tcBorders>
            <w:noWrap w:val="0"/>
            <w:vAlign w:val="center"/>
          </w:tcPr>
          <w:p w14:paraId="25D89C93">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439" w:type="pct"/>
            <w:tcBorders>
              <w:tl2br w:val="nil"/>
              <w:tr2bl w:val="nil"/>
            </w:tcBorders>
            <w:noWrap w:val="0"/>
            <w:vAlign w:val="center"/>
          </w:tcPr>
          <w:p w14:paraId="2E6D7079">
            <w:pPr>
              <w:pStyle w:val="26"/>
              <w:bidi w:val="0"/>
              <w:rPr>
                <w:rFonts w:hint="default"/>
                <w:color w:val="000000" w:themeColor="text1"/>
                <w:highlight w:val="none"/>
                <w:lang w:val="en-US" w:eastAsia="zh-CN"/>
                <w14:textFill>
                  <w14:solidFill>
                    <w14:schemeClr w14:val="tx1"/>
                  </w14:solidFill>
                </w14:textFill>
              </w:rPr>
            </w:pPr>
          </w:p>
        </w:tc>
      </w:tr>
      <w:tr w14:paraId="798994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401C17FA">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2FFE544A">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预测方法</w:t>
            </w:r>
          </w:p>
        </w:tc>
        <w:tc>
          <w:tcPr>
            <w:tcW w:w="3366" w:type="pct"/>
            <w:gridSpan w:val="6"/>
            <w:tcBorders>
              <w:tl2br w:val="nil"/>
              <w:tr2bl w:val="nil"/>
            </w:tcBorders>
            <w:noWrap w:val="0"/>
            <w:vAlign w:val="center"/>
          </w:tcPr>
          <w:p w14:paraId="1DC4E1DA">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附录 E</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附录 F□；其他</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w:t>
            </w:r>
          </w:p>
        </w:tc>
        <w:tc>
          <w:tcPr>
            <w:tcW w:w="439" w:type="pct"/>
            <w:tcBorders>
              <w:tl2br w:val="nil"/>
              <w:tr2bl w:val="nil"/>
            </w:tcBorders>
            <w:noWrap w:val="0"/>
            <w:vAlign w:val="center"/>
          </w:tcPr>
          <w:p w14:paraId="68108272">
            <w:pPr>
              <w:pStyle w:val="26"/>
              <w:bidi w:val="0"/>
              <w:rPr>
                <w:rFonts w:hint="default"/>
                <w:color w:val="000000" w:themeColor="text1"/>
                <w:highlight w:val="none"/>
                <w:lang w:val="en-US" w:eastAsia="zh-CN"/>
                <w14:textFill>
                  <w14:solidFill>
                    <w14:schemeClr w14:val="tx1"/>
                  </w14:solidFill>
                </w14:textFill>
              </w:rPr>
            </w:pPr>
          </w:p>
        </w:tc>
      </w:tr>
      <w:tr w14:paraId="03372E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724CDF07">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3FC033E6">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预测分析内容</w:t>
            </w:r>
          </w:p>
        </w:tc>
        <w:tc>
          <w:tcPr>
            <w:tcW w:w="3366" w:type="pct"/>
            <w:gridSpan w:val="6"/>
            <w:tcBorders>
              <w:tl2br w:val="nil"/>
              <w:tr2bl w:val="nil"/>
            </w:tcBorders>
            <w:noWrap w:val="0"/>
            <w:vAlign w:val="center"/>
          </w:tcPr>
          <w:p w14:paraId="3B5F3ED3">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影响范围</w:t>
            </w:r>
            <w:r>
              <w:rPr>
                <w:rFonts w:hint="eastAsia"/>
                <w:color w:val="000000" w:themeColor="text1"/>
                <w:highlight w:val="none"/>
                <w:lang w:val="en-US" w:eastAsia="zh-CN"/>
                <w14:textFill>
                  <w14:solidFill>
                    <w14:schemeClr w14:val="tx1"/>
                  </w14:solidFill>
                </w14:textFill>
              </w:rPr>
              <w:t>（ ）；</w:t>
            </w:r>
          </w:p>
          <w:p w14:paraId="6E55245D">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影响程度</w:t>
            </w:r>
            <w:r>
              <w:rPr>
                <w:rFonts w:hint="eastAsia"/>
                <w:color w:val="000000" w:themeColor="text1"/>
                <w:highlight w:val="none"/>
                <w:lang w:val="en-US" w:eastAsia="zh-CN"/>
                <w14:textFill>
                  <w14:solidFill>
                    <w14:schemeClr w14:val="tx1"/>
                  </w14:solidFill>
                </w14:textFill>
              </w:rPr>
              <w:t>（ ）</w:t>
            </w:r>
          </w:p>
        </w:tc>
        <w:tc>
          <w:tcPr>
            <w:tcW w:w="439" w:type="pct"/>
            <w:tcBorders>
              <w:tl2br w:val="nil"/>
              <w:tr2bl w:val="nil"/>
            </w:tcBorders>
            <w:noWrap w:val="0"/>
            <w:vAlign w:val="center"/>
          </w:tcPr>
          <w:p w14:paraId="754F8CAB">
            <w:pPr>
              <w:pStyle w:val="26"/>
              <w:bidi w:val="0"/>
              <w:rPr>
                <w:rFonts w:hint="default"/>
                <w:color w:val="000000" w:themeColor="text1"/>
                <w:highlight w:val="none"/>
                <w:lang w:val="en-US" w:eastAsia="zh-CN"/>
                <w14:textFill>
                  <w14:solidFill>
                    <w14:schemeClr w14:val="tx1"/>
                  </w14:solidFill>
                </w14:textFill>
              </w:rPr>
            </w:pPr>
          </w:p>
        </w:tc>
      </w:tr>
      <w:tr w14:paraId="695292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597F12CA">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0BF9B35E">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预测结论</w:t>
            </w:r>
          </w:p>
        </w:tc>
        <w:tc>
          <w:tcPr>
            <w:tcW w:w="3366" w:type="pct"/>
            <w:gridSpan w:val="6"/>
            <w:tcBorders>
              <w:tl2br w:val="nil"/>
              <w:tr2bl w:val="nil"/>
            </w:tcBorders>
            <w:noWrap w:val="0"/>
            <w:vAlign w:val="center"/>
          </w:tcPr>
          <w:p w14:paraId="78B82CA0">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达标结论： a</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 b</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 c</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p>
          <w:p w14:paraId="1D6E79AE">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不达标结论： a</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 b</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p>
        </w:tc>
        <w:tc>
          <w:tcPr>
            <w:tcW w:w="439" w:type="pct"/>
            <w:tcBorders>
              <w:tl2br w:val="nil"/>
              <w:tr2bl w:val="nil"/>
            </w:tcBorders>
            <w:noWrap w:val="0"/>
            <w:vAlign w:val="center"/>
          </w:tcPr>
          <w:p w14:paraId="6D4EF932">
            <w:pPr>
              <w:pStyle w:val="26"/>
              <w:bidi w:val="0"/>
              <w:rPr>
                <w:rFonts w:hint="default"/>
                <w:color w:val="000000" w:themeColor="text1"/>
                <w:highlight w:val="none"/>
                <w:lang w:val="en-US" w:eastAsia="zh-CN"/>
                <w14:textFill>
                  <w14:solidFill>
                    <w14:schemeClr w14:val="tx1"/>
                  </w14:solidFill>
                </w14:textFill>
              </w:rPr>
            </w:pPr>
          </w:p>
        </w:tc>
      </w:tr>
      <w:tr w14:paraId="323057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restart"/>
            <w:tcBorders>
              <w:tl2br w:val="nil"/>
              <w:tr2bl w:val="nil"/>
            </w:tcBorders>
            <w:noWrap w:val="0"/>
            <w:vAlign w:val="top"/>
          </w:tcPr>
          <w:p w14:paraId="12820A6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防治措施</w:t>
            </w:r>
          </w:p>
        </w:tc>
        <w:tc>
          <w:tcPr>
            <w:tcW w:w="961" w:type="pct"/>
            <w:tcBorders>
              <w:tl2br w:val="nil"/>
              <w:tr2bl w:val="nil"/>
            </w:tcBorders>
            <w:noWrap w:val="0"/>
            <w:vAlign w:val="center"/>
          </w:tcPr>
          <w:p w14:paraId="44549592">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防控措施</w:t>
            </w:r>
          </w:p>
        </w:tc>
        <w:tc>
          <w:tcPr>
            <w:tcW w:w="3366" w:type="pct"/>
            <w:gridSpan w:val="6"/>
            <w:tcBorders>
              <w:tl2br w:val="nil"/>
              <w:tr2bl w:val="nil"/>
            </w:tcBorders>
            <w:noWrap w:val="0"/>
            <w:vAlign w:val="center"/>
          </w:tcPr>
          <w:p w14:paraId="5D777BF6">
            <w:pPr>
              <w:pStyle w:val="26"/>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 xml:space="preserve">土壤环境质量现状保障 </w:t>
            </w:r>
            <w:r>
              <w:rPr>
                <w:rFonts w:hint="default"/>
                <w:color w:val="000000" w:themeColor="text1"/>
                <w:highlight w:val="none"/>
                <w:lang w:val="en-US" w:eastAsia="zh-CN"/>
                <w14:textFill>
                  <w14:solidFill>
                    <w14:schemeClr w14:val="tx1"/>
                  </w14:solidFill>
                </w14:textFill>
              </w:rPr>
              <w:fldChar w:fldCharType="begin"/>
            </w:r>
            <w:r>
              <w:rPr>
                <w:rFonts w:hint="default"/>
                <w:color w:val="000000" w:themeColor="text1"/>
                <w:highlight w:val="none"/>
                <w:lang w:val="en-US" w:eastAsia="zh-CN"/>
                <w14:textFill>
                  <w14:solidFill>
                    <w14:schemeClr w14:val="tx1"/>
                  </w14:solidFill>
                </w14:textFill>
              </w:rPr>
              <w:instrText xml:space="preserve"> eq \o\ac(□)</w:instrText>
            </w:r>
            <w:r>
              <w:rPr>
                <w:rFonts w:hint="default"/>
                <w:color w:val="000000" w:themeColor="text1"/>
                <w:highlight w:val="none"/>
                <w:lang w:val="en-US" w:eastAsia="zh-CN"/>
                <w14:textFill>
                  <w14:solidFill>
                    <w14:schemeClr w14:val="tx1"/>
                  </w14:solidFill>
                </w14:textFill>
              </w:rPr>
              <w:fldChar w:fldCharType="end"/>
            </w:r>
            <w:r>
              <w:rPr>
                <w:rFonts w:hint="default"/>
                <w:color w:val="000000" w:themeColor="text1"/>
                <w:highlight w:val="none"/>
                <w:lang w:val="en-US" w:eastAsia="zh-CN"/>
                <w14:textFill>
                  <w14:solidFill>
                    <w14:schemeClr w14:val="tx1"/>
                  </w14:solidFill>
                </w14:textFill>
              </w:rPr>
              <w:t xml:space="preserve">；源头控制 </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；过程防控</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；其他</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分区防控、应急响应</w:t>
            </w:r>
            <w:r>
              <w:rPr>
                <w:rFonts w:hint="eastAsia"/>
                <w:color w:val="000000" w:themeColor="text1"/>
                <w:highlight w:val="none"/>
                <w:lang w:val="en-US" w:eastAsia="zh-CN"/>
                <w14:textFill>
                  <w14:solidFill>
                    <w14:schemeClr w14:val="tx1"/>
                  </w14:solidFill>
                </w14:textFill>
              </w:rPr>
              <w:t>）</w:t>
            </w:r>
          </w:p>
        </w:tc>
        <w:tc>
          <w:tcPr>
            <w:tcW w:w="439" w:type="pct"/>
            <w:tcBorders>
              <w:tl2br w:val="nil"/>
              <w:tr2bl w:val="nil"/>
            </w:tcBorders>
            <w:noWrap w:val="0"/>
            <w:vAlign w:val="center"/>
          </w:tcPr>
          <w:p w14:paraId="34FCF0CA">
            <w:pPr>
              <w:pStyle w:val="26"/>
              <w:bidi w:val="0"/>
              <w:rPr>
                <w:rFonts w:hint="default"/>
                <w:color w:val="000000" w:themeColor="text1"/>
                <w:highlight w:val="none"/>
                <w:lang w:val="en-US" w:eastAsia="zh-CN"/>
                <w14:textFill>
                  <w14:solidFill>
                    <w14:schemeClr w14:val="tx1"/>
                  </w14:solidFill>
                </w14:textFill>
              </w:rPr>
            </w:pPr>
          </w:p>
        </w:tc>
      </w:tr>
      <w:tr w14:paraId="519BB9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7E11AFFD">
            <w:pPr>
              <w:pStyle w:val="26"/>
              <w:bidi w:val="0"/>
              <w:rPr>
                <w:rFonts w:hint="default"/>
                <w:color w:val="000000" w:themeColor="text1"/>
                <w:highlight w:val="none"/>
                <w:lang w:val="en-US" w:eastAsia="zh-CN"/>
                <w14:textFill>
                  <w14:solidFill>
                    <w14:schemeClr w14:val="tx1"/>
                  </w14:solidFill>
                </w14:textFill>
              </w:rPr>
            </w:pPr>
          </w:p>
        </w:tc>
        <w:tc>
          <w:tcPr>
            <w:tcW w:w="961" w:type="pct"/>
            <w:vMerge w:val="restart"/>
            <w:tcBorders>
              <w:tl2br w:val="nil"/>
              <w:tr2bl w:val="nil"/>
            </w:tcBorders>
            <w:noWrap w:val="0"/>
            <w:vAlign w:val="center"/>
          </w:tcPr>
          <w:p w14:paraId="6612A93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跟踪监测</w:t>
            </w:r>
          </w:p>
        </w:tc>
        <w:tc>
          <w:tcPr>
            <w:tcW w:w="1165" w:type="pct"/>
            <w:gridSpan w:val="2"/>
            <w:tcBorders>
              <w:tl2br w:val="nil"/>
              <w:tr2bl w:val="nil"/>
            </w:tcBorders>
            <w:noWrap w:val="0"/>
            <w:vAlign w:val="center"/>
          </w:tcPr>
          <w:p w14:paraId="4ED290CD">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监测点数</w:t>
            </w:r>
          </w:p>
        </w:tc>
        <w:tc>
          <w:tcPr>
            <w:tcW w:w="1005" w:type="pct"/>
            <w:gridSpan w:val="3"/>
            <w:tcBorders>
              <w:tl2br w:val="nil"/>
              <w:tr2bl w:val="nil"/>
            </w:tcBorders>
            <w:noWrap w:val="0"/>
            <w:vAlign w:val="center"/>
          </w:tcPr>
          <w:p w14:paraId="1BB39BBD">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监测指标</w:t>
            </w:r>
          </w:p>
        </w:tc>
        <w:tc>
          <w:tcPr>
            <w:tcW w:w="1194" w:type="pct"/>
            <w:tcBorders>
              <w:tl2br w:val="nil"/>
              <w:tr2bl w:val="nil"/>
            </w:tcBorders>
            <w:noWrap w:val="0"/>
            <w:vAlign w:val="center"/>
          </w:tcPr>
          <w:p w14:paraId="5565D9BA">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监测频次</w:t>
            </w:r>
          </w:p>
        </w:tc>
        <w:tc>
          <w:tcPr>
            <w:tcW w:w="439" w:type="pct"/>
            <w:vMerge w:val="restart"/>
            <w:tcBorders>
              <w:tl2br w:val="nil"/>
              <w:tr2bl w:val="nil"/>
            </w:tcBorders>
            <w:noWrap w:val="0"/>
            <w:vAlign w:val="center"/>
          </w:tcPr>
          <w:p w14:paraId="4CB7160A">
            <w:pPr>
              <w:pStyle w:val="26"/>
              <w:bidi w:val="0"/>
              <w:rPr>
                <w:rFonts w:hint="default"/>
                <w:color w:val="000000" w:themeColor="text1"/>
                <w:highlight w:val="none"/>
                <w:lang w:val="en-US" w:eastAsia="zh-CN"/>
                <w14:textFill>
                  <w14:solidFill>
                    <w14:schemeClr w14:val="tx1"/>
                  </w14:solidFill>
                </w14:textFill>
              </w:rPr>
            </w:pPr>
          </w:p>
        </w:tc>
      </w:tr>
      <w:tr w14:paraId="19F311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1651BF40">
            <w:pPr>
              <w:pStyle w:val="26"/>
              <w:bidi w:val="0"/>
              <w:rPr>
                <w:rFonts w:hint="default"/>
                <w:color w:val="000000" w:themeColor="text1"/>
                <w:highlight w:val="none"/>
                <w:lang w:val="en-US" w:eastAsia="zh-CN"/>
                <w14:textFill>
                  <w14:solidFill>
                    <w14:schemeClr w14:val="tx1"/>
                  </w14:solidFill>
                </w14:textFill>
              </w:rPr>
            </w:pPr>
          </w:p>
        </w:tc>
        <w:tc>
          <w:tcPr>
            <w:tcW w:w="961" w:type="pct"/>
            <w:vMerge w:val="continue"/>
            <w:tcBorders>
              <w:tl2br w:val="nil"/>
              <w:tr2bl w:val="nil"/>
            </w:tcBorders>
            <w:noWrap w:val="0"/>
            <w:vAlign w:val="center"/>
          </w:tcPr>
          <w:p w14:paraId="7D4DF2E5">
            <w:pPr>
              <w:pStyle w:val="26"/>
              <w:bidi w:val="0"/>
              <w:rPr>
                <w:rFonts w:hint="default"/>
                <w:color w:val="000000" w:themeColor="text1"/>
                <w:highlight w:val="none"/>
                <w:lang w:val="en-US" w:eastAsia="zh-CN"/>
                <w14:textFill>
                  <w14:solidFill>
                    <w14:schemeClr w14:val="tx1"/>
                  </w14:solidFill>
                </w14:textFill>
              </w:rPr>
            </w:pPr>
          </w:p>
        </w:tc>
        <w:tc>
          <w:tcPr>
            <w:tcW w:w="1165" w:type="pct"/>
            <w:gridSpan w:val="2"/>
            <w:tcBorders>
              <w:tl2br w:val="nil"/>
              <w:tr2bl w:val="nil"/>
            </w:tcBorders>
            <w:noWrap w:val="0"/>
            <w:vAlign w:val="center"/>
          </w:tcPr>
          <w:p w14:paraId="06EAD597">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1（项目区游）</w:t>
            </w:r>
          </w:p>
        </w:tc>
        <w:tc>
          <w:tcPr>
            <w:tcW w:w="1005" w:type="pct"/>
            <w:gridSpan w:val="3"/>
            <w:tcBorders>
              <w:tl2br w:val="nil"/>
              <w:tr2bl w:val="nil"/>
            </w:tcBorders>
            <w:noWrap w:val="0"/>
            <w:vAlign w:val="center"/>
          </w:tcPr>
          <w:p w14:paraId="0F2D1A3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基本项目45项</w:t>
            </w:r>
          </w:p>
        </w:tc>
        <w:tc>
          <w:tcPr>
            <w:tcW w:w="1194" w:type="pct"/>
            <w:tcBorders>
              <w:tl2br w:val="nil"/>
              <w:tr2bl w:val="nil"/>
            </w:tcBorders>
            <w:noWrap w:val="0"/>
            <w:vAlign w:val="center"/>
          </w:tcPr>
          <w:p w14:paraId="4410035B">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1次/</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年</w:t>
            </w:r>
          </w:p>
        </w:tc>
        <w:tc>
          <w:tcPr>
            <w:tcW w:w="439" w:type="pct"/>
            <w:vMerge w:val="continue"/>
            <w:tcBorders>
              <w:tl2br w:val="nil"/>
              <w:tr2bl w:val="nil"/>
            </w:tcBorders>
            <w:noWrap w:val="0"/>
            <w:vAlign w:val="center"/>
          </w:tcPr>
          <w:p w14:paraId="4FC06685">
            <w:pPr>
              <w:pStyle w:val="26"/>
              <w:bidi w:val="0"/>
              <w:rPr>
                <w:rFonts w:hint="default"/>
                <w:color w:val="000000" w:themeColor="text1"/>
                <w:highlight w:val="none"/>
                <w:lang w:val="en-US" w:eastAsia="zh-CN"/>
                <w14:textFill>
                  <w14:solidFill>
                    <w14:schemeClr w14:val="tx1"/>
                  </w14:solidFill>
                </w14:textFill>
              </w:rPr>
            </w:pPr>
          </w:p>
        </w:tc>
      </w:tr>
      <w:tr w14:paraId="71BB36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tcBorders>
              <w:tl2br w:val="nil"/>
              <w:tr2bl w:val="nil"/>
            </w:tcBorders>
            <w:noWrap w:val="0"/>
            <w:vAlign w:val="center"/>
          </w:tcPr>
          <w:p w14:paraId="6266404E">
            <w:pPr>
              <w:pStyle w:val="26"/>
              <w:bidi w:val="0"/>
              <w:rPr>
                <w:rFonts w:hint="default"/>
                <w:color w:val="000000" w:themeColor="text1"/>
                <w:highlight w:val="none"/>
                <w:lang w:val="en-US" w:eastAsia="zh-CN"/>
                <w14:textFill>
                  <w14:solidFill>
                    <w14:schemeClr w14:val="tx1"/>
                  </w14:solidFill>
                </w14:textFill>
              </w:rPr>
            </w:pPr>
          </w:p>
        </w:tc>
        <w:tc>
          <w:tcPr>
            <w:tcW w:w="961" w:type="pct"/>
            <w:tcBorders>
              <w:tl2br w:val="nil"/>
              <w:tr2bl w:val="nil"/>
            </w:tcBorders>
            <w:noWrap w:val="0"/>
            <w:vAlign w:val="center"/>
          </w:tcPr>
          <w:p w14:paraId="4621FA65">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信息公开指标</w:t>
            </w:r>
          </w:p>
        </w:tc>
        <w:tc>
          <w:tcPr>
            <w:tcW w:w="3366" w:type="pct"/>
            <w:gridSpan w:val="6"/>
            <w:tcBorders>
              <w:tl2br w:val="nil"/>
              <w:tr2bl w:val="nil"/>
            </w:tcBorders>
            <w:noWrap w:val="0"/>
            <w:vAlign w:val="center"/>
          </w:tcPr>
          <w:p w14:paraId="3F22AA11">
            <w:pPr>
              <w:pStyle w:val="26"/>
              <w:bidi w:val="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监测机构、监测时间、监测指标及监测数据、监测数据分析内容</w:t>
            </w:r>
          </w:p>
        </w:tc>
        <w:tc>
          <w:tcPr>
            <w:tcW w:w="439" w:type="pct"/>
            <w:vMerge w:val="continue"/>
            <w:tcBorders>
              <w:tl2br w:val="nil"/>
              <w:tr2bl w:val="nil"/>
            </w:tcBorders>
            <w:noWrap w:val="0"/>
            <w:vAlign w:val="center"/>
          </w:tcPr>
          <w:p w14:paraId="6A84D1E0">
            <w:pPr>
              <w:pStyle w:val="26"/>
              <w:bidi w:val="0"/>
              <w:rPr>
                <w:rFonts w:hint="default"/>
                <w:color w:val="000000" w:themeColor="text1"/>
                <w:highlight w:val="none"/>
                <w:lang w:val="en-US" w:eastAsia="zh-CN"/>
                <w14:textFill>
                  <w14:solidFill>
                    <w14:schemeClr w14:val="tx1"/>
                  </w14:solidFill>
                </w14:textFill>
              </w:rPr>
            </w:pPr>
          </w:p>
        </w:tc>
      </w:tr>
      <w:tr w14:paraId="608366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93" w:type="pct"/>
            <w:gridSpan w:val="2"/>
            <w:tcBorders>
              <w:tl2br w:val="nil"/>
              <w:tr2bl w:val="nil"/>
            </w:tcBorders>
            <w:noWrap w:val="0"/>
            <w:vAlign w:val="top"/>
          </w:tcPr>
          <w:p w14:paraId="22F4FD17">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评价结论</w:t>
            </w:r>
          </w:p>
        </w:tc>
        <w:tc>
          <w:tcPr>
            <w:tcW w:w="3366" w:type="pct"/>
            <w:gridSpan w:val="6"/>
            <w:tcBorders>
              <w:tl2br w:val="nil"/>
              <w:tr2bl w:val="nil"/>
            </w:tcBorders>
            <w:noWrap w:val="0"/>
            <w:vAlign w:val="center"/>
          </w:tcPr>
          <w:p w14:paraId="616D764C">
            <w:pPr>
              <w:pStyle w:val="26"/>
              <w:bidi w:val="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在采取相应污染防治措施</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防渗</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后，本项目运营对土壤环境影响较小。</w:t>
            </w:r>
          </w:p>
        </w:tc>
        <w:tc>
          <w:tcPr>
            <w:tcW w:w="439" w:type="pct"/>
            <w:tcBorders>
              <w:tl2br w:val="nil"/>
              <w:tr2bl w:val="nil"/>
            </w:tcBorders>
            <w:noWrap w:val="0"/>
            <w:vAlign w:val="center"/>
          </w:tcPr>
          <w:p w14:paraId="34BC5197">
            <w:pPr>
              <w:pStyle w:val="26"/>
              <w:bidi w:val="0"/>
              <w:rPr>
                <w:rFonts w:hint="default"/>
                <w:color w:val="000000" w:themeColor="text1"/>
                <w:highlight w:val="none"/>
                <w:lang w:val="en-US" w:eastAsia="zh-CN"/>
                <w14:textFill>
                  <w14:solidFill>
                    <w14:schemeClr w14:val="tx1"/>
                  </w14:solidFill>
                </w14:textFill>
              </w:rPr>
            </w:pPr>
          </w:p>
        </w:tc>
      </w:tr>
      <w:tr w14:paraId="5BAFF1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9"/>
            <w:tcBorders>
              <w:tl2br w:val="nil"/>
              <w:tr2bl w:val="nil"/>
            </w:tcBorders>
            <w:noWrap w:val="0"/>
            <w:vAlign w:val="top"/>
          </w:tcPr>
          <w:p w14:paraId="286CC34F">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注 1：“□”为勾选项，可√；“</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”为内容填写项；“备注”为其他补充内容。</w:t>
            </w:r>
          </w:p>
          <w:p w14:paraId="20B150BF">
            <w:pPr>
              <w:pStyle w:val="26"/>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注 2：需要分别开展土壤环境影响评级工作的，分别填写自查表。</w:t>
            </w:r>
          </w:p>
        </w:tc>
      </w:tr>
    </w:tbl>
    <w:p w14:paraId="4BD34CC2">
      <w:pPr>
        <w:pStyle w:val="4"/>
        <w:bidi w:val="0"/>
        <w:rPr>
          <w:rFonts w:hint="default"/>
          <w:color w:val="000000" w:themeColor="text1"/>
          <w:highlight w:val="none"/>
          <w14:textFill>
            <w14:solidFill>
              <w14:schemeClr w14:val="tx1"/>
            </w14:solidFill>
          </w14:textFill>
        </w:rPr>
      </w:pPr>
      <w:bookmarkStart w:id="1030" w:name="_Toc32625"/>
      <w:bookmarkStart w:id="1031" w:name="_Toc29861"/>
      <w:bookmarkStart w:id="1032" w:name="_Toc21957"/>
      <w:bookmarkStart w:id="1033" w:name="_Toc25196"/>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2.6运营期</w:t>
      </w:r>
      <w:r>
        <w:rPr>
          <w:rFonts w:hint="default"/>
          <w:color w:val="000000" w:themeColor="text1"/>
          <w:highlight w:val="none"/>
          <w14:textFill>
            <w14:solidFill>
              <w14:schemeClr w14:val="tx1"/>
            </w14:solidFill>
          </w14:textFill>
        </w:rPr>
        <w:t>生态环境影响分析</w:t>
      </w:r>
      <w:bookmarkEnd w:id="1030"/>
      <w:bookmarkEnd w:id="1031"/>
      <w:bookmarkEnd w:id="1032"/>
      <w:bookmarkEnd w:id="1033"/>
    </w:p>
    <w:p w14:paraId="47CB3C21">
      <w:pPr>
        <w:widowControl/>
        <w:ind w:firstLine="0" w:firstLineChars="0"/>
        <w:jc w:val="left"/>
        <w:rPr>
          <w:color w:val="000000" w:themeColor="text1"/>
          <w:highlight w:val="none"/>
          <w14:textFill>
            <w14:solidFill>
              <w14:schemeClr w14:val="tx1"/>
            </w14:solidFill>
          </w14:textFill>
        </w:rPr>
      </w:pPr>
      <w:r>
        <w:rPr>
          <w:rStyle w:val="39"/>
          <w:rFonts w:hint="eastAsia"/>
          <w:color w:val="000000" w:themeColor="text1"/>
          <w:highlight w:val="none"/>
          <w:lang w:val="en-US"/>
          <w14:textFill>
            <w14:solidFill>
              <w14:schemeClr w14:val="tx1"/>
            </w14:solidFill>
          </w14:textFill>
        </w:rPr>
        <w:t>5.2.6.1</w:t>
      </w:r>
      <w:r>
        <w:rPr>
          <w:rStyle w:val="39"/>
          <w:color w:val="000000" w:themeColor="text1"/>
          <w:highlight w:val="none"/>
          <w:lang w:val="en-US"/>
          <w14:textFill>
            <w14:solidFill>
              <w14:schemeClr w14:val="tx1"/>
            </w14:solidFill>
          </w14:textFill>
        </w:rPr>
        <w:t>工程建设对周围陆生植物影响分析</w:t>
      </w:r>
      <w:r>
        <w:rPr>
          <w:rFonts w:ascii="黑体" w:hAnsi="宋体" w:eastAsia="黑体" w:cs="黑体"/>
          <w:color w:val="000000" w:themeColor="text1"/>
          <w:kern w:val="0"/>
          <w:sz w:val="28"/>
          <w:szCs w:val="28"/>
          <w:highlight w:val="none"/>
          <w:lang w:bidi="ar"/>
          <w14:textFill>
            <w14:solidFill>
              <w14:schemeClr w14:val="tx1"/>
            </w14:solidFill>
          </w14:textFill>
        </w:rPr>
        <w:t xml:space="preserve"> </w:t>
      </w:r>
    </w:p>
    <w:p w14:paraId="18E7695A">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本工程建设区域位于</w:t>
      </w:r>
      <w:r>
        <w:rPr>
          <w:rFonts w:hint="eastAsia"/>
          <w:color w:val="000000" w:themeColor="text1"/>
          <w:highlight w:val="none"/>
          <w:lang w:val="en-US" w:eastAsia="zh-CN"/>
          <w14:textFill>
            <w14:solidFill>
              <w14:schemeClr w14:val="tx1"/>
            </w14:solidFill>
          </w14:textFill>
        </w:rPr>
        <w:t>昌吉高新区</w:t>
      </w:r>
      <w:r>
        <w:rPr>
          <w:rFonts w:hint="eastAsia"/>
          <w:color w:val="000000" w:themeColor="text1"/>
          <w:highlight w:val="none"/>
          <w14:textFill>
            <w14:solidFill>
              <w14:schemeClr w14:val="tx1"/>
            </w14:solidFill>
          </w14:textFill>
        </w:rPr>
        <w:t>工业园区内，现状为工业用地。</w:t>
      </w:r>
    </w:p>
    <w:p w14:paraId="0B1487FE">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lang w:val="en-US"/>
          <w14:textFill>
            <w14:solidFill>
              <w14:schemeClr w14:val="tx1"/>
            </w14:solidFill>
          </w14:textFill>
        </w:rPr>
        <w:t>.</w:t>
      </w:r>
      <w:r>
        <w:rPr>
          <w:rFonts w:hint="eastAsia"/>
          <w:color w:val="000000" w:themeColor="text1"/>
          <w:highlight w:val="none"/>
          <w:lang w:val="en-US"/>
          <w14:textFill>
            <w14:solidFill>
              <w14:schemeClr w14:val="tx1"/>
            </w14:solidFill>
          </w14:textFill>
        </w:rPr>
        <w:t>2</w:t>
      </w:r>
      <w:r>
        <w:rPr>
          <w:color w:val="000000" w:themeColor="text1"/>
          <w:highlight w:val="none"/>
          <w:lang w:val="en-US"/>
          <w14:textFill>
            <w14:solidFill>
              <w14:schemeClr w14:val="tx1"/>
            </w14:solidFill>
          </w14:textFill>
        </w:rPr>
        <w:t>.</w:t>
      </w:r>
      <w:r>
        <w:rPr>
          <w:rFonts w:hint="eastAsia"/>
          <w:color w:val="000000" w:themeColor="text1"/>
          <w:highlight w:val="none"/>
          <w:lang w:val="en-US"/>
          <w14:textFill>
            <w14:solidFill>
              <w14:schemeClr w14:val="tx1"/>
            </w14:solidFill>
          </w14:textFill>
        </w:rPr>
        <w:t xml:space="preserve">6.2工程建设对自然景观影响分析 </w:t>
      </w:r>
    </w:p>
    <w:p w14:paraId="4D366D8A">
      <w:pPr>
        <w:rPr>
          <w:color w:val="000000" w:themeColor="text1"/>
          <w:highlight w:val="none"/>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本项目选址位于工业园区内，区域整体以工业景观为主，项目</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租赁厂房进行建设，租赁厂房的</w:t>
      </w:r>
      <w:r>
        <w:rPr>
          <w:rFonts w:ascii="宋体" w:hAnsi="宋体" w:eastAsia="宋体" w:cs="宋体"/>
          <w:color w:val="000000" w:themeColor="text1"/>
          <w:kern w:val="0"/>
          <w:sz w:val="24"/>
          <w:szCs w:val="24"/>
          <w:highlight w:val="none"/>
          <w:lang w:val="en-US" w:eastAsia="zh-CN" w:bidi="ar"/>
          <w14:textFill>
            <w14:solidFill>
              <w14:schemeClr w14:val="tx1"/>
            </w14:solidFill>
          </w14:textFill>
        </w:rPr>
        <w:t>建筑外观造型、色彩设计充分结合周边工业园区整体建设风格，保留工业建筑功能性，</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项目建设</w:t>
      </w:r>
      <w:r>
        <w:rPr>
          <w:rFonts w:ascii="宋体" w:hAnsi="宋体" w:eastAsia="宋体" w:cs="宋体"/>
          <w:color w:val="000000" w:themeColor="text1"/>
          <w:kern w:val="0"/>
          <w:sz w:val="24"/>
          <w:szCs w:val="24"/>
          <w:highlight w:val="none"/>
          <w:lang w:val="en-US" w:eastAsia="zh-CN" w:bidi="ar"/>
          <w14:textFill>
            <w14:solidFill>
              <w14:schemeClr w14:val="tx1"/>
            </w14:solidFill>
          </w14:textFill>
        </w:rPr>
        <w:t>不会对区域自然生态及景观环境造成持续性、破坏性不利影响</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w:t>
      </w:r>
    </w:p>
    <w:p w14:paraId="2DFA0757">
      <w:pPr>
        <w:pStyle w:val="4"/>
        <w:bidi w:val="0"/>
        <w:rPr>
          <w:color w:val="000000" w:themeColor="text1"/>
          <w:highlight w:val="none"/>
          <w14:textFill>
            <w14:solidFill>
              <w14:schemeClr w14:val="tx1"/>
            </w14:solidFill>
          </w14:textFill>
        </w:rPr>
      </w:pPr>
      <w:bookmarkStart w:id="1034" w:name="_Toc17733"/>
      <w:bookmarkStart w:id="1035" w:name="_Toc1782"/>
      <w:bookmarkStart w:id="1036" w:name="_Toc14011"/>
      <w:bookmarkStart w:id="1037" w:name="_Toc31244"/>
      <w:bookmarkStart w:id="1038" w:name="_Toc19730"/>
      <w:bookmarkStart w:id="1039" w:name="_Toc20395"/>
      <w:bookmarkStart w:id="1040" w:name="_Toc10550"/>
      <w:bookmarkStart w:id="1041" w:name="_Toc5309"/>
      <w:bookmarkStart w:id="1042" w:name="_Toc22575142"/>
      <w:bookmarkStart w:id="1043" w:name="_Toc23093"/>
      <w:bookmarkStart w:id="1044" w:name="_Toc25"/>
      <w:bookmarkStart w:id="1045" w:name="_Toc30104"/>
      <w:bookmarkStart w:id="1046" w:name="_Toc29570"/>
      <w:bookmarkStart w:id="1047" w:name="_Toc9126"/>
      <w:bookmarkStart w:id="1048" w:name="_Toc24503"/>
      <w:bookmarkStart w:id="1049" w:name="_Toc23546"/>
      <w:bookmarkStart w:id="1050" w:name="_Toc14118"/>
      <w:bookmarkStart w:id="1051" w:name="_Toc9878"/>
      <w:bookmarkStart w:id="1052" w:name="_Toc13166"/>
      <w:bookmarkStart w:id="1053" w:name="_Toc12826"/>
      <w:bookmarkStart w:id="1054" w:name="_Toc25637"/>
      <w:bookmarkStart w:id="1055" w:name="_Toc1486"/>
      <w:bookmarkStart w:id="1056" w:name="_Toc29271"/>
      <w:bookmarkStart w:id="1057" w:name="_Toc11458"/>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环境风险</w:t>
      </w:r>
      <w:bookmarkEnd w:id="1034"/>
      <w:bookmarkEnd w:id="1035"/>
      <w:bookmarkEnd w:id="1036"/>
      <w:bookmarkEnd w:id="1037"/>
      <w:bookmarkEnd w:id="1038"/>
      <w:bookmarkEnd w:id="1039"/>
      <w:bookmarkEnd w:id="1040"/>
      <w:bookmarkEnd w:id="1041"/>
      <w:bookmarkEnd w:id="1042"/>
      <w:bookmarkEnd w:id="1043"/>
      <w:bookmarkEnd w:id="1044"/>
      <w:r>
        <w:rPr>
          <w:rFonts w:hint="eastAsia"/>
          <w:color w:val="000000" w:themeColor="text1"/>
          <w:highlight w:val="none"/>
          <w14:textFill>
            <w14:solidFill>
              <w14:schemeClr w14:val="tx1"/>
            </w14:solidFill>
          </w14:textFill>
        </w:rPr>
        <w:t>影响分析</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14:paraId="5DB4695B">
      <w:pPr>
        <w:pStyle w:val="5"/>
        <w:rPr>
          <w:color w:val="000000" w:themeColor="text1"/>
          <w:highlight w:val="none"/>
          <w14:textFill>
            <w14:solidFill>
              <w14:schemeClr w14:val="tx1"/>
            </w14:solidFill>
          </w14:textFill>
        </w:rPr>
      </w:pPr>
      <w:bookmarkStart w:id="1058" w:name="_Toc7377"/>
      <w:bookmarkStart w:id="1059" w:name="_Toc511"/>
      <w:bookmarkStart w:id="1060" w:name="_Toc16173"/>
      <w:bookmarkStart w:id="1061" w:name="_Toc2347"/>
      <w:bookmarkStart w:id="1062" w:name="_Toc1354"/>
      <w:bookmarkStart w:id="1063" w:name="_Toc489250685"/>
      <w:bookmarkStart w:id="1064" w:name="_Toc9238"/>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lang w:val="en-US"/>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lang w:val="en-US"/>
          <w14:textFill>
            <w14:solidFill>
              <w14:schemeClr w14:val="tx1"/>
            </w14:solidFill>
          </w14:textFill>
        </w:rPr>
        <w:t>7.</w:t>
      </w:r>
      <w:r>
        <w:rPr>
          <w:color w:val="000000" w:themeColor="text1"/>
          <w:highlight w:val="none"/>
          <w14:textFill>
            <w14:solidFill>
              <w14:schemeClr w14:val="tx1"/>
            </w14:solidFill>
          </w14:textFill>
        </w:rPr>
        <w:t>1评价</w:t>
      </w:r>
      <w:r>
        <w:rPr>
          <w:color w:val="000000" w:themeColor="text1"/>
          <w:highlight w:val="none"/>
          <w:lang w:val="en-US"/>
          <w14:textFill>
            <w14:solidFill>
              <w14:schemeClr w14:val="tx1"/>
            </w14:solidFill>
          </w14:textFill>
        </w:rPr>
        <w:t>目的及</w:t>
      </w:r>
      <w:r>
        <w:rPr>
          <w:color w:val="000000" w:themeColor="text1"/>
          <w:highlight w:val="none"/>
          <w14:textFill>
            <w14:solidFill>
              <w14:schemeClr w14:val="tx1"/>
            </w14:solidFill>
          </w14:textFill>
        </w:rPr>
        <w:t>重点</w:t>
      </w:r>
      <w:bookmarkEnd w:id="1058"/>
      <w:bookmarkEnd w:id="1059"/>
      <w:bookmarkEnd w:id="1060"/>
      <w:bookmarkEnd w:id="1061"/>
      <w:bookmarkEnd w:id="1062"/>
      <w:bookmarkEnd w:id="1063"/>
      <w:bookmarkEnd w:id="1064"/>
    </w:p>
    <w:p w14:paraId="33B7F778">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环境风险是指突发性事故造成的重大</w:t>
      </w:r>
      <w:r>
        <w:rPr>
          <w:rFonts w:hint="eastAsia"/>
          <w:color w:val="000000" w:themeColor="text1"/>
          <w:highlight w:val="none"/>
          <w:lang w:eastAsia="zh-CN"/>
          <w14:textFill>
            <w14:solidFill>
              <w14:schemeClr w14:val="tx1"/>
            </w14:solidFill>
          </w14:textFill>
        </w:rPr>
        <w:t>环境污染</w:t>
      </w:r>
      <w:r>
        <w:rPr>
          <w:color w:val="000000" w:themeColor="text1"/>
          <w:highlight w:val="none"/>
          <w14:textFill>
            <w14:solidFill>
              <w14:schemeClr w14:val="tx1"/>
            </w14:solidFill>
          </w14:textFill>
        </w:rPr>
        <w:t>事件，其特点是危害大、影响范围广、发生概率具有很大的不确定性。环境风险评价的目的是分析和预测本项目存在的潜在危险、有害因素</w:t>
      </w:r>
      <w:r>
        <w:rPr>
          <w:rFonts w:hint="eastAsia"/>
          <w:color w:val="000000" w:themeColor="text1"/>
          <w:highlight w:val="none"/>
          <w:lang w:eastAsia="zh-CN"/>
          <w14:textFill>
            <w14:solidFill>
              <w14:schemeClr w14:val="tx1"/>
            </w14:solidFill>
          </w14:textFill>
        </w:rPr>
        <w:t>，对</w:t>
      </w:r>
      <w:r>
        <w:rPr>
          <w:color w:val="000000" w:themeColor="text1"/>
          <w:highlight w:val="none"/>
          <w14:textFill>
            <w14:solidFill>
              <w14:schemeClr w14:val="tx1"/>
            </w14:solidFill>
          </w14:textFill>
        </w:rPr>
        <w:t>项目建设和运行期间可能发生的突发性事件或事故（一般不包括人为破坏及自然灾害），引起有毒有害和易燃易爆等物质泄漏，所造成的人身安全、环境影响及其损害程度，提出合理可行的防范、应急与减缓措施，以使建设项目事故率、损失和环境影响达到可接受水平。环境风险评价的目的在于分析、识别项目生产、贮运过程中的风险因素及可能诱发的环境问题，并针对潜在的环境风险，提出相应的预防措施，力求在</w:t>
      </w:r>
      <w:r>
        <w:rPr>
          <w:rFonts w:hint="eastAsia"/>
          <w:color w:val="000000" w:themeColor="text1"/>
          <w:highlight w:val="none"/>
          <w14:textFill>
            <w14:solidFill>
              <w14:schemeClr w14:val="tx1"/>
            </w14:solidFill>
          </w14:textFill>
        </w:rPr>
        <w:t>运营</w:t>
      </w:r>
      <w:r>
        <w:rPr>
          <w:color w:val="000000" w:themeColor="text1"/>
          <w:highlight w:val="none"/>
          <w14:textFill>
            <w14:solidFill>
              <w14:schemeClr w14:val="tx1"/>
            </w14:solidFill>
          </w14:textFill>
        </w:rPr>
        <w:t>过程中，将潜在的事故工况和危害程度降到最低。</w:t>
      </w:r>
    </w:p>
    <w:p w14:paraId="578808C0">
      <w:pPr>
        <w:pStyle w:val="5"/>
        <w:rPr>
          <w:color w:val="000000" w:themeColor="text1"/>
          <w:highlight w:val="none"/>
          <w14:textFill>
            <w14:solidFill>
              <w14:schemeClr w14:val="tx1"/>
            </w14:solidFill>
          </w14:textFill>
        </w:rPr>
      </w:pPr>
      <w:bookmarkStart w:id="1065" w:name="_Toc32542"/>
      <w:bookmarkStart w:id="1066" w:name="_Toc28330"/>
      <w:bookmarkStart w:id="1067" w:name="_Toc31981"/>
      <w:bookmarkStart w:id="1068" w:name="_Toc30177"/>
      <w:bookmarkStart w:id="1069" w:name="_Toc23427"/>
      <w:bookmarkStart w:id="1070" w:name="_Toc26479"/>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lang w:val="en-US"/>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lang w:val="en-US"/>
          <w14:textFill>
            <w14:solidFill>
              <w14:schemeClr w14:val="tx1"/>
            </w14:solidFill>
          </w14:textFill>
        </w:rPr>
        <w:t>7.2</w:t>
      </w:r>
      <w:r>
        <w:rPr>
          <w:color w:val="000000" w:themeColor="text1"/>
          <w:highlight w:val="none"/>
          <w14:textFill>
            <w14:solidFill>
              <w14:schemeClr w14:val="tx1"/>
            </w14:solidFill>
          </w14:textFill>
        </w:rPr>
        <w:t>风险调查</w:t>
      </w:r>
      <w:bookmarkEnd w:id="1065"/>
      <w:bookmarkEnd w:id="1066"/>
      <w:bookmarkEnd w:id="1067"/>
      <w:bookmarkEnd w:id="1068"/>
      <w:bookmarkEnd w:id="1069"/>
      <w:bookmarkEnd w:id="1070"/>
    </w:p>
    <w:p w14:paraId="5A113C4D">
      <w:pPr>
        <w:bidi w:val="0"/>
        <w:rPr>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color w:val="000000" w:themeColor="text1"/>
          <w:highlight w:val="none"/>
          <w:lang w:val="en-US"/>
          <w14:textFill>
            <w14:solidFill>
              <w14:schemeClr w14:val="tx1"/>
            </w14:solidFill>
          </w14:textFill>
        </w:rPr>
        <w:t>风险源调查</w:t>
      </w:r>
    </w:p>
    <w:p w14:paraId="3C27DA1F">
      <w:pPr>
        <w:rPr>
          <w:color w:val="000000" w:themeColor="text1"/>
          <w:highlight w:val="none"/>
          <w14:textFill>
            <w14:solidFill>
              <w14:schemeClr w14:val="tx1"/>
            </w14:solidFill>
          </w14:textFill>
        </w:rPr>
      </w:pPr>
      <w:r>
        <w:rPr>
          <w:color w:val="000000" w:themeColor="text1"/>
          <w:kern w:val="0"/>
          <w:highlight w:val="none"/>
          <w:lang w:bidi="ar"/>
          <w14:textFill>
            <w14:solidFill>
              <w14:schemeClr w14:val="tx1"/>
            </w14:solidFill>
          </w14:textFill>
        </w:rPr>
        <w:t>根据《建设项目环境风险评价技术导则》（HJ169-2018）</w:t>
      </w:r>
      <w:r>
        <w:rPr>
          <w:color w:val="000000" w:themeColor="text1"/>
          <w:highlight w:val="none"/>
          <w14:textFill>
            <w14:solidFill>
              <w14:schemeClr w14:val="tx1"/>
            </w14:solidFill>
          </w14:textFill>
        </w:rPr>
        <w:t>中相关规定，风险调查主要包括危险物质数量和分布情况、生产工艺特点，收集危险物质安全技术说明书（MSDS）等基础资料。</w:t>
      </w:r>
    </w:p>
    <w:p w14:paraId="0F44DDD7">
      <w:pP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本项目使用的</w:t>
      </w:r>
      <w:r>
        <w:rPr>
          <w:rFonts w:hint="eastAsia"/>
          <w:color w:val="000000" w:themeColor="text1"/>
          <w:highlight w:val="none"/>
          <w14:textFill>
            <w14:solidFill>
              <w14:schemeClr w14:val="tx1"/>
            </w14:solidFill>
          </w14:textFill>
        </w:rPr>
        <w:t>聚醚</w:t>
      </w:r>
      <w:r>
        <w:rPr>
          <w:rFonts w:hint="eastAsia"/>
          <w:color w:val="000000" w:themeColor="text1"/>
          <w:highlight w:val="none"/>
          <w:lang w:val="en-US" w:eastAsia="zh-CN"/>
          <w14:textFill>
            <w14:solidFill>
              <w14:schemeClr w14:val="tx1"/>
            </w14:solidFill>
          </w14:textFill>
        </w:rPr>
        <w:t>单体</w:t>
      </w:r>
      <w:r>
        <w:rPr>
          <w:rFonts w:hint="eastAsia"/>
          <w:color w:val="000000" w:themeColor="text1"/>
          <w:highlight w:val="none"/>
          <w14:textFill>
            <w14:solidFill>
              <w14:schemeClr w14:val="tx1"/>
            </w14:solidFill>
          </w14:textFill>
        </w:rPr>
        <w:t>、葡萄糖酸钠、VC、中间产品</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母液</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均不属于《建设项目环境风险评价技术导则》</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HJ169-2018</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附录B2中确定的健康危险急性毒性物质</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类别 1、2、3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，危害水环境物质</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急性毒性类别 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。对照《建设项目环境风险评价技术导则》附录 B、《危险化学品目录</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2018版</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》以及《危险化学品分类信息表》分析，项目涉及的环境风险物质主要为丙烯酸、巯基丙酸、</w:t>
      </w:r>
      <w:r>
        <w:rPr>
          <w:rFonts w:hint="eastAsia"/>
          <w:color w:val="000000" w:themeColor="text1"/>
          <w:highlight w:val="none"/>
          <w:lang w:val="en-US" w:eastAsia="zh-CN"/>
          <w14:textFill>
            <w14:solidFill>
              <w14:schemeClr w14:val="tx1"/>
            </w14:solidFill>
          </w14:textFill>
        </w:rPr>
        <w:t>硫酸</w:t>
      </w:r>
      <w:r>
        <w:rPr>
          <w:rFonts w:hint="eastAsia"/>
          <w:color w:val="000000" w:themeColor="text1"/>
          <w:highlight w:val="none"/>
          <w14:textFill>
            <w14:solidFill>
              <w14:schemeClr w14:val="tx1"/>
            </w14:solidFill>
          </w14:textFill>
        </w:rPr>
        <w:t>。</w:t>
      </w:r>
    </w:p>
    <w:p w14:paraId="0170A57D">
      <w:pPr>
        <w:bidi w:val="0"/>
        <w:rPr>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val="en-US"/>
          <w14:textFill>
            <w14:solidFill>
              <w14:schemeClr w14:val="tx1"/>
            </w14:solidFill>
          </w14:textFill>
        </w:rPr>
        <w:t>敏感目标</w:t>
      </w:r>
      <w:r>
        <w:rPr>
          <w:color w:val="000000" w:themeColor="text1"/>
          <w:highlight w:val="none"/>
          <w:lang w:val="en-US"/>
          <w14:textFill>
            <w14:solidFill>
              <w14:schemeClr w14:val="tx1"/>
            </w14:solidFill>
          </w14:textFill>
        </w:rPr>
        <w:t>调查</w:t>
      </w:r>
    </w:p>
    <w:p w14:paraId="0CF64C4D">
      <w:pP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本工程位于</w:t>
      </w:r>
      <w:r>
        <w:rPr>
          <w:rFonts w:hint="eastAsia"/>
          <w:color w:val="000000" w:themeColor="text1"/>
          <w:highlight w:val="none"/>
          <w:lang w:val="en-US" w:eastAsia="zh-CN"/>
          <w14:textFill>
            <w14:solidFill>
              <w14:schemeClr w14:val="tx1"/>
            </w14:solidFill>
          </w14:textFill>
        </w:rPr>
        <w:t>昌吉高新区</w:t>
      </w:r>
      <w:r>
        <w:rPr>
          <w:rFonts w:hint="eastAsia"/>
          <w:color w:val="000000" w:themeColor="text1"/>
          <w:highlight w:val="none"/>
          <w14:textFill>
            <w14:solidFill>
              <w14:schemeClr w14:val="tx1"/>
            </w14:solidFill>
          </w14:textFill>
        </w:rPr>
        <w:t>，厂址所在地周围地形空旷，不属于人群聚居的环境敏感区。本工程的建设主</w:t>
      </w:r>
      <w:r>
        <w:rPr>
          <w:rFonts w:hint="eastAsia"/>
          <w:color w:val="000000" w:themeColor="text1"/>
          <w:highlight w:val="none"/>
          <w:lang w:eastAsia="zh-CN"/>
          <w14:textFill>
            <w14:solidFill>
              <w14:schemeClr w14:val="tx1"/>
            </w14:solidFill>
          </w14:textFill>
        </w:rPr>
        <w:t>要</w:t>
      </w:r>
      <w:r>
        <w:rPr>
          <w:rFonts w:hint="eastAsia"/>
          <w:color w:val="000000" w:themeColor="text1"/>
          <w:highlight w:val="none"/>
          <w14:textFill>
            <w14:solidFill>
              <w14:schemeClr w14:val="tx1"/>
            </w14:solidFill>
          </w14:textFill>
        </w:rPr>
        <w:t>考虑风险状况下本企业废水排放对园区地下水水质的影响；废气排放对周边环境的影响</w:t>
      </w:r>
      <w:r>
        <w:rPr>
          <w:rFonts w:hint="eastAsia"/>
          <w:color w:val="000000" w:themeColor="text1"/>
          <w:highlight w:val="none"/>
          <w:lang w:eastAsia="zh-CN"/>
          <w14:textFill>
            <w14:solidFill>
              <w14:schemeClr w14:val="tx1"/>
            </w14:solidFill>
          </w14:textFill>
        </w:rPr>
        <w:t>。</w:t>
      </w:r>
    </w:p>
    <w:p w14:paraId="1E4F6AB8">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lang w:val="en-US"/>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lang w:val="en-US"/>
          <w14:textFill>
            <w14:solidFill>
              <w14:schemeClr w14:val="tx1"/>
            </w14:solidFill>
          </w14:textFill>
        </w:rPr>
        <w:t>7.</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lang w:val="en-US"/>
          <w14:textFill>
            <w14:solidFill>
              <w14:schemeClr w14:val="tx1"/>
            </w14:solidFill>
          </w14:textFill>
        </w:rPr>
        <w:t>环境风险潜势初判</w:t>
      </w:r>
    </w:p>
    <w:p w14:paraId="180578AC">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根据《建设项目环境风险评价技术导则》（</w:t>
      </w:r>
      <w:r>
        <w:rPr>
          <w:rFonts w:hint="eastAsia"/>
          <w:color w:val="000000" w:themeColor="text1"/>
          <w:highlight w:val="none"/>
          <w:lang w:eastAsia="zh-CN"/>
          <w14:textFill>
            <w14:solidFill>
              <w14:schemeClr w14:val="tx1"/>
            </w14:solidFill>
          </w14:textFill>
        </w:rPr>
        <w:t>HJ169-2018</w:t>
      </w:r>
      <w:r>
        <w:rPr>
          <w:color w:val="000000" w:themeColor="text1"/>
          <w:highlight w:val="none"/>
          <w14:textFill>
            <w14:solidFill>
              <w14:schemeClr w14:val="tx1"/>
            </w14:solidFill>
          </w14:textFill>
        </w:rPr>
        <w:t>）的相关规定，建设项目环境风险潜势划分为Ⅰ、Ⅱ、Ⅲ、Ⅳ/Ⅳ</w:t>
      </w:r>
      <w:r>
        <w:rPr>
          <w:color w:val="000000" w:themeColor="text1"/>
          <w:highlight w:val="none"/>
          <w:vertAlign w:val="superscript"/>
          <w14:textFill>
            <w14:solidFill>
              <w14:schemeClr w14:val="tx1"/>
            </w14:solidFill>
          </w14:textFill>
        </w:rPr>
        <w:t>+</w:t>
      </w:r>
      <w:r>
        <w:rPr>
          <w:color w:val="000000" w:themeColor="text1"/>
          <w:highlight w:val="none"/>
          <w14:textFill>
            <w14:solidFill>
              <w14:schemeClr w14:val="tx1"/>
            </w14:solidFill>
          </w14:textFill>
        </w:rPr>
        <w:t>。根据建设项目涉及的物质和工艺系统的危险性及其所在的环境敏感程度，结合事故情形下环境影响途径，对建设项目潜在环境危害程度进行概化分析，按照下表确定环境风险潜势。</w:t>
      </w:r>
    </w:p>
    <w:p w14:paraId="6A588D9B">
      <w:pPr>
        <w:wordWrap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w:t>
      </w:r>
      <w:r>
        <w:rPr>
          <w:color w:val="000000" w:themeColor="text1"/>
          <w:highlight w:val="none"/>
          <w14:textFill>
            <w14:solidFill>
              <w14:schemeClr w14:val="tx1"/>
            </w14:solidFill>
          </w14:textFill>
        </w:rPr>
        <w:t>环境风险潜势划分</w:t>
      </w:r>
      <w:r>
        <w:rPr>
          <w:rFonts w:hint="eastAsia"/>
          <w:color w:val="000000" w:themeColor="text1"/>
          <w:highlight w:val="none"/>
          <w:lang w:val="en-US" w:eastAsia="zh-CN"/>
          <w14:textFill>
            <w14:solidFill>
              <w14:schemeClr w14:val="tx1"/>
            </w14:solidFill>
          </w14:textFill>
        </w:rPr>
        <w:t>情况见表5.2.7-1。</w:t>
      </w:r>
    </w:p>
    <w:p w14:paraId="03DA2472">
      <w:pPr>
        <w:wordWrap w:val="0"/>
        <w:rPr>
          <w:color w:val="000000" w:themeColor="text1"/>
          <w:highlight w:val="none"/>
          <w14:textFill>
            <w14:solidFill>
              <w14:schemeClr w14:val="tx1"/>
            </w14:solidFill>
          </w14:textFill>
        </w:rPr>
      </w:pPr>
    </w:p>
    <w:p w14:paraId="7F4DB536">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建设项目环境风险潜势划分</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2406"/>
        <w:gridCol w:w="1664"/>
        <w:gridCol w:w="1664"/>
        <w:gridCol w:w="1664"/>
        <w:gridCol w:w="1673"/>
      </w:tblGrid>
      <w:tr w14:paraId="168F59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27" w:type="pct"/>
            <w:vMerge w:val="restart"/>
            <w:noWrap w:val="0"/>
            <w:vAlign w:val="center"/>
          </w:tcPr>
          <w:p w14:paraId="4A6BA3F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环境敏感程度（E）</w:t>
            </w:r>
          </w:p>
        </w:tc>
        <w:tc>
          <w:tcPr>
            <w:tcW w:w="3672" w:type="pct"/>
            <w:gridSpan w:val="4"/>
            <w:noWrap w:val="0"/>
            <w:vAlign w:val="center"/>
          </w:tcPr>
          <w:p w14:paraId="2CAACBE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危险物质及工艺系统危险性（P）</w:t>
            </w:r>
          </w:p>
        </w:tc>
      </w:tr>
      <w:tr w14:paraId="575F55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27" w:type="pct"/>
            <w:vMerge w:val="continue"/>
            <w:tcBorders>
              <w:bottom w:val="single" w:color="000000" w:sz="12" w:space="0"/>
            </w:tcBorders>
            <w:noWrap w:val="0"/>
            <w:vAlign w:val="center"/>
          </w:tcPr>
          <w:p w14:paraId="0BEFFBF7">
            <w:pPr>
              <w:pStyle w:val="26"/>
              <w:rPr>
                <w:b/>
                <w:bCs/>
                <w:color w:val="000000" w:themeColor="text1"/>
                <w:highlight w:val="none"/>
                <w14:textFill>
                  <w14:solidFill>
                    <w14:schemeClr w14:val="tx1"/>
                  </w14:solidFill>
                </w14:textFill>
              </w:rPr>
            </w:pPr>
          </w:p>
        </w:tc>
        <w:tc>
          <w:tcPr>
            <w:tcW w:w="917" w:type="pct"/>
            <w:tcBorders>
              <w:bottom w:val="single" w:color="000000" w:sz="12" w:space="0"/>
            </w:tcBorders>
            <w:noWrap w:val="0"/>
            <w:vAlign w:val="center"/>
          </w:tcPr>
          <w:p w14:paraId="070E18B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极高危害（P1）</w:t>
            </w:r>
          </w:p>
        </w:tc>
        <w:tc>
          <w:tcPr>
            <w:tcW w:w="917" w:type="pct"/>
            <w:tcBorders>
              <w:bottom w:val="single" w:color="000000" w:sz="12" w:space="0"/>
            </w:tcBorders>
            <w:noWrap w:val="0"/>
            <w:vAlign w:val="center"/>
          </w:tcPr>
          <w:p w14:paraId="4B52E07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高度危害（P2）</w:t>
            </w:r>
          </w:p>
        </w:tc>
        <w:tc>
          <w:tcPr>
            <w:tcW w:w="917" w:type="pct"/>
            <w:tcBorders>
              <w:bottom w:val="single" w:color="000000" w:sz="12" w:space="0"/>
            </w:tcBorders>
            <w:noWrap w:val="0"/>
            <w:vAlign w:val="center"/>
          </w:tcPr>
          <w:p w14:paraId="5965F2C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中度危害（P3）</w:t>
            </w:r>
          </w:p>
        </w:tc>
        <w:tc>
          <w:tcPr>
            <w:tcW w:w="919" w:type="pct"/>
            <w:tcBorders>
              <w:bottom w:val="single" w:color="000000" w:sz="12" w:space="0"/>
            </w:tcBorders>
            <w:noWrap w:val="0"/>
            <w:vAlign w:val="center"/>
          </w:tcPr>
          <w:p w14:paraId="214D2126">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轻度危害（P4）</w:t>
            </w:r>
          </w:p>
        </w:tc>
      </w:tr>
      <w:tr w14:paraId="06F299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27" w:type="pct"/>
            <w:tcBorders>
              <w:top w:val="single" w:color="000000" w:sz="12" w:space="0"/>
            </w:tcBorders>
            <w:noWrap w:val="0"/>
            <w:vAlign w:val="center"/>
          </w:tcPr>
          <w:p w14:paraId="6D035E3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环境高度敏感区（E1）</w:t>
            </w:r>
          </w:p>
        </w:tc>
        <w:tc>
          <w:tcPr>
            <w:tcW w:w="917" w:type="pct"/>
            <w:tcBorders>
              <w:top w:val="single" w:color="000000" w:sz="12" w:space="0"/>
            </w:tcBorders>
            <w:noWrap w:val="0"/>
            <w:vAlign w:val="center"/>
          </w:tcPr>
          <w:p w14:paraId="434835F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Ⅳ+</w:t>
            </w:r>
          </w:p>
        </w:tc>
        <w:tc>
          <w:tcPr>
            <w:tcW w:w="917" w:type="pct"/>
            <w:tcBorders>
              <w:top w:val="single" w:color="000000" w:sz="12" w:space="0"/>
            </w:tcBorders>
            <w:noWrap w:val="0"/>
            <w:vAlign w:val="center"/>
          </w:tcPr>
          <w:p w14:paraId="115AADF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Ⅳ</w:t>
            </w:r>
          </w:p>
        </w:tc>
        <w:tc>
          <w:tcPr>
            <w:tcW w:w="917" w:type="pct"/>
            <w:tcBorders>
              <w:top w:val="single" w:color="000000" w:sz="12" w:space="0"/>
            </w:tcBorders>
            <w:noWrap w:val="0"/>
            <w:vAlign w:val="center"/>
          </w:tcPr>
          <w:p w14:paraId="4877BF6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Ⅲ</w:t>
            </w:r>
          </w:p>
        </w:tc>
        <w:tc>
          <w:tcPr>
            <w:tcW w:w="919" w:type="pct"/>
            <w:tcBorders>
              <w:top w:val="single" w:color="000000" w:sz="12" w:space="0"/>
            </w:tcBorders>
            <w:noWrap w:val="0"/>
            <w:vAlign w:val="center"/>
          </w:tcPr>
          <w:p w14:paraId="61FA1D5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Ⅲ</w:t>
            </w:r>
          </w:p>
        </w:tc>
      </w:tr>
      <w:tr w14:paraId="66F24A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27" w:type="pct"/>
            <w:noWrap w:val="0"/>
            <w:vAlign w:val="top"/>
          </w:tcPr>
          <w:p w14:paraId="6A316F2D">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环境高度敏感区（E2）</w:t>
            </w:r>
          </w:p>
        </w:tc>
        <w:tc>
          <w:tcPr>
            <w:tcW w:w="917" w:type="pct"/>
            <w:noWrap w:val="0"/>
            <w:vAlign w:val="top"/>
          </w:tcPr>
          <w:p w14:paraId="06515F0E">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Ⅳ</w:t>
            </w:r>
          </w:p>
        </w:tc>
        <w:tc>
          <w:tcPr>
            <w:tcW w:w="917" w:type="pct"/>
            <w:noWrap w:val="0"/>
            <w:vAlign w:val="top"/>
          </w:tcPr>
          <w:p w14:paraId="0326F5B8">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Ⅲ</w:t>
            </w:r>
          </w:p>
        </w:tc>
        <w:tc>
          <w:tcPr>
            <w:tcW w:w="917" w:type="pct"/>
            <w:noWrap w:val="0"/>
            <w:vAlign w:val="top"/>
          </w:tcPr>
          <w:p w14:paraId="34346299">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Ⅲ</w:t>
            </w:r>
          </w:p>
        </w:tc>
        <w:tc>
          <w:tcPr>
            <w:tcW w:w="919" w:type="pct"/>
            <w:noWrap w:val="0"/>
            <w:vAlign w:val="top"/>
          </w:tcPr>
          <w:p w14:paraId="311687C8">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Ⅱ</w:t>
            </w:r>
          </w:p>
        </w:tc>
      </w:tr>
      <w:tr w14:paraId="5AC38D4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27" w:type="pct"/>
            <w:noWrap w:val="0"/>
            <w:vAlign w:val="top"/>
          </w:tcPr>
          <w:p w14:paraId="461310CF">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环境高度敏感区（E3）</w:t>
            </w:r>
          </w:p>
        </w:tc>
        <w:tc>
          <w:tcPr>
            <w:tcW w:w="917" w:type="pct"/>
            <w:noWrap w:val="0"/>
            <w:vAlign w:val="top"/>
          </w:tcPr>
          <w:p w14:paraId="10B442A0">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Ⅲ</w:t>
            </w:r>
          </w:p>
        </w:tc>
        <w:tc>
          <w:tcPr>
            <w:tcW w:w="917" w:type="pct"/>
            <w:noWrap w:val="0"/>
            <w:vAlign w:val="top"/>
          </w:tcPr>
          <w:p w14:paraId="2C6AE58F">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Ⅲ</w:t>
            </w:r>
          </w:p>
        </w:tc>
        <w:tc>
          <w:tcPr>
            <w:tcW w:w="917" w:type="pct"/>
            <w:noWrap w:val="0"/>
            <w:vAlign w:val="top"/>
          </w:tcPr>
          <w:p w14:paraId="0D207F30">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Ⅱ</w:t>
            </w:r>
          </w:p>
        </w:tc>
        <w:tc>
          <w:tcPr>
            <w:tcW w:w="919" w:type="pct"/>
            <w:noWrap w:val="0"/>
            <w:vAlign w:val="top"/>
          </w:tcPr>
          <w:p w14:paraId="7D8D1322">
            <w:pPr>
              <w:pStyle w:val="26"/>
              <w:rPr>
                <w:color w:val="000000" w:themeColor="text1"/>
                <w:highlight w:val="none"/>
                <w:lang w:val="zh-CN"/>
                <w14:textFill>
                  <w14:solidFill>
                    <w14:schemeClr w14:val="tx1"/>
                  </w14:solidFill>
                </w14:textFill>
              </w:rPr>
            </w:pPr>
            <w:r>
              <w:rPr>
                <w:color w:val="000000" w:themeColor="text1"/>
                <w:highlight w:val="none"/>
                <w14:textFill>
                  <w14:solidFill>
                    <w14:schemeClr w14:val="tx1"/>
                  </w14:solidFill>
                </w14:textFill>
              </w:rPr>
              <w:t>Ⅰ</w:t>
            </w:r>
          </w:p>
        </w:tc>
      </w:tr>
      <w:tr w14:paraId="7BE470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5000" w:type="pct"/>
            <w:gridSpan w:val="5"/>
            <w:noWrap w:val="0"/>
            <w:vAlign w:val="center"/>
          </w:tcPr>
          <w:p w14:paraId="7C98496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注：Ⅳ+高环境风险</w:t>
            </w:r>
          </w:p>
        </w:tc>
      </w:tr>
    </w:tbl>
    <w:p w14:paraId="1F73A939">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（1）危险物质及工艺系统危险性（</w:t>
      </w: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）的确定</w:t>
      </w:r>
    </w:p>
    <w:p w14:paraId="592F9D7C">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w:t>
      </w:r>
      <w:r>
        <w:rPr>
          <w:color w:val="000000" w:themeColor="text1"/>
          <w:highlight w:val="none"/>
          <w14:textFill>
            <w14:solidFill>
              <w14:schemeClr w14:val="tx1"/>
            </w14:solidFill>
          </w14:textFill>
        </w:rPr>
        <w:t>危险物质数量与临界量的比值（Q）</w:t>
      </w:r>
    </w:p>
    <w:p w14:paraId="0CCD49EA">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根据《建设项目环境风险评价技术导则》（</w:t>
      </w:r>
      <w:r>
        <w:rPr>
          <w:rFonts w:hint="eastAsia"/>
          <w:color w:val="000000" w:themeColor="text1"/>
          <w:highlight w:val="none"/>
          <w:lang w:eastAsia="zh-CN"/>
          <w14:textFill>
            <w14:solidFill>
              <w14:schemeClr w14:val="tx1"/>
            </w14:solidFill>
          </w14:textFill>
        </w:rPr>
        <w:t>HJ169-2018</w:t>
      </w:r>
      <w:r>
        <w:rPr>
          <w:color w:val="000000" w:themeColor="text1"/>
          <w:highlight w:val="none"/>
          <w14:textFill>
            <w14:solidFill>
              <w14:schemeClr w14:val="tx1"/>
            </w14:solidFill>
          </w14:textFill>
        </w:rPr>
        <w:t>），计算项目所涉及的每种危险物质在厂界内的最大存在总量与其在附录B中对应临界量的比值（Q）。在不同场区的同一种物质，按其在厂界内最大存在总量计算。对于长输管线项目，按照两个截断阀室之间管段危险物质最大存在总量计算。</w:t>
      </w:r>
    </w:p>
    <w:p w14:paraId="770C75C9">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当只涉及一种危险物质时，计算该物质的总量与临界量比值，即为Q；当存在多种危险物质时，则按式（C.1）计算物质总量与其临界量比值（Q）：</w:t>
      </w:r>
    </w:p>
    <w:p w14:paraId="05ADDB00">
      <w:pPr>
        <w:wordWrap w:val="0"/>
        <w:jc w:val="center"/>
        <w:rPr>
          <w:color w:val="000000" w:themeColor="text1"/>
          <w:highlight w:val="none"/>
          <w14:textFill>
            <w14:solidFill>
              <w14:schemeClr w14:val="tx1"/>
            </w14:solidFill>
          </w14:textFill>
        </w:rPr>
      </w:pPr>
      <w:r>
        <w:rPr>
          <w:color w:val="000000" w:themeColor="text1"/>
          <w:position w:val="-30"/>
          <w:highlight w:val="none"/>
          <w14:textFill>
            <w14:solidFill>
              <w14:schemeClr w14:val="tx1"/>
            </w14:solidFill>
          </w14:textFill>
        </w:rPr>
        <w:object>
          <v:shape id="_x0000_i1041" o:spt="75" type="#_x0000_t75" style="height:34.5pt;width:109.5pt;" o:ole="t" filled="f" o:preferrelative="t" stroked="f" coordsize="21600,21600">
            <v:path/>
            <v:fill on="f" focussize="0,0"/>
            <v:stroke on="f"/>
            <v:imagedata r:id="rId58" o:title=""/>
            <o:lock v:ext="edit" aspectratio="t"/>
            <w10:wrap type="none"/>
            <w10:anchorlock/>
          </v:shape>
          <o:OLEObject Type="Embed" ProgID="Equation.3" ShapeID="_x0000_i1041" DrawAspect="Content" ObjectID="_1468075741" r:id="rId57">
            <o:LockedField>false</o:LockedField>
          </o:OLEObject>
        </w:object>
      </w:r>
    </w:p>
    <w:p w14:paraId="16F3B912">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式中：q</w:t>
      </w:r>
      <w:r>
        <w:rPr>
          <w:color w:val="000000" w:themeColor="text1"/>
          <w:highlight w:val="none"/>
          <w:vertAlign w:val="subscript"/>
          <w14:textFill>
            <w14:solidFill>
              <w14:schemeClr w14:val="tx1"/>
            </w14:solidFill>
          </w14:textFill>
        </w:rPr>
        <w:t>1</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2</w:t>
      </w:r>
      <w:r>
        <w:rPr>
          <w:rFonts w:hint="eastAsia"/>
          <w:color w:val="000000" w:themeColor="text1"/>
          <w:highlight w:val="none"/>
          <w:vertAlign w:val="subscript"/>
          <w:lang w:eastAsia="zh-CN"/>
          <w14:textFill>
            <w14:solidFill>
              <w14:schemeClr w14:val="tx1"/>
            </w14:solidFill>
          </w14:textFill>
        </w:rPr>
        <w:t>，</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n</w:t>
      </w:r>
      <w:r>
        <w:rPr>
          <w:color w:val="000000" w:themeColor="text1"/>
          <w:highlight w:val="none"/>
          <w14:textFill>
            <w14:solidFill>
              <w14:schemeClr w14:val="tx1"/>
            </w14:solidFill>
          </w14:textFill>
        </w:rPr>
        <w:t>—每种危险物质的最大存在量，t；</w:t>
      </w:r>
    </w:p>
    <w:p w14:paraId="4C5EDD30">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1</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2</w:t>
      </w:r>
      <w:r>
        <w:rPr>
          <w:rFonts w:hint="eastAsia"/>
          <w:color w:val="000000" w:themeColor="text1"/>
          <w:highlight w:val="none"/>
          <w:vertAlign w:val="subscript"/>
          <w:lang w:eastAsia="zh-CN"/>
          <w14:textFill>
            <w14:solidFill>
              <w14:schemeClr w14:val="tx1"/>
            </w14:solidFill>
          </w14:textFill>
        </w:rPr>
        <w:t>，</w:t>
      </w:r>
      <w:r>
        <w:rPr>
          <w:color w:val="000000" w:themeColor="text1"/>
          <w:highlight w:val="none"/>
          <w14:textFill>
            <w14:solidFill>
              <w14:schemeClr w14:val="tx1"/>
            </w14:solidFill>
          </w14:textFill>
        </w:rPr>
        <w:t>Q</w:t>
      </w:r>
      <w:r>
        <w:rPr>
          <w:color w:val="000000" w:themeColor="text1"/>
          <w:highlight w:val="none"/>
          <w:vertAlign w:val="subscript"/>
          <w14:textFill>
            <w14:solidFill>
              <w14:schemeClr w14:val="tx1"/>
            </w14:solidFill>
          </w14:textFill>
        </w:rPr>
        <w:t>n</w:t>
      </w:r>
      <w:r>
        <w:rPr>
          <w:color w:val="000000" w:themeColor="text1"/>
          <w:highlight w:val="none"/>
          <w14:textFill>
            <w14:solidFill>
              <w14:schemeClr w14:val="tx1"/>
            </w14:solidFill>
          </w14:textFill>
        </w:rPr>
        <w:t>——每种危险物质的临界量，t；</w:t>
      </w:r>
    </w:p>
    <w:p w14:paraId="28826594">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当Q＜1时，该项目环境风险潜势为Ⅰ；</w:t>
      </w:r>
    </w:p>
    <w:p w14:paraId="11342CC3">
      <w:pPr>
        <w:wordWrap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当Q≥1时，将Q值划分为：（1）1≤Q＜10；（2）10≤Q＜100；（3）Q≥100。对照本项目生产过程所</w:t>
      </w:r>
      <w:r>
        <w:rPr>
          <w:rFonts w:hint="eastAsia"/>
          <w:color w:val="000000" w:themeColor="text1"/>
          <w:highlight w:val="none"/>
          <w:lang w:eastAsia="zh-CN"/>
          <w14:textFill>
            <w14:solidFill>
              <w14:schemeClr w14:val="tx1"/>
            </w14:solidFill>
          </w14:textFill>
        </w:rPr>
        <w:t>涉及</w:t>
      </w:r>
      <w:r>
        <w:rPr>
          <w:color w:val="000000" w:themeColor="text1"/>
          <w:highlight w:val="none"/>
          <w14:textFill>
            <w14:solidFill>
              <w14:schemeClr w14:val="tx1"/>
            </w14:solidFill>
          </w14:textFill>
        </w:rPr>
        <w:t>各类危险物质的最大数量（生产场所使用量和储存量之和）和临界量比值计算见表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w:t>
      </w:r>
    </w:p>
    <w:p w14:paraId="4E372889">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本项目危险物质数量与临界量比值</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2452"/>
        <w:gridCol w:w="1909"/>
        <w:gridCol w:w="2101"/>
        <w:gridCol w:w="2609"/>
      </w:tblGrid>
      <w:tr w14:paraId="6E69CA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73" w:hRule="atLeast"/>
          <w:jc w:val="center"/>
        </w:trPr>
        <w:tc>
          <w:tcPr>
            <w:tcW w:w="2452" w:type="dxa"/>
            <w:noWrap w:val="0"/>
            <w:vAlign w:val="center"/>
          </w:tcPr>
          <w:p w14:paraId="57CEF20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风险物质</w:t>
            </w:r>
          </w:p>
        </w:tc>
        <w:tc>
          <w:tcPr>
            <w:tcW w:w="1909" w:type="dxa"/>
            <w:noWrap w:val="0"/>
            <w:vAlign w:val="center"/>
          </w:tcPr>
          <w:p w14:paraId="2866C681">
            <w:pPr>
              <w:pStyle w:val="26"/>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最大储存量</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t）</w:t>
            </w:r>
          </w:p>
        </w:tc>
        <w:tc>
          <w:tcPr>
            <w:tcW w:w="2101" w:type="dxa"/>
            <w:noWrap w:val="0"/>
            <w:vAlign w:val="center"/>
          </w:tcPr>
          <w:p w14:paraId="3C76D05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标准临界量</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t）</w:t>
            </w:r>
          </w:p>
        </w:tc>
        <w:tc>
          <w:tcPr>
            <w:tcW w:w="2609" w:type="dxa"/>
            <w:noWrap w:val="0"/>
            <w:vAlign w:val="center"/>
          </w:tcPr>
          <w:p w14:paraId="7BFA1E6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计算值 Q</w:t>
            </w:r>
          </w:p>
        </w:tc>
      </w:tr>
      <w:tr w14:paraId="69F9E4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52" w:type="dxa"/>
            <w:noWrap w:val="0"/>
            <w:vAlign w:val="center"/>
          </w:tcPr>
          <w:p w14:paraId="2671507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丙烯酸</w:t>
            </w:r>
          </w:p>
        </w:tc>
        <w:tc>
          <w:tcPr>
            <w:tcW w:w="1909" w:type="dxa"/>
            <w:noWrap w:val="0"/>
            <w:vAlign w:val="center"/>
          </w:tcPr>
          <w:p w14:paraId="3331348E">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p>
        </w:tc>
        <w:tc>
          <w:tcPr>
            <w:tcW w:w="2101" w:type="dxa"/>
            <w:noWrap w:val="0"/>
            <w:vAlign w:val="center"/>
          </w:tcPr>
          <w:p w14:paraId="64E9AA16">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50</w:t>
            </w:r>
          </w:p>
        </w:tc>
        <w:tc>
          <w:tcPr>
            <w:tcW w:w="2609" w:type="dxa"/>
            <w:noWrap w:val="0"/>
            <w:vAlign w:val="center"/>
          </w:tcPr>
          <w:p w14:paraId="54A1263C">
            <w:pPr>
              <w:pStyle w:val="26"/>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1</w:t>
            </w:r>
          </w:p>
        </w:tc>
      </w:tr>
      <w:tr w14:paraId="54A135D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52" w:type="dxa"/>
            <w:noWrap w:val="0"/>
            <w:vAlign w:val="center"/>
          </w:tcPr>
          <w:p w14:paraId="5FCDF75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巯基丙酸</w:t>
            </w:r>
          </w:p>
        </w:tc>
        <w:tc>
          <w:tcPr>
            <w:tcW w:w="1909" w:type="dxa"/>
            <w:noWrap w:val="0"/>
            <w:vAlign w:val="center"/>
          </w:tcPr>
          <w:p w14:paraId="34B21D46">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101" w:type="dxa"/>
            <w:noWrap w:val="0"/>
            <w:vAlign w:val="center"/>
          </w:tcPr>
          <w:p w14:paraId="6CA9342D">
            <w:pPr>
              <w:pStyle w:val="26"/>
              <w:rPr>
                <w:rFonts w:hint="eastAsia"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0</w:t>
            </w:r>
          </w:p>
        </w:tc>
        <w:tc>
          <w:tcPr>
            <w:tcW w:w="2609" w:type="dxa"/>
            <w:noWrap w:val="0"/>
            <w:vAlign w:val="center"/>
          </w:tcPr>
          <w:p w14:paraId="1D725EB0">
            <w:pPr>
              <w:pStyle w:val="26"/>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02</w:t>
            </w:r>
          </w:p>
        </w:tc>
      </w:tr>
      <w:tr w14:paraId="4748C6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52" w:type="dxa"/>
            <w:noWrap w:val="0"/>
            <w:vAlign w:val="center"/>
          </w:tcPr>
          <w:p w14:paraId="5DAFDD0C">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w:t>
            </w:r>
          </w:p>
        </w:tc>
        <w:tc>
          <w:tcPr>
            <w:tcW w:w="1909" w:type="dxa"/>
            <w:noWrap w:val="0"/>
            <w:vAlign w:val="center"/>
          </w:tcPr>
          <w:p w14:paraId="77C7DA99">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32.6</w:t>
            </w:r>
          </w:p>
        </w:tc>
        <w:tc>
          <w:tcPr>
            <w:tcW w:w="2101" w:type="dxa"/>
            <w:noWrap w:val="0"/>
            <w:vAlign w:val="center"/>
          </w:tcPr>
          <w:p w14:paraId="408F84C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2609" w:type="dxa"/>
            <w:noWrap w:val="0"/>
            <w:vAlign w:val="center"/>
          </w:tcPr>
          <w:p w14:paraId="07CCD610">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3.26</w:t>
            </w:r>
          </w:p>
        </w:tc>
      </w:tr>
      <w:tr w14:paraId="3C2E00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52" w:type="dxa"/>
            <w:noWrap w:val="0"/>
            <w:vAlign w:val="center"/>
          </w:tcPr>
          <w:p w14:paraId="4BEA2342">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氟硅酸</w:t>
            </w:r>
          </w:p>
        </w:tc>
        <w:tc>
          <w:tcPr>
            <w:tcW w:w="1909" w:type="dxa"/>
            <w:noWrap w:val="0"/>
            <w:vAlign w:val="center"/>
          </w:tcPr>
          <w:p w14:paraId="79ADB817">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26</w:t>
            </w:r>
          </w:p>
        </w:tc>
        <w:tc>
          <w:tcPr>
            <w:tcW w:w="2101" w:type="dxa"/>
            <w:noWrap w:val="0"/>
            <w:vAlign w:val="center"/>
          </w:tcPr>
          <w:p w14:paraId="233F20D8">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2609" w:type="dxa"/>
            <w:noWrap w:val="0"/>
            <w:vAlign w:val="center"/>
          </w:tcPr>
          <w:p w14:paraId="4393A8EB">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5.2</w:t>
            </w:r>
          </w:p>
        </w:tc>
      </w:tr>
      <w:tr w14:paraId="208DD1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2452" w:type="dxa"/>
            <w:noWrap w:val="0"/>
            <w:vAlign w:val="center"/>
          </w:tcPr>
          <w:p w14:paraId="62287E08">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废机油</w:t>
            </w:r>
          </w:p>
        </w:tc>
        <w:tc>
          <w:tcPr>
            <w:tcW w:w="1909" w:type="dxa"/>
            <w:noWrap w:val="0"/>
            <w:vAlign w:val="center"/>
          </w:tcPr>
          <w:p w14:paraId="186EAD85">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0.3</w:t>
            </w:r>
          </w:p>
        </w:tc>
        <w:tc>
          <w:tcPr>
            <w:tcW w:w="2101" w:type="dxa"/>
            <w:noWrap w:val="0"/>
            <w:vAlign w:val="center"/>
          </w:tcPr>
          <w:p w14:paraId="195BB265">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2500</w:t>
            </w:r>
          </w:p>
        </w:tc>
        <w:tc>
          <w:tcPr>
            <w:tcW w:w="2609" w:type="dxa"/>
            <w:noWrap w:val="0"/>
            <w:vAlign w:val="center"/>
          </w:tcPr>
          <w:p w14:paraId="26172AC7">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0.00012</w:t>
            </w:r>
          </w:p>
        </w:tc>
      </w:tr>
      <w:tr w14:paraId="232D2D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72" w:hRule="atLeast"/>
          <w:jc w:val="center"/>
        </w:trPr>
        <w:tc>
          <w:tcPr>
            <w:tcW w:w="2452" w:type="dxa"/>
            <w:noWrap w:val="0"/>
            <w:vAlign w:val="center"/>
          </w:tcPr>
          <w:p w14:paraId="52D1170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合计</w:t>
            </w:r>
          </w:p>
        </w:tc>
        <w:tc>
          <w:tcPr>
            <w:tcW w:w="1909" w:type="dxa"/>
            <w:noWrap w:val="0"/>
            <w:vAlign w:val="center"/>
          </w:tcPr>
          <w:p w14:paraId="744F254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2101" w:type="dxa"/>
            <w:noWrap w:val="0"/>
            <w:vAlign w:val="center"/>
          </w:tcPr>
          <w:p w14:paraId="51B2861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2609" w:type="dxa"/>
            <w:noWrap w:val="0"/>
            <w:vAlign w:val="center"/>
          </w:tcPr>
          <w:p w14:paraId="2FB2C1BC">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8.58</w:t>
            </w:r>
          </w:p>
        </w:tc>
      </w:tr>
    </w:tbl>
    <w:p w14:paraId="18266CC8">
      <w:pP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根据上表计算本项目Q=</w:t>
      </w:r>
      <w:r>
        <w:rPr>
          <w:rFonts w:hint="eastAsia"/>
          <w:color w:val="000000" w:themeColor="text1"/>
          <w:highlight w:val="none"/>
          <w:lang w:val="en-US" w:eastAsia="zh-CN"/>
          <w14:textFill>
            <w14:solidFill>
              <w14:schemeClr w14:val="tx1"/>
            </w14:solidFill>
          </w14:textFill>
        </w:rPr>
        <w:t>8.58</w:t>
      </w:r>
      <w:r>
        <w:rPr>
          <w:rFonts w:hint="eastAsia"/>
          <w:color w:val="000000" w:themeColor="text1"/>
          <w:highlight w:val="none"/>
          <w14:textFill>
            <w14:solidFill>
              <w14:schemeClr w14:val="tx1"/>
            </w14:solidFill>
          </w14:textFill>
        </w:rPr>
        <w:t>；</w:t>
      </w:r>
    </w:p>
    <w:p w14:paraId="7F966607">
      <w:pPr>
        <w:rPr>
          <w:rFonts w:hint="eastAsia"/>
          <w:color w:val="000000" w:themeColor="text1"/>
          <w:highlight w:val="none"/>
          <w14:textFill>
            <w14:solidFill>
              <w14:schemeClr w14:val="tx1"/>
            </w14:solidFill>
          </w14:textFill>
        </w:rPr>
      </w:pPr>
      <w:bookmarkStart w:id="1071" w:name="_Toc8633"/>
      <w:bookmarkStart w:id="1072" w:name="_Toc4562"/>
      <w:bookmarkStart w:id="1073" w:name="_Toc21947"/>
      <w:bookmarkStart w:id="1074" w:name="_Toc28751"/>
      <w:bookmarkStart w:id="1075" w:name="_Toc7271"/>
      <w:r>
        <w:rPr>
          <w:rFonts w:hint="eastAsia"/>
          <w:color w:val="000000" w:themeColor="text1"/>
          <w:highlight w:val="none"/>
          <w14:textFill>
            <w14:solidFill>
              <w14:schemeClr w14:val="tx1"/>
            </w14:solidFill>
          </w14:textFill>
        </w:rPr>
        <w:t>②</w:t>
      </w:r>
      <w:r>
        <w:rPr>
          <w:color w:val="000000" w:themeColor="text1"/>
          <w:highlight w:val="none"/>
          <w14:textFill>
            <w14:solidFill>
              <w14:schemeClr w14:val="tx1"/>
            </w14:solidFill>
          </w14:textFill>
        </w:rPr>
        <w:t>行业及生产工艺</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M</w:t>
      </w:r>
      <w:r>
        <w:rPr>
          <w:rFonts w:hint="eastAsia"/>
          <w:color w:val="000000" w:themeColor="text1"/>
          <w:highlight w:val="none"/>
          <w14:textFill>
            <w14:solidFill>
              <w14:schemeClr w14:val="tx1"/>
            </w14:solidFill>
          </w14:textFill>
        </w:rPr>
        <w:t>）</w:t>
      </w:r>
    </w:p>
    <w:p w14:paraId="547C1275">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析项目所属行业及生产工艺特点，按照下表评估生产工艺情况。具有多套工艺单元的项目，对每套生产工艺分别评分并求和。将M划分为（1）M＞20；（2）10≤M＜20；（3）5＜M≤10；（4）M=5，分别以M1、M2、M3和M4表示。</w:t>
      </w:r>
    </w:p>
    <w:p w14:paraId="705E3C19">
      <w:pP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项目所属行业及生产工艺</w:t>
      </w:r>
      <w:r>
        <w:rPr>
          <w:rFonts w:hint="eastAsia"/>
          <w:color w:val="000000" w:themeColor="text1"/>
          <w:highlight w:val="none"/>
          <w:lang w:val="en-US" w:eastAsia="zh-CN"/>
          <w14:textFill>
            <w14:solidFill>
              <w14:schemeClr w14:val="tx1"/>
            </w14:solidFill>
          </w14:textFill>
        </w:rPr>
        <w:t>划分情况见表5.2.7-3。</w:t>
      </w:r>
    </w:p>
    <w:p w14:paraId="7F296B08">
      <w:pPr>
        <w:pStyle w:val="25"/>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 xml:space="preserve">     行业及生产工艺（M）</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75"/>
        <w:gridCol w:w="5579"/>
        <w:gridCol w:w="1417"/>
      </w:tblGrid>
      <w:tr w14:paraId="3A1DB5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tcBorders>
              <w:bottom w:val="single" w:color="auto" w:sz="12" w:space="0"/>
            </w:tcBorders>
            <w:noWrap w:val="0"/>
            <w:vAlign w:val="center"/>
          </w:tcPr>
          <w:p w14:paraId="29474F4F">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行业</w:t>
            </w:r>
          </w:p>
        </w:tc>
        <w:tc>
          <w:tcPr>
            <w:tcW w:w="5245" w:type="dxa"/>
            <w:tcBorders>
              <w:bottom w:val="single" w:color="auto" w:sz="12" w:space="0"/>
            </w:tcBorders>
            <w:noWrap w:val="0"/>
            <w:vAlign w:val="center"/>
          </w:tcPr>
          <w:p w14:paraId="3E00286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评估依据</w:t>
            </w:r>
          </w:p>
        </w:tc>
        <w:tc>
          <w:tcPr>
            <w:tcW w:w="1332" w:type="dxa"/>
            <w:tcBorders>
              <w:bottom w:val="single" w:color="auto" w:sz="12" w:space="0"/>
            </w:tcBorders>
            <w:noWrap w:val="0"/>
            <w:vAlign w:val="center"/>
          </w:tcPr>
          <w:p w14:paraId="03409519">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分值</w:t>
            </w:r>
          </w:p>
        </w:tc>
      </w:tr>
      <w:tr w14:paraId="526057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Merge w:val="restart"/>
            <w:tcBorders>
              <w:top w:val="single" w:color="auto" w:sz="12" w:space="0"/>
            </w:tcBorders>
            <w:noWrap w:val="0"/>
            <w:vAlign w:val="center"/>
          </w:tcPr>
          <w:p w14:paraId="5122EA4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石化、化工、医药、轻工、化纤、有色冶炼等</w:t>
            </w:r>
          </w:p>
        </w:tc>
        <w:tc>
          <w:tcPr>
            <w:tcW w:w="5245" w:type="dxa"/>
            <w:tcBorders>
              <w:top w:val="single" w:color="auto" w:sz="12" w:space="0"/>
            </w:tcBorders>
            <w:noWrap w:val="0"/>
            <w:vAlign w:val="center"/>
          </w:tcPr>
          <w:p w14:paraId="7DA82F08">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涉及光气及光气化工艺、电解工艺（氯碱）、氯化工艺、硝化工艺、合成氨工艺、裂解（裂化）工艺、氟化工艺、加氢工艺、重氮化工艺、氧化工艺、</w:t>
            </w:r>
            <w:r>
              <w:rPr>
                <w:rFonts w:hint="eastAsia"/>
                <w:color w:val="000000" w:themeColor="text1"/>
                <w:highlight w:val="none"/>
                <w14:textFill>
                  <w14:solidFill>
                    <w14:schemeClr w14:val="tx1"/>
                  </w14:solidFill>
                </w14:textFill>
              </w:rPr>
              <w:t>过氧化工艺、氨基化工艺、磺化工艺、聚合工艺、烷基化工艺、新型煤化工工艺、电石生产工艺、偶氮化工艺</w:t>
            </w:r>
          </w:p>
        </w:tc>
        <w:tc>
          <w:tcPr>
            <w:tcW w:w="1332" w:type="dxa"/>
            <w:tcBorders>
              <w:top w:val="single" w:color="auto" w:sz="12" w:space="0"/>
            </w:tcBorders>
            <w:noWrap w:val="0"/>
            <w:vAlign w:val="center"/>
          </w:tcPr>
          <w:p w14:paraId="4F59465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10/套</w:t>
            </w:r>
          </w:p>
        </w:tc>
      </w:tr>
      <w:tr w14:paraId="4AD344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Merge w:val="continue"/>
            <w:noWrap w:val="0"/>
            <w:vAlign w:val="center"/>
          </w:tcPr>
          <w:p w14:paraId="149D03C5">
            <w:pPr>
              <w:pStyle w:val="26"/>
              <w:rPr>
                <w:color w:val="000000" w:themeColor="text1"/>
                <w:highlight w:val="none"/>
                <w14:textFill>
                  <w14:solidFill>
                    <w14:schemeClr w14:val="tx1"/>
                  </w14:solidFill>
                </w14:textFill>
              </w:rPr>
            </w:pPr>
          </w:p>
        </w:tc>
        <w:tc>
          <w:tcPr>
            <w:tcW w:w="5245" w:type="dxa"/>
            <w:noWrap w:val="0"/>
            <w:vAlign w:val="center"/>
          </w:tcPr>
          <w:p w14:paraId="21BE5623">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无机酸</w:t>
            </w:r>
            <w:r>
              <w:rPr>
                <w:rFonts w:hint="eastAsia"/>
                <w:color w:val="000000" w:themeColor="text1"/>
                <w:highlight w:val="none"/>
                <w14:textFill>
                  <w14:solidFill>
                    <w14:schemeClr w14:val="tx1"/>
                  </w14:solidFill>
                </w14:textFill>
              </w:rPr>
              <w:t>制</w:t>
            </w:r>
            <w:r>
              <w:rPr>
                <w:color w:val="000000" w:themeColor="text1"/>
                <w:highlight w:val="none"/>
                <w14:textFill>
                  <w14:solidFill>
                    <w14:schemeClr w14:val="tx1"/>
                  </w14:solidFill>
                </w14:textFill>
              </w:rPr>
              <w:t>酸工艺、焦化工艺</w:t>
            </w:r>
          </w:p>
        </w:tc>
        <w:tc>
          <w:tcPr>
            <w:tcW w:w="1332" w:type="dxa"/>
            <w:noWrap w:val="0"/>
            <w:vAlign w:val="center"/>
          </w:tcPr>
          <w:p w14:paraId="2AB38CED">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5/套</w:t>
            </w:r>
          </w:p>
        </w:tc>
      </w:tr>
      <w:tr w14:paraId="122105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Merge w:val="continue"/>
            <w:noWrap w:val="0"/>
            <w:vAlign w:val="center"/>
          </w:tcPr>
          <w:p w14:paraId="2B504EAC">
            <w:pPr>
              <w:pStyle w:val="26"/>
              <w:rPr>
                <w:color w:val="000000" w:themeColor="text1"/>
                <w:highlight w:val="none"/>
                <w14:textFill>
                  <w14:solidFill>
                    <w14:schemeClr w14:val="tx1"/>
                  </w14:solidFill>
                </w14:textFill>
              </w:rPr>
            </w:pPr>
          </w:p>
        </w:tc>
        <w:tc>
          <w:tcPr>
            <w:tcW w:w="5245" w:type="dxa"/>
            <w:noWrap w:val="0"/>
            <w:vAlign w:val="center"/>
          </w:tcPr>
          <w:p w14:paraId="7918123C">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其他高温或高压，且涉及危险物质的工艺过程a，危险物质贮存罐区</w:t>
            </w:r>
          </w:p>
        </w:tc>
        <w:tc>
          <w:tcPr>
            <w:tcW w:w="1332" w:type="dxa"/>
            <w:noWrap w:val="0"/>
            <w:vAlign w:val="center"/>
          </w:tcPr>
          <w:p w14:paraId="153A7DFC">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5.</w:t>
            </w:r>
            <w:r>
              <w:rPr>
                <w:rFonts w:hint="eastAsia"/>
                <w:color w:val="000000" w:themeColor="text1"/>
                <w:highlight w:val="none"/>
                <w14:textFill>
                  <w14:solidFill>
                    <w14:schemeClr w14:val="tx1"/>
                  </w14:solidFill>
                </w14:textFill>
              </w:rPr>
              <w:t>套（罐区）</w:t>
            </w:r>
          </w:p>
        </w:tc>
      </w:tr>
      <w:tr w14:paraId="498DCA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noWrap w:val="0"/>
            <w:vAlign w:val="center"/>
          </w:tcPr>
          <w:p w14:paraId="4F933D7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管道、港口</w:t>
            </w:r>
            <w:r>
              <w:rPr>
                <w:rFonts w:hint="eastAsia"/>
                <w:color w:val="000000" w:themeColor="text1"/>
                <w:highlight w:val="none"/>
                <w14:textFill>
                  <w14:solidFill>
                    <w14:schemeClr w14:val="tx1"/>
                  </w14:solidFill>
                </w14:textFill>
              </w:rPr>
              <w:t>/码头等</w:t>
            </w:r>
          </w:p>
        </w:tc>
        <w:tc>
          <w:tcPr>
            <w:tcW w:w="5245" w:type="dxa"/>
            <w:noWrap w:val="0"/>
            <w:vAlign w:val="center"/>
          </w:tcPr>
          <w:p w14:paraId="6DDFB3E6">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涉及危险物质管道运输项目、港口</w:t>
            </w:r>
            <w:r>
              <w:rPr>
                <w:rFonts w:hint="eastAsia"/>
                <w:color w:val="000000" w:themeColor="text1"/>
                <w:highlight w:val="none"/>
                <w14:textFill>
                  <w14:solidFill>
                    <w14:schemeClr w14:val="tx1"/>
                  </w14:solidFill>
                </w14:textFill>
              </w:rPr>
              <w:t>/码头等</w:t>
            </w:r>
          </w:p>
        </w:tc>
        <w:tc>
          <w:tcPr>
            <w:tcW w:w="1332" w:type="dxa"/>
            <w:noWrap w:val="0"/>
            <w:vAlign w:val="center"/>
          </w:tcPr>
          <w:p w14:paraId="05354290">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r>
      <w:tr w14:paraId="717EE8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noWrap w:val="0"/>
            <w:vAlign w:val="center"/>
          </w:tcPr>
          <w:p w14:paraId="2C2CF23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石油天然气</w:t>
            </w:r>
          </w:p>
        </w:tc>
        <w:tc>
          <w:tcPr>
            <w:tcW w:w="5245" w:type="dxa"/>
            <w:noWrap w:val="0"/>
            <w:vAlign w:val="center"/>
          </w:tcPr>
          <w:p w14:paraId="084811EA">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石油、天然气、页岩气开采（含净化），气库（不含加油站的气库），油库（不含加油站的油库）、油气管线</w:t>
            </w:r>
            <w:r>
              <w:rPr>
                <w:rFonts w:hint="eastAsia"/>
                <w:color w:val="000000" w:themeColor="text1"/>
                <w:highlight w:val="none"/>
                <w14:textFill>
                  <w14:solidFill>
                    <w14:schemeClr w14:val="tx1"/>
                  </w14:solidFill>
                </w14:textFill>
              </w:rPr>
              <w:t>b（不含城镇燃气管线）</w:t>
            </w:r>
          </w:p>
        </w:tc>
        <w:tc>
          <w:tcPr>
            <w:tcW w:w="1332" w:type="dxa"/>
            <w:noWrap w:val="0"/>
            <w:vAlign w:val="center"/>
          </w:tcPr>
          <w:p w14:paraId="5FD7ADF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r>
      <w:tr w14:paraId="2B43C7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noWrap w:val="0"/>
            <w:vAlign w:val="center"/>
          </w:tcPr>
          <w:p w14:paraId="6B370D4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其他</w:t>
            </w:r>
          </w:p>
        </w:tc>
        <w:tc>
          <w:tcPr>
            <w:tcW w:w="5245" w:type="dxa"/>
            <w:noWrap w:val="0"/>
            <w:vAlign w:val="center"/>
          </w:tcPr>
          <w:p w14:paraId="34D9018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涉及危险物质使用、贮存的项目</w:t>
            </w:r>
          </w:p>
        </w:tc>
        <w:tc>
          <w:tcPr>
            <w:tcW w:w="1332" w:type="dxa"/>
            <w:noWrap w:val="0"/>
            <w:vAlign w:val="center"/>
          </w:tcPr>
          <w:p w14:paraId="508C9BA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131826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3"/>
            <w:noWrap w:val="0"/>
            <w:vAlign w:val="center"/>
          </w:tcPr>
          <w:p w14:paraId="790B20E1">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高温</w:t>
            </w:r>
            <w:r>
              <w:rPr>
                <w:color w:val="000000" w:themeColor="text1"/>
                <w:highlight w:val="none"/>
                <w14:textFill>
                  <w14:solidFill>
                    <w14:schemeClr w14:val="tx1"/>
                  </w14:solidFill>
                </w14:textFill>
              </w:rPr>
              <w:t>指工艺温度</w:t>
            </w:r>
            <w:r>
              <w:rPr>
                <w:rFonts w:hint="eastAsia"/>
                <w:color w:val="000000" w:themeColor="text1"/>
                <w:highlight w:val="none"/>
                <w14:textFill>
                  <w14:solidFill>
                    <w14:schemeClr w14:val="tx1"/>
                  </w14:solidFill>
                </w14:textFill>
              </w:rPr>
              <w:t>≥300℃，高压指压力容器的涉及压力（P）≥10.0MPa；</w:t>
            </w:r>
          </w:p>
          <w:p w14:paraId="2B652EC2">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b长输管线运输项目应按站场、管线分段进行评价。</w:t>
            </w:r>
          </w:p>
        </w:tc>
      </w:tr>
    </w:tbl>
    <w:p w14:paraId="7727320C">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由表</w:t>
      </w:r>
      <w:r>
        <w:rPr>
          <w:rFonts w:hint="eastAsia"/>
          <w:color w:val="000000" w:themeColor="text1"/>
          <w:highlight w:val="none"/>
          <w:lang w:val="en-US" w:eastAsia="zh-CN"/>
          <w14:textFill>
            <w14:solidFill>
              <w14:schemeClr w14:val="tx1"/>
            </w14:solidFill>
          </w14:textFill>
        </w:rPr>
        <w:t>5.2.7-3</w:t>
      </w:r>
      <w:r>
        <w:rPr>
          <w:color w:val="000000" w:themeColor="text1"/>
          <w:highlight w:val="none"/>
          <w14:textFill>
            <w14:solidFill>
              <w14:schemeClr w14:val="tx1"/>
            </w14:solidFill>
          </w14:textFill>
        </w:rPr>
        <w:t>计算结果可知，本项目M 值为5，对照M值划分等级确定本项目行业及生产工艺（M）以M4表示。</w:t>
      </w:r>
    </w:p>
    <w:p w14:paraId="5FA6115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③</w:t>
      </w: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值</w:t>
      </w:r>
      <w:r>
        <w:rPr>
          <w:color w:val="000000" w:themeColor="text1"/>
          <w:highlight w:val="none"/>
          <w14:textFill>
            <w14:solidFill>
              <w14:schemeClr w14:val="tx1"/>
            </w14:solidFill>
          </w14:textFill>
        </w:rPr>
        <w:t>的确定</w:t>
      </w:r>
    </w:p>
    <w:p w14:paraId="1C309828">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根据危险物质数量与临界量比值（Q）和行业及生产工艺（M），按照下表确定危险物质及工艺危险性等级（P），分别以P1、P2、P3、P4表示。</w:t>
      </w:r>
    </w:p>
    <w:p w14:paraId="7AEA197A">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w:t>
      </w:r>
      <w:r>
        <w:rPr>
          <w:rFonts w:hint="eastAsia"/>
          <w:color w:val="000000" w:themeColor="text1"/>
          <w:highlight w:val="none"/>
          <w14:textFill>
            <w14:solidFill>
              <w14:schemeClr w14:val="tx1"/>
            </w14:solidFill>
          </w14:textFill>
        </w:rPr>
        <w:t>危险物质数量与临界量比值（Q）和行业及生产工艺（M）</w:t>
      </w:r>
      <w:r>
        <w:rPr>
          <w:rFonts w:hint="eastAsia"/>
          <w:color w:val="000000" w:themeColor="text1"/>
          <w:highlight w:val="none"/>
          <w:lang w:val="en-US" w:eastAsia="zh-CN"/>
          <w14:textFill>
            <w14:solidFill>
              <w14:schemeClr w14:val="tx1"/>
            </w14:solidFill>
          </w14:textFill>
        </w:rPr>
        <w:t>确定情况见表5.2.7-4。</w:t>
      </w:r>
    </w:p>
    <w:p w14:paraId="7A9A8738">
      <w:pPr>
        <w:pStyle w:val="25"/>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 xml:space="preserve">     危险物质及工艺系统危险性等级判断（P）</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13"/>
        <w:gridCol w:w="1813"/>
        <w:gridCol w:w="1815"/>
        <w:gridCol w:w="1815"/>
        <w:gridCol w:w="1815"/>
      </w:tblGrid>
      <w:tr w14:paraId="661D00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vMerge w:val="restart"/>
            <w:noWrap w:val="0"/>
            <w:vAlign w:val="top"/>
          </w:tcPr>
          <w:p w14:paraId="366FC703">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危险物质数量与临界量比值（Q）</w:t>
            </w:r>
          </w:p>
        </w:tc>
        <w:tc>
          <w:tcPr>
            <w:tcW w:w="6823" w:type="dxa"/>
            <w:gridSpan w:val="4"/>
            <w:noWrap w:val="0"/>
            <w:vAlign w:val="top"/>
          </w:tcPr>
          <w:p w14:paraId="37BCBC97">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行业及生产工艺（M）</w:t>
            </w:r>
          </w:p>
        </w:tc>
      </w:tr>
      <w:tr w14:paraId="5CB80C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vMerge w:val="continue"/>
            <w:tcBorders>
              <w:bottom w:val="single" w:color="auto" w:sz="12" w:space="0"/>
            </w:tcBorders>
            <w:noWrap w:val="0"/>
            <w:vAlign w:val="top"/>
          </w:tcPr>
          <w:p w14:paraId="0FED07A4">
            <w:pPr>
              <w:pStyle w:val="26"/>
              <w:rPr>
                <w:b/>
                <w:bCs/>
                <w:color w:val="000000" w:themeColor="text1"/>
                <w:highlight w:val="none"/>
                <w14:textFill>
                  <w14:solidFill>
                    <w14:schemeClr w14:val="tx1"/>
                  </w14:solidFill>
                </w14:textFill>
              </w:rPr>
            </w:pPr>
          </w:p>
        </w:tc>
        <w:tc>
          <w:tcPr>
            <w:tcW w:w="1705" w:type="dxa"/>
            <w:tcBorders>
              <w:bottom w:val="single" w:color="auto" w:sz="12" w:space="0"/>
            </w:tcBorders>
            <w:noWrap w:val="0"/>
            <w:vAlign w:val="top"/>
          </w:tcPr>
          <w:p w14:paraId="3418051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M</w:t>
            </w:r>
            <w:r>
              <w:rPr>
                <w:rFonts w:hint="eastAsia"/>
                <w:b/>
                <w:bCs/>
                <w:color w:val="000000" w:themeColor="text1"/>
                <w:highlight w:val="none"/>
                <w14:textFill>
                  <w14:solidFill>
                    <w14:schemeClr w14:val="tx1"/>
                  </w14:solidFill>
                </w14:textFill>
              </w:rPr>
              <w:t>1</w:t>
            </w:r>
          </w:p>
        </w:tc>
        <w:tc>
          <w:tcPr>
            <w:tcW w:w="1706" w:type="dxa"/>
            <w:tcBorders>
              <w:bottom w:val="single" w:color="auto" w:sz="12" w:space="0"/>
            </w:tcBorders>
            <w:noWrap w:val="0"/>
            <w:vAlign w:val="top"/>
          </w:tcPr>
          <w:p w14:paraId="405805F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M</w:t>
            </w:r>
            <w:r>
              <w:rPr>
                <w:rFonts w:hint="eastAsia"/>
                <w:b/>
                <w:bCs/>
                <w:color w:val="000000" w:themeColor="text1"/>
                <w:highlight w:val="none"/>
                <w14:textFill>
                  <w14:solidFill>
                    <w14:schemeClr w14:val="tx1"/>
                  </w14:solidFill>
                </w14:textFill>
              </w:rPr>
              <w:t>2</w:t>
            </w:r>
          </w:p>
        </w:tc>
        <w:tc>
          <w:tcPr>
            <w:tcW w:w="1706" w:type="dxa"/>
            <w:tcBorders>
              <w:bottom w:val="single" w:color="auto" w:sz="12" w:space="0"/>
            </w:tcBorders>
            <w:noWrap w:val="0"/>
            <w:vAlign w:val="top"/>
          </w:tcPr>
          <w:p w14:paraId="479EFC0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M</w:t>
            </w:r>
            <w:r>
              <w:rPr>
                <w:rFonts w:hint="eastAsia"/>
                <w:b/>
                <w:bCs/>
                <w:color w:val="000000" w:themeColor="text1"/>
                <w:highlight w:val="none"/>
                <w14:textFill>
                  <w14:solidFill>
                    <w14:schemeClr w14:val="tx1"/>
                  </w14:solidFill>
                </w14:textFill>
              </w:rPr>
              <w:t>3</w:t>
            </w:r>
          </w:p>
        </w:tc>
        <w:tc>
          <w:tcPr>
            <w:tcW w:w="1706" w:type="dxa"/>
            <w:tcBorders>
              <w:bottom w:val="single" w:color="auto" w:sz="12" w:space="0"/>
            </w:tcBorders>
            <w:noWrap w:val="0"/>
            <w:vAlign w:val="top"/>
          </w:tcPr>
          <w:p w14:paraId="7EF81450">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M</w:t>
            </w:r>
            <w:r>
              <w:rPr>
                <w:rFonts w:hint="eastAsia"/>
                <w:b/>
                <w:bCs/>
                <w:color w:val="000000" w:themeColor="text1"/>
                <w:highlight w:val="none"/>
                <w14:textFill>
                  <w14:solidFill>
                    <w14:schemeClr w14:val="tx1"/>
                  </w14:solidFill>
                </w14:textFill>
              </w:rPr>
              <w:t>4</w:t>
            </w:r>
          </w:p>
        </w:tc>
      </w:tr>
      <w:tr w14:paraId="1088BE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tcBorders>
              <w:top w:val="single" w:color="auto" w:sz="12" w:space="0"/>
            </w:tcBorders>
            <w:noWrap w:val="0"/>
            <w:vAlign w:val="top"/>
          </w:tcPr>
          <w:p w14:paraId="5382D21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Q≥100</w:t>
            </w:r>
          </w:p>
        </w:tc>
        <w:tc>
          <w:tcPr>
            <w:tcW w:w="1705" w:type="dxa"/>
            <w:tcBorders>
              <w:top w:val="single" w:color="auto" w:sz="12" w:space="0"/>
            </w:tcBorders>
            <w:noWrap w:val="0"/>
            <w:vAlign w:val="top"/>
          </w:tcPr>
          <w:p w14:paraId="470AC51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1</w:t>
            </w:r>
          </w:p>
        </w:tc>
        <w:tc>
          <w:tcPr>
            <w:tcW w:w="1706" w:type="dxa"/>
            <w:tcBorders>
              <w:top w:val="single" w:color="auto" w:sz="12" w:space="0"/>
            </w:tcBorders>
            <w:noWrap w:val="0"/>
            <w:vAlign w:val="top"/>
          </w:tcPr>
          <w:p w14:paraId="12B11F5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1</w:t>
            </w:r>
          </w:p>
        </w:tc>
        <w:tc>
          <w:tcPr>
            <w:tcW w:w="1706" w:type="dxa"/>
            <w:tcBorders>
              <w:top w:val="single" w:color="auto" w:sz="12" w:space="0"/>
            </w:tcBorders>
            <w:noWrap w:val="0"/>
            <w:vAlign w:val="top"/>
          </w:tcPr>
          <w:p w14:paraId="1F39A05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2</w:t>
            </w:r>
          </w:p>
        </w:tc>
        <w:tc>
          <w:tcPr>
            <w:tcW w:w="1706" w:type="dxa"/>
            <w:tcBorders>
              <w:top w:val="single" w:color="auto" w:sz="12" w:space="0"/>
            </w:tcBorders>
            <w:noWrap w:val="0"/>
            <w:vAlign w:val="top"/>
          </w:tcPr>
          <w:p w14:paraId="0F5A781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3</w:t>
            </w:r>
          </w:p>
        </w:tc>
      </w:tr>
      <w:tr w14:paraId="613CE6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noWrap w:val="0"/>
            <w:vAlign w:val="top"/>
          </w:tcPr>
          <w:p w14:paraId="328E299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10≤Q＜100</w:t>
            </w:r>
          </w:p>
        </w:tc>
        <w:tc>
          <w:tcPr>
            <w:tcW w:w="1705" w:type="dxa"/>
            <w:noWrap w:val="0"/>
            <w:vAlign w:val="top"/>
          </w:tcPr>
          <w:p w14:paraId="1E188D9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1</w:t>
            </w:r>
          </w:p>
        </w:tc>
        <w:tc>
          <w:tcPr>
            <w:tcW w:w="1706" w:type="dxa"/>
            <w:noWrap w:val="0"/>
            <w:vAlign w:val="top"/>
          </w:tcPr>
          <w:p w14:paraId="3505D5F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2</w:t>
            </w:r>
          </w:p>
        </w:tc>
        <w:tc>
          <w:tcPr>
            <w:tcW w:w="1706" w:type="dxa"/>
            <w:noWrap w:val="0"/>
            <w:vAlign w:val="top"/>
          </w:tcPr>
          <w:p w14:paraId="5A5DECD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3</w:t>
            </w:r>
          </w:p>
        </w:tc>
        <w:tc>
          <w:tcPr>
            <w:tcW w:w="1706" w:type="dxa"/>
            <w:noWrap w:val="0"/>
            <w:vAlign w:val="top"/>
          </w:tcPr>
          <w:p w14:paraId="5931871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4</w:t>
            </w:r>
          </w:p>
        </w:tc>
      </w:tr>
      <w:tr w14:paraId="79BC07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noWrap w:val="0"/>
            <w:vAlign w:val="top"/>
          </w:tcPr>
          <w:p w14:paraId="4A858F8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1≤Q＜10</w:t>
            </w:r>
          </w:p>
        </w:tc>
        <w:tc>
          <w:tcPr>
            <w:tcW w:w="1705" w:type="dxa"/>
            <w:noWrap w:val="0"/>
            <w:vAlign w:val="top"/>
          </w:tcPr>
          <w:p w14:paraId="10F0275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2</w:t>
            </w:r>
          </w:p>
        </w:tc>
        <w:tc>
          <w:tcPr>
            <w:tcW w:w="1706" w:type="dxa"/>
            <w:noWrap w:val="0"/>
            <w:vAlign w:val="top"/>
          </w:tcPr>
          <w:p w14:paraId="174A5ED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3</w:t>
            </w:r>
          </w:p>
        </w:tc>
        <w:tc>
          <w:tcPr>
            <w:tcW w:w="1706" w:type="dxa"/>
            <w:noWrap w:val="0"/>
            <w:vAlign w:val="top"/>
          </w:tcPr>
          <w:p w14:paraId="76DBE6F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4</w:t>
            </w:r>
          </w:p>
        </w:tc>
        <w:tc>
          <w:tcPr>
            <w:tcW w:w="1706" w:type="dxa"/>
            <w:noWrap w:val="0"/>
            <w:vAlign w:val="top"/>
          </w:tcPr>
          <w:p w14:paraId="66FC2C7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w:t>
            </w:r>
            <w:r>
              <w:rPr>
                <w:rFonts w:hint="eastAsia"/>
                <w:color w:val="000000" w:themeColor="text1"/>
                <w:highlight w:val="none"/>
                <w14:textFill>
                  <w14:solidFill>
                    <w14:schemeClr w14:val="tx1"/>
                  </w14:solidFill>
                </w14:textFill>
              </w:rPr>
              <w:t>4</w:t>
            </w:r>
          </w:p>
        </w:tc>
      </w:tr>
    </w:tbl>
    <w:p w14:paraId="06DEB85B">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本项目危险物质数量与临界量比值</w:t>
      </w:r>
      <w:r>
        <w:rPr>
          <w:color w:val="000000" w:themeColor="text1"/>
          <w:highlight w:val="none"/>
          <w14:textFill>
            <w14:solidFill>
              <w14:schemeClr w14:val="tx1"/>
            </w14:solidFill>
          </w14:textFill>
        </w:rPr>
        <w:t>Q=</w:t>
      </w:r>
      <w:r>
        <w:rPr>
          <w:rFonts w:hint="eastAsia"/>
          <w:color w:val="000000" w:themeColor="text1"/>
          <w:highlight w:val="none"/>
          <w:lang w:val="en-US" w:eastAsia="zh-CN"/>
          <w14:textFill>
            <w14:solidFill>
              <w14:schemeClr w14:val="tx1"/>
            </w14:solidFill>
          </w14:textFill>
        </w:rPr>
        <w:t>8.58</w:t>
      </w:r>
      <w:r>
        <w:rPr>
          <w:rFonts w:hint="eastAsia"/>
          <w:color w:val="000000" w:themeColor="text1"/>
          <w:highlight w:val="none"/>
          <w14:textFill>
            <w14:solidFill>
              <w14:schemeClr w14:val="tx1"/>
            </w14:solidFill>
          </w14:textFill>
        </w:rPr>
        <w:t>；行业及生产工艺（M）为M4，判定危险物质及工艺系统危险性等级（P）为P4。</w:t>
      </w:r>
    </w:p>
    <w:p w14:paraId="60222592">
      <w:pPr>
        <w:wordWrap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环境敏感程度（E）的确定</w:t>
      </w:r>
    </w:p>
    <w:p w14:paraId="632DA29E">
      <w:pPr>
        <w:rPr>
          <w:rFonts w:hint="eastAsia"/>
          <w:color w:val="000000" w:themeColor="text1"/>
          <w:kern w:val="0"/>
          <w:highlight w:val="none"/>
          <w:lang w:bidi="ar"/>
          <w14:textFill>
            <w14:solidFill>
              <w14:schemeClr w14:val="tx1"/>
            </w14:solidFill>
          </w14:textFill>
        </w:rPr>
      </w:pPr>
      <w:r>
        <w:rPr>
          <w:color w:val="000000" w:themeColor="text1"/>
          <w:highlight w:val="none"/>
          <w14:textFill>
            <w14:solidFill>
              <w14:schemeClr w14:val="tx1"/>
            </w14:solidFill>
          </w14:textFill>
        </w:rPr>
        <w:t>根据《建设项目环境风险评价技术导则》（HJ 169-2018）附录D，本项目敏感程度E确定如下：</w:t>
      </w:r>
    </w:p>
    <w:p w14:paraId="067F7B2D">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①大气环境</w:t>
      </w:r>
    </w:p>
    <w:p w14:paraId="47BF16FD">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依据环境敏感目标环境敏感性及人口密度划分环境风险受体的敏感性，共分为三种类型，E1为环境高度敏感区，E2为环境中度敏感区，E3为环境低度敏感区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大气环境</w:t>
      </w:r>
      <w:r>
        <w:rPr>
          <w:rFonts w:hint="eastAsia"/>
          <w:color w:val="000000" w:themeColor="text1"/>
          <w:highlight w:val="none"/>
          <w14:textFill>
            <w14:solidFill>
              <w14:schemeClr w14:val="tx1"/>
            </w14:solidFill>
          </w14:textFill>
        </w:rPr>
        <w:t>分级原则详见下表</w:t>
      </w:r>
      <w:r>
        <w:rPr>
          <w:rFonts w:hint="eastAsia"/>
          <w:color w:val="000000" w:themeColor="text1"/>
          <w:highlight w:val="none"/>
          <w:lang w:val="en-US" w:eastAsia="zh-CN"/>
          <w14:textFill>
            <w14:solidFill>
              <w14:schemeClr w14:val="tx1"/>
            </w14:solidFill>
          </w14:textFill>
        </w:rPr>
        <w:t>5.2.7-5</w:t>
      </w:r>
      <w:r>
        <w:rPr>
          <w:rFonts w:hint="eastAsia"/>
          <w:color w:val="000000" w:themeColor="text1"/>
          <w:highlight w:val="none"/>
          <w14:textFill>
            <w14:solidFill>
              <w14:schemeClr w14:val="tx1"/>
            </w14:solidFill>
          </w14:textFill>
        </w:rPr>
        <w:t>。</w:t>
      </w:r>
    </w:p>
    <w:p w14:paraId="754C86EB">
      <w:pPr>
        <w:pStyle w:val="25"/>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 xml:space="preserve">    大气环境敏感程度分级</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75"/>
        <w:gridCol w:w="6996"/>
      </w:tblGrid>
      <w:tr w14:paraId="2BD695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tcBorders>
              <w:bottom w:val="single" w:color="auto" w:sz="12" w:space="0"/>
            </w:tcBorders>
            <w:noWrap w:val="0"/>
            <w:vAlign w:val="center"/>
          </w:tcPr>
          <w:p w14:paraId="1C22F76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分级</w:t>
            </w:r>
          </w:p>
        </w:tc>
        <w:tc>
          <w:tcPr>
            <w:tcW w:w="6577" w:type="dxa"/>
            <w:tcBorders>
              <w:bottom w:val="single" w:color="auto" w:sz="12" w:space="0"/>
            </w:tcBorders>
            <w:noWrap w:val="0"/>
            <w:vAlign w:val="center"/>
          </w:tcPr>
          <w:p w14:paraId="6E7FA16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大气环境敏感性</w:t>
            </w:r>
          </w:p>
        </w:tc>
      </w:tr>
      <w:tr w14:paraId="2EB136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tcBorders>
              <w:top w:val="single" w:color="auto" w:sz="12" w:space="0"/>
            </w:tcBorders>
            <w:noWrap w:val="0"/>
            <w:vAlign w:val="center"/>
          </w:tcPr>
          <w:p w14:paraId="734370C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1</w:t>
            </w:r>
          </w:p>
        </w:tc>
        <w:tc>
          <w:tcPr>
            <w:tcW w:w="6577" w:type="dxa"/>
            <w:tcBorders>
              <w:top w:val="single" w:color="auto" w:sz="12" w:space="0"/>
            </w:tcBorders>
            <w:noWrap w:val="0"/>
            <w:vAlign w:val="center"/>
          </w:tcPr>
          <w:p w14:paraId="0FE13E50">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周边</w:t>
            </w:r>
            <w:r>
              <w:rPr>
                <w:rFonts w:hint="eastAsia"/>
                <w:color w:val="000000" w:themeColor="text1"/>
                <w:highlight w:val="none"/>
                <w14:textFill>
                  <w14:solidFill>
                    <w14:schemeClr w14:val="tx1"/>
                  </w14:solidFill>
                </w14:textFill>
              </w:rPr>
              <w:t>5km范围内居住区、医疗卫生、文化教育、</w:t>
            </w:r>
            <w:r>
              <w:rPr>
                <w:rFonts w:hint="eastAsia"/>
                <w:color w:val="000000" w:themeColor="text1"/>
                <w:highlight w:val="none"/>
                <w:lang w:eastAsia="zh-CN"/>
                <w14:textFill>
                  <w14:solidFill>
                    <w14:schemeClr w14:val="tx1"/>
                  </w14:solidFill>
                </w14:textFill>
              </w:rPr>
              <w:t>科研</w:t>
            </w:r>
            <w:r>
              <w:rPr>
                <w:rFonts w:hint="eastAsia"/>
                <w:color w:val="000000" w:themeColor="text1"/>
                <w:highlight w:val="none"/>
                <w14:textFill>
                  <w14:solidFill>
                    <w14:schemeClr w14:val="tx1"/>
                  </w14:solidFill>
                </w14:textFill>
              </w:rPr>
              <w:t>、行政办公等机构人口总数大于5万人，或其他需要特殊保护区域；或周边500m范围内人口总数大于1000人；油气、化学品输送管线管段周边200m范围内，每千米管段人口数大于200人</w:t>
            </w:r>
          </w:p>
        </w:tc>
      </w:tr>
      <w:tr w14:paraId="169967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noWrap w:val="0"/>
            <w:vAlign w:val="center"/>
          </w:tcPr>
          <w:p w14:paraId="5C17CF6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2</w:t>
            </w:r>
          </w:p>
        </w:tc>
        <w:tc>
          <w:tcPr>
            <w:tcW w:w="6577" w:type="dxa"/>
            <w:noWrap w:val="0"/>
            <w:vAlign w:val="center"/>
          </w:tcPr>
          <w:p w14:paraId="26C4698F">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周边</w:t>
            </w:r>
            <w:r>
              <w:rPr>
                <w:rFonts w:hint="eastAsia"/>
                <w:color w:val="000000" w:themeColor="text1"/>
                <w:highlight w:val="none"/>
                <w14:textFill>
                  <w14:solidFill>
                    <w14:schemeClr w14:val="tx1"/>
                  </w14:solidFill>
                </w14:textFill>
              </w:rPr>
              <w:t>5km范围内居住区、医疗卫生、文化教育、</w:t>
            </w:r>
            <w:r>
              <w:rPr>
                <w:rFonts w:hint="eastAsia"/>
                <w:color w:val="000000" w:themeColor="text1"/>
                <w:highlight w:val="none"/>
                <w:lang w:eastAsia="zh-CN"/>
                <w14:textFill>
                  <w14:solidFill>
                    <w14:schemeClr w14:val="tx1"/>
                  </w14:solidFill>
                </w14:textFill>
              </w:rPr>
              <w:t>科研</w:t>
            </w:r>
            <w:r>
              <w:rPr>
                <w:rFonts w:hint="eastAsia"/>
                <w:color w:val="000000" w:themeColor="text1"/>
                <w:highlight w:val="none"/>
                <w14:textFill>
                  <w14:solidFill>
                    <w14:schemeClr w14:val="tx1"/>
                  </w14:solidFill>
                </w14:textFill>
              </w:rPr>
              <w:t>、行政办公等机构人口总数大于1万人，小于5万人；或周边500m范围内人口总数大于500人，小于1000人；油气、化学品输送管线管段周边200m范围内，每千米管段人口数大于100人，小于200人</w:t>
            </w:r>
          </w:p>
        </w:tc>
      </w:tr>
      <w:tr w14:paraId="5BB545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noWrap w:val="0"/>
            <w:vAlign w:val="center"/>
          </w:tcPr>
          <w:p w14:paraId="508104F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3</w:t>
            </w:r>
          </w:p>
        </w:tc>
        <w:tc>
          <w:tcPr>
            <w:tcW w:w="6577" w:type="dxa"/>
            <w:noWrap w:val="0"/>
            <w:vAlign w:val="center"/>
          </w:tcPr>
          <w:p w14:paraId="743372A7">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周边</w:t>
            </w:r>
            <w:r>
              <w:rPr>
                <w:rFonts w:hint="eastAsia"/>
                <w:color w:val="000000" w:themeColor="text1"/>
                <w:highlight w:val="none"/>
                <w14:textFill>
                  <w14:solidFill>
                    <w14:schemeClr w14:val="tx1"/>
                  </w14:solidFill>
                </w14:textFill>
              </w:rPr>
              <w:t>5km范围内居住区、医疗卫生、文化教育、</w:t>
            </w:r>
            <w:r>
              <w:rPr>
                <w:rFonts w:hint="eastAsia"/>
                <w:color w:val="000000" w:themeColor="text1"/>
                <w:highlight w:val="none"/>
                <w:lang w:eastAsia="zh-CN"/>
                <w14:textFill>
                  <w14:solidFill>
                    <w14:schemeClr w14:val="tx1"/>
                  </w14:solidFill>
                </w14:textFill>
              </w:rPr>
              <w:t>科研</w:t>
            </w:r>
            <w:r>
              <w:rPr>
                <w:rFonts w:hint="eastAsia"/>
                <w:color w:val="000000" w:themeColor="text1"/>
                <w:highlight w:val="none"/>
                <w14:textFill>
                  <w14:solidFill>
                    <w14:schemeClr w14:val="tx1"/>
                  </w14:solidFill>
                </w14:textFill>
              </w:rPr>
              <w:t>、行政办公等机构人口总数小于1万人；或周边500m范围内人口总数小于500人；油气、化学品输送管线管段周边200m范围内，每千米管段人口数小于100人</w:t>
            </w:r>
          </w:p>
        </w:tc>
      </w:tr>
    </w:tbl>
    <w:p w14:paraId="570F76FF">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本项目周边5km范围内居住区人口总数小于1万人，周边500m范围内人口总数小于500人，大气环境敏感程度分级为E3。</w:t>
      </w:r>
    </w:p>
    <w:p w14:paraId="29A3620A">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②地表水</w:t>
      </w:r>
      <w:r>
        <w:rPr>
          <w:color w:val="000000" w:themeColor="text1"/>
          <w:highlight w:val="none"/>
          <w14:textFill>
            <w14:solidFill>
              <w14:schemeClr w14:val="tx1"/>
            </w14:solidFill>
          </w14:textFill>
        </w:rPr>
        <w:t>环境</w:t>
      </w:r>
    </w:p>
    <w:p w14:paraId="2308CAE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本项目区周边5km范围内无地表水分布，项目事故情况下各危险物质均不与地表水体发生联系，因此不对其进行分级描述。</w:t>
      </w:r>
    </w:p>
    <w:p w14:paraId="1B492942">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③地下水</w:t>
      </w:r>
      <w:r>
        <w:rPr>
          <w:color w:val="000000" w:themeColor="text1"/>
          <w:highlight w:val="none"/>
          <w14:textFill>
            <w14:solidFill>
              <w14:schemeClr w14:val="tx1"/>
            </w14:solidFill>
          </w14:textFill>
        </w:rPr>
        <w:t>环境</w:t>
      </w:r>
    </w:p>
    <w:p w14:paraId="7E6FC5A5">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依据</w:t>
      </w:r>
      <w:r>
        <w:rPr>
          <w:rFonts w:hint="eastAsia"/>
          <w:color w:val="000000" w:themeColor="text1"/>
          <w:highlight w:val="none"/>
          <w14:textFill>
            <w14:solidFill>
              <w14:schemeClr w14:val="tx1"/>
            </w14:solidFill>
          </w14:textFill>
        </w:rPr>
        <w:t>地下水</w:t>
      </w:r>
      <w:r>
        <w:rPr>
          <w:color w:val="000000" w:themeColor="text1"/>
          <w:highlight w:val="none"/>
          <w14:textFill>
            <w14:solidFill>
              <w14:schemeClr w14:val="tx1"/>
            </w14:solidFill>
          </w14:textFill>
        </w:rPr>
        <w:t>功能敏感性与包气带防污性能，共分为三种类型，</w:t>
      </w:r>
      <w:r>
        <w:rPr>
          <w:rFonts w:hint="eastAsia"/>
          <w:color w:val="000000" w:themeColor="text1"/>
          <w:highlight w:val="none"/>
          <w14:textFill>
            <w14:solidFill>
              <w14:schemeClr w14:val="tx1"/>
            </w14:solidFill>
          </w14:textFill>
        </w:rPr>
        <w:t>E1为环境高度敏感区，E2为环境中度敏感区，E3为环境低度敏感区，分级原则见表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7。其中地下水功能敏感性分区和包气带防污性能分级分别见表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8和表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9。当同一建设项目涉及两个G分区或D级以上时，取相对高值。</w:t>
      </w:r>
    </w:p>
    <w:p w14:paraId="7069FEA1">
      <w:pPr>
        <w:pStyle w:val="2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7     地下水环境敏感程度分级</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677"/>
        <w:gridCol w:w="2131"/>
        <w:gridCol w:w="2131"/>
        <w:gridCol w:w="2132"/>
      </w:tblGrid>
      <w:tr w14:paraId="50C4F0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vMerge w:val="restart"/>
            <w:noWrap w:val="0"/>
            <w:vAlign w:val="center"/>
          </w:tcPr>
          <w:p w14:paraId="100E12B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包气带防污性能</w:t>
            </w:r>
          </w:p>
        </w:tc>
        <w:tc>
          <w:tcPr>
            <w:tcW w:w="6010" w:type="dxa"/>
            <w:gridSpan w:val="3"/>
            <w:noWrap w:val="0"/>
            <w:vAlign w:val="center"/>
          </w:tcPr>
          <w:p w14:paraId="3C93C23C">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地下水功能敏感性</w:t>
            </w:r>
          </w:p>
        </w:tc>
      </w:tr>
      <w:tr w14:paraId="32E036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vMerge w:val="continue"/>
            <w:tcBorders>
              <w:bottom w:val="single" w:color="auto" w:sz="12" w:space="0"/>
            </w:tcBorders>
            <w:noWrap w:val="0"/>
            <w:vAlign w:val="center"/>
          </w:tcPr>
          <w:p w14:paraId="45BF3FAD">
            <w:pPr>
              <w:pStyle w:val="26"/>
              <w:rPr>
                <w:b/>
                <w:bCs/>
                <w:color w:val="000000" w:themeColor="text1"/>
                <w:highlight w:val="none"/>
                <w14:textFill>
                  <w14:solidFill>
                    <w14:schemeClr w14:val="tx1"/>
                  </w14:solidFill>
                </w14:textFill>
              </w:rPr>
            </w:pPr>
          </w:p>
        </w:tc>
        <w:tc>
          <w:tcPr>
            <w:tcW w:w="2003" w:type="dxa"/>
            <w:tcBorders>
              <w:bottom w:val="single" w:color="auto" w:sz="12" w:space="0"/>
            </w:tcBorders>
            <w:noWrap w:val="0"/>
            <w:vAlign w:val="center"/>
          </w:tcPr>
          <w:p w14:paraId="4955E4E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G</w:t>
            </w:r>
            <w:r>
              <w:rPr>
                <w:rFonts w:hint="eastAsia"/>
                <w:b/>
                <w:bCs/>
                <w:color w:val="000000" w:themeColor="text1"/>
                <w:highlight w:val="none"/>
                <w14:textFill>
                  <w14:solidFill>
                    <w14:schemeClr w14:val="tx1"/>
                  </w14:solidFill>
                </w14:textFill>
              </w:rPr>
              <w:t>1</w:t>
            </w:r>
          </w:p>
        </w:tc>
        <w:tc>
          <w:tcPr>
            <w:tcW w:w="2003" w:type="dxa"/>
            <w:tcBorders>
              <w:bottom w:val="single" w:color="auto" w:sz="12" w:space="0"/>
            </w:tcBorders>
            <w:noWrap w:val="0"/>
            <w:vAlign w:val="center"/>
          </w:tcPr>
          <w:p w14:paraId="761FDC9A">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G</w:t>
            </w:r>
            <w:r>
              <w:rPr>
                <w:rFonts w:hint="eastAsia"/>
                <w:b/>
                <w:bCs/>
                <w:color w:val="000000" w:themeColor="text1"/>
                <w:highlight w:val="none"/>
                <w14:textFill>
                  <w14:solidFill>
                    <w14:schemeClr w14:val="tx1"/>
                  </w14:solidFill>
                </w14:textFill>
              </w:rPr>
              <w:t>2</w:t>
            </w:r>
          </w:p>
        </w:tc>
        <w:tc>
          <w:tcPr>
            <w:tcW w:w="2004" w:type="dxa"/>
            <w:tcBorders>
              <w:bottom w:val="single" w:color="auto" w:sz="12" w:space="0"/>
            </w:tcBorders>
            <w:noWrap w:val="0"/>
            <w:vAlign w:val="center"/>
          </w:tcPr>
          <w:p w14:paraId="4650116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G</w:t>
            </w:r>
            <w:r>
              <w:rPr>
                <w:rFonts w:hint="eastAsia"/>
                <w:b/>
                <w:bCs/>
                <w:color w:val="000000" w:themeColor="text1"/>
                <w:highlight w:val="none"/>
                <w14:textFill>
                  <w14:solidFill>
                    <w14:schemeClr w14:val="tx1"/>
                  </w14:solidFill>
                </w14:textFill>
              </w:rPr>
              <w:t>3</w:t>
            </w:r>
          </w:p>
        </w:tc>
      </w:tr>
      <w:tr w14:paraId="73265D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tcBorders>
              <w:top w:val="single" w:color="auto" w:sz="12" w:space="0"/>
            </w:tcBorders>
            <w:noWrap w:val="0"/>
            <w:vAlign w:val="center"/>
          </w:tcPr>
          <w:p w14:paraId="2073446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D</w:t>
            </w:r>
            <w:r>
              <w:rPr>
                <w:rFonts w:hint="eastAsia"/>
                <w:color w:val="000000" w:themeColor="text1"/>
                <w:highlight w:val="none"/>
                <w14:textFill>
                  <w14:solidFill>
                    <w14:schemeClr w14:val="tx1"/>
                  </w14:solidFill>
                </w14:textFill>
              </w:rPr>
              <w:t>1</w:t>
            </w:r>
          </w:p>
        </w:tc>
        <w:tc>
          <w:tcPr>
            <w:tcW w:w="2003" w:type="dxa"/>
            <w:tcBorders>
              <w:top w:val="single" w:color="auto" w:sz="12" w:space="0"/>
            </w:tcBorders>
            <w:noWrap w:val="0"/>
            <w:vAlign w:val="center"/>
          </w:tcPr>
          <w:p w14:paraId="32B1B2B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1</w:t>
            </w:r>
          </w:p>
        </w:tc>
        <w:tc>
          <w:tcPr>
            <w:tcW w:w="2003" w:type="dxa"/>
            <w:tcBorders>
              <w:top w:val="single" w:color="auto" w:sz="12" w:space="0"/>
            </w:tcBorders>
            <w:noWrap w:val="0"/>
            <w:vAlign w:val="center"/>
          </w:tcPr>
          <w:p w14:paraId="696E97C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1</w:t>
            </w:r>
          </w:p>
        </w:tc>
        <w:tc>
          <w:tcPr>
            <w:tcW w:w="2004" w:type="dxa"/>
            <w:tcBorders>
              <w:top w:val="single" w:color="auto" w:sz="12" w:space="0"/>
            </w:tcBorders>
            <w:noWrap w:val="0"/>
            <w:vAlign w:val="center"/>
          </w:tcPr>
          <w:p w14:paraId="5DDB446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2</w:t>
            </w:r>
          </w:p>
        </w:tc>
      </w:tr>
      <w:tr w14:paraId="150E41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noWrap w:val="0"/>
            <w:vAlign w:val="center"/>
          </w:tcPr>
          <w:p w14:paraId="437CD49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D</w:t>
            </w:r>
            <w:r>
              <w:rPr>
                <w:rFonts w:hint="eastAsia"/>
                <w:color w:val="000000" w:themeColor="text1"/>
                <w:highlight w:val="none"/>
                <w14:textFill>
                  <w14:solidFill>
                    <w14:schemeClr w14:val="tx1"/>
                  </w14:solidFill>
                </w14:textFill>
              </w:rPr>
              <w:t>2</w:t>
            </w:r>
          </w:p>
        </w:tc>
        <w:tc>
          <w:tcPr>
            <w:tcW w:w="2003" w:type="dxa"/>
            <w:noWrap w:val="0"/>
            <w:vAlign w:val="center"/>
          </w:tcPr>
          <w:p w14:paraId="137611B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1</w:t>
            </w:r>
          </w:p>
        </w:tc>
        <w:tc>
          <w:tcPr>
            <w:tcW w:w="2003" w:type="dxa"/>
            <w:noWrap w:val="0"/>
            <w:vAlign w:val="center"/>
          </w:tcPr>
          <w:p w14:paraId="43A5534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2</w:t>
            </w:r>
          </w:p>
        </w:tc>
        <w:tc>
          <w:tcPr>
            <w:tcW w:w="2004" w:type="dxa"/>
            <w:noWrap w:val="0"/>
            <w:vAlign w:val="center"/>
          </w:tcPr>
          <w:p w14:paraId="2BACD8F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3</w:t>
            </w:r>
          </w:p>
        </w:tc>
      </w:tr>
      <w:tr w14:paraId="6F80FB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noWrap w:val="0"/>
            <w:vAlign w:val="center"/>
          </w:tcPr>
          <w:p w14:paraId="1DB1069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D</w:t>
            </w:r>
            <w:r>
              <w:rPr>
                <w:rFonts w:hint="eastAsia"/>
                <w:color w:val="000000" w:themeColor="text1"/>
                <w:highlight w:val="none"/>
                <w14:textFill>
                  <w14:solidFill>
                    <w14:schemeClr w14:val="tx1"/>
                  </w14:solidFill>
                </w14:textFill>
              </w:rPr>
              <w:t>3</w:t>
            </w:r>
          </w:p>
        </w:tc>
        <w:tc>
          <w:tcPr>
            <w:tcW w:w="2003" w:type="dxa"/>
            <w:noWrap w:val="0"/>
            <w:vAlign w:val="center"/>
          </w:tcPr>
          <w:p w14:paraId="454B2DD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2</w:t>
            </w:r>
          </w:p>
        </w:tc>
        <w:tc>
          <w:tcPr>
            <w:tcW w:w="2003" w:type="dxa"/>
            <w:noWrap w:val="0"/>
            <w:vAlign w:val="center"/>
          </w:tcPr>
          <w:p w14:paraId="1B6D222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3</w:t>
            </w:r>
          </w:p>
        </w:tc>
        <w:tc>
          <w:tcPr>
            <w:tcW w:w="2004" w:type="dxa"/>
            <w:noWrap w:val="0"/>
            <w:vAlign w:val="center"/>
          </w:tcPr>
          <w:p w14:paraId="74CF33E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E</w:t>
            </w:r>
            <w:r>
              <w:rPr>
                <w:rFonts w:hint="eastAsia"/>
                <w:color w:val="000000" w:themeColor="text1"/>
                <w:highlight w:val="none"/>
                <w14:textFill>
                  <w14:solidFill>
                    <w14:schemeClr w14:val="tx1"/>
                  </w14:solidFill>
                </w14:textFill>
              </w:rPr>
              <w:t>3</w:t>
            </w:r>
          </w:p>
        </w:tc>
      </w:tr>
    </w:tbl>
    <w:p w14:paraId="01C824A1">
      <w:pPr>
        <w:pStyle w:val="2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8    地下水功能敏感性分区</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26"/>
        <w:gridCol w:w="6845"/>
      </w:tblGrid>
      <w:tr w14:paraId="0E300E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Borders>
              <w:bottom w:val="single" w:color="auto" w:sz="12" w:space="0"/>
            </w:tcBorders>
            <w:noWrap w:val="0"/>
            <w:vAlign w:val="center"/>
          </w:tcPr>
          <w:p w14:paraId="561ABDB4">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敏感性</w:t>
            </w:r>
          </w:p>
        </w:tc>
        <w:tc>
          <w:tcPr>
            <w:tcW w:w="6435" w:type="dxa"/>
            <w:tcBorders>
              <w:bottom w:val="single" w:color="auto" w:sz="12" w:space="0"/>
            </w:tcBorders>
            <w:noWrap w:val="0"/>
            <w:vAlign w:val="center"/>
          </w:tcPr>
          <w:p w14:paraId="1234EB59">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地下水</w:t>
            </w:r>
            <w:r>
              <w:rPr>
                <w:b/>
                <w:bCs/>
                <w:color w:val="000000" w:themeColor="text1"/>
                <w:highlight w:val="none"/>
                <w14:textFill>
                  <w14:solidFill>
                    <w14:schemeClr w14:val="tx1"/>
                  </w14:solidFill>
                </w14:textFill>
              </w:rPr>
              <w:t>环境敏感特征</w:t>
            </w:r>
          </w:p>
        </w:tc>
      </w:tr>
      <w:tr w14:paraId="3886C7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Borders>
              <w:top w:val="single" w:color="auto" w:sz="12" w:space="0"/>
            </w:tcBorders>
            <w:noWrap w:val="0"/>
            <w:vAlign w:val="center"/>
          </w:tcPr>
          <w:p w14:paraId="2ABA96C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敏感</w:t>
            </w:r>
            <w:r>
              <w:rPr>
                <w:color w:val="000000" w:themeColor="text1"/>
                <w:highlight w:val="none"/>
                <w14:textFill>
                  <w14:solidFill>
                    <w14:schemeClr w14:val="tx1"/>
                  </w14:solidFill>
                </w14:textFill>
              </w:rPr>
              <w:t>G</w:t>
            </w:r>
            <w:r>
              <w:rPr>
                <w:rFonts w:hint="eastAsia"/>
                <w:color w:val="000000" w:themeColor="text1"/>
                <w:highlight w:val="none"/>
                <w14:textFill>
                  <w14:solidFill>
                    <w14:schemeClr w14:val="tx1"/>
                  </w14:solidFill>
                </w14:textFill>
              </w:rPr>
              <w:t>1</w:t>
            </w:r>
          </w:p>
        </w:tc>
        <w:tc>
          <w:tcPr>
            <w:tcW w:w="6435" w:type="dxa"/>
            <w:tcBorders>
              <w:top w:val="single" w:color="auto" w:sz="12" w:space="0"/>
            </w:tcBorders>
            <w:noWrap w:val="0"/>
            <w:vAlign w:val="center"/>
          </w:tcPr>
          <w:p w14:paraId="0ED3BE09">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集中式饮用水水源（包括已建成在用、备用、应急水源，在建和规划的饮用水水源）准保护区；</w:t>
            </w:r>
            <w:r>
              <w:rPr>
                <w:rFonts w:hint="eastAsia"/>
                <w:color w:val="000000" w:themeColor="text1"/>
                <w:highlight w:val="none"/>
                <w:lang w:eastAsia="zh-CN"/>
                <w14:textFill>
                  <w14:solidFill>
                    <w14:schemeClr w14:val="tx1"/>
                  </w14:solidFill>
                </w14:textFill>
              </w:rPr>
              <w:t>除</w:t>
            </w:r>
            <w:r>
              <w:rPr>
                <w:color w:val="000000" w:themeColor="text1"/>
                <w:highlight w:val="none"/>
                <w14:textFill>
                  <w14:solidFill>
                    <w14:schemeClr w14:val="tx1"/>
                  </w14:solidFill>
                </w14:textFill>
              </w:rPr>
              <w:t>集中式饮用水水源以外的国家或地方政府设定的与地下水环境相关的其他保护区，如热水、矿泉水、温泉等特殊地下水资源保护区</w:t>
            </w:r>
          </w:p>
        </w:tc>
      </w:tr>
      <w:tr w14:paraId="65C8EB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noWrap w:val="0"/>
            <w:vAlign w:val="center"/>
          </w:tcPr>
          <w:p w14:paraId="6B3A316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较敏感</w:t>
            </w:r>
            <w:r>
              <w:rPr>
                <w:color w:val="000000" w:themeColor="text1"/>
                <w:highlight w:val="none"/>
                <w14:textFill>
                  <w14:solidFill>
                    <w14:schemeClr w14:val="tx1"/>
                  </w14:solidFill>
                </w14:textFill>
              </w:rPr>
              <w:t>G</w:t>
            </w:r>
            <w:r>
              <w:rPr>
                <w:rFonts w:hint="eastAsia"/>
                <w:color w:val="000000" w:themeColor="text1"/>
                <w:highlight w:val="none"/>
                <w14:textFill>
                  <w14:solidFill>
                    <w14:schemeClr w14:val="tx1"/>
                  </w14:solidFill>
                </w14:textFill>
              </w:rPr>
              <w:t>2</w:t>
            </w:r>
          </w:p>
        </w:tc>
        <w:tc>
          <w:tcPr>
            <w:tcW w:w="6435" w:type="dxa"/>
            <w:noWrap w:val="0"/>
            <w:vAlign w:val="center"/>
          </w:tcPr>
          <w:p w14:paraId="6C71AC46">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集中式饮用水水源（包括已建成在用、备用、应急水源，在建和规划的饮用水水源）准保护区以外的补给径流区；未划定准保护区的集中式饮用水水源，其保护区以外的补给径流区；分散式饮用水水源地；特殊地下水资源（如热水、矿泉水、温泉等）保护区以外的分布区等其他未列入上述敏感分级的环境敏感区</w:t>
            </w:r>
            <w:r>
              <w:rPr>
                <w:rFonts w:hint="eastAsia"/>
                <w:color w:val="000000" w:themeColor="text1"/>
                <w:highlight w:val="none"/>
                <w14:textFill>
                  <w14:solidFill>
                    <w14:schemeClr w14:val="tx1"/>
                  </w14:solidFill>
                </w14:textFill>
              </w:rPr>
              <w:t>a</w:t>
            </w:r>
          </w:p>
        </w:tc>
      </w:tr>
      <w:tr w14:paraId="5FA65F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noWrap w:val="0"/>
            <w:vAlign w:val="center"/>
          </w:tcPr>
          <w:p w14:paraId="48957E0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不敏感</w:t>
            </w:r>
            <w:r>
              <w:rPr>
                <w:color w:val="000000" w:themeColor="text1"/>
                <w:highlight w:val="none"/>
                <w14:textFill>
                  <w14:solidFill>
                    <w14:schemeClr w14:val="tx1"/>
                  </w14:solidFill>
                </w14:textFill>
              </w:rPr>
              <w:t>G</w:t>
            </w:r>
            <w:r>
              <w:rPr>
                <w:rFonts w:hint="eastAsia"/>
                <w:color w:val="000000" w:themeColor="text1"/>
                <w:highlight w:val="none"/>
                <w14:textFill>
                  <w14:solidFill>
                    <w14:schemeClr w14:val="tx1"/>
                  </w14:solidFill>
                </w14:textFill>
              </w:rPr>
              <w:t>3</w:t>
            </w:r>
          </w:p>
        </w:tc>
        <w:tc>
          <w:tcPr>
            <w:tcW w:w="6435" w:type="dxa"/>
            <w:noWrap w:val="0"/>
            <w:vAlign w:val="center"/>
          </w:tcPr>
          <w:p w14:paraId="149A5851">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上述地区之外的其他地区</w:t>
            </w:r>
          </w:p>
        </w:tc>
      </w:tr>
      <w:tr w14:paraId="135308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2"/>
            <w:noWrap w:val="0"/>
            <w:vAlign w:val="center"/>
          </w:tcPr>
          <w:p w14:paraId="6953026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a“环境敏感区”是指《建设项目环境影响分类管理名录》中所界定的涉及地下水的环境敏感区</w:t>
            </w:r>
          </w:p>
        </w:tc>
      </w:tr>
    </w:tbl>
    <w:p w14:paraId="0C21ECA0">
      <w:pPr>
        <w:pStyle w:val="25"/>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9     包气带防污性能分级</w:t>
      </w:r>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26"/>
        <w:gridCol w:w="6845"/>
      </w:tblGrid>
      <w:tr w14:paraId="6559E8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2093" w:type="dxa"/>
            <w:tcBorders>
              <w:bottom w:val="single" w:color="auto" w:sz="12" w:space="0"/>
            </w:tcBorders>
            <w:noWrap w:val="0"/>
            <w:vAlign w:val="center"/>
          </w:tcPr>
          <w:p w14:paraId="0D1572B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分级</w:t>
            </w:r>
          </w:p>
        </w:tc>
        <w:tc>
          <w:tcPr>
            <w:tcW w:w="6435" w:type="dxa"/>
            <w:tcBorders>
              <w:bottom w:val="single" w:color="auto" w:sz="12" w:space="0"/>
            </w:tcBorders>
            <w:noWrap w:val="0"/>
            <w:vAlign w:val="center"/>
          </w:tcPr>
          <w:p w14:paraId="33C96B6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包气带岩土的渗透性能</w:t>
            </w:r>
          </w:p>
        </w:tc>
      </w:tr>
      <w:tr w14:paraId="127D2A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Borders>
              <w:top w:val="single" w:color="auto" w:sz="12" w:space="0"/>
            </w:tcBorders>
            <w:noWrap w:val="0"/>
            <w:vAlign w:val="center"/>
          </w:tcPr>
          <w:p w14:paraId="5EB055F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D</w:t>
            </w:r>
            <w:r>
              <w:rPr>
                <w:rFonts w:hint="eastAsia"/>
                <w:color w:val="000000" w:themeColor="text1"/>
                <w:highlight w:val="none"/>
                <w14:textFill>
                  <w14:solidFill>
                    <w14:schemeClr w14:val="tx1"/>
                  </w14:solidFill>
                </w14:textFill>
              </w:rPr>
              <w:t>3</w:t>
            </w:r>
          </w:p>
        </w:tc>
        <w:tc>
          <w:tcPr>
            <w:tcW w:w="6435" w:type="dxa"/>
            <w:tcBorders>
              <w:top w:val="single" w:color="auto" w:sz="12" w:space="0"/>
            </w:tcBorders>
            <w:noWrap w:val="0"/>
            <w:vAlign w:val="center"/>
          </w:tcPr>
          <w:p w14:paraId="72A9F07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Mb</w:t>
            </w:r>
            <w:r>
              <w:rPr>
                <w:rFonts w:hint="eastAsia"/>
                <w:color w:val="000000" w:themeColor="text1"/>
                <w:highlight w:val="none"/>
                <w14:textFill>
                  <w14:solidFill>
                    <w14:schemeClr w14:val="tx1"/>
                  </w14:solidFill>
                </w14:textFill>
              </w:rPr>
              <w:t>≥1.0m，K≤1.0×10</w:t>
            </w:r>
            <w:r>
              <w:rPr>
                <w:rFonts w:hint="eastAsia"/>
                <w:color w:val="000000" w:themeColor="text1"/>
                <w:highlight w:val="none"/>
                <w:vertAlign w:val="superscript"/>
                <w14:textFill>
                  <w14:solidFill>
                    <w14:schemeClr w14:val="tx1"/>
                  </w14:solidFill>
                </w14:textFill>
              </w:rPr>
              <w:t>-6</w:t>
            </w:r>
            <w:r>
              <w:rPr>
                <w:rFonts w:hint="eastAsia"/>
                <w:color w:val="000000" w:themeColor="text1"/>
                <w:highlight w:val="none"/>
                <w14:textFill>
                  <w14:solidFill>
                    <w14:schemeClr w14:val="tx1"/>
                  </w14:solidFill>
                </w14:textFill>
              </w:rPr>
              <w:t>cm/s，且分布连续、稳定</w:t>
            </w:r>
          </w:p>
        </w:tc>
      </w:tr>
      <w:tr w14:paraId="4D1F6C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noWrap w:val="0"/>
            <w:vAlign w:val="center"/>
          </w:tcPr>
          <w:p w14:paraId="6556008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D</w:t>
            </w:r>
            <w:r>
              <w:rPr>
                <w:rFonts w:hint="eastAsia"/>
                <w:color w:val="000000" w:themeColor="text1"/>
                <w:highlight w:val="none"/>
                <w14:textFill>
                  <w14:solidFill>
                    <w14:schemeClr w14:val="tx1"/>
                  </w14:solidFill>
                </w14:textFill>
              </w:rPr>
              <w:t>2</w:t>
            </w:r>
          </w:p>
        </w:tc>
        <w:tc>
          <w:tcPr>
            <w:tcW w:w="6435" w:type="dxa"/>
            <w:noWrap w:val="0"/>
            <w:vAlign w:val="center"/>
          </w:tcPr>
          <w:p w14:paraId="57B3F32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0.5m≤</w:t>
            </w:r>
            <w:r>
              <w:rPr>
                <w:color w:val="000000" w:themeColor="text1"/>
                <w:highlight w:val="none"/>
                <w14:textFill>
                  <w14:solidFill>
                    <w14:schemeClr w14:val="tx1"/>
                  </w14:solidFill>
                </w14:textFill>
              </w:rPr>
              <w:t>Mb</w:t>
            </w:r>
            <w:r>
              <w:rPr>
                <w:rFonts w:hint="eastAsia"/>
                <w:color w:val="000000" w:themeColor="text1"/>
                <w:highlight w:val="none"/>
                <w14:textFill>
                  <w14:solidFill>
                    <w14:schemeClr w14:val="tx1"/>
                  </w14:solidFill>
                </w14:textFill>
              </w:rPr>
              <w:t>＜1.0m，K≤1.0×10</w:t>
            </w:r>
            <w:r>
              <w:rPr>
                <w:rFonts w:hint="eastAsia"/>
                <w:color w:val="000000" w:themeColor="text1"/>
                <w:highlight w:val="none"/>
                <w:vertAlign w:val="superscript"/>
                <w14:textFill>
                  <w14:solidFill>
                    <w14:schemeClr w14:val="tx1"/>
                  </w14:solidFill>
                </w14:textFill>
              </w:rPr>
              <w:t>-6</w:t>
            </w:r>
            <w:r>
              <w:rPr>
                <w:rFonts w:hint="eastAsia"/>
                <w:color w:val="000000" w:themeColor="text1"/>
                <w:highlight w:val="none"/>
                <w14:textFill>
                  <w14:solidFill>
                    <w14:schemeClr w14:val="tx1"/>
                  </w14:solidFill>
                </w14:textFill>
              </w:rPr>
              <w:t>cm/s，且分布连续、稳定</w:t>
            </w:r>
          </w:p>
          <w:p w14:paraId="0AD3E6D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Mb</w:t>
            </w:r>
            <w:r>
              <w:rPr>
                <w:rFonts w:hint="eastAsia"/>
                <w:color w:val="000000" w:themeColor="text1"/>
                <w:highlight w:val="none"/>
                <w14:textFill>
                  <w14:solidFill>
                    <w14:schemeClr w14:val="tx1"/>
                  </w14:solidFill>
                </w14:textFill>
              </w:rPr>
              <w:t>≥1.0m，1.0×10</w:t>
            </w:r>
            <w:r>
              <w:rPr>
                <w:rFonts w:hint="eastAsia"/>
                <w:color w:val="000000" w:themeColor="text1"/>
                <w:highlight w:val="none"/>
                <w:vertAlign w:val="superscript"/>
                <w14:textFill>
                  <w14:solidFill>
                    <w14:schemeClr w14:val="tx1"/>
                  </w14:solidFill>
                </w14:textFill>
              </w:rPr>
              <w:t>-6</w:t>
            </w:r>
            <w:r>
              <w:rPr>
                <w:rFonts w:hint="eastAsia"/>
                <w:color w:val="000000" w:themeColor="text1"/>
                <w:highlight w:val="none"/>
                <w14:textFill>
                  <w14:solidFill>
                    <w14:schemeClr w14:val="tx1"/>
                  </w14:solidFill>
                </w14:textFill>
              </w:rPr>
              <w:t>＜K≤1.0×10</w:t>
            </w:r>
            <w:r>
              <w:rPr>
                <w:rFonts w:hint="eastAsia"/>
                <w:color w:val="000000" w:themeColor="text1"/>
                <w:highlight w:val="none"/>
                <w:vertAlign w:val="superscript"/>
                <w14:textFill>
                  <w14:solidFill>
                    <w14:schemeClr w14:val="tx1"/>
                  </w14:solidFill>
                </w14:textFill>
              </w:rPr>
              <w:t>-4</w:t>
            </w:r>
            <w:r>
              <w:rPr>
                <w:rFonts w:hint="eastAsia"/>
                <w:color w:val="000000" w:themeColor="text1"/>
                <w:highlight w:val="none"/>
                <w14:textFill>
                  <w14:solidFill>
                    <w14:schemeClr w14:val="tx1"/>
                  </w14:solidFill>
                </w14:textFill>
              </w:rPr>
              <w:t>cm/s，且分布连续、稳定</w:t>
            </w:r>
          </w:p>
        </w:tc>
      </w:tr>
      <w:tr w14:paraId="65E6E9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noWrap w:val="0"/>
            <w:vAlign w:val="center"/>
          </w:tcPr>
          <w:p w14:paraId="791F92D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D</w:t>
            </w:r>
            <w:r>
              <w:rPr>
                <w:rFonts w:hint="eastAsia"/>
                <w:color w:val="000000" w:themeColor="text1"/>
                <w:highlight w:val="none"/>
                <w14:textFill>
                  <w14:solidFill>
                    <w14:schemeClr w14:val="tx1"/>
                  </w14:solidFill>
                </w14:textFill>
              </w:rPr>
              <w:t>1</w:t>
            </w:r>
          </w:p>
        </w:tc>
        <w:tc>
          <w:tcPr>
            <w:tcW w:w="6435" w:type="dxa"/>
            <w:noWrap w:val="0"/>
            <w:vAlign w:val="center"/>
          </w:tcPr>
          <w:p w14:paraId="1B2AA27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岩（土）层不满足上述</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D</w:t>
            </w:r>
            <w:r>
              <w:rPr>
                <w:rFonts w:hint="eastAsia"/>
                <w:color w:val="000000" w:themeColor="text1"/>
                <w:highlight w:val="none"/>
                <w14:textFill>
                  <w14:solidFill>
                    <w14:schemeClr w14:val="tx1"/>
                  </w14:solidFill>
                </w14:textFill>
              </w:rPr>
              <w:t>2”和“</w:t>
            </w:r>
            <w:r>
              <w:rPr>
                <w:color w:val="000000" w:themeColor="text1"/>
                <w:highlight w:val="none"/>
                <w14:textFill>
                  <w14:solidFill>
                    <w14:schemeClr w14:val="tx1"/>
                  </w14:solidFill>
                </w14:textFill>
              </w:rPr>
              <w:t>D</w:t>
            </w:r>
            <w:r>
              <w:rPr>
                <w:rFonts w:hint="eastAsia"/>
                <w:color w:val="000000" w:themeColor="text1"/>
                <w:highlight w:val="none"/>
                <w14:textFill>
                  <w14:solidFill>
                    <w14:schemeClr w14:val="tx1"/>
                  </w14:solidFill>
                </w14:textFill>
              </w:rPr>
              <w:t>3”</w:t>
            </w:r>
          </w:p>
        </w:tc>
      </w:tr>
      <w:tr w14:paraId="42E7FB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2"/>
            <w:noWrap w:val="0"/>
            <w:vAlign w:val="center"/>
          </w:tcPr>
          <w:p w14:paraId="45960727">
            <w:pPr>
              <w:pStyle w:val="26"/>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Mb：岩土单层厚度。K：渗透系数。</w:t>
            </w:r>
          </w:p>
        </w:tc>
      </w:tr>
    </w:tbl>
    <w:p w14:paraId="6EBBF1B9">
      <w:pPr>
        <w:rPr>
          <w:color w:val="000000" w:themeColor="text1"/>
          <w:kern w:val="0"/>
          <w:highlight w:val="none"/>
          <w:lang w:bidi="ar"/>
          <w14:textFill>
            <w14:solidFill>
              <w14:schemeClr w14:val="tx1"/>
            </w14:solidFill>
          </w14:textFill>
        </w:rPr>
      </w:pPr>
      <w:r>
        <w:rPr>
          <w:color w:val="000000" w:themeColor="text1"/>
          <w:highlight w:val="none"/>
          <w14:textFill>
            <w14:solidFill>
              <w14:schemeClr w14:val="tx1"/>
            </w14:solidFill>
          </w14:textFill>
        </w:rPr>
        <w:t>本项目周边不涉及G</w:t>
      </w:r>
      <w:r>
        <w:rPr>
          <w:rFonts w:hint="eastAsia"/>
          <w:color w:val="000000" w:themeColor="text1"/>
          <w:highlight w:val="none"/>
          <w14:textFill>
            <w14:solidFill>
              <w14:schemeClr w14:val="tx1"/>
            </w14:solidFill>
          </w14:textFill>
        </w:rPr>
        <w:t>1和G2中所述的敏感区，地下水功能敏感性为G2；项目土壤为灰漠土，</w:t>
      </w:r>
      <w:r>
        <w:rPr>
          <w:color w:val="000000" w:themeColor="text1"/>
          <w:highlight w:val="none"/>
          <w14:textFill>
            <w14:solidFill>
              <w14:schemeClr w14:val="tx1"/>
            </w14:solidFill>
          </w14:textFill>
        </w:rPr>
        <w:t>包气带岩土对污染物质吸附能力大小与岩石颗粒大小及比表面积有关，通常粘性土大于砂性土</w:t>
      </w:r>
      <w:r>
        <w:rPr>
          <w:rFonts w:hint="eastAsia"/>
          <w:color w:val="000000" w:themeColor="text1"/>
          <w:highlight w:val="none"/>
          <w14:textFill>
            <w14:solidFill>
              <w14:schemeClr w14:val="tx1"/>
            </w14:solidFill>
          </w14:textFill>
        </w:rPr>
        <w:t>，根据项目</w:t>
      </w:r>
      <w:r>
        <w:rPr>
          <w:color w:val="000000" w:themeColor="text1"/>
          <w:highlight w:val="none"/>
          <w14:textFill>
            <w14:solidFill>
              <w14:schemeClr w14:val="tx1"/>
            </w14:solidFill>
          </w14:textFill>
        </w:rPr>
        <w:t>岩土</w:t>
      </w:r>
      <w:r>
        <w:rPr>
          <w:rFonts w:hint="eastAsia"/>
          <w:color w:val="000000" w:themeColor="text1"/>
          <w:highlight w:val="none"/>
          <w14:textFill>
            <w14:solidFill>
              <w14:schemeClr w14:val="tx1"/>
            </w14:solidFill>
          </w14:textFill>
        </w:rPr>
        <w:t>勘察</w:t>
      </w:r>
      <w:r>
        <w:rPr>
          <w:color w:val="000000" w:themeColor="text1"/>
          <w:highlight w:val="none"/>
          <w14:textFill>
            <w14:solidFill>
              <w14:schemeClr w14:val="tx1"/>
            </w14:solidFill>
          </w14:textFill>
        </w:rPr>
        <w:t>报告</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项目场地包气带防污性能为中级</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因此项目岩（土）层为D</w:t>
      </w:r>
      <w:r>
        <w:rPr>
          <w:rFonts w:hint="eastAsia"/>
          <w:color w:val="000000" w:themeColor="text1"/>
          <w:highlight w:val="none"/>
          <w14:textFill>
            <w14:solidFill>
              <w14:schemeClr w14:val="tx1"/>
            </w14:solidFill>
          </w14:textFill>
        </w:rPr>
        <w:t>3，地下水环境敏感程度为E3。</w:t>
      </w:r>
    </w:p>
    <w:p w14:paraId="001AF563">
      <w:pPr>
        <w:pStyle w:val="5"/>
        <w:rPr>
          <w:color w:val="000000" w:themeColor="text1"/>
          <w:highlight w:val="none"/>
          <w:lang w:val="en-US"/>
          <w14:textFill>
            <w14:solidFill>
              <w14:schemeClr w14:val="tx1"/>
            </w14:solidFill>
          </w14:textFill>
        </w:rPr>
      </w:pPr>
      <w:bookmarkStart w:id="1076" w:name="_Toc22836"/>
      <w:bookmarkStart w:id="1077" w:name="_Toc13017"/>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lang w:val="en-US"/>
          <w14:textFill>
            <w14:solidFill>
              <w14:schemeClr w14:val="tx1"/>
            </w14:solidFill>
          </w14:textFill>
        </w:rPr>
        <w:t>.2.7.4</w:t>
      </w:r>
      <w:r>
        <w:rPr>
          <w:color w:val="000000" w:themeColor="text1"/>
          <w:highlight w:val="none"/>
          <w:lang w:val="en-US"/>
          <w14:textFill>
            <w14:solidFill>
              <w14:schemeClr w14:val="tx1"/>
            </w14:solidFill>
          </w14:textFill>
        </w:rPr>
        <w:t>风险评价等级</w:t>
      </w:r>
      <w:bookmarkEnd w:id="1076"/>
      <w:bookmarkEnd w:id="1077"/>
    </w:p>
    <w:p w14:paraId="12DE56F5">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本项目大气和地下水环境敏感程度均为E3，工艺危险性程度为P</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根据</w:t>
      </w:r>
      <w:r>
        <w:rPr>
          <w:color w:val="000000" w:themeColor="text1"/>
          <w:highlight w:val="none"/>
          <w14:textFill>
            <w14:solidFill>
              <w14:schemeClr w14:val="tx1"/>
            </w14:solidFill>
          </w14:textFill>
        </w:rPr>
        <w:t>《建设项目环境风险评价技术导则》（</w:t>
      </w:r>
      <w:r>
        <w:rPr>
          <w:rFonts w:hint="eastAsia"/>
          <w:color w:val="000000" w:themeColor="text1"/>
          <w:highlight w:val="none"/>
          <w:lang w:eastAsia="zh-CN"/>
          <w14:textFill>
            <w14:solidFill>
              <w14:schemeClr w14:val="tx1"/>
            </w14:solidFill>
          </w14:textFill>
        </w:rPr>
        <w:t>HJ169-2018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中</w:t>
      </w:r>
      <w:r>
        <w:rPr>
          <w:color w:val="000000" w:themeColor="text1"/>
          <w:highlight w:val="none"/>
          <w14:textFill>
            <w14:solidFill>
              <w14:schemeClr w14:val="tx1"/>
            </w14:solidFill>
          </w14:textFill>
        </w:rPr>
        <w:t>环境风险潜势划分</w:t>
      </w:r>
      <w:r>
        <w:rPr>
          <w:rFonts w:hint="eastAsia"/>
          <w:color w:val="000000" w:themeColor="text1"/>
          <w:highlight w:val="none"/>
          <w14:textFill>
            <w14:solidFill>
              <w14:schemeClr w14:val="tx1"/>
            </w14:solidFill>
          </w14:textFill>
        </w:rPr>
        <w:t>，本项目</w:t>
      </w:r>
      <w:r>
        <w:rPr>
          <w:color w:val="000000" w:themeColor="text1"/>
          <w:highlight w:val="none"/>
          <w14:textFill>
            <w14:solidFill>
              <w14:schemeClr w14:val="tx1"/>
            </w14:solidFill>
          </w14:textFill>
        </w:rPr>
        <w:t>环境风险潜势</w:t>
      </w:r>
      <w:r>
        <w:rPr>
          <w:rFonts w:hint="eastAsia"/>
          <w:color w:val="000000" w:themeColor="text1"/>
          <w:highlight w:val="none"/>
          <w14:textFill>
            <w14:solidFill>
              <w14:schemeClr w14:val="tx1"/>
            </w14:solidFill>
          </w14:textFill>
        </w:rPr>
        <w:t>为</w:t>
      </w:r>
      <w:r>
        <w:rPr>
          <w:color w:val="000000" w:themeColor="text1"/>
          <w:highlight w:val="none"/>
          <w14:textFill>
            <w14:solidFill>
              <w14:schemeClr w14:val="tx1"/>
            </w14:solidFill>
          </w14:textFill>
        </w:rPr>
        <w:t>Ⅰ</w:t>
      </w:r>
      <w:r>
        <w:rPr>
          <w:rFonts w:hint="eastAsia"/>
          <w:color w:val="000000" w:themeColor="text1"/>
          <w:highlight w:val="none"/>
          <w14:textFill>
            <w14:solidFill>
              <w14:schemeClr w14:val="tx1"/>
            </w14:solidFill>
          </w14:textFill>
        </w:rPr>
        <w:t>。</w:t>
      </w:r>
    </w:p>
    <w:p w14:paraId="7E31079B">
      <w:pP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w:t>
      </w:r>
      <w:r>
        <w:rPr>
          <w:color w:val="000000" w:themeColor="text1"/>
          <w:highlight w:val="none"/>
          <w14:textFill>
            <w14:solidFill>
              <w14:schemeClr w14:val="tx1"/>
            </w14:solidFill>
          </w14:textFill>
        </w:rPr>
        <w:t>环境风险等级判定结果见表</w:t>
      </w:r>
      <w:r>
        <w:rPr>
          <w:rFonts w:hint="eastAsia"/>
          <w:color w:val="000000" w:themeColor="text1"/>
          <w:highlight w:val="none"/>
          <w:lang w:val="en-US" w:eastAsia="zh-CN"/>
          <w14:textFill>
            <w14:solidFill>
              <w14:schemeClr w14:val="tx1"/>
            </w14:solidFill>
          </w14:textFill>
        </w:rPr>
        <w:t>5.2.7-10。</w:t>
      </w:r>
    </w:p>
    <w:p w14:paraId="0E602AE7">
      <w:pPr>
        <w:pStyle w:val="25"/>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10</w:t>
      </w:r>
      <w:r>
        <w:rPr>
          <w:rFonts w:hAnsi="宋体"/>
          <w:color w:val="000000" w:themeColor="text1"/>
          <w:highlight w:val="none"/>
          <w14:textFill>
            <w14:solidFill>
              <w14:schemeClr w14:val="tx1"/>
            </w14:solidFill>
          </w14:textFill>
        </w:rPr>
        <w:t xml:space="preserve">    环境风险评价工作等级划分表</w:t>
      </w:r>
    </w:p>
    <w:tbl>
      <w:tblPr>
        <w:tblStyle w:val="20"/>
        <w:tblW w:w="4997"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783"/>
        <w:gridCol w:w="1490"/>
        <w:gridCol w:w="1785"/>
        <w:gridCol w:w="1785"/>
        <w:gridCol w:w="1674"/>
      </w:tblGrid>
      <w:tr w14:paraId="642753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47" w:type="pct"/>
            <w:tcBorders>
              <w:bottom w:val="single" w:color="auto" w:sz="12" w:space="0"/>
            </w:tcBorders>
            <w:noWrap w:val="0"/>
            <w:vAlign w:val="center"/>
          </w:tcPr>
          <w:p w14:paraId="21BF6FC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环境风险潜势</w:t>
            </w:r>
          </w:p>
        </w:tc>
        <w:tc>
          <w:tcPr>
            <w:tcW w:w="875" w:type="pct"/>
            <w:tcBorders>
              <w:bottom w:val="single" w:color="auto" w:sz="12" w:space="0"/>
            </w:tcBorders>
            <w:noWrap w:val="0"/>
            <w:vAlign w:val="center"/>
          </w:tcPr>
          <w:p w14:paraId="0D5A9873">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Ⅳ</w:t>
            </w:r>
            <w:r>
              <w:rPr>
                <w:b/>
                <w:bCs/>
                <w:color w:val="000000" w:themeColor="text1"/>
                <w:highlight w:val="none"/>
                <w14:textFill>
                  <w14:solidFill>
                    <w14:schemeClr w14:val="tx1"/>
                  </w14:solidFill>
                </w14:textFill>
              </w:rPr>
              <w:t>、IV+</w:t>
            </w:r>
          </w:p>
        </w:tc>
        <w:tc>
          <w:tcPr>
            <w:tcW w:w="1048" w:type="pct"/>
            <w:tcBorders>
              <w:bottom w:val="single" w:color="auto" w:sz="12" w:space="0"/>
            </w:tcBorders>
            <w:noWrap w:val="0"/>
            <w:vAlign w:val="center"/>
          </w:tcPr>
          <w:p w14:paraId="32BF03B6">
            <w:pPr>
              <w:pStyle w:val="26"/>
              <w:rPr>
                <w:b/>
                <w:bCs/>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Ⅲ</w:t>
            </w:r>
          </w:p>
        </w:tc>
        <w:tc>
          <w:tcPr>
            <w:tcW w:w="1048" w:type="pct"/>
            <w:tcBorders>
              <w:bottom w:val="single" w:color="auto" w:sz="12" w:space="0"/>
            </w:tcBorders>
            <w:noWrap w:val="0"/>
            <w:vAlign w:val="center"/>
          </w:tcPr>
          <w:p w14:paraId="4C9145D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Ⅱ</w:t>
            </w:r>
          </w:p>
        </w:tc>
        <w:tc>
          <w:tcPr>
            <w:tcW w:w="980" w:type="pct"/>
            <w:tcBorders>
              <w:bottom w:val="single" w:color="auto" w:sz="12" w:space="0"/>
            </w:tcBorders>
            <w:noWrap w:val="0"/>
            <w:vAlign w:val="center"/>
          </w:tcPr>
          <w:p w14:paraId="36B5697B">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I</w:t>
            </w:r>
          </w:p>
        </w:tc>
      </w:tr>
      <w:tr w14:paraId="5CDB030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47" w:type="pct"/>
            <w:tcBorders>
              <w:top w:val="single" w:color="auto" w:sz="12" w:space="0"/>
            </w:tcBorders>
            <w:noWrap w:val="0"/>
            <w:vAlign w:val="center"/>
          </w:tcPr>
          <w:p w14:paraId="3E27530F">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评价工作等级</w:t>
            </w:r>
          </w:p>
        </w:tc>
        <w:tc>
          <w:tcPr>
            <w:tcW w:w="875" w:type="pct"/>
            <w:tcBorders>
              <w:top w:val="single" w:color="auto" w:sz="12" w:space="0"/>
            </w:tcBorders>
            <w:noWrap w:val="0"/>
            <w:vAlign w:val="center"/>
          </w:tcPr>
          <w:p w14:paraId="09AA201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w:t>
            </w:r>
          </w:p>
        </w:tc>
        <w:tc>
          <w:tcPr>
            <w:tcW w:w="1048" w:type="pct"/>
            <w:tcBorders>
              <w:top w:val="single" w:color="auto" w:sz="12" w:space="0"/>
            </w:tcBorders>
            <w:noWrap w:val="0"/>
            <w:vAlign w:val="center"/>
          </w:tcPr>
          <w:p w14:paraId="0ED1EE7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w:t>
            </w:r>
          </w:p>
        </w:tc>
        <w:tc>
          <w:tcPr>
            <w:tcW w:w="1048" w:type="pct"/>
            <w:tcBorders>
              <w:top w:val="single" w:color="auto" w:sz="12" w:space="0"/>
            </w:tcBorders>
            <w:noWrap w:val="0"/>
            <w:vAlign w:val="center"/>
          </w:tcPr>
          <w:p w14:paraId="75232EEA">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w:t>
            </w:r>
          </w:p>
        </w:tc>
        <w:tc>
          <w:tcPr>
            <w:tcW w:w="980" w:type="pct"/>
            <w:tcBorders>
              <w:top w:val="single" w:color="auto" w:sz="12" w:space="0"/>
            </w:tcBorders>
            <w:noWrap w:val="0"/>
            <w:vAlign w:val="center"/>
          </w:tcPr>
          <w:p w14:paraId="2EE0755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简单分析a</w:t>
            </w:r>
          </w:p>
        </w:tc>
      </w:tr>
      <w:tr w14:paraId="6A38DBD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000" w:type="pct"/>
            <w:gridSpan w:val="5"/>
            <w:noWrap w:val="0"/>
            <w:vAlign w:val="center"/>
          </w:tcPr>
          <w:p w14:paraId="41F567B9">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a是相对于详细评价工作内容而言，在描述危险物质、环境影响途径、环境危险后果、风险防范措施等方面给出定性的说明。</w:t>
            </w:r>
          </w:p>
        </w:tc>
      </w:tr>
    </w:tbl>
    <w:p w14:paraId="1B1949AD">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w:t>
      </w:r>
      <w:r>
        <w:rPr>
          <w:color w:val="000000" w:themeColor="text1"/>
          <w:highlight w:val="none"/>
          <w14:textFill>
            <w14:solidFill>
              <w14:schemeClr w14:val="tx1"/>
            </w14:solidFill>
          </w14:textFill>
        </w:rPr>
        <w:t>环境风险潜势</w:t>
      </w:r>
      <w:r>
        <w:rPr>
          <w:rFonts w:hint="eastAsia"/>
          <w:color w:val="000000" w:themeColor="text1"/>
          <w:highlight w:val="none"/>
          <w14:textFill>
            <w14:solidFill>
              <w14:schemeClr w14:val="tx1"/>
            </w14:solidFill>
          </w14:textFill>
        </w:rPr>
        <w:t>为</w:t>
      </w:r>
      <w:r>
        <w:rPr>
          <w:color w:val="000000" w:themeColor="text1"/>
          <w:highlight w:val="none"/>
          <w14:textFill>
            <w14:solidFill>
              <w14:schemeClr w14:val="tx1"/>
            </w14:solidFill>
          </w14:textFill>
        </w:rPr>
        <w:t>Ⅰ</w:t>
      </w:r>
      <w:r>
        <w:rPr>
          <w:rFonts w:hint="eastAsia"/>
          <w:color w:val="000000" w:themeColor="text1"/>
          <w:highlight w:val="none"/>
          <w14:textFill>
            <w14:solidFill>
              <w14:schemeClr w14:val="tx1"/>
            </w14:solidFill>
          </w14:textFill>
        </w:rPr>
        <w:t>，根据</w:t>
      </w:r>
      <w:r>
        <w:rPr>
          <w:color w:val="000000" w:themeColor="text1"/>
          <w:highlight w:val="none"/>
          <w14:textFill>
            <w14:solidFill>
              <w14:schemeClr w14:val="tx1"/>
            </w14:solidFill>
          </w14:textFill>
        </w:rPr>
        <w:t>《建设项目环境风险评价技术导则》（</w:t>
      </w:r>
      <w:r>
        <w:rPr>
          <w:rFonts w:hint="eastAsia"/>
          <w:color w:val="000000" w:themeColor="text1"/>
          <w:highlight w:val="none"/>
          <w:lang w:eastAsia="zh-CN"/>
          <w14:textFill>
            <w14:solidFill>
              <w14:schemeClr w14:val="tx1"/>
            </w14:solidFill>
          </w14:textFill>
        </w:rPr>
        <w:t>HJ169-2018</w:t>
      </w:r>
      <w:r>
        <w:rPr>
          <w:color w:val="000000" w:themeColor="text1"/>
          <w:highlight w:val="none"/>
          <w14:textFill>
            <w14:solidFill>
              <w14:schemeClr w14:val="tx1"/>
            </w14:solidFill>
          </w14:textFill>
        </w:rPr>
        <w:t>），环境风险等级</w:t>
      </w:r>
      <w:r>
        <w:rPr>
          <w:rFonts w:hint="eastAsia"/>
          <w:color w:val="000000" w:themeColor="text1"/>
          <w:highlight w:val="none"/>
          <w14:textFill>
            <w14:solidFill>
              <w14:schemeClr w14:val="tx1"/>
            </w14:solidFill>
          </w14:textFill>
        </w:rPr>
        <w:t>划分，本项目评价工作等级为</w:t>
      </w:r>
      <w:r>
        <w:rPr>
          <w:color w:val="000000" w:themeColor="text1"/>
          <w:highlight w:val="none"/>
          <w14:textFill>
            <w14:solidFill>
              <w14:schemeClr w14:val="tx1"/>
            </w14:solidFill>
          </w14:textFill>
        </w:rPr>
        <w:t>简单分析</w:t>
      </w:r>
      <w:r>
        <w:rPr>
          <w:rFonts w:hint="eastAsia"/>
          <w:color w:val="000000" w:themeColor="text1"/>
          <w:highlight w:val="none"/>
          <w14:textFill>
            <w14:solidFill>
              <w14:schemeClr w14:val="tx1"/>
            </w14:solidFill>
          </w14:textFill>
        </w:rPr>
        <w:t>。</w:t>
      </w:r>
    </w:p>
    <w:bookmarkEnd w:id="1071"/>
    <w:bookmarkEnd w:id="1072"/>
    <w:bookmarkEnd w:id="1073"/>
    <w:bookmarkEnd w:id="1074"/>
    <w:bookmarkEnd w:id="1075"/>
    <w:p w14:paraId="6329F09B">
      <w:pPr>
        <w:pStyle w:val="5"/>
        <w:rPr>
          <w:color w:val="000000" w:themeColor="text1"/>
          <w:highlight w:val="none"/>
          <w:lang w:val="en-US"/>
          <w14:textFill>
            <w14:solidFill>
              <w14:schemeClr w14:val="tx1"/>
            </w14:solidFill>
          </w14:textFill>
        </w:rPr>
      </w:pPr>
      <w:bookmarkStart w:id="1078" w:name="_Toc15475"/>
      <w:bookmarkStart w:id="1079" w:name="_Toc25899"/>
      <w:bookmarkStart w:id="1080" w:name="_Toc27062"/>
      <w:bookmarkStart w:id="1081" w:name="_Toc30982"/>
      <w:bookmarkStart w:id="1082" w:name="_Toc22600"/>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lang w:val="en-US"/>
          <w14:textFill>
            <w14:solidFill>
              <w14:schemeClr w14:val="tx1"/>
            </w14:solidFill>
          </w14:textFill>
        </w:rPr>
        <w:t>.2.7.5</w:t>
      </w:r>
      <w:r>
        <w:rPr>
          <w:color w:val="000000" w:themeColor="text1"/>
          <w:highlight w:val="none"/>
          <w14:textFill>
            <w14:solidFill>
              <w14:schemeClr w14:val="tx1"/>
            </w14:solidFill>
          </w14:textFill>
        </w:rPr>
        <w:t>风险识别</w:t>
      </w:r>
      <w:bookmarkEnd w:id="1078"/>
      <w:bookmarkEnd w:id="1079"/>
      <w:bookmarkEnd w:id="1080"/>
      <w:bookmarkEnd w:id="1081"/>
      <w:bookmarkEnd w:id="1082"/>
    </w:p>
    <w:p w14:paraId="415684E6">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（1）物质危险性识别</w:t>
      </w:r>
    </w:p>
    <w:p w14:paraId="5F2ECF56">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根据工程分析进行物质危险性识别与生产系统危险性识别，本工程的风险源为</w:t>
      </w:r>
      <w:r>
        <w:rPr>
          <w:rFonts w:hint="eastAsia"/>
          <w:color w:val="000000" w:themeColor="text1"/>
          <w:highlight w:val="none"/>
          <w14:textFill>
            <w14:solidFill>
              <w14:schemeClr w14:val="tx1"/>
            </w14:solidFill>
          </w14:textFill>
        </w:rPr>
        <w:t>化学品库</w:t>
      </w:r>
      <w:r>
        <w:rPr>
          <w:color w:val="000000" w:themeColor="text1"/>
          <w:highlight w:val="none"/>
          <w14:textFill>
            <w14:solidFill>
              <w14:schemeClr w14:val="tx1"/>
            </w14:solidFill>
          </w14:textFill>
        </w:rPr>
        <w:t>。生产和储存过程中涉及的危险物质主要为</w:t>
      </w:r>
      <w:r>
        <w:rPr>
          <w:rFonts w:hint="eastAsia"/>
          <w:color w:val="000000" w:themeColor="text1"/>
          <w:highlight w:val="none"/>
          <w14:textFill>
            <w14:solidFill>
              <w14:schemeClr w14:val="tx1"/>
            </w14:solidFill>
          </w14:textFill>
        </w:rPr>
        <w:t>丙烯酸、巯基丙酸等物质。</w:t>
      </w:r>
    </w:p>
    <w:p w14:paraId="623C5FC8">
      <w:pPr>
        <w:pStyle w:val="5"/>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2.7.6</w:t>
      </w:r>
      <w:r>
        <w:rPr>
          <w:rFonts w:hint="default"/>
          <w:color w:val="000000" w:themeColor="text1"/>
          <w:highlight w:val="none"/>
          <w:lang w:val="en-US" w:eastAsia="zh-CN"/>
          <w14:textFill>
            <w14:solidFill>
              <w14:schemeClr w14:val="tx1"/>
            </w14:solidFill>
          </w14:textFill>
        </w:rPr>
        <w:t>生产系统危险性识别</w:t>
      </w:r>
    </w:p>
    <w:p w14:paraId="5EAB71EB">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生产装置危险性识别</w:t>
      </w:r>
    </w:p>
    <w:p w14:paraId="19230F21">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企业生产过程中主要生产设备为配料罐、合成釜、复配釜等，在生产过程中可能由于操作不当、停电等原因而发生风险事故，使生产物料发生泄漏。企业生产过程主要在配料罐、合成釜、复配釜中完成，且反应物料中有危险化学品</w:t>
      </w:r>
      <w:r>
        <w:rPr>
          <w:rFonts w:hint="eastAsia"/>
          <w:color w:val="000000" w:themeColor="text1"/>
          <w:highlight w:val="none"/>
          <w:lang w:val="en-US" w:eastAsia="zh-CN"/>
          <w14:textFill>
            <w14:solidFill>
              <w14:schemeClr w14:val="tx1"/>
            </w14:solidFill>
          </w14:textFill>
        </w:rPr>
        <w:t>，一</w:t>
      </w:r>
      <w:r>
        <w:rPr>
          <w:rFonts w:hint="default"/>
          <w:color w:val="000000" w:themeColor="text1"/>
          <w:highlight w:val="none"/>
          <w:lang w:val="en-US" w:eastAsia="zh-CN"/>
          <w14:textFill>
            <w14:solidFill>
              <w14:schemeClr w14:val="tx1"/>
            </w14:solidFill>
          </w14:textFill>
        </w:rPr>
        <w:t>旦发生泄漏事件，泄漏的液体可能通过地面渗透进入土壤</w:t>
      </w:r>
      <w:r>
        <w:rPr>
          <w:rFonts w:hint="eastAsia"/>
          <w:color w:val="000000" w:themeColor="text1"/>
          <w:highlight w:val="none"/>
          <w:lang w:val="en-US" w:eastAsia="zh-CN"/>
          <w14:textFill>
            <w14:solidFill>
              <w14:schemeClr w14:val="tx1"/>
            </w14:solidFill>
          </w14:textFill>
        </w:rPr>
        <w:t>，甚至</w:t>
      </w:r>
      <w:r>
        <w:rPr>
          <w:rFonts w:hint="default"/>
          <w:color w:val="000000" w:themeColor="text1"/>
          <w:highlight w:val="none"/>
          <w:lang w:val="en-US" w:eastAsia="zh-CN"/>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可能产生大量有毒有害的挥发性气体，影响车间及周边的环境空气质量。</w:t>
      </w:r>
    </w:p>
    <w:p w14:paraId="185114D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储存设施危险性识别</w:t>
      </w:r>
    </w:p>
    <w:p w14:paraId="67368BC2">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企业生产过程中涉及的危险品在贮存和运输过</w:t>
      </w:r>
      <w:r>
        <w:rPr>
          <w:rFonts w:hint="eastAsia"/>
          <w:color w:val="000000" w:themeColor="text1"/>
          <w:highlight w:val="none"/>
          <w:lang w:val="en-US" w:eastAsia="zh-CN"/>
          <w14:textFill>
            <w14:solidFill>
              <w14:schemeClr w14:val="tx1"/>
            </w14:solidFill>
          </w14:textFill>
        </w:rPr>
        <w:t>程中</w:t>
      </w:r>
      <w:r>
        <w:rPr>
          <w:rFonts w:hint="default"/>
          <w:color w:val="000000" w:themeColor="text1"/>
          <w:highlight w:val="none"/>
          <w:lang w:val="en-US" w:eastAsia="zh-CN"/>
          <w14:textFill>
            <w14:solidFill>
              <w14:schemeClr w14:val="tx1"/>
            </w14:solidFill>
          </w14:textFill>
        </w:rPr>
        <w:t>可能发生突发事件而导致</w:t>
      </w:r>
      <w:r>
        <w:rPr>
          <w:rFonts w:hint="eastAsia"/>
          <w:color w:val="000000" w:themeColor="text1"/>
          <w:highlight w:val="none"/>
          <w:lang w:val="en-US" w:eastAsia="zh-CN"/>
          <w14:textFill>
            <w14:solidFill>
              <w14:schemeClr w14:val="tx1"/>
            </w14:solidFill>
          </w14:textFill>
        </w:rPr>
        <w:t>洒</w:t>
      </w:r>
      <w:r>
        <w:rPr>
          <w:rFonts w:hint="default"/>
          <w:color w:val="000000" w:themeColor="text1"/>
          <w:highlight w:val="none"/>
          <w:lang w:val="en-US" w:eastAsia="zh-CN"/>
          <w14:textFill>
            <w14:solidFill>
              <w14:schemeClr w14:val="tx1"/>
            </w14:solidFill>
          </w14:textFill>
        </w:rPr>
        <w:t>落/</w:t>
      </w:r>
      <w:r>
        <w:rPr>
          <w:rFonts w:hint="eastAsia"/>
          <w:color w:val="000000" w:themeColor="text1"/>
          <w:highlight w:val="none"/>
          <w:lang w:val="en-US" w:eastAsia="zh-CN"/>
          <w14:textFill>
            <w14:solidFill>
              <w14:schemeClr w14:val="tx1"/>
            </w14:solidFill>
          </w14:textFill>
        </w:rPr>
        <w:t>泄漏</w:t>
      </w:r>
      <w:r>
        <w:rPr>
          <w:rFonts w:hint="default"/>
          <w:color w:val="000000" w:themeColor="text1"/>
          <w:highlight w:val="none"/>
          <w:lang w:val="en-US" w:eastAsia="zh-CN"/>
          <w14:textFill>
            <w14:solidFill>
              <w14:schemeClr w14:val="tx1"/>
            </w14:solidFill>
          </w14:textFill>
        </w:rPr>
        <w:t>。企业生产使用的危险化学品为桶装或者罐车，主要由供货商送货上门</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桶装物料直接储存于原料区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罐装物料则直接通过槽车卸料至相应的中转罐。一旦厂内危险化学品为桶或者中转罐发生破损</w:t>
      </w:r>
      <w:r>
        <w:rPr>
          <w:rFonts w:hint="eastAsia"/>
          <w:color w:val="000000" w:themeColor="text1"/>
          <w:highlight w:val="none"/>
          <w:lang w:val="en-US" w:eastAsia="zh-CN"/>
          <w14:textFill>
            <w14:solidFill>
              <w14:schemeClr w14:val="tx1"/>
            </w14:solidFill>
          </w14:textFill>
        </w:rPr>
        <w:t>泄漏</w:t>
      </w:r>
      <w:r>
        <w:rPr>
          <w:rFonts w:hint="default"/>
          <w:color w:val="000000" w:themeColor="text1"/>
          <w:highlight w:val="none"/>
          <w:lang w:val="en-US" w:eastAsia="zh-CN"/>
          <w14:textFill>
            <w14:solidFill>
              <w14:schemeClr w14:val="tx1"/>
            </w14:solidFill>
          </w14:textFill>
        </w:rPr>
        <w:t>事件</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则泄漏的液体可能通过地面渗透进入土壤</w:t>
      </w:r>
      <w:r>
        <w:rPr>
          <w:rFonts w:hint="eastAsia"/>
          <w:color w:val="000000" w:themeColor="text1"/>
          <w:highlight w:val="none"/>
          <w:lang w:val="en-US" w:eastAsia="zh-CN"/>
          <w14:textFill>
            <w14:solidFill>
              <w14:schemeClr w14:val="tx1"/>
            </w14:solidFill>
          </w14:textFill>
        </w:rPr>
        <w:t>，甚至</w:t>
      </w:r>
      <w:r>
        <w:rPr>
          <w:rFonts w:hint="default"/>
          <w:color w:val="000000" w:themeColor="text1"/>
          <w:highlight w:val="none"/>
          <w:lang w:val="en-US" w:eastAsia="zh-CN"/>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可能产生大量有毒有害的挥发性气体，影响车间及周边的环境空气质量。</w:t>
      </w:r>
    </w:p>
    <w:p w14:paraId="71F5CA06">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运输过程危险性识别</w:t>
      </w:r>
    </w:p>
    <w:p w14:paraId="14D6DB96">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由于危险化学品本身具有的危险特性，在运输过程中因交通事故造成的包装桶破损，危险化学品大量</w:t>
      </w:r>
      <w:r>
        <w:rPr>
          <w:rFonts w:hint="eastAsia"/>
          <w:color w:val="000000" w:themeColor="text1"/>
          <w:highlight w:val="none"/>
          <w:lang w:val="en-US" w:eastAsia="zh-CN"/>
          <w14:textFill>
            <w14:solidFill>
              <w14:schemeClr w14:val="tx1"/>
            </w14:solidFill>
          </w14:textFill>
        </w:rPr>
        <w:t>洒落</w:t>
      </w:r>
      <w:r>
        <w:rPr>
          <w:rFonts w:hint="default"/>
          <w:color w:val="000000" w:themeColor="text1"/>
          <w:highlight w:val="none"/>
          <w:lang w:val="en-US" w:eastAsia="zh-CN"/>
          <w14:textFill>
            <w14:solidFill>
              <w14:schemeClr w14:val="tx1"/>
            </w14:solidFill>
          </w14:textFill>
        </w:rPr>
        <w:t>将对环境造成污染或人员伤害。若原料发生泄漏散落，会挥发产生废气殃及人体健康，造成人员伤亡</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若遇明火、高热，还有可能发生火灾。</w:t>
      </w:r>
    </w:p>
    <w:p w14:paraId="4B5DC917">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环保设施风险识别</w:t>
      </w:r>
    </w:p>
    <w:p w14:paraId="246DDD03">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废气治理系统风险主要为废气处理系统因故障不能正常运作，导致备料废气、聚合废气、出料废气等工艺废气未经处理而直接向外环境排放。</w:t>
      </w:r>
    </w:p>
    <w:p w14:paraId="33A8F1AC">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危废贮存库</w:t>
      </w:r>
      <w:r>
        <w:rPr>
          <w:rFonts w:hint="default"/>
          <w:color w:val="000000" w:themeColor="text1"/>
          <w:highlight w:val="none"/>
          <w:lang w:val="en-US" w:eastAsia="zh-CN"/>
          <w14:textFill>
            <w14:solidFill>
              <w14:schemeClr w14:val="tx1"/>
            </w14:solidFill>
          </w14:textFill>
        </w:rPr>
        <w:t>的废料意外</w:t>
      </w:r>
      <w:r>
        <w:rPr>
          <w:rFonts w:hint="eastAsia"/>
          <w:color w:val="000000" w:themeColor="text1"/>
          <w:highlight w:val="none"/>
          <w:lang w:val="en-US" w:eastAsia="zh-CN"/>
          <w14:textFill>
            <w14:solidFill>
              <w14:schemeClr w14:val="tx1"/>
            </w14:solidFill>
          </w14:textFill>
        </w:rPr>
        <w:t>泄漏</w:t>
      </w:r>
      <w:r>
        <w:rPr>
          <w:rFonts w:hint="default"/>
          <w:color w:val="000000" w:themeColor="text1"/>
          <w:highlight w:val="none"/>
          <w:lang w:val="en-US" w:eastAsia="zh-CN"/>
          <w14:textFill>
            <w14:solidFill>
              <w14:schemeClr w14:val="tx1"/>
            </w14:solidFill>
          </w14:textFill>
        </w:rPr>
        <w:t>，若地面防渗因老化、腐蚀等原因起不到防渗作用</w:t>
      </w:r>
      <w:r>
        <w:rPr>
          <w:rFonts w:hint="eastAsia"/>
          <w:color w:val="000000" w:themeColor="text1"/>
          <w:highlight w:val="none"/>
          <w:lang w:val="en-US" w:eastAsia="zh-CN"/>
          <w14:textFill>
            <w14:solidFill>
              <w14:schemeClr w14:val="tx1"/>
            </w14:solidFill>
          </w14:textFill>
        </w:rPr>
        <w:t>泄漏</w:t>
      </w:r>
      <w:r>
        <w:rPr>
          <w:rFonts w:hint="default"/>
          <w:color w:val="000000" w:themeColor="text1"/>
          <w:highlight w:val="none"/>
          <w:lang w:val="en-US" w:eastAsia="zh-CN"/>
          <w14:textFill>
            <w14:solidFill>
              <w14:schemeClr w14:val="tx1"/>
            </w14:solidFill>
          </w14:textFill>
        </w:rPr>
        <w:t>物料将通过地面渗漏，进而影响土壤和地下水。</w:t>
      </w:r>
    </w:p>
    <w:p w14:paraId="459404AA">
      <w:pPr>
        <w:pStyle w:val="5"/>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2.7.7</w:t>
      </w:r>
      <w:r>
        <w:rPr>
          <w:rFonts w:hint="default"/>
          <w:color w:val="000000" w:themeColor="text1"/>
          <w:highlight w:val="none"/>
          <w:lang w:val="en-US" w:eastAsia="zh-CN"/>
          <w14:textFill>
            <w14:solidFill>
              <w14:schemeClr w14:val="tx1"/>
            </w14:solidFill>
          </w14:textFill>
        </w:rPr>
        <w:t>半生/次生风险识别</w:t>
      </w:r>
    </w:p>
    <w:p w14:paraId="47D9A485">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原料</w:t>
      </w:r>
      <w:r>
        <w:rPr>
          <w:rFonts w:hint="default"/>
          <w:color w:val="000000" w:themeColor="text1"/>
          <w:highlight w:val="none"/>
          <w:lang w:val="en-US" w:eastAsia="zh-CN"/>
          <w14:textFill>
            <w14:solidFill>
              <w14:schemeClr w14:val="tx1"/>
            </w14:solidFill>
          </w14:textFill>
        </w:rPr>
        <w:t>遇热源或火源有分解、爆炸危险，发生事故后将会带来一定的伴生、次生污染，在火灾爆炸事故中大部分有机物料燃烧后转化为一氧化碳、二氧化碳、水和烟尘，对下风向的环境空气质量在短时间内有一定影响，但长期影响较小。另外，在事故应急救援中产生的消防废水将伴有一定的物料，若沿清水管网外排，将可能对地表水、地下水、河流产生严重污染</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堵过程中可能使用的大量拦截、堵漏材料，掺杂一定的物料，若事故排放后随意丢弃排放，将对环境产生二次污染。对于次生危险影响，公司应在发生火灾爆炸的第一时间内启动应急预案，尽可能将燃烧产生的烟雾通过引风机引入附近的废气处理装置或采取相应的处理措施后高空排放，及时疏散本能受影响的人员</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包括周围企业的工作人员、周围居民</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，并设置警戒线禁止一切无关人员进入可能受影响的区域，及时向有关单位报告，</w:t>
      </w:r>
    </w:p>
    <w:p w14:paraId="486F5D3E">
      <w:pPr>
        <w:pStyle w:val="5"/>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2.7.8</w:t>
      </w:r>
      <w:r>
        <w:rPr>
          <w:rFonts w:hint="default"/>
          <w:color w:val="000000" w:themeColor="text1"/>
          <w:highlight w:val="none"/>
          <w:lang w:val="en-US" w:eastAsia="zh-CN"/>
          <w14:textFill>
            <w14:solidFill>
              <w14:schemeClr w14:val="tx1"/>
            </w14:solidFill>
          </w14:textFill>
        </w:rPr>
        <w:t>环境风险影响分析</w:t>
      </w:r>
    </w:p>
    <w:p w14:paraId="3406240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大气环境影响</w:t>
      </w:r>
    </w:p>
    <w:p w14:paraId="72095852">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危险物质储罐泄漏时，泄漏的物质由液相转化为气相进入大气，通过扩散会对周围大气环境造成一定污染。本项目可信事故为储罐发生泄漏并引发火灾等事故。物质泄漏后，在开始的时候形成液池</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在最不利气象条件下，储罐周围一定范围内的人员，但由于本工程危险物质储量较小，未构成重大危险源，故不会造成大的人员伤亡。但本工程仍应在生产中严格管理、加强事故防范，定期对设备进行检查、维护，尽可能杜绝事故的发生，降低其对周围环境空气的危害程度。如果发生火灾，泄漏物燃烧后产物可能为二氧化硫和一氧化碳等，对大气环境产生影响较小。</w:t>
      </w:r>
    </w:p>
    <w:p w14:paraId="2E19034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地表水</w:t>
      </w:r>
      <w:r>
        <w:rPr>
          <w:rFonts w:hint="eastAsia"/>
          <w:color w:val="000000" w:themeColor="text1"/>
          <w:highlight w:val="none"/>
          <w:lang w:val="en-US" w:eastAsia="zh-CN"/>
          <w14:textFill>
            <w14:solidFill>
              <w14:schemeClr w14:val="tx1"/>
            </w14:solidFill>
          </w14:textFill>
        </w:rPr>
        <w:t>环境影响</w:t>
      </w:r>
    </w:p>
    <w:p w14:paraId="0684985B">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本项目事故情况下，</w:t>
      </w:r>
      <w:r>
        <w:rPr>
          <w:rFonts w:hint="eastAsia"/>
          <w:color w:val="000000" w:themeColor="text1"/>
          <w:highlight w:val="none"/>
          <w:lang w:val="en-US" w:eastAsia="zh-CN"/>
          <w14:textFill>
            <w14:solidFill>
              <w14:schemeClr w14:val="tx1"/>
            </w14:solidFill>
          </w14:textFill>
        </w:rPr>
        <w:t>泄漏</w:t>
      </w:r>
      <w:r>
        <w:rPr>
          <w:rFonts w:hint="default"/>
          <w:color w:val="000000" w:themeColor="text1"/>
          <w:highlight w:val="none"/>
          <w:lang w:val="en-US" w:eastAsia="zh-CN"/>
          <w14:textFill>
            <w14:solidFill>
              <w14:schemeClr w14:val="tx1"/>
            </w14:solidFill>
          </w14:textFill>
        </w:rPr>
        <w:t>的物料均</w:t>
      </w:r>
      <w:r>
        <w:rPr>
          <w:rFonts w:hint="eastAsia"/>
          <w:color w:val="000000" w:themeColor="text1"/>
          <w:highlight w:val="none"/>
          <w:lang w:val="en-US" w:eastAsia="zh-CN"/>
          <w14:textFill>
            <w14:solidFill>
              <w14:schemeClr w14:val="tx1"/>
            </w14:solidFill>
          </w14:textFill>
        </w:rPr>
        <w:t>泄漏</w:t>
      </w:r>
      <w:r>
        <w:rPr>
          <w:rFonts w:hint="default"/>
          <w:color w:val="000000" w:themeColor="text1"/>
          <w:highlight w:val="none"/>
          <w:lang w:val="en-US" w:eastAsia="zh-CN"/>
          <w14:textFill>
            <w14:solidFill>
              <w14:schemeClr w14:val="tx1"/>
            </w14:solidFill>
          </w14:textFill>
        </w:rPr>
        <w:t>于厂区内已经硬化的地面上，同时项目与地表水体不发生水力联系。因此，事故情况下，</w:t>
      </w:r>
      <w:r>
        <w:rPr>
          <w:rFonts w:hint="eastAsia"/>
          <w:color w:val="000000" w:themeColor="text1"/>
          <w:highlight w:val="none"/>
          <w:lang w:val="en-US" w:eastAsia="zh-CN"/>
          <w14:textFill>
            <w14:solidFill>
              <w14:schemeClr w14:val="tx1"/>
            </w14:solidFill>
          </w14:textFill>
        </w:rPr>
        <w:t>泄漏</w:t>
      </w:r>
      <w:r>
        <w:rPr>
          <w:rFonts w:hint="default"/>
          <w:color w:val="000000" w:themeColor="text1"/>
          <w:highlight w:val="none"/>
          <w:lang w:val="en-US" w:eastAsia="zh-CN"/>
          <w14:textFill>
            <w14:solidFill>
              <w14:schemeClr w14:val="tx1"/>
            </w14:solidFill>
          </w14:textFill>
        </w:rPr>
        <w:t>的物料对地表水环境无影响。</w:t>
      </w:r>
    </w:p>
    <w:p w14:paraId="5B18B275">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地下水</w:t>
      </w:r>
      <w:r>
        <w:rPr>
          <w:rFonts w:hint="eastAsia"/>
          <w:color w:val="000000" w:themeColor="text1"/>
          <w:highlight w:val="none"/>
          <w:lang w:val="en-US" w:eastAsia="zh-CN"/>
          <w14:textFill>
            <w14:solidFill>
              <w14:schemeClr w14:val="tx1"/>
            </w14:solidFill>
          </w14:textFill>
        </w:rPr>
        <w:t>环境影响</w:t>
      </w:r>
    </w:p>
    <w:p w14:paraId="7639ABE8">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项目区不位于饮用水源保护区，厂区生产车间全部进行严格防渗、防腐、硬化，事故发生后，会被集水设施收集，通过下渗、地下径流污染周围水环境的可能较小。营运期内原料及罐区若发生泄漏</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在不发生爆炸及火灾情况下</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，泄漏的物料会蔓延至厂区内已经硬化的地面上，在发生泄漏后，厂内工作人员将及时清理，因此，若发生泄漏等事故不会对地下水造成影响。</w:t>
      </w:r>
    </w:p>
    <w:p w14:paraId="77E0C1AB">
      <w:pPr>
        <w:pStyle w:val="5"/>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2.7.9</w:t>
      </w:r>
      <w:r>
        <w:rPr>
          <w:rFonts w:hint="default"/>
          <w:color w:val="000000" w:themeColor="text1"/>
          <w:highlight w:val="none"/>
          <w:lang w:val="en-US" w:eastAsia="zh-CN"/>
          <w14:textFill>
            <w14:solidFill>
              <w14:schemeClr w14:val="tx1"/>
            </w14:solidFill>
          </w14:textFill>
        </w:rPr>
        <w:t>环境风险防范措施</w:t>
      </w:r>
    </w:p>
    <w:p w14:paraId="43598696">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（1）规范建设事故水池 </w:t>
      </w:r>
    </w:p>
    <w:p w14:paraId="51BDE324">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配套建设有事故应急池，雨、污水外排管道设截止阀，一旦发生事故，建设单位应在第一时间停止设备运行，及时关闭雨、污排放口的应急阀门，引导事故废水进入事故应急池。以便及时采取补救措施，减少对项目区周边水环境的影响。待事故处理完毕后才能恢复运行；</w:t>
      </w:r>
    </w:p>
    <w:p w14:paraId="0608AC6D">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本项目水环境风险防范措施为事故池以应对可能存在的废水排放事故。参考中石化建标</w:t>
      </w:r>
      <w:r>
        <w:rPr>
          <w:rFonts w:hint="eastAsia" w:ascii="仿宋" w:hAnsi="仿宋" w:eastAsia="仿宋" w:cs="仿宋"/>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2006</w:t>
      </w:r>
      <w:r>
        <w:rPr>
          <w:rFonts w:hint="eastAsia" w:ascii="仿宋" w:hAnsi="仿宋" w:eastAsia="仿宋" w:cs="仿宋"/>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43</w:t>
      </w:r>
      <w:r>
        <w:rPr>
          <w:rFonts w:hint="eastAsia"/>
          <w:color w:val="000000" w:themeColor="text1"/>
          <w:highlight w:val="none"/>
          <w:lang w:val="en-US" w:eastAsia="zh-CN"/>
          <w14:textFill>
            <w14:solidFill>
              <w14:schemeClr w14:val="tx1"/>
            </w14:solidFill>
          </w14:textFill>
        </w:rPr>
        <w:t>号文《关于印发</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水体污染防控紧急措施设计导则</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 xml:space="preserve">的通知》中指出，事故储存设施总有效容积的核算考虑以下几个方面： </w:t>
      </w:r>
    </w:p>
    <w:p w14:paraId="7FD87E5F">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eastAsia"/>
          <w:color w:val="000000" w:themeColor="text1"/>
          <w:highlight w:val="none"/>
          <w:vertAlign w:val="subscript"/>
          <w:lang w:val="en-US" w:eastAsia="zh-CN"/>
          <w14:textFill>
            <w14:solidFill>
              <w14:schemeClr w14:val="tx1"/>
            </w14:solidFill>
          </w14:textFill>
        </w:rPr>
        <w:t>总</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vertAlign w:val="subscript"/>
          <w:lang w:val="en-US" w:eastAsia="zh-CN"/>
          <w14:textFill>
            <w14:solidFill>
              <w14:schemeClr w14:val="tx1"/>
            </w14:solidFill>
          </w14:textFill>
        </w:rPr>
        <w:t>max</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5</w:t>
      </w:r>
    </w:p>
    <w:p w14:paraId="0D5E6138">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式中：</w:t>
      </w:r>
      <w:r>
        <w:rPr>
          <w:rFonts w:hint="default"/>
          <w:color w:val="000000" w:themeColor="text1"/>
          <w:highlight w:val="none"/>
          <w:lang w:val="en-US" w:eastAsia="zh-CN"/>
          <w14:textFill>
            <w14:solidFill>
              <w14:schemeClr w14:val="tx1"/>
            </w14:solidFill>
          </w14:textFill>
        </w:rPr>
        <w:t>V</w:t>
      </w:r>
      <w:r>
        <w:rPr>
          <w:rFonts w:hint="eastAsia"/>
          <w:color w:val="000000" w:themeColor="text1"/>
          <w:highlight w:val="none"/>
          <w:vertAlign w:val="subscript"/>
          <w:lang w:val="en-US" w:eastAsia="zh-CN"/>
          <w14:textFill>
            <w14:solidFill>
              <w14:schemeClr w14:val="tx1"/>
            </w14:solidFill>
          </w14:textFill>
        </w:rPr>
        <w:t>总</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事故水池的有效容积，</w:t>
      </w:r>
      <w:r>
        <w:rPr>
          <w:rFonts w:hint="default"/>
          <w:color w:val="000000" w:themeColor="text1"/>
          <w:highlight w:val="none"/>
          <w:lang w:val="en-US" w:eastAsia="zh-CN"/>
          <w14:textFill>
            <w14:solidFill>
              <w14:schemeClr w14:val="tx1"/>
            </w14:solidFill>
          </w14:textFill>
        </w:rPr>
        <w:t>m³</w:t>
      </w:r>
      <w:r>
        <w:rPr>
          <w:rFonts w:hint="eastAsia"/>
          <w:color w:val="000000" w:themeColor="text1"/>
          <w:highlight w:val="none"/>
          <w:lang w:val="en-US" w:eastAsia="zh-CN"/>
          <w14:textFill>
            <w14:solidFill>
              <w14:schemeClr w14:val="tx1"/>
            </w14:solidFill>
          </w14:textFill>
        </w:rPr>
        <w:t xml:space="preserve">； </w:t>
      </w:r>
    </w:p>
    <w:p w14:paraId="27A729C4">
      <w:pPr>
        <w:bidi w:val="0"/>
        <w:ind w:firstLine="1200" w:firstLineChars="50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 xml:space="preserve">收集系统范围内发生事故的储罐或装置的物料量； </w:t>
      </w:r>
    </w:p>
    <w:p w14:paraId="6D3934ED">
      <w:pPr>
        <w:bidi w:val="0"/>
        <w:ind w:firstLine="1200" w:firstLineChars="50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发生事故的一次最大消防水用量，</w:t>
      </w:r>
      <w:r>
        <w:rPr>
          <w:rFonts w:hint="default"/>
          <w:color w:val="000000" w:themeColor="text1"/>
          <w:highlight w:val="none"/>
          <w:lang w:val="en-US" w:eastAsia="zh-CN"/>
          <w14:textFill>
            <w14:solidFill>
              <w14:schemeClr w14:val="tx1"/>
            </w14:solidFill>
          </w14:textFill>
        </w:rPr>
        <w:t>m³</w:t>
      </w:r>
      <w:r>
        <w:rPr>
          <w:rFonts w:hint="eastAsia"/>
          <w:color w:val="000000" w:themeColor="text1"/>
          <w:highlight w:val="none"/>
          <w:lang w:val="en-US" w:eastAsia="zh-CN"/>
          <w14:textFill>
            <w14:solidFill>
              <w14:schemeClr w14:val="tx1"/>
            </w14:solidFill>
          </w14:textFill>
        </w:rPr>
        <w:t xml:space="preserve">； </w:t>
      </w:r>
    </w:p>
    <w:p w14:paraId="499E69B2">
      <w:pPr>
        <w:bidi w:val="0"/>
        <w:ind w:firstLine="1200" w:firstLineChars="50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发生事故时可以转输到其它储存或处理设施的物料量，</w:t>
      </w:r>
      <w:r>
        <w:rPr>
          <w:rFonts w:hint="default"/>
          <w:color w:val="000000" w:themeColor="text1"/>
          <w:highlight w:val="none"/>
          <w:lang w:val="en-US" w:eastAsia="zh-CN"/>
          <w14:textFill>
            <w14:solidFill>
              <w14:schemeClr w14:val="tx1"/>
            </w14:solidFill>
          </w14:textFill>
        </w:rPr>
        <w:t>m³</w:t>
      </w:r>
      <w:r>
        <w:rPr>
          <w:rFonts w:hint="eastAsia"/>
          <w:color w:val="000000" w:themeColor="text1"/>
          <w:highlight w:val="none"/>
          <w:lang w:val="en-US" w:eastAsia="zh-CN"/>
          <w14:textFill>
            <w14:solidFill>
              <w14:schemeClr w14:val="tx1"/>
            </w14:solidFill>
          </w14:textFill>
        </w:rPr>
        <w:t xml:space="preserve">； </w:t>
      </w:r>
    </w:p>
    <w:p w14:paraId="238FAE7E">
      <w:pPr>
        <w:bidi w:val="0"/>
        <w:ind w:firstLine="1200" w:firstLineChars="50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vertAlign w:val="subscript"/>
          <w:lang w:val="en-US" w:eastAsia="zh-CN"/>
          <w14:textFill>
            <w14:solidFill>
              <w14:schemeClr w14:val="tx1"/>
            </w14:solidFill>
          </w14:textFill>
        </w:rPr>
        <w:t>max</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对收集系统范围内不同装置区或罐区分别计算</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 xml:space="preserve">而取出的最大值，也即是最大事故处； </w:t>
      </w:r>
    </w:p>
    <w:p w14:paraId="230C0F2D">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发生事故时仍必须进入该收集池的生产废水量，</w:t>
      </w:r>
      <w:r>
        <w:rPr>
          <w:rFonts w:hint="default"/>
          <w:color w:val="000000" w:themeColor="text1"/>
          <w:highlight w:val="none"/>
          <w:lang w:val="en-US" w:eastAsia="zh-CN"/>
          <w14:textFill>
            <w14:solidFill>
              <w14:schemeClr w14:val="tx1"/>
            </w14:solidFill>
          </w14:textFill>
        </w:rPr>
        <w:t>m³</w:t>
      </w:r>
      <w:r>
        <w:rPr>
          <w:rFonts w:hint="eastAsia"/>
          <w:color w:val="000000" w:themeColor="text1"/>
          <w:highlight w:val="none"/>
          <w:lang w:val="en-US" w:eastAsia="zh-CN"/>
          <w14:textFill>
            <w14:solidFill>
              <w14:schemeClr w14:val="tx1"/>
            </w14:solidFill>
          </w14:textFill>
        </w:rPr>
        <w:t xml:space="preserve">； </w:t>
      </w:r>
    </w:p>
    <w:p w14:paraId="3DF0276E">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 xml:space="preserve">发生事故时可能进入该收集池的降雨量，按《水体污染防控紧急措施设计导则》中规定，降雨强度按一年内降雨天数内的平均日降雨强度计； </w:t>
      </w:r>
    </w:p>
    <w:p w14:paraId="1FF15C25">
      <w:pPr>
        <w:bidi w:val="0"/>
        <w:rPr>
          <w:color w:val="000000" w:themeColor="text1"/>
          <w:highlight w:val="none"/>
          <w:vertAlign w:val="subscript"/>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q</w:t>
      </w:r>
      <w:r>
        <w:rPr>
          <w:rFonts w:hint="default"/>
          <w:color w:val="000000" w:themeColor="text1"/>
          <w:highlight w:val="none"/>
          <w:vertAlign w:val="subscript"/>
          <w:lang w:val="en-US" w:eastAsia="zh-CN"/>
          <w14:textFill>
            <w14:solidFill>
              <w14:schemeClr w14:val="tx1"/>
            </w14:solidFill>
          </w14:textFill>
        </w:rPr>
        <w:t>a</w:t>
      </w:r>
      <w:r>
        <w:rPr>
          <w:rFonts w:hint="default"/>
          <w:color w:val="000000" w:themeColor="text1"/>
          <w:highlight w:val="none"/>
          <w:lang w:val="en-US" w:eastAsia="zh-CN"/>
          <w14:textFill>
            <w14:solidFill>
              <w14:schemeClr w14:val="tx1"/>
            </w14:solidFill>
          </w14:textFill>
        </w:rPr>
        <w:t>/n</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 xml:space="preserve">F </w:t>
      </w:r>
    </w:p>
    <w:p w14:paraId="121CB9D0">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式中：</w:t>
      </w:r>
      <w:r>
        <w:rPr>
          <w:rFonts w:hint="default"/>
          <w:color w:val="000000" w:themeColor="text1"/>
          <w:highlight w:val="none"/>
          <w:lang w:val="en-US" w:eastAsia="zh-CN"/>
          <w14:textFill>
            <w14:solidFill>
              <w14:schemeClr w14:val="tx1"/>
            </w14:solidFill>
          </w14:textFill>
        </w:rPr>
        <w:t>q</w:t>
      </w:r>
      <w:r>
        <w:rPr>
          <w:rFonts w:hint="default"/>
          <w:color w:val="000000" w:themeColor="text1"/>
          <w:highlight w:val="none"/>
          <w:vertAlign w:val="subscript"/>
          <w:lang w:val="en-US" w:eastAsia="zh-CN"/>
          <w14:textFill>
            <w14:solidFill>
              <w14:schemeClr w14:val="tx1"/>
            </w14:solidFill>
          </w14:textFill>
        </w:rPr>
        <w:t>a</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年平均降雨量，</w:t>
      </w:r>
      <w:r>
        <w:rPr>
          <w:rFonts w:hint="default"/>
          <w:color w:val="000000" w:themeColor="text1"/>
          <w:highlight w:val="none"/>
          <w:lang w:val="en-US" w:eastAsia="zh-CN"/>
          <w14:textFill>
            <w14:solidFill>
              <w14:schemeClr w14:val="tx1"/>
            </w14:solidFill>
          </w14:textFill>
        </w:rPr>
        <w:t>mm</w:t>
      </w:r>
      <w:r>
        <w:rPr>
          <w:rFonts w:hint="eastAsia"/>
          <w:color w:val="000000" w:themeColor="text1"/>
          <w:highlight w:val="none"/>
          <w:lang w:val="en-US" w:eastAsia="zh-CN"/>
          <w14:textFill>
            <w14:solidFill>
              <w14:schemeClr w14:val="tx1"/>
            </w14:solidFill>
          </w14:textFill>
        </w:rPr>
        <w:t>；</w:t>
      </w:r>
    </w:p>
    <w:p w14:paraId="55DB0067">
      <w:pPr>
        <w:bidi w:val="0"/>
        <w:ind w:firstLine="1200" w:firstLineChars="50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n—</w:t>
      </w:r>
      <w:r>
        <w:rPr>
          <w:rFonts w:hint="eastAsia"/>
          <w:color w:val="000000" w:themeColor="text1"/>
          <w:highlight w:val="none"/>
          <w:lang w:val="en-US" w:eastAsia="zh-CN"/>
          <w14:textFill>
            <w14:solidFill>
              <w14:schemeClr w14:val="tx1"/>
            </w14:solidFill>
          </w14:textFill>
        </w:rPr>
        <w:t>年平均降雨日数，</w:t>
      </w:r>
      <w:r>
        <w:rPr>
          <w:rFonts w:hint="default"/>
          <w:color w:val="000000" w:themeColor="text1"/>
          <w:highlight w:val="none"/>
          <w:lang w:val="en-US" w:eastAsia="zh-CN"/>
          <w14:textFill>
            <w14:solidFill>
              <w14:schemeClr w14:val="tx1"/>
            </w14:solidFill>
          </w14:textFill>
        </w:rPr>
        <w:t>d</w:t>
      </w:r>
      <w:r>
        <w:rPr>
          <w:rFonts w:hint="eastAsia"/>
          <w:color w:val="000000" w:themeColor="text1"/>
          <w:highlight w:val="none"/>
          <w:lang w:val="en-US" w:eastAsia="zh-CN"/>
          <w14:textFill>
            <w14:solidFill>
              <w14:schemeClr w14:val="tx1"/>
            </w14:solidFill>
          </w14:textFill>
        </w:rPr>
        <w:t>；</w:t>
      </w:r>
    </w:p>
    <w:p w14:paraId="29D9DFAA">
      <w:pPr>
        <w:bidi w:val="0"/>
        <w:ind w:firstLine="1200" w:firstLineChars="50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F—</w:t>
      </w:r>
      <w:r>
        <w:rPr>
          <w:rFonts w:hint="eastAsia"/>
          <w:color w:val="000000" w:themeColor="text1"/>
          <w:highlight w:val="none"/>
          <w:lang w:val="en-US" w:eastAsia="zh-CN"/>
          <w14:textFill>
            <w14:solidFill>
              <w14:schemeClr w14:val="tx1"/>
            </w14:solidFill>
          </w14:textFill>
        </w:rPr>
        <w:t>必须进入事故池的雨水汇水面积，</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w:t>
      </w:r>
    </w:p>
    <w:p w14:paraId="62205845">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：按照项目最大储罐进行考虑，项目硫酸储罐最大容量30</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，故在事故状态下，将有30</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 xml:space="preserve">的物料泄漏。 </w:t>
      </w:r>
    </w:p>
    <w:p w14:paraId="12031177">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：根据</w:t>
      </w:r>
      <w:r>
        <w:rPr>
          <w:rFonts w:hint="default"/>
          <w:color w:val="000000" w:themeColor="text1"/>
          <w:highlight w:val="none"/>
          <w:lang w:val="en-US" w:eastAsia="zh-CN"/>
          <w14:textFill>
            <w14:solidFill>
              <w14:schemeClr w14:val="tx1"/>
            </w14:solidFill>
          </w14:textFill>
        </w:rPr>
        <w:t>《建筑设计防火规范》</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GB50016-2014</w:t>
      </w:r>
      <w:r>
        <w:rPr>
          <w:rFonts w:hint="eastAsia"/>
          <w:color w:val="000000" w:themeColor="text1"/>
          <w:highlight w:val="none"/>
          <w:lang w:val="en-US" w:eastAsia="zh-CN"/>
          <w14:textFill>
            <w14:solidFill>
              <w14:schemeClr w14:val="tx1"/>
            </w14:solidFill>
          </w14:textFill>
        </w:rPr>
        <w:t xml:space="preserve">）（2018年版）规定，本项目室外消火栓消防水用量为 </w:t>
      </w:r>
      <w:r>
        <w:rPr>
          <w:rFonts w:hint="default"/>
          <w:color w:val="000000" w:themeColor="text1"/>
          <w:highlight w:val="none"/>
          <w:lang w:val="en-US" w:eastAsia="zh-CN"/>
          <w14:textFill>
            <w14:solidFill>
              <w14:schemeClr w14:val="tx1"/>
            </w14:solidFill>
          </w14:textFill>
        </w:rPr>
        <w:t>30L/s</w:t>
      </w:r>
      <w:r>
        <w:rPr>
          <w:rFonts w:hint="eastAsia"/>
          <w:color w:val="000000" w:themeColor="text1"/>
          <w:highlight w:val="none"/>
          <w:lang w:val="en-US" w:eastAsia="zh-CN"/>
          <w14:textFill>
            <w14:solidFill>
              <w14:schemeClr w14:val="tx1"/>
            </w14:solidFill>
          </w14:textFill>
        </w:rPr>
        <w:t>，室内消火栓消防水用量为</w:t>
      </w:r>
      <w:r>
        <w:rPr>
          <w:rFonts w:hint="default"/>
          <w:color w:val="000000" w:themeColor="text1"/>
          <w:highlight w:val="none"/>
          <w:lang w:val="en-US" w:eastAsia="zh-CN"/>
          <w14:textFill>
            <w14:solidFill>
              <w14:schemeClr w14:val="tx1"/>
            </w14:solidFill>
          </w14:textFill>
        </w:rPr>
        <w:t>10L/s</w:t>
      </w:r>
      <w:r>
        <w:rPr>
          <w:rFonts w:hint="eastAsia"/>
          <w:color w:val="000000" w:themeColor="text1"/>
          <w:highlight w:val="none"/>
          <w:lang w:val="en-US" w:eastAsia="zh-CN"/>
          <w14:textFill>
            <w14:solidFill>
              <w14:schemeClr w14:val="tx1"/>
            </w14:solidFill>
          </w14:textFill>
        </w:rPr>
        <w:t>，一次灭火持续时间按1小时计，同一时间内火灾次数为</w:t>
      </w:r>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次，则一次火灾灭火消防用水量为144</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 xml:space="preserve">。 </w:t>
      </w:r>
    </w:p>
    <w:p w14:paraId="0D69841E">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：本项目发生事故后，没有可以转输到其它储存或处理设施的物料量，因此，</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w:t>
      </w:r>
    </w:p>
    <w:p w14:paraId="008858A6">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：发生事故时仍必须进入该收集池的生产废水量</w:t>
      </w:r>
      <w:r>
        <w:rPr>
          <w:rFonts w:hint="default"/>
          <w:color w:val="000000" w:themeColor="text1"/>
          <w:highlight w:val="none"/>
          <w:lang w:val="en-US" w:eastAsia="zh-CN"/>
          <w14:textFill>
            <w14:solidFill>
              <w14:schemeClr w14:val="tx1"/>
            </w14:solidFill>
          </w14:textFill>
        </w:rPr>
        <w:t>V4</w:t>
      </w:r>
      <w:r>
        <w:rPr>
          <w:rFonts w:hint="eastAsia"/>
          <w:color w:val="000000" w:themeColor="text1"/>
          <w:highlight w:val="none"/>
          <w:lang w:val="en-US" w:eastAsia="zh-CN"/>
          <w14:textFill>
            <w14:solidFill>
              <w14:schemeClr w14:val="tx1"/>
            </w14:solidFill>
          </w14:textFill>
        </w:rPr>
        <w:t>为0</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p>
    <w:p w14:paraId="039D21C0">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：本项目发生消防事故时，必须进入事故水池的雨水汇水面积，年平均降雨量为44.6~60.8</w:t>
      </w:r>
      <w:r>
        <w:rPr>
          <w:rFonts w:hint="default"/>
          <w:color w:val="000000" w:themeColor="text1"/>
          <w:highlight w:val="none"/>
          <w:lang w:val="en-US" w:eastAsia="zh-CN"/>
          <w14:textFill>
            <w14:solidFill>
              <w14:schemeClr w14:val="tx1"/>
            </w14:solidFill>
          </w14:textFill>
        </w:rPr>
        <w:t>mm</w:t>
      </w:r>
      <w:r>
        <w:rPr>
          <w:rFonts w:hint="eastAsia"/>
          <w:color w:val="000000" w:themeColor="text1"/>
          <w:highlight w:val="none"/>
          <w:lang w:val="en-US" w:eastAsia="zh-CN"/>
          <w14:textFill>
            <w14:solidFill>
              <w14:schemeClr w14:val="tx1"/>
            </w14:solidFill>
          </w14:textFill>
        </w:rPr>
        <w:t>，本次按60.8</w:t>
      </w:r>
      <w:r>
        <w:rPr>
          <w:rFonts w:hint="default"/>
          <w:color w:val="000000" w:themeColor="text1"/>
          <w:highlight w:val="none"/>
          <w:lang w:val="en-US" w:eastAsia="zh-CN"/>
          <w14:textFill>
            <w14:solidFill>
              <w14:schemeClr w14:val="tx1"/>
            </w14:solidFill>
          </w14:textFill>
        </w:rPr>
        <w:t>mm</w:t>
      </w:r>
      <w:r>
        <w:rPr>
          <w:rFonts w:hint="eastAsia"/>
          <w:color w:val="000000" w:themeColor="text1"/>
          <w:highlight w:val="none"/>
          <w:lang w:val="en-US" w:eastAsia="zh-CN"/>
          <w14:textFill>
            <w14:solidFill>
              <w14:schemeClr w14:val="tx1"/>
            </w14:solidFill>
          </w14:textFill>
        </w:rPr>
        <w:t>计，年平均降雨天数约为</w:t>
      </w:r>
      <w:r>
        <w:rPr>
          <w:rFonts w:hint="default"/>
          <w:color w:val="000000" w:themeColor="text1"/>
          <w:highlight w:val="none"/>
          <w:lang w:val="en-US"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天，则发生消防事故时进入事故水池的降雨量为5.65</w:t>
      </w:r>
      <w:r>
        <w:rPr>
          <w:rFonts w:hint="default"/>
          <w:color w:val="000000" w:themeColor="text1"/>
          <w:highlight w:val="none"/>
          <w:lang w:val="en-US" w:eastAsia="zh-CN"/>
          <w14:textFill>
            <w14:solidFill>
              <w14:schemeClr w14:val="tx1"/>
            </w14:solidFill>
          </w14:textFill>
        </w:rPr>
        <w:t>m³</w:t>
      </w:r>
      <w:r>
        <w:rPr>
          <w:rFonts w:hint="eastAsia"/>
          <w:color w:val="000000" w:themeColor="text1"/>
          <w:highlight w:val="none"/>
          <w:lang w:val="en-US" w:eastAsia="zh-CN"/>
          <w14:textFill>
            <w14:solidFill>
              <w14:schemeClr w14:val="tx1"/>
            </w14:solidFill>
          </w14:textFill>
        </w:rPr>
        <w:t>，则</w:t>
      </w:r>
      <w:r>
        <w:rPr>
          <w:rFonts w:hint="default"/>
          <w:color w:val="000000" w:themeColor="text1"/>
          <w:highlight w:val="none"/>
          <w:lang w:val="en-US" w:eastAsia="zh-CN"/>
          <w14:textFill>
            <w14:solidFill>
              <w14:schemeClr w14:val="tx1"/>
            </w14:solidFill>
          </w14:textFill>
        </w:rPr>
        <w:t>V5=</w:t>
      </w:r>
      <w:r>
        <w:rPr>
          <w:rFonts w:hint="eastAsia"/>
          <w:color w:val="000000" w:themeColor="text1"/>
          <w:highlight w:val="none"/>
          <w:lang w:val="en-US" w:eastAsia="zh-CN"/>
          <w14:textFill>
            <w14:solidFill>
              <w14:schemeClr w14:val="tx1"/>
            </w14:solidFill>
          </w14:textFill>
        </w:rPr>
        <w:t>3.65</w:t>
      </w:r>
      <w:r>
        <w:rPr>
          <w:rFonts w:hint="default"/>
          <w:color w:val="000000" w:themeColor="text1"/>
          <w:highlight w:val="none"/>
          <w:lang w:val="en-US" w:eastAsia="zh-CN"/>
          <w14:textFill>
            <w14:solidFill>
              <w14:schemeClr w14:val="tx1"/>
            </w14:solidFill>
          </w14:textFill>
        </w:rPr>
        <w:t>m³</w:t>
      </w:r>
      <w:r>
        <w:rPr>
          <w:rFonts w:hint="eastAsia"/>
          <w:color w:val="000000" w:themeColor="text1"/>
          <w:highlight w:val="none"/>
          <w:lang w:val="en-US" w:eastAsia="zh-CN"/>
          <w14:textFill>
            <w14:solidFill>
              <w14:schemeClr w14:val="tx1"/>
            </w14:solidFill>
          </w14:textFill>
        </w:rPr>
        <w:t xml:space="preserve">。 </w:t>
      </w:r>
    </w:p>
    <w:p w14:paraId="27702EE5">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V</w:t>
      </w:r>
      <w:r>
        <w:rPr>
          <w:rFonts w:hint="eastAsia"/>
          <w:color w:val="000000" w:themeColor="text1"/>
          <w:highlight w:val="none"/>
          <w:vertAlign w:val="subscript"/>
          <w:lang w:val="en-US" w:eastAsia="zh-CN"/>
          <w14:textFill>
            <w14:solidFill>
              <w14:schemeClr w14:val="tx1"/>
            </w14:solidFill>
          </w14:textFill>
        </w:rPr>
        <w:t>总</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vertAlign w:val="subscript"/>
          <w:lang w:val="en-US" w:eastAsia="zh-CN"/>
          <w14:textFill>
            <w14:solidFill>
              <w14:schemeClr w14:val="tx1"/>
            </w14:solidFill>
          </w14:textFill>
        </w:rPr>
        <w:t>max</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+V</w:t>
      </w:r>
      <w:r>
        <w:rPr>
          <w:rFonts w:hint="default"/>
          <w:color w:val="000000" w:themeColor="text1"/>
          <w:highlight w:val="none"/>
          <w:vertAlign w:val="subscript"/>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177.65</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 xml:space="preserve"> </w:t>
      </w:r>
    </w:p>
    <w:p w14:paraId="0F111463">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综上，本项目设置事故应急池容积180</w:t>
      </w:r>
      <w:r>
        <w:rPr>
          <w:rFonts w:hint="default"/>
          <w:color w:val="000000" w:themeColor="text1"/>
          <w:highlight w:val="none"/>
          <w:lang w:val="en-US" w:eastAsia="zh-CN"/>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 xml:space="preserve">，满足本项目消防、应急事故废水存放。 </w:t>
      </w:r>
    </w:p>
    <w:p w14:paraId="261FD233">
      <w:pPr>
        <w:bidi w:val="0"/>
        <w:rPr>
          <w:rFonts w:hint="default"/>
          <w:b w:val="0"/>
          <w:bCs w:val="0"/>
          <w:color w:val="000000" w:themeColor="text1"/>
          <w:highlight w:val="none"/>
          <w:lang w:val="en-US" w:eastAsia="zh-CN"/>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（2）硫酸罐区风险</w:t>
      </w:r>
      <w:r>
        <w:rPr>
          <w:rFonts w:hint="default"/>
          <w:b w:val="0"/>
          <w:bCs w:val="0"/>
          <w:color w:val="000000" w:themeColor="text1"/>
          <w:highlight w:val="none"/>
          <w:lang w:val="en-US" w:eastAsia="zh-CN"/>
          <w14:textFill>
            <w14:solidFill>
              <w14:schemeClr w14:val="tx1"/>
            </w14:solidFill>
          </w14:textFill>
        </w:rPr>
        <w:t>防范措施</w:t>
      </w:r>
    </w:p>
    <w:p w14:paraId="7B3F5D39">
      <w:pPr>
        <w:bidi w:val="0"/>
        <w:rPr>
          <w:rFonts w:hint="eastAsia"/>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项目</w:t>
      </w:r>
      <w:r>
        <w:rPr>
          <w:rFonts w:ascii="宋体" w:hAnsi="宋体" w:eastAsia="宋体" w:cs="宋体"/>
          <w:b w:val="0"/>
          <w:bCs w:val="0"/>
          <w:color w:val="000000" w:themeColor="text1"/>
          <w:sz w:val="24"/>
          <w:szCs w:val="24"/>
          <w:highlight w:val="none"/>
          <w14:textFill>
            <w14:solidFill>
              <w14:schemeClr w14:val="tx1"/>
            </w14:solidFill>
          </w14:textFill>
        </w:rPr>
        <w:t>新建卧式硫酸储罐罐区为重点防渗区，罐区四周建设耐酸防腐围堰，围堰有效容积不小于最大单罐容积；罐内地坪设置找坡及耐酸导流沟，泄漏硫酸可收集于围堰内，围堰地面及壁体实施重点防渗+耐酸防腐。围堰内事故酸液可通过耐酸泵转输回收，事故超量时依托厂区事故应急池收集，实现泄漏物料、事故废水全部截留不外排。</w:t>
      </w:r>
    </w:p>
    <w:p w14:paraId="633BBD07">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选址、总图布置及建筑安全防范措施</w:t>
      </w:r>
    </w:p>
    <w:p w14:paraId="62DBC4F0">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项目位于</w:t>
      </w:r>
      <w:r>
        <w:rPr>
          <w:rFonts w:hint="eastAsia"/>
          <w:color w:val="000000" w:themeColor="text1"/>
          <w:highlight w:val="none"/>
          <w:lang w:val="en-US" w:eastAsia="zh-CN"/>
          <w14:textFill>
            <w14:solidFill>
              <w14:schemeClr w14:val="tx1"/>
            </w14:solidFill>
          </w14:textFill>
        </w:rPr>
        <w:t>昌吉高新区</w:t>
      </w:r>
      <w:r>
        <w:rPr>
          <w:rFonts w:hint="default"/>
          <w:color w:val="000000" w:themeColor="text1"/>
          <w:highlight w:val="none"/>
          <w:lang w:val="en-US" w:eastAsia="zh-CN"/>
          <w14:textFill>
            <w14:solidFill>
              <w14:schemeClr w14:val="tx1"/>
            </w14:solidFill>
          </w14:textFill>
        </w:rPr>
        <w:t>，地理位置优越，交通运输便利。经调查评价范围内无文物、景观、水源保护地和自然保护区等环境保护目标。</w:t>
      </w:r>
    </w:p>
    <w:p w14:paraId="58B19C3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项目总图布置按《工业企业总平面设计规范》</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GB50187-2012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及《建筑设计防火规范》</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GB50016-2014</w:t>
      </w:r>
      <w:r>
        <w:rPr>
          <w:rFonts w:hint="eastAsia"/>
          <w:color w:val="000000" w:themeColor="text1"/>
          <w:highlight w:val="none"/>
          <w:lang w:val="en-US" w:eastAsia="zh-CN"/>
          <w14:textFill>
            <w14:solidFill>
              <w14:schemeClr w14:val="tx1"/>
            </w14:solidFill>
          </w14:textFill>
        </w:rPr>
        <w:t>）（2018年版）</w:t>
      </w:r>
      <w:r>
        <w:rPr>
          <w:rFonts w:hint="default"/>
          <w:color w:val="000000" w:themeColor="text1"/>
          <w:highlight w:val="none"/>
          <w:lang w:val="en-US" w:eastAsia="zh-CN"/>
          <w14:textFill>
            <w14:solidFill>
              <w14:schemeClr w14:val="tx1"/>
            </w14:solidFill>
          </w14:textFill>
        </w:rPr>
        <w:t>等标准规范的要求执行防火间距、耐火等级、防火分区的设置。</w:t>
      </w:r>
    </w:p>
    <w:p w14:paraId="08CD0210">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对钢结构框架、管道、扶梯和护栏等的机械强度，必须做好防高温、防腐蚀工作，维持钢构架的强度要求。</w:t>
      </w:r>
    </w:p>
    <w:p w14:paraId="0644E1BB">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建设单位在安全设施设计时，保证产品储桶等各类桶体与相关设施的安全间距满足相关标准的要求。</w:t>
      </w:r>
    </w:p>
    <w:p w14:paraId="21798F0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危险化学品储存安全防范措施</w:t>
      </w:r>
    </w:p>
    <w:p w14:paraId="62D37E8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危险化学品储存、装卸装置和设施，属于危险化学品建设项目安全许可范畴的，应严格遵照《危险化学品建设项目安全</w:t>
      </w:r>
      <w:r>
        <w:rPr>
          <w:rFonts w:hint="eastAsia"/>
          <w:color w:val="000000" w:themeColor="text1"/>
          <w:highlight w:val="none"/>
          <w:lang w:val="en-US" w:eastAsia="zh-CN"/>
          <w14:textFill>
            <w14:solidFill>
              <w14:schemeClr w14:val="tx1"/>
            </w14:solidFill>
          </w14:textFill>
        </w:rPr>
        <w:t>许可</w:t>
      </w:r>
      <w:r>
        <w:rPr>
          <w:rFonts w:hint="default"/>
          <w:color w:val="000000" w:themeColor="text1"/>
          <w:highlight w:val="none"/>
          <w:lang w:val="en-US" w:eastAsia="zh-CN"/>
          <w14:textFill>
            <w14:solidFill>
              <w14:schemeClr w14:val="tx1"/>
            </w14:solidFill>
          </w14:textFill>
        </w:rPr>
        <w:t>实施办法》等规定，获得安全生产行政许可后方可投入生产或使用</w:t>
      </w:r>
      <w:r>
        <w:rPr>
          <w:rFonts w:hint="eastAsia"/>
          <w:color w:val="000000" w:themeColor="text1"/>
          <w:highlight w:val="none"/>
          <w:lang w:val="en-US" w:eastAsia="zh-CN"/>
          <w14:textFill>
            <w14:solidFill>
              <w14:schemeClr w14:val="tx1"/>
            </w14:solidFill>
          </w14:textFill>
        </w:rPr>
        <w:t>；</w:t>
      </w:r>
    </w:p>
    <w:p w14:paraId="07244BA5">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危险化学品储存和装卸场所应符合卫生防护距离应符合要求</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场区内具有良好的自然通风条件</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功能分区内各项设施的布置应</w:t>
      </w:r>
      <w:r>
        <w:rPr>
          <w:rFonts w:hint="eastAsia"/>
          <w:color w:val="000000" w:themeColor="text1"/>
          <w:highlight w:val="none"/>
          <w:lang w:val="en-US" w:eastAsia="zh-CN"/>
          <w14:textFill>
            <w14:solidFill>
              <w14:schemeClr w14:val="tx1"/>
            </w14:solidFill>
          </w14:textFill>
        </w:rPr>
        <w:t>紧密</w:t>
      </w:r>
      <w:r>
        <w:rPr>
          <w:rFonts w:hint="default"/>
          <w:color w:val="000000" w:themeColor="text1"/>
          <w:highlight w:val="none"/>
          <w:lang w:val="en-US" w:eastAsia="zh-CN"/>
          <w14:textFill>
            <w14:solidFill>
              <w14:schemeClr w14:val="tx1"/>
            </w14:solidFill>
          </w14:textFill>
        </w:rPr>
        <w:t>、合理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功能分区内部和相互之间保持一定的通道和宽度</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储存和装卸场所应集中布置在厂区边缘地带，应在工厂全年最小频率风向的上方位</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储存场所应设有毒气体检测报警仪或</w:t>
      </w:r>
      <w:r>
        <w:rPr>
          <w:rFonts w:hint="eastAsia"/>
          <w:color w:val="000000" w:themeColor="text1"/>
          <w:highlight w:val="none"/>
          <w:lang w:val="en-US" w:eastAsia="zh-CN"/>
          <w14:textFill>
            <w14:solidFill>
              <w14:schemeClr w14:val="tx1"/>
            </w14:solidFill>
          </w14:textFill>
        </w:rPr>
        <w:t>可燃</w:t>
      </w:r>
      <w:r>
        <w:rPr>
          <w:rFonts w:hint="default"/>
          <w:color w:val="000000" w:themeColor="text1"/>
          <w:highlight w:val="none"/>
          <w:lang w:val="en-US" w:eastAsia="zh-CN"/>
          <w14:textFill>
            <w14:solidFill>
              <w14:schemeClr w14:val="tx1"/>
            </w14:solidFill>
          </w14:textFill>
        </w:rPr>
        <w:t>气体监测报警仪，并设置相应的安全标志</w:t>
      </w:r>
      <w:r>
        <w:rPr>
          <w:rFonts w:hint="eastAsia"/>
          <w:color w:val="000000" w:themeColor="text1"/>
          <w:highlight w:val="none"/>
          <w:lang w:val="en-US" w:eastAsia="zh-CN"/>
          <w14:textFill>
            <w14:solidFill>
              <w14:schemeClr w14:val="tx1"/>
            </w14:solidFill>
          </w14:textFill>
        </w:rPr>
        <w:t>；</w:t>
      </w:r>
    </w:p>
    <w:p w14:paraId="3817D1B0">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储罐材料的物理特性应适应在低温条件下工作，如低温条件下的抗拉抗压强度、低温冲击韧性、热胀系数等</w:t>
      </w:r>
      <w:r>
        <w:rPr>
          <w:rFonts w:hint="eastAsia"/>
          <w:color w:val="000000" w:themeColor="text1"/>
          <w:highlight w:val="none"/>
          <w:lang w:val="en-US" w:eastAsia="zh-CN"/>
          <w14:textFill>
            <w14:solidFill>
              <w14:schemeClr w14:val="tx1"/>
            </w14:solidFill>
          </w14:textFill>
        </w:rPr>
        <w:t>；</w:t>
      </w:r>
    </w:p>
    <w:p w14:paraId="0ED2F6AC">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绝热材料必须是不可燃，并有足够的强度，能承受消防水的冲击，当火蔓延到容器外壳时，绝热层不应出现熔化或沉降，绝热效果不应迅速下降，要求严格遵守有关储存的安全规定，具体包括《仓库防火安全管理规则》《建筑设计防火规范》和《易燃易爆化学物品消防安全监督管理办法》等。</w:t>
      </w:r>
    </w:p>
    <w:p w14:paraId="0B3847E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工艺技术设计安全防范措施</w:t>
      </w:r>
    </w:p>
    <w:p w14:paraId="3A4A91E5">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根据工艺要求设计主体生产装置，采用先进可靠的工艺技术和合理的工艺流程，装置设计考虑必要的裕度及操作弹性，危险操作单元应设置自动联锁保护系统，关键设备设置液位报警，当液位过高时自动报警，防止物料通过排空、真空管路误排。在可能接触酸、碱及其它腐蚀性化学品的作业场所均设置应急设施</w:t>
      </w:r>
      <w:r>
        <w:rPr>
          <w:rFonts w:hint="eastAsia"/>
          <w:color w:val="000000" w:themeColor="text1"/>
          <w:highlight w:val="none"/>
          <w:lang w:val="en-US" w:eastAsia="zh-CN"/>
          <w14:textFill>
            <w14:solidFill>
              <w14:schemeClr w14:val="tx1"/>
            </w14:solidFill>
          </w14:textFill>
        </w:rPr>
        <w:t>。</w:t>
      </w:r>
    </w:p>
    <w:p w14:paraId="490137A0">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自动控制及电气仪表设计安全防范措施</w:t>
      </w:r>
    </w:p>
    <w:p w14:paraId="6EF1585F">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对危险化学工艺单元，设置温度、压力监控设施，设温控联锁装置保证工艺参数在正常可控范围内，避免事故的发生。</w:t>
      </w:r>
    </w:p>
    <w:p w14:paraId="31E03A45">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公司所用仪表均按所处区域的防爆等级选用隔爆型仪表，爆炸危险场所采用防爆灯具。电缆敷设及配电间的设计均考虑防火、防爆要求。装置、存储区，均设防雷击、防静电系统。电缆尽可能采用地下敷设，紧急电源线及仪表电缆线布置在危险区域地上时，采用相应级别的电缆电线。装置区内电缆的选用充分考虑阻燃、环境腐蚀等不利因素。</w:t>
      </w:r>
    </w:p>
    <w:p w14:paraId="51797ED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装置区内所有正常不带电的金属外壳及爆炸危险区域内的工艺金属设备均可靠接地，装置内工作接地、防雷、防静电接地共用一套接地系统，接地电阻不大于4欧。烟囱设避雷针，单独接地，接地电阻不大于30欧。</w:t>
      </w:r>
    </w:p>
    <w:p w14:paraId="475A3522">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装置区内所有设备及可燃气体、可燃液体管道，在进出装置处设置静电接地设施，通过地下静电接地网和全厂静电接地网相连，及时消除在生产过程中</w:t>
      </w:r>
      <w:r>
        <w:rPr>
          <w:rFonts w:hint="eastAsia"/>
          <w:color w:val="000000" w:themeColor="text1"/>
          <w:highlight w:val="none"/>
          <w:lang w:val="en-US" w:eastAsia="zh-CN"/>
          <w14:textFill>
            <w14:solidFill>
              <w14:schemeClr w14:val="tx1"/>
            </w14:solidFill>
          </w14:textFill>
        </w:rPr>
        <w:t>积聚</w:t>
      </w:r>
      <w:r>
        <w:rPr>
          <w:rFonts w:hint="default"/>
          <w:color w:val="000000" w:themeColor="text1"/>
          <w:highlight w:val="none"/>
          <w:lang w:val="en-US" w:eastAsia="zh-CN"/>
          <w14:textFill>
            <w14:solidFill>
              <w14:schemeClr w14:val="tx1"/>
            </w14:solidFill>
          </w14:textFill>
        </w:rPr>
        <w:t>的静电危害。</w:t>
      </w:r>
    </w:p>
    <w:p w14:paraId="6CC5C030">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eastAsia="zh-CN"/>
          <w14:textFill>
            <w14:solidFill>
              <w14:schemeClr w14:val="tx1"/>
            </w14:solidFill>
          </w14:textFill>
        </w:rPr>
        <w:t>建立企业环境安全管理制度</w:t>
      </w:r>
    </w:p>
    <w:p w14:paraId="3E304166">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建立环境污染事故预防与应急体系及报告机制，制定突发环境污染事件应急预案并配备应急设备。</w:t>
      </w:r>
    </w:p>
    <w:p w14:paraId="4A29230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根据国家、行业及主管部门的法规和规定，企业必须认真贯彻“安全第一、预防为主”的方针和“谁主管，谁负责”的原则，根据企业的具体情况，制定相应的环境安全管理办法和实施细则，并悬挂公示。</w:t>
      </w:r>
    </w:p>
    <w:p w14:paraId="2FD42A3D">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设专职或兼职环保员，负责企业的环保工作。环保员应经过培训，具备一定的环保知识与技能，具有及时组织治理环境隐患和处理紧急状况的能力。</w:t>
      </w:r>
    </w:p>
    <w:p w14:paraId="60FCBFCF">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制定环保教育培训和定期进行环境安全检查制度，加强设备、管道、阀门等密封检查与维护，及时排除环境安全隐患，防止跑冒滴，最大限度地降低车间中有害物质的浓度，使之达到国家卫生标准的要求。积极配合单位主管部门处理环境安全事故。</w:t>
      </w:r>
    </w:p>
    <w:p w14:paraId="3883C93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加强安全生产教育</w:t>
      </w:r>
    </w:p>
    <w:p w14:paraId="482EFCFF">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让所有员工了解本厂各种原材料及废料的物理、化学和生理特性及其毒性以及所有的防范措施和环境影响等。</w:t>
      </w:r>
    </w:p>
    <w:p w14:paraId="261AA467">
      <w:pPr>
        <w:pStyle w:val="5"/>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2.7.10</w:t>
      </w:r>
      <w:r>
        <w:rPr>
          <w:rFonts w:hint="default"/>
          <w:color w:val="000000" w:themeColor="text1"/>
          <w:highlight w:val="none"/>
          <w:lang w:val="en-US" w:eastAsia="zh-CN"/>
          <w14:textFill>
            <w14:solidFill>
              <w14:schemeClr w14:val="tx1"/>
            </w14:solidFill>
          </w14:textFill>
        </w:rPr>
        <w:t>风险评价小结</w:t>
      </w:r>
    </w:p>
    <w:p w14:paraId="55E036A2">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根据项目分析，本项目环评风险评价等级为简单分析。潜在的风险主要有物料运输、储存、生产过程中泄漏、火灾、爆炸及环保治理措施发生故障导致事故排放的环境风险等。</w:t>
      </w:r>
    </w:p>
    <w:p w14:paraId="6009D04E">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建设单位应做好各项风险的预防和应急措施</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将其影响范围和程度控制在较小程度之内。同时，项目必须落实防渗漏措施以及应急措施，以免造成地下水环境和土壤的污染。因此，当发生风险事故启动应急预案并采取相应措施，可以把事故的危害程度降到最低程度，环境风险水平可以接受。</w:t>
      </w:r>
    </w:p>
    <w:p w14:paraId="476E33E9">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5.2.8现有工程拆建过程环境影响及防治措施</w:t>
      </w:r>
    </w:p>
    <w:p w14:paraId="0B634D5E">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本项目为异地扩建项目，本工程建成后，对现有工程减水剂</w:t>
      </w:r>
      <w:r>
        <w:rPr>
          <w:rFonts w:hint="eastAsia" w:ascii="Times New Roman" w:hAnsi="Times New Roman" w:eastAsia="宋体" w:cs="Times New Roman"/>
          <w:color w:val="000000" w:themeColor="text1"/>
          <w:highlight w:val="none"/>
          <w:lang w:val="en-US" w:eastAsia="zh-CN"/>
          <w14:textFill>
            <w14:solidFill>
              <w14:schemeClr w14:val="tx1"/>
            </w14:solidFill>
          </w14:textFill>
        </w:rPr>
        <w:t>生产线</w:t>
      </w:r>
      <w:r>
        <w:rPr>
          <w:rFonts w:hint="eastAsia"/>
          <w:color w:val="000000" w:themeColor="text1"/>
          <w:highlight w:val="none"/>
          <w:lang w:val="en-US" w:eastAsia="zh-CN"/>
          <w14:textFill>
            <w14:solidFill>
              <w14:schemeClr w14:val="tx1"/>
            </w14:solidFill>
          </w14:textFill>
        </w:rPr>
        <w:t>生产设备进行拆建，厂房退还出租单位。</w:t>
      </w:r>
    </w:p>
    <w:p w14:paraId="48CDBDF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拆建内容主要为各生产线生产设备的拆除，作业在厂房内部开展，不涉及土方工程，因此拆建过程中产生的环境影响主要为设备拆建过程中各类施工机械和运输车辆所排放的废气、少量扬尘；拆建过程中切割机等机械噪声、物料装卸噪声及汽车运输噪声、震动，以及拆建后废旧设备暂存对环境的影响。</w:t>
      </w:r>
    </w:p>
    <w:p w14:paraId="6CA550DA">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（1）废气环境影响及防治措施</w:t>
      </w:r>
    </w:p>
    <w:p w14:paraId="154ECB3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拆建内容主要为各生产线生产设备的拆除，作业在厂房内部开展，不涉及土方工程，因此拆建过程中产生的环境影响主要为设备拆建过程中各类施工机械和运输车辆所排放的废气、少量扬尘，拆建过程中需采取以下措施：</w:t>
      </w:r>
    </w:p>
    <w:p w14:paraId="55416C22">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①拆建作业全部在厂房内开展，厂房密闭，无需场外硬质围挡；作业尽量避免大风时段进行，采取分段作业、择时施工，厂房内配备洒水、移动式雾炮等降尘措施，抑制设备拆解产生的少量扬尘。</w:t>
      </w:r>
    </w:p>
    <w:p w14:paraId="30E18E1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②拆建活动产生的废钢、废铁等拆除物应当及时清运处理，需在厂房内划定区域临时堆放，堆放物料采取防尘遮盖，减少无组织扬尘产生。</w:t>
      </w:r>
    </w:p>
    <w:p w14:paraId="4854CA4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（2）噪声环境影响及防治措施</w:t>
      </w:r>
    </w:p>
    <w:p w14:paraId="3877E085">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拆除过程中产生的噪声主要为切割机等机械噪声、物料装卸噪声及汽车运输噪声。拆除过程中需采取以下措施：</w:t>
      </w:r>
    </w:p>
    <w:p w14:paraId="0AA2763D">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①合理安排高噪声施工作业的时间，夜间</w:t>
      </w:r>
      <w:r>
        <w:rPr>
          <w:rFonts w:hint="default"/>
          <w:color w:val="000000" w:themeColor="text1"/>
          <w:highlight w:val="none"/>
          <w:lang w:val="en-US" w:eastAsia="zh-CN"/>
          <w14:textFill>
            <w14:solidFill>
              <w14:schemeClr w14:val="tx1"/>
            </w14:solidFill>
          </w14:textFill>
        </w:rPr>
        <w:t>22</w:t>
      </w:r>
      <w:r>
        <w:rPr>
          <w:rFonts w:hint="eastAsia"/>
          <w:color w:val="000000" w:themeColor="text1"/>
          <w:highlight w:val="none"/>
          <w:lang w:val="en-US" w:eastAsia="zh-CN"/>
          <w14:textFill>
            <w14:solidFill>
              <w14:schemeClr w14:val="tx1"/>
            </w14:solidFill>
          </w14:textFill>
        </w:rPr>
        <w:t>点至次日8点严禁切割机等高噪声机械作业。如要在夜间超标施工需要向环境主管部门提出申请，获准后方可在指定日期内进行。</w:t>
      </w:r>
    </w:p>
    <w:p w14:paraId="4358A062">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②</w:t>
      </w:r>
      <w:r>
        <w:rPr>
          <w:color w:val="000000" w:themeColor="text1"/>
          <w:highlight w:val="none"/>
          <w14:textFill>
            <w14:solidFill>
              <w14:schemeClr w14:val="tx1"/>
            </w14:solidFill>
          </w14:textFill>
        </w:rPr>
        <w:t>设备装卸尽量轻拿轻放，避免产生高噪声。</w:t>
      </w:r>
    </w:p>
    <w:p w14:paraId="4076C346">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③本次拆建作业在厂房内部实施，依托厂房墙体作为隔声屏障，降低设备拆装、装卸噪声对厂外环境的影响。</w:t>
      </w:r>
    </w:p>
    <w:p w14:paraId="73ADCE19">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（3）固废影响及防治措施</w:t>
      </w:r>
    </w:p>
    <w:p w14:paraId="12B51972">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拆建过程中产生的固废：各生产设备以金属构件为主，附带少量木块、滤袋、保温棉等非金属构件；拆建过程中需采取以下措施：</w:t>
      </w:r>
    </w:p>
    <w:p w14:paraId="2C530E35">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①拆建过程产生的废旧设备集中收集堆放，金属构件、木块等一般固废回收利用；</w:t>
      </w:r>
    </w:p>
    <w:p w14:paraId="5E2C51D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拆建活动中应尽量减少固体废物的产生，拆建下来的固体废物分类堆存并及时清运，拆建物清运过程中采用封闭运输车辆，防止运输过程中固体废物遗撒和扬尘导致的二次污染。拆建作业尽量避开雨天，防止雨水淋滤固体废物造成土壤、地表水和地下水污染。</w:t>
      </w:r>
    </w:p>
    <w:p w14:paraId="1F291059">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③对于滤袋、保温棉等拆建物集中堆放并覆盖，防止扬尘和雨水淋洒，并委托外单位及时清运处理。</w:t>
      </w:r>
    </w:p>
    <w:p w14:paraId="5E450D90">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④对于拆建过程中产生的废机油，集中收集至专用废油桶，转运至公司危废暂存间贮存，委托有资质单位处置。</w:t>
      </w:r>
    </w:p>
    <w:p w14:paraId="60F1678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⑤对于可重复利用的拆建构件（电池、风机、电机等），及时运送至公司备品备件仓库妥善保管。</w:t>
      </w:r>
    </w:p>
    <w:p w14:paraId="57AA1B0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综上，在采取上述措施后，可将拆建过程产生的环境影响降至最小，对周边的环境影响较小。</w:t>
      </w:r>
    </w:p>
    <w:p w14:paraId="26E0A365">
      <w:pPr>
        <w:bidi w:val="0"/>
        <w:rPr>
          <w:rFonts w:hint="default"/>
          <w:color w:val="000000" w:themeColor="text1"/>
          <w:highlight w:val="none"/>
          <w:lang w:val="en-US" w:eastAsia="zh-CN"/>
          <w14:textFill>
            <w14:solidFill>
              <w14:schemeClr w14:val="tx1"/>
            </w14:solidFill>
          </w14:textFill>
        </w:rPr>
      </w:pPr>
    </w:p>
    <w:p w14:paraId="07277A93">
      <w:pPr>
        <w:bidi w:val="0"/>
        <w:rPr>
          <w:rFonts w:hint="default"/>
          <w:color w:val="000000" w:themeColor="text1"/>
          <w:highlight w:val="none"/>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B8525BD">
      <w:pPr>
        <w:pStyle w:val="2"/>
        <w:bidi w:val="0"/>
        <w:rPr>
          <w:rFonts w:hint="default"/>
          <w:color w:val="000000" w:themeColor="text1"/>
          <w:highlight w:val="none"/>
          <w:lang w:val="en-US" w:eastAsia="zh-CN"/>
          <w14:textFill>
            <w14:solidFill>
              <w14:schemeClr w14:val="tx1"/>
            </w14:solidFill>
          </w14:textFill>
        </w:rPr>
      </w:pPr>
      <w:bookmarkStart w:id="1083" w:name="_Toc27325"/>
      <w:bookmarkStart w:id="1084" w:name="_Toc349"/>
      <w:bookmarkStart w:id="1085" w:name="_Toc29648"/>
      <w:r>
        <w:rPr>
          <w:rFonts w:hint="eastAsia"/>
          <w:color w:val="000000" w:themeColor="text1"/>
          <w:highlight w:val="none"/>
          <w:lang w:val="en-US" w:eastAsia="zh-CN"/>
          <w14:textFill>
            <w14:solidFill>
              <w14:schemeClr w14:val="tx1"/>
            </w14:solidFill>
          </w14:textFill>
        </w:rPr>
        <w:t xml:space="preserve">6 </w:t>
      </w:r>
      <w:r>
        <w:rPr>
          <w:color w:val="000000" w:themeColor="text1"/>
          <w:highlight w:val="none"/>
          <w14:textFill>
            <w14:solidFill>
              <w14:schemeClr w14:val="tx1"/>
            </w14:solidFill>
          </w14:textFill>
        </w:rPr>
        <w:t>环境保护措施及其可行性论证</w:t>
      </w:r>
      <w:bookmarkEnd w:id="1083"/>
      <w:bookmarkEnd w:id="1084"/>
      <w:bookmarkEnd w:id="1085"/>
    </w:p>
    <w:p w14:paraId="2A9DE6B6">
      <w:pPr>
        <w:pStyle w:val="3"/>
        <w:bidi w:val="0"/>
        <w:rPr>
          <w:rFonts w:hint="default"/>
          <w:color w:val="000000" w:themeColor="text1"/>
          <w:highlight w:val="none"/>
          <w:lang w:val="en-US" w:eastAsia="zh-CN"/>
          <w14:textFill>
            <w14:solidFill>
              <w14:schemeClr w14:val="tx1"/>
            </w14:solidFill>
          </w14:textFill>
        </w:rPr>
      </w:pPr>
      <w:bookmarkStart w:id="1086" w:name="_Toc21170"/>
      <w:bookmarkStart w:id="1087" w:name="_Toc28607"/>
      <w:bookmarkStart w:id="1088" w:name="_Toc29446"/>
      <w:r>
        <w:rPr>
          <w:rFonts w:hint="eastAsia"/>
          <w:color w:val="000000" w:themeColor="text1"/>
          <w:highlight w:val="none"/>
          <w:lang w:val="en-US" w:eastAsia="zh-CN"/>
          <w14:textFill>
            <w14:solidFill>
              <w14:schemeClr w14:val="tx1"/>
            </w14:solidFill>
          </w14:textFill>
        </w:rPr>
        <w:t>6.1</w:t>
      </w:r>
      <w:bookmarkStart w:id="1089" w:name="_Toc25668"/>
      <w:bookmarkStart w:id="1090" w:name="_Toc3819"/>
      <w:bookmarkStart w:id="1091" w:name="_Toc24726"/>
      <w:bookmarkStart w:id="1092" w:name="_Toc26162"/>
      <w:bookmarkStart w:id="1093" w:name="_Toc26494"/>
      <w:bookmarkStart w:id="1094" w:name="_Toc6717"/>
      <w:bookmarkStart w:id="1095" w:name="_Toc424"/>
      <w:bookmarkStart w:id="1096" w:name="_Toc18927"/>
      <w:bookmarkStart w:id="1097" w:name="_Toc23209"/>
      <w:bookmarkStart w:id="1098" w:name="_Toc22178"/>
      <w:bookmarkStart w:id="1099" w:name="_Toc24329"/>
      <w:bookmarkStart w:id="1100" w:name="_Toc15143"/>
      <w:bookmarkStart w:id="1101" w:name="_Toc2430"/>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施工期污染防治措施及其可行性</w:t>
      </w:r>
      <w:bookmarkEnd w:id="1086"/>
      <w:bookmarkEnd w:id="1087"/>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Fonts w:hint="eastAsia"/>
          <w:color w:val="000000" w:themeColor="text1"/>
          <w:highlight w:val="none"/>
          <w:lang w:val="en-US" w:eastAsia="zh-CN"/>
          <w14:textFill>
            <w14:solidFill>
              <w14:schemeClr w14:val="tx1"/>
            </w14:solidFill>
          </w14:textFill>
        </w:rPr>
        <w:t xml:space="preserve"> </w:t>
      </w:r>
    </w:p>
    <w:p w14:paraId="4E218F33">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结合本项目施工特点，</w:t>
      </w:r>
      <w:r>
        <w:rPr>
          <w:rFonts w:ascii="Segoe UI Emoji" w:hAnsi="Segoe UI Emoji" w:eastAsia="Segoe UI Emoji" w:cs="Segoe UI Emoji"/>
          <w:i w:val="0"/>
          <w:iCs w:val="0"/>
          <w:caps w:val="0"/>
          <w:color w:val="000000" w:themeColor="text1"/>
          <w:spacing w:val="0"/>
          <w:sz w:val="24"/>
          <w:szCs w:val="24"/>
          <w:highlight w:val="none"/>
          <w14:textFill>
            <w14:solidFill>
              <w14:schemeClr w14:val="tx1"/>
            </w14:solidFill>
          </w14:textFill>
        </w:rPr>
        <w:t>本项目租赁厂房，施工内容主要为新增生产线和设备基础施工、原有生产线拆除、设备清运及新设备安装调试。</w:t>
      </w:r>
      <w:r>
        <w:rPr>
          <w:color w:val="000000" w:themeColor="text1"/>
          <w:highlight w:val="none"/>
          <w:lang w:val="en-US" w:eastAsia="zh-CN"/>
          <w14:textFill>
            <w14:solidFill>
              <w14:schemeClr w14:val="tx1"/>
            </w14:solidFill>
          </w14:textFill>
        </w:rPr>
        <w:t>施工期污染物主要为</w:t>
      </w:r>
      <w:r>
        <w:rPr>
          <w:rFonts w:ascii="Segoe UI Emoji" w:hAnsi="Segoe UI Emoji" w:eastAsia="Segoe UI Emoji" w:cs="Segoe UI Emoji"/>
          <w:i w:val="0"/>
          <w:iCs w:val="0"/>
          <w:caps w:val="0"/>
          <w:color w:val="000000" w:themeColor="text1"/>
          <w:spacing w:val="0"/>
          <w:sz w:val="24"/>
          <w:szCs w:val="24"/>
          <w:highlight w:val="none"/>
          <w14:textFill>
            <w14:solidFill>
              <w14:schemeClr w14:val="tx1"/>
            </w14:solidFill>
          </w14:textFill>
        </w:rPr>
        <w:t>新增生产线和设备基础施工</w:t>
      </w:r>
      <w:r>
        <w:rPr>
          <w:rFonts w:hint="eastAsia" w:ascii="Segoe UI Emoji" w:hAnsi="Segoe UI Emoji" w:eastAsia="宋体" w:cs="Segoe UI Emoji"/>
          <w:i w:val="0"/>
          <w:iCs w:val="0"/>
          <w:caps w:val="0"/>
          <w:color w:val="000000" w:themeColor="text1"/>
          <w:spacing w:val="0"/>
          <w:sz w:val="24"/>
          <w:szCs w:val="24"/>
          <w:highlight w:val="none"/>
          <w:lang w:val="en-US" w:eastAsia="zh-CN"/>
          <w14:textFill>
            <w14:solidFill>
              <w14:schemeClr w14:val="tx1"/>
            </w14:solidFill>
          </w14:textFill>
        </w:rPr>
        <w:t>扬尘、</w:t>
      </w:r>
      <w:r>
        <w:rPr>
          <w:color w:val="000000" w:themeColor="text1"/>
          <w:highlight w:val="none"/>
          <w:lang w:val="en-US" w:eastAsia="zh-CN"/>
          <w14:textFill>
            <w14:solidFill>
              <w14:schemeClr w14:val="tx1"/>
            </w14:solidFill>
          </w14:textFill>
        </w:rPr>
        <w:t>拆建粉尘、运输扬尘、施工尾气、施工噪声、少量施工生活污水及拆建固废。针对各类污染因子，本次施工采取配套污染防治措施，各项措施技术成熟、经济可行、贴合厂区现有条件，可有效控制施工期环境影响。</w:t>
      </w:r>
    </w:p>
    <w:p w14:paraId="28565EBB">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eastAsia="zh-CN"/>
          <w14:textFill>
            <w14:solidFill>
              <w14:schemeClr w14:val="tx1"/>
            </w14:solidFill>
          </w14:textFill>
        </w:rPr>
        <w:t xml:space="preserve">.1.1 </w:t>
      </w:r>
      <w:r>
        <w:rPr>
          <w:rFonts w:hint="eastAsia"/>
          <w:color w:val="000000" w:themeColor="text1"/>
          <w:highlight w:val="none"/>
          <w:lang w:val="en-US" w:eastAsia="zh-CN"/>
          <w14:textFill>
            <w14:solidFill>
              <w14:schemeClr w14:val="tx1"/>
            </w14:solidFill>
          </w14:textFill>
        </w:rPr>
        <w:t>施工期大气污染防治措施</w:t>
      </w:r>
      <w:bookmarkEnd w:id="1088"/>
      <w:r>
        <w:rPr>
          <w:rFonts w:hint="eastAsia"/>
          <w:color w:val="000000" w:themeColor="text1"/>
          <w:highlight w:val="none"/>
          <w:lang w:val="en-US" w:eastAsia="zh-CN"/>
          <w14:textFill>
            <w14:solidFill>
              <w14:schemeClr w14:val="tx1"/>
            </w14:solidFill>
          </w14:textFill>
        </w:rPr>
        <w:t xml:space="preserve"> </w:t>
      </w:r>
    </w:p>
    <w:p w14:paraId="301C65A4">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租赁厂房，施工内容主要为新增生产线和设备基础施工、原有生产线拆除、设备清运及新设备安装调试。施工期废气主要来源为新增生产线和设备基础施工、原有生产线拆除作业产生的少量粉尘、物料运输车辆扬尘及机动车尾气。新增生产线和设备基础施工、拆除作业过程中会产生短时粉尘；基础施工材料、新增设备、拆除构件运输车辆行驶易引发道路二次扬尘，扬尘影响程度与车辆行驶速度、风速、路面积尘量、路面湿度相关，风速直接影响扬尘扩散距离。</w:t>
      </w:r>
    </w:p>
    <w:p w14:paraId="7B996A03">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为有效控制施工期大气污染，项目拟采取完善的废气污染防治措施：拆除及施工阶段对拆除作业面全面采取湿法抑尘作业；对施工进出口、场内运输道路安排专人定时洒水降尘，可有效抑制无组织粉尘扩散。施工物料、拆除构件运输车辆全程采用篷布密闭遮盖，厂区出入口设置车辆冲洗设施，对车轮、底盘进行冲洗，杜绝车辆带泥上路，有效降低道路二次扬尘。施工运输车辆尾气含有NOx、CO等污染物，项目通过合理规划运输时段，大宗物料及构件运输尽量避开交通高峰期，减少车辆场内怠速停留时间，配合现场交通疏导，有效降低机动车尾气累积影响。</w:t>
      </w:r>
    </w:p>
    <w:p w14:paraId="3D993C21">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施工周期短、施工工序间断，扬尘及尾气污染均为短时、临时性污染，施工结束后污染随即消失。本次采用的湿法抑尘、道路洒水、车辆密闭、车辆冲洗、错峰运输等措施均为建筑施工行业成熟、通用、高效的大气污染防控技术，运维简单、经济可行、管控效果稳定，可最大限度降低施工期大气污染物排放强度。落实各项防控措施后，施工扬尘、机动车尾气对周边大气环境影响较小，环境影响可接受。</w:t>
      </w:r>
    </w:p>
    <w:p w14:paraId="1AC318B2">
      <w:pPr>
        <w:pStyle w:val="4"/>
        <w:bidi w:val="0"/>
        <w:rPr>
          <w:color w:val="000000" w:themeColor="text1"/>
          <w:highlight w:val="none"/>
          <w14:textFill>
            <w14:solidFill>
              <w14:schemeClr w14:val="tx1"/>
            </w14:solidFill>
          </w14:textFill>
        </w:rPr>
      </w:pPr>
      <w:bookmarkStart w:id="1102" w:name="_Toc31650"/>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eastAsia="zh-CN"/>
          <w14:textFill>
            <w14:solidFill>
              <w14:schemeClr w14:val="tx1"/>
            </w14:solidFill>
          </w14:textFill>
        </w:rPr>
        <w:t xml:space="preserve">.1.2 </w:t>
      </w:r>
      <w:r>
        <w:rPr>
          <w:rFonts w:hint="eastAsia"/>
          <w:color w:val="000000" w:themeColor="text1"/>
          <w:highlight w:val="none"/>
          <w:lang w:val="en-US" w:eastAsia="zh-CN"/>
          <w14:textFill>
            <w14:solidFill>
              <w14:schemeClr w14:val="tx1"/>
            </w14:solidFill>
          </w14:textFill>
        </w:rPr>
        <w:t>施工期水污染防治措施</w:t>
      </w:r>
      <w:bookmarkEnd w:id="1102"/>
      <w:r>
        <w:rPr>
          <w:rFonts w:hint="eastAsia"/>
          <w:color w:val="000000" w:themeColor="text1"/>
          <w:highlight w:val="none"/>
          <w:lang w:val="en-US" w:eastAsia="zh-CN"/>
          <w14:textFill>
            <w14:solidFill>
              <w14:schemeClr w14:val="tx1"/>
            </w14:solidFill>
          </w14:textFill>
        </w:rPr>
        <w:t xml:space="preserve"> </w:t>
      </w:r>
    </w:p>
    <w:p w14:paraId="7AA96983">
      <w:pPr>
        <w:keepNext w:val="0"/>
        <w:keepLines w:val="0"/>
        <w:widowControl/>
        <w:suppressLineNumbers w:val="0"/>
        <w:jc w:val="left"/>
        <w:rPr>
          <w:color w:val="000000" w:themeColor="text1"/>
          <w:highlight w:val="none"/>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本项目租赁厂房，施工内容主要为新增生产线和设备基础施工、原有生产线拆除、设备清运及新设备安装调试。施工期废水主要为施工人员生活污水，拆除作业基本不产生施工生产废水。</w:t>
      </w:r>
    </w:p>
    <w:p w14:paraId="5A2B4A68">
      <w:pPr>
        <w:keepNext w:val="0"/>
        <w:keepLines w:val="0"/>
        <w:widowControl/>
        <w:suppressLineNumbers w:val="0"/>
        <w:jc w:val="left"/>
        <w:rPr>
          <w:color w:val="000000" w:themeColor="text1"/>
          <w:highlight w:val="none"/>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针对施工期废水特征，项目落实分类收集、分质处置、循环回用的防控措施：施工人员日常生活产生的生活污水依托厂区现有完善的污水收集管网统一收集处置。施工作业场地、设备清洗产生的少量冲洗废水以悬浮物污染为主，水质简单、污染物单一，项目在施工区设置临时沉淀池，对施工冲洗废水进行集中收集、沉淀处理，沉淀上清液全部回用于施工场地洒水抑尘、场地降尘，实现施工废水闭环回用、零外排。沉淀池淤泥施工结束后统一清理，纳入建筑垃圾规范处置。</w:t>
      </w:r>
    </w:p>
    <w:p w14:paraId="3BE3150A">
      <w:pPr>
        <w:keepNext w:val="0"/>
        <w:keepLines w:val="0"/>
        <w:widowControl/>
        <w:suppressLineNumbers w:val="0"/>
        <w:jc w:val="left"/>
        <w:rPr>
          <w:color w:val="000000" w:themeColor="text1"/>
          <w:highlight w:val="none"/>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施工期废水治理采用临时沉淀、循环回用模式，工艺简单、运维便捷、处理效果稳定，完全适配本项目少量、间歇性施工废水特点。项目施工期无生产废水外排，生活污水依托现有设施合规处置，废水防控措施技术可行、经济合理，施工期废水对外环境影响极小。</w:t>
      </w:r>
    </w:p>
    <w:p w14:paraId="15AECC26">
      <w:pPr>
        <w:pStyle w:val="4"/>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highlight w:val="none"/>
          <w:lang w:val="en-US" w:eastAsia="zh-CN"/>
          <w14:textFill>
            <w14:solidFill>
              <w14:schemeClr w14:val="tx1"/>
            </w14:solidFill>
          </w14:textFill>
        </w:rPr>
        <w:t xml:space="preserve">.1.3 </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施工期噪声污染防治措施</w:t>
      </w:r>
    </w:p>
    <w:p w14:paraId="18CE8962">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租赁厂房，施工内容主要为新增生产线和设备基础施工、原有生产线拆除、设备清运及新设备安装调试。施工噪声主要来自原有生产线拆除、新增生产线和设备基础施工、生产设备吊装、叉车转运及运输车辆，主要产噪设备包括吊车、叉车、切割机、运输汽车等，噪声源强约85dB（A）～95dB（A）。</w:t>
      </w:r>
    </w:p>
    <w:p w14:paraId="6AC33F10">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为最大限度降低施工噪声对区域声环境的扰动，项目制定严格的施工噪声管控方案：合理规划施工现场平面布局，将高噪声拆除、切割作业布置在厂区远离外围一侧，利用现有厂房墙体形成天然隔声屏障；施工优先选用低噪声、低振动施工设备及拆除工具，从源头降低噪声源强。严格管控施工时间，仅开展昼间施工作业，严禁夜间施工、夜间拆除作业。施工全过程严格执行《建筑施工场界环境噪声排放标准》（GB12523-2025），定期对场界噪声进行监测，确保场界噪声达标。针对临近厂界区域作业工序，设置移动式隔声围挡，进一步削弱噪声传播衰减。同时科学优化施工工序，压缩高噪声工序作业时长，减少高噪声设备同时作业频次。</w:t>
      </w:r>
    </w:p>
    <w:p w14:paraId="299A5123">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施工工期短、噪声影响具有瞬时性、间歇性、临时性特征，无长期持续噪声污染。项目采取的声源控制、布局优化、时间管控、隔声降噪、监测管控等措施均为施工期噪声治理成熟措施，技术可靠、操作性强、治理效果明显。落实各项降噪措施后，施工场界噪声可稳定满足标准要求，对周边声环境影响较小、可控。</w:t>
      </w:r>
    </w:p>
    <w:p w14:paraId="70999A47">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eastAsia="zh-CN"/>
          <w14:textFill>
            <w14:solidFill>
              <w14:schemeClr w14:val="tx1"/>
            </w14:solidFill>
          </w14:textFill>
        </w:rPr>
        <w:t xml:space="preserve">.1.4 </w:t>
      </w:r>
      <w:r>
        <w:rPr>
          <w:rFonts w:hint="eastAsia"/>
          <w:color w:val="000000" w:themeColor="text1"/>
          <w:highlight w:val="none"/>
          <w:lang w:val="en-US" w:eastAsia="zh-CN"/>
          <w14:textFill>
            <w14:solidFill>
              <w14:schemeClr w14:val="tx1"/>
            </w14:solidFill>
          </w14:textFill>
        </w:rPr>
        <w:t xml:space="preserve">施工期固体废物污染环境防治措施 </w:t>
      </w:r>
    </w:p>
    <w:p w14:paraId="46D1810C">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本项目施工期固废主要包括新增生产线和设备基础施工、原有生产线拆除产生的建筑垃圾、废设备构件，以及施工人员生活垃圾。项目严格依据《建筑垃圾污染控制技术规范》（</w:t>
      </w:r>
      <w:r>
        <w:rPr>
          <w:rFonts w:hint="eastAsia"/>
          <w:color w:val="000000" w:themeColor="text1"/>
          <w:highlight w:val="none"/>
          <w14:textFill>
            <w14:solidFill>
              <w14:schemeClr w14:val="tx1"/>
            </w14:solidFill>
          </w14:textFill>
        </w:rPr>
        <w:t>HJ 1462</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2026</w:t>
      </w:r>
      <w:r>
        <w:rPr>
          <w:color w:val="000000" w:themeColor="text1"/>
          <w:highlight w:val="none"/>
          <w:lang w:val="en-US" w:eastAsia="zh-CN"/>
          <w14:textFill>
            <w14:solidFill>
              <w14:schemeClr w14:val="tx1"/>
            </w14:solidFill>
          </w14:textFill>
        </w:rPr>
        <w:t>）要求，落实建筑垃圾产生、收集、贮存、转运、处置全链条规范化管理。</w:t>
      </w:r>
    </w:p>
    <w:p w14:paraId="1CFB6D44">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原有生产线拆除固废主要为钢结构支架、废旧设备壳体、废管道、破损平台板材等。施工采用分段拆除工艺，减</w:t>
      </w:r>
      <w:r>
        <w:rPr>
          <w:rFonts w:ascii="宋体" w:hAnsi="宋体" w:eastAsia="宋体" w:cs="宋体"/>
          <w:color w:val="000000" w:themeColor="text1"/>
          <w:kern w:val="0"/>
          <w:szCs w:val="24"/>
          <w:highlight w:val="none"/>
          <w:lang w:val="en-US" w:eastAsia="zh-CN" w:bidi="ar"/>
          <w14:textFill>
            <w14:solidFill>
              <w14:schemeClr w14:val="tx1"/>
            </w14:solidFill>
          </w14:textFill>
        </w:rPr>
        <w:t>少构件破碎散落，从源头降低固废无序产生及扬尘影响。施工场区设置硬化、围挡、防雨防渗临时固废堆放区，分区标识存放可回收、不可回收建筑垃圾，杜绝混合堆放、随意倾倒。其中可回收金属构件、废旧设备统一收集后交由资质物资回收单位资源化利用；不可回收建筑垃圾、废建材统一委托合规清运单位转运至正规建筑垃圾消纳场处置，全程建立固废管理台账、落实转运联单制度，实现来源、转运、处置全过程可追溯，运输车辆密闭遮盖，杜绝沿途遗撒。</w:t>
      </w:r>
    </w:p>
    <w:p w14:paraId="5A93AE61">
      <w:pPr>
        <w:keepNext w:val="0"/>
        <w:keepLines w:val="0"/>
        <w:widowControl/>
        <w:suppressLineNumbers w:val="0"/>
        <w:jc w:val="left"/>
        <w:rPr>
          <w:color w:val="000000" w:themeColor="text1"/>
          <w:highlight w:val="none"/>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新增生产线及设备基础施工产生少量土方、混凝土碎块、砂石废料等建筑垃圾，优先用于场内场地平整、基坑回填综合利用，剩余少量废料统一合规清运处置。施工人员产生的生活垃圾设置专用密闭垃圾桶集中收集，依托厂区现有环卫体系统一清运处置，严禁随意丢弃、露天堆放。</w:t>
      </w:r>
    </w:p>
    <w:p w14:paraId="740A90A2">
      <w:pPr>
        <w:keepNext w:val="0"/>
        <w:keepLines w:val="0"/>
        <w:widowControl/>
        <w:suppressLineNumbers w:val="0"/>
        <w:jc w:val="left"/>
        <w:rPr>
          <w:color w:val="000000" w:themeColor="text1"/>
          <w:highlight w:val="none"/>
          <w:lang w:val="en-US" w:eastAsia="zh-CN"/>
          <w14:textFill>
            <w14:solidFill>
              <w14:schemeClr w14:val="tx1"/>
            </w14:solidFill>
          </w14:textFill>
        </w:rPr>
      </w:pPr>
      <w:r>
        <w:rPr>
          <w:rFonts w:ascii="宋体" w:hAnsi="宋体" w:eastAsia="宋体" w:cs="宋体"/>
          <w:color w:val="000000" w:themeColor="text1"/>
          <w:kern w:val="0"/>
          <w:sz w:val="24"/>
          <w:szCs w:val="24"/>
          <w:highlight w:val="none"/>
          <w:lang w:val="en-US" w:eastAsia="zh-CN" w:bidi="ar"/>
          <w14:textFill>
            <w14:solidFill>
              <w14:schemeClr w14:val="tx1"/>
            </w14:solidFill>
          </w14:textFill>
        </w:rPr>
        <w:t>项目施工期固废全部实现“资源化利用+合规无害化处置”，无固废外排、无随意丢弃现象。采取的分类收集、分区暂存、防雨防渗、台账管理、合规转运等措施为建筑施工通用规范措施，成熟可靠、可操作性强，可有效杜绝固废二次污染。施工结束后场地及时清理、平整复原，施工期固废对周边环境无长期不利影响，环境影响可控。</w:t>
      </w:r>
    </w:p>
    <w:p w14:paraId="4E0A1952">
      <w:pPr>
        <w:pStyle w:val="3"/>
        <w:bidi w:val="0"/>
        <w:rPr>
          <w:color w:val="000000" w:themeColor="text1"/>
          <w:highlight w:val="none"/>
          <w14:textFill>
            <w14:solidFill>
              <w14:schemeClr w14:val="tx1"/>
            </w14:solidFill>
          </w14:textFill>
        </w:rPr>
      </w:pPr>
      <w:bookmarkStart w:id="1103" w:name="_Toc12296"/>
      <w:bookmarkStart w:id="1104" w:name="_Toc4449"/>
      <w:bookmarkStart w:id="1105" w:name="_Toc12314"/>
      <w:bookmarkStart w:id="1106" w:name="_Toc12327"/>
      <w:bookmarkStart w:id="1107" w:name="_Toc3667"/>
      <w:bookmarkStart w:id="1108" w:name="_Toc24248"/>
      <w:bookmarkStart w:id="1109" w:name="_Toc2863"/>
      <w:bookmarkStart w:id="1110" w:name="_Toc12951"/>
      <w:bookmarkStart w:id="1111" w:name="_Toc676"/>
      <w:bookmarkStart w:id="1112" w:name="_Toc26713"/>
      <w:bookmarkStart w:id="1113" w:name="_Toc17800"/>
      <w:bookmarkStart w:id="1114" w:name="_Toc14948"/>
      <w:bookmarkStart w:id="1115" w:name="_Toc21562"/>
      <w:bookmarkStart w:id="1116" w:name="_Toc25873"/>
      <w:bookmarkStart w:id="1117" w:name="_Toc12098"/>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eastAsia="zh-CN"/>
          <w14:textFill>
            <w14:solidFill>
              <w14:schemeClr w14:val="tx1"/>
            </w14:solidFill>
          </w14:textFill>
        </w:rPr>
        <w:t xml:space="preserve">.2 </w:t>
      </w:r>
      <w:r>
        <w:rPr>
          <w:rFonts w:hint="eastAsia"/>
          <w:color w:val="000000" w:themeColor="text1"/>
          <w:highlight w:val="none"/>
          <w:lang w:val="en-US" w:eastAsia="zh-CN"/>
          <w14:textFill>
            <w14:solidFill>
              <w14:schemeClr w14:val="tx1"/>
            </w14:solidFill>
          </w14:textFill>
        </w:rPr>
        <w:t>营运期污染防治措施及其可行性</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14:paraId="680CF828">
      <w:pPr>
        <w:pStyle w:val="4"/>
        <w:bidi w:val="0"/>
        <w:rPr>
          <w:color w:val="000000" w:themeColor="text1"/>
          <w:highlight w:val="none"/>
          <w14:textFill>
            <w14:solidFill>
              <w14:schemeClr w14:val="tx1"/>
            </w14:solidFill>
          </w14:textFill>
        </w:rPr>
      </w:pPr>
      <w:bookmarkStart w:id="1118" w:name="_Toc19377"/>
      <w:r>
        <w:rPr>
          <w:rFonts w:hint="eastAsia"/>
          <w:color w:val="000000" w:themeColor="text1"/>
          <w:highlight w:val="none"/>
          <w:lang w:val="en-US" w:eastAsia="zh-CN"/>
          <w14:textFill>
            <w14:solidFill>
              <w14:schemeClr w14:val="tx1"/>
            </w14:solidFill>
          </w14:textFill>
        </w:rPr>
        <w:t>6.2.1废气污染防治措施及可行性分析</w:t>
      </w:r>
      <w:bookmarkEnd w:id="1118"/>
      <w:r>
        <w:rPr>
          <w:rFonts w:hint="eastAsia"/>
          <w:color w:val="000000" w:themeColor="text1"/>
          <w:highlight w:val="none"/>
          <w:lang w:val="en-US" w:eastAsia="zh-CN"/>
          <w14:textFill>
            <w14:solidFill>
              <w14:schemeClr w14:val="tx1"/>
            </w14:solidFill>
          </w14:textFill>
        </w:rPr>
        <w:t xml:space="preserve"> </w:t>
      </w:r>
    </w:p>
    <w:p w14:paraId="7D2E4197">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本项目对大气环境的影响主要为产生的</w:t>
      </w:r>
      <w:r>
        <w:rPr>
          <w:rFonts w:hint="eastAsia"/>
          <w:color w:val="000000" w:themeColor="text1"/>
          <w:highlight w:val="none"/>
          <w:lang w:val="en-US" w:eastAsia="zh-CN"/>
          <w14:textFill>
            <w14:solidFill>
              <w14:schemeClr w14:val="tx1"/>
            </w14:solidFill>
          </w14:textFill>
        </w:rPr>
        <w:t>颗粒物、</w:t>
      </w:r>
      <w:r>
        <w:rPr>
          <w:rFonts w:hint="default"/>
          <w:color w:val="000000" w:themeColor="text1"/>
          <w:highlight w:val="none"/>
          <w:lang w:val="en-US" w:eastAsia="zh-CN"/>
          <w14:textFill>
            <w14:solidFill>
              <w14:schemeClr w14:val="tx1"/>
            </w14:solidFill>
          </w14:textFill>
        </w:rPr>
        <w:t>硫酸雾</w:t>
      </w:r>
      <w:r>
        <w:rPr>
          <w:rFonts w:hint="eastAsia"/>
          <w:color w:val="000000" w:themeColor="text1"/>
          <w:highlight w:val="none"/>
          <w:lang w:val="en-US" w:eastAsia="zh-CN"/>
          <w14:textFill>
            <w14:solidFill>
              <w14:schemeClr w14:val="tx1"/>
            </w14:solidFill>
          </w14:textFill>
        </w:rPr>
        <w:t>、非甲烷总烃</w:t>
      </w:r>
      <w:r>
        <w:rPr>
          <w:rFonts w:hint="default"/>
          <w:color w:val="000000" w:themeColor="text1"/>
          <w:highlight w:val="none"/>
          <w:lang w:val="en-US" w:eastAsia="zh-CN"/>
          <w14:textFill>
            <w14:solidFill>
              <w14:schemeClr w14:val="tx1"/>
            </w14:solidFill>
          </w14:textFill>
        </w:rPr>
        <w:t>和</w:t>
      </w:r>
      <w:r>
        <w:rPr>
          <w:rFonts w:hint="eastAsia"/>
          <w:color w:val="000000" w:themeColor="text1"/>
          <w:highlight w:val="none"/>
          <w:lang w:val="en-US" w:eastAsia="zh-CN"/>
          <w14:textFill>
            <w14:solidFill>
              <w14:schemeClr w14:val="tx1"/>
            </w14:solidFill>
          </w14:textFill>
        </w:rPr>
        <w:t>氟化物</w:t>
      </w:r>
      <w:r>
        <w:rPr>
          <w:rFonts w:hint="default"/>
          <w:color w:val="000000" w:themeColor="text1"/>
          <w:highlight w:val="none"/>
          <w:lang w:val="en-US" w:eastAsia="zh-CN"/>
          <w14:textFill>
            <w14:solidFill>
              <w14:schemeClr w14:val="tx1"/>
            </w14:solidFill>
          </w14:textFill>
        </w:rPr>
        <w:t>。</w:t>
      </w:r>
    </w:p>
    <w:p w14:paraId="0DA2051B">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硫酸雾的污染防治措施分析</w:t>
      </w:r>
    </w:p>
    <w:p w14:paraId="48674784">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本项目共设1套废气处理设施及排气筒，反应釜不同时排气，因此工程可共用1套反应釜废气处理设施及排气筒。反应釜废气处理设施采用水喷淋+碱喷淋+除雾器+二级活性炭</w:t>
      </w:r>
      <w:r>
        <w:rPr>
          <w:rFonts w:hint="eastAsia"/>
          <w:color w:val="000000" w:themeColor="text1"/>
          <w:highlight w:val="none"/>
          <w:lang w:val="en-US" w:eastAsia="zh-CN"/>
          <w14:textFill>
            <w14:solidFill>
              <w14:schemeClr w14:val="tx1"/>
            </w14:solidFill>
          </w14:textFill>
        </w:rPr>
        <w:t>处理工艺</w:t>
      </w:r>
      <w:r>
        <w:rPr>
          <w:rFonts w:hint="default"/>
          <w:color w:val="000000" w:themeColor="text1"/>
          <w:highlight w:val="none"/>
          <w:lang w:val="en-US" w:eastAsia="zh-CN"/>
          <w14:textFill>
            <w14:solidFill>
              <w14:schemeClr w14:val="tx1"/>
            </w14:solidFill>
          </w14:textFill>
        </w:rPr>
        <w:t>。反应釜产生的含硫酸雾废气引至反应釜废气处理设施处理，处理达标后经</w:t>
      </w:r>
      <w:r>
        <w:rPr>
          <w:rFonts w:hint="eastAsia"/>
          <w:color w:val="000000" w:themeColor="text1"/>
          <w:highlight w:val="none"/>
          <w:lang w:val="en-US" w:eastAsia="zh-CN"/>
          <w14:textFill>
            <w14:solidFill>
              <w14:schemeClr w14:val="tx1"/>
            </w14:solidFill>
          </w14:textFill>
        </w:rPr>
        <w:t>15</w:t>
      </w:r>
      <w:r>
        <w:rPr>
          <w:rFonts w:hint="default"/>
          <w:color w:val="000000" w:themeColor="text1"/>
          <w:highlight w:val="none"/>
          <w:lang w:val="en-US" w:eastAsia="zh-CN"/>
          <w14:textFill>
            <w14:solidFill>
              <w14:schemeClr w14:val="tx1"/>
            </w14:solidFill>
          </w14:textFill>
        </w:rPr>
        <w:t>m高排气筒排出。水喷淋产生的含酸循环排水可作为生产原料用水综合利用水喷淋吸收塔采用PVC材料，工作原理为</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废气吸收塔属两相逆向流填料废气吸收塔。废气气体从塔体下方进气口沿切向进入废气吸收塔，</w:t>
      </w:r>
      <w:r>
        <w:rPr>
          <w:rFonts w:hint="eastAsia"/>
          <w:color w:val="000000" w:themeColor="text1"/>
          <w:highlight w:val="none"/>
          <w:lang w:val="en-US" w:eastAsia="zh-CN"/>
          <w14:textFill>
            <w14:solidFill>
              <w14:schemeClr w14:val="tx1"/>
            </w14:solidFill>
          </w14:textFill>
        </w:rPr>
        <w:t>废气</w:t>
      </w:r>
      <w:r>
        <w:rPr>
          <w:rFonts w:hint="default"/>
          <w:color w:val="000000" w:themeColor="text1"/>
          <w:highlight w:val="none"/>
          <w:lang w:val="en-US" w:eastAsia="zh-CN"/>
          <w14:textFill>
            <w14:solidFill>
              <w14:schemeClr w14:val="tx1"/>
            </w14:solidFill>
          </w14:textFill>
        </w:rPr>
        <w:t>温度较高，通过均流段上升，在喷淋段中水均匀</w:t>
      </w:r>
      <w:r>
        <w:rPr>
          <w:rFonts w:hint="eastAsia"/>
          <w:color w:val="000000" w:themeColor="text1"/>
          <w:highlight w:val="none"/>
          <w:lang w:val="en-US" w:eastAsia="zh-CN"/>
          <w14:textFill>
            <w14:solidFill>
              <w14:schemeClr w14:val="tx1"/>
            </w14:solidFill>
          </w14:textFill>
        </w:rPr>
        <w:t>地</w:t>
      </w:r>
      <w:r>
        <w:rPr>
          <w:rFonts w:hint="default"/>
          <w:color w:val="000000" w:themeColor="text1"/>
          <w:highlight w:val="none"/>
          <w:lang w:val="en-US" w:eastAsia="zh-CN"/>
          <w14:textFill>
            <w14:solidFill>
              <w14:schemeClr w14:val="tx1"/>
            </w14:solidFill>
          </w14:textFill>
        </w:rPr>
        <w:t>从喷嘴高速喷出，形成无数细小雾滴与硫酸雾气体充分混合、接触，使硫酸雾充分融入水滴中保证充分吸收硫酸雾，通过控制废气洗涤塔流速与滞贮时间保证这一过程的充分与稳定，同时降低废气温度。</w:t>
      </w:r>
    </w:p>
    <w:p w14:paraId="629524FC">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（2）氟化物污染防治措施分析</w:t>
      </w:r>
    </w:p>
    <w:p w14:paraId="09DC5B4B">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氟化物主要来源于氟硅酸投料、反应釜合成工序，以气态氟化氢形态存在。项目反应釜全部采用密闭负压设计，工艺废气经管道密闭收集，有效杜绝无组织逸散，收集后的含氟废气汇入同一套废气治理系统处理。</w:t>
      </w:r>
    </w:p>
    <w:p w14:paraId="6A36F383">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氟化物属于酸性气态污染物，依托项目水喷淋+碱喷淋工艺可实现高效去除。废气首先经水喷淋单元，气态氟化物极易溶于水，大部分氟化物被水体溶解吸收；剩余少量残留氟化物随废气进入碱喷淋单元，与喷淋液中的碱性组分发生中和反应，生成稳定盐类物质得以去除。配套除雾器可有效去除废气中夹带的含氟液滴，避免二次夹带排放。整套处理工艺对氟化物去除效率高、运行稳定、适应性强，可保证废气中氟化物长期稳定达标排放。喷淋循环含氟废水定期排浓，经沉淀、除氟预处理后回用至硫酸铝生产工序，实现污染物内部消纳、资源化利用。</w:t>
      </w:r>
    </w:p>
    <w:p w14:paraId="7D581D5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（3）颗粒物污染防治措施分析</w:t>
      </w:r>
    </w:p>
    <w:p w14:paraId="247521CC">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颗粒物主要来源于原料投料、物料调配、成品包装等工序，以无组织粉尘为主。项目从源头、过程、末端全方位设置粉尘防控措施，原料投料、上料点位均设置密闭罩及负压集气装置，通过负压集气抑制粉尘外逸，最大限度减少无组织粉尘排放。</w:t>
      </w:r>
    </w:p>
    <w:p w14:paraId="0EE49334">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生产车间整体密闭设置，物料输送采用密闭管道输送，粉状物料投料采用湿式投料、负压投料方式，从源头降低粉尘产生量。车间地面定期洒水清扫、湿式保洁，杜绝二次扬尘。同时，车间保持微负压状态，有效抑制粉尘向外扩散。通过采取密闭收集、负压集气、湿式作业、车间保洁等综合防控措施，项目颗粒物排放浓度可满足标准限值要求，防控措施成熟可靠、经济可行，可有效控制颗粒物对区域大气环境的影响。</w:t>
      </w:r>
    </w:p>
    <w:p w14:paraId="73F6AA1F">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（4）非甲烷总烃（NMHC）污染防治措施分析</w:t>
      </w:r>
    </w:p>
    <w:p w14:paraId="527988F8">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本项目非甲烷总烃主要来源于原辅材料微量挥发及合成反应过程微量有机挥发组分。项目反应系统全程密闭负压运行，有机废气无敞口逸散，全部通过集气管道收集进入废气治理系统。</w:t>
      </w:r>
    </w:p>
    <w:p w14:paraId="39595CE9">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收集后的有机废气经前端水喷淋、碱喷淋单元去除水汽、酸性杂质及颗粒物，避免杂质、水雾进入活性炭吸附单元造成炭层堵塞、失效。预处理后的洁净废气进入二级活性炭吸附装置，利用活性炭丰富的微孔结构和强吸附性能，对废气中的非甲烷总烃进行高效吸附截留。二级活性炭串联布置，大幅提升有机废气处理效率，保障出口废气稳定达标。项目定期更换活性炭，废活性炭分类收集、规范处置，杜绝二次污染。该工艺处理有机废气技术成熟、运行稳定、适配性强，可有效去除工艺废气中非甲烷总烃组分。</w:t>
      </w:r>
    </w:p>
    <w:p w14:paraId="69C372A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无组织废气治理措施及可行性分析</w:t>
      </w:r>
    </w:p>
    <w:p w14:paraId="54AC822C">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项目生产中无组织排放贯穿于生产始终，包括物料运输、堆放存贮、投料、合成反应、出料以及产品的制备等过程。无组织废气主要污染物为含异味气体的有机废气和少量粉尘。</w:t>
      </w:r>
    </w:p>
    <w:p w14:paraId="4521E7CC">
      <w:pPr>
        <w:pStyle w:val="27"/>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在正常生产情况下，近距离厂界周围浓度主要是无组织排放影响，为控制无组织废气污染物的排放量，必须以清洁生产的指导思想，对物料的运输、贮存投料、反应、出料、产品的存贮及尾气吸收等全过程进行分析，调查废气无组织排放的各个环节，并针对各主要排放环节提出相应改进措施，以减少废气无组织排放量。</w:t>
      </w:r>
    </w:p>
    <w:p w14:paraId="5FBC8549">
      <w:pPr>
        <w:pStyle w:val="27"/>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根据《排污许可证申请与核发技术规范 专用化学产品制造工业》、性有机物控制标准》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GB37822-2019</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及《重点行业挥发性有机物综合治理方案》</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环大气</w:t>
      </w:r>
      <w:r>
        <w:rPr>
          <w:rFonts w:hint="eastAsia"/>
          <w:color w:val="000000" w:themeColor="text1"/>
          <w:highlight w:val="none"/>
          <w:lang w:val="en-US" w:eastAsia="zh-CN"/>
          <w14:textFill>
            <w14:solidFill>
              <w14:schemeClr w14:val="tx1"/>
            </w14:solidFill>
          </w14:textFill>
        </w:rPr>
        <w:t>〔2019〕53号）</w:t>
      </w:r>
      <w:r>
        <w:rPr>
          <w:rFonts w:hint="default"/>
          <w:color w:val="000000" w:themeColor="text1"/>
          <w:highlight w:val="none"/>
          <w:lang w:val="en-US" w:eastAsia="zh-CN"/>
          <w14:textFill>
            <w14:solidFill>
              <w14:schemeClr w14:val="tx1"/>
            </w14:solidFill>
          </w14:textFill>
        </w:rPr>
        <w:t>，无组织废气污染防治措施如下</w:t>
      </w:r>
      <w:r>
        <w:rPr>
          <w:rFonts w:hint="eastAsia"/>
          <w:color w:val="000000" w:themeColor="text1"/>
          <w:highlight w:val="none"/>
          <w:lang w:val="en-US" w:eastAsia="zh-CN"/>
          <w14:textFill>
            <w14:solidFill>
              <w14:schemeClr w14:val="tx1"/>
            </w14:solidFill>
          </w14:textFill>
        </w:rPr>
        <w:t>：</w:t>
      </w:r>
    </w:p>
    <w:p w14:paraId="4791AC0E">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物料转移和输送无组织排放控制</w:t>
      </w:r>
      <w:r>
        <w:rPr>
          <w:rFonts w:hint="eastAsia"/>
          <w:color w:val="000000" w:themeColor="text1"/>
          <w:highlight w:val="none"/>
          <w:lang w:val="en-US" w:eastAsia="zh-CN"/>
          <w14:textFill>
            <w14:solidFill>
              <w14:schemeClr w14:val="tx1"/>
            </w14:solidFill>
          </w14:textFill>
        </w:rPr>
        <w:t>要求：</w:t>
      </w:r>
      <w:r>
        <w:rPr>
          <w:rFonts w:hint="default"/>
          <w:color w:val="000000" w:themeColor="text1"/>
          <w:highlight w:val="none"/>
          <w:lang w:val="en-US" w:eastAsia="zh-CN"/>
          <w14:textFill>
            <w14:solidFill>
              <w14:schemeClr w14:val="tx1"/>
            </w14:solidFill>
          </w14:textFill>
        </w:rPr>
        <w:t>液态VOCs物料</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丙烯酸、</w:t>
      </w:r>
      <w:r>
        <w:rPr>
          <w:rFonts w:hint="eastAsia"/>
          <w:color w:val="000000" w:themeColor="text1"/>
          <w:highlight w:val="none"/>
          <w:lang w:val="en-US" w:eastAsia="zh-CN"/>
          <w14:textFill>
            <w14:solidFill>
              <w14:schemeClr w14:val="tx1"/>
            </w14:solidFill>
          </w14:textFill>
        </w:rPr>
        <w:t>巯基乙酸）</w:t>
      </w:r>
      <w:r>
        <w:rPr>
          <w:rFonts w:hint="default"/>
          <w:color w:val="000000" w:themeColor="text1"/>
          <w:highlight w:val="none"/>
          <w:lang w:val="en-US" w:eastAsia="zh-CN"/>
          <w14:textFill>
            <w14:solidFill>
              <w14:schemeClr w14:val="tx1"/>
            </w14:solidFill>
          </w14:textFill>
        </w:rPr>
        <w:t>应采用密闭管道输送，采用非管道输送方式转移液态VOCs物料时，应采用密闭容器、罐车。</w:t>
      </w:r>
    </w:p>
    <w:p w14:paraId="3DE01558">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反应设备进料置换废气、挥发排气、反应尾气等应排至 VOC</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废气收集处 理系统。在反应期间，反应设备的进料口、出料口、检修口、搅拌口、观察孔 等开口</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孔</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在不操作时应保持密闭。</w:t>
      </w:r>
    </w:p>
    <w:p w14:paraId="5406AB7C">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其他无组织排放控制要求</w:t>
      </w:r>
    </w:p>
    <w:p w14:paraId="6F567665">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各工艺操作应尽可能减少敞开式操作。投料系统应采用加盖密闭的设备生产过程中液体物料输送应用管道输送</w:t>
      </w:r>
      <w:r>
        <w:rPr>
          <w:rFonts w:hint="eastAsia"/>
          <w:color w:val="000000" w:themeColor="text1"/>
          <w:highlight w:val="none"/>
          <w:lang w:val="en-US" w:eastAsia="zh-CN"/>
          <w14:textFill>
            <w14:solidFill>
              <w14:schemeClr w14:val="tx1"/>
            </w14:solidFill>
          </w14:textFill>
        </w:rPr>
        <w:t>；</w:t>
      </w:r>
    </w:p>
    <w:p w14:paraId="0028D4BB">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各反应釜与单元设备的泵、尾气放空管应连通，集中进入废气收集系统</w:t>
      </w:r>
    </w:p>
    <w:p w14:paraId="1CDE5282">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加强管道、阀门的密封检修</w:t>
      </w:r>
      <w:r>
        <w:rPr>
          <w:rFonts w:hint="eastAsia"/>
          <w:color w:val="000000" w:themeColor="text1"/>
          <w:highlight w:val="none"/>
          <w:lang w:val="en-US" w:eastAsia="zh-CN"/>
          <w14:textFill>
            <w14:solidFill>
              <w14:schemeClr w14:val="tx1"/>
            </w14:solidFill>
          </w14:textFill>
        </w:rPr>
        <w:t>；</w:t>
      </w:r>
    </w:p>
    <w:p w14:paraId="605AB65B">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lang w:val="en-US" w:eastAsia="zh-CN"/>
          <w14:textFill>
            <w14:solidFill>
              <w14:schemeClr w14:val="tx1"/>
            </w14:solidFill>
          </w14:textFill>
        </w:rPr>
        <w:t>此外还应加强操作工的培训和管理，以减少人为造成的对环境的污染</w:t>
      </w:r>
      <w:r>
        <w:rPr>
          <w:rFonts w:hint="eastAsia"/>
          <w:color w:val="000000" w:themeColor="text1"/>
          <w:highlight w:val="none"/>
          <w:lang w:val="en-US" w:eastAsia="zh-CN"/>
          <w14:textFill>
            <w14:solidFill>
              <w14:schemeClr w14:val="tx1"/>
            </w14:solidFill>
          </w14:textFill>
        </w:rPr>
        <w:t>：</w:t>
      </w:r>
    </w:p>
    <w:p w14:paraId="1F70D2E8">
      <w:pPr>
        <w:pStyle w:val="27"/>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选用密封等级高的密封件</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加强设备维护保养，机泵、管道、阀门等连接部位、运转部分动静密封点部位都应连接牢固，做到严密、不、不、不跑气。</w:t>
      </w:r>
    </w:p>
    <w:p w14:paraId="61136A34">
      <w:pPr>
        <w:pStyle w:val="27"/>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本项目物料均采用计量泵进行投加，投料和卸</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出、放</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料均为密闭过程少量原料为人工投加。废气收集后，通过废气处理设施进行处理，符合《大气污染物综合排放标准》</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GB16297-1996</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和《挥发性有机物无组织排放控制标准》GB37822-2019</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要求。</w:t>
      </w:r>
    </w:p>
    <w:p w14:paraId="5EAC6C22">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车间异味污染影响及防控措施分析</w:t>
      </w:r>
    </w:p>
    <w:p w14:paraId="172D880C">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产品为减水剂、硫酸铝外加剂、速凝剂，生产过程异味主要来源于原料投料、反应搅拌、成品复配、物料储存及物料输送等工序，异味物质随无组织废气逸散至车间及厂界。项目异味以酸性刺激性气味、小分子有机单体异味为主，污染排放具有明显的间断性特征，主要集中在投料、放料、灌装、储罐呼吸等开盖操作时段；设备密闭运行工况下，物料异味逸散量极小，仅在人工开盖作业时会出现瞬时异味浓度升高现象。</w:t>
      </w:r>
    </w:p>
    <w:p w14:paraId="2771A12B">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产生的异味不属于持久性恶臭污染物，异味感知强度与生产操作方式、车间密闭程度、废气收集效率直接相关。生产过程中大部分工艺废气经密闭负压收集后送入废气治理设施集中处理，仅有少量未被完全收集的无组织异味向外扩散。在项目正常生产、废气收集治理设施稳定运行的前提下，异味扩散范围有限，影响主要集中于厂区及厂界近域范围；且项目周边无大气环境敏感目标，因此车间异味对区域周边大气环境影响较小。</w:t>
      </w:r>
    </w:p>
    <w:p w14:paraId="74D9776A">
      <w:pPr>
        <w:bidi w:val="0"/>
        <w:rPr>
          <w:color w:val="000000" w:themeColor="text1"/>
          <w:highlight w:val="none"/>
          <w:lang w:val="en-US" w:eastAsia="zh-CN"/>
          <w14:textFill>
            <w14:solidFill>
              <w14:schemeClr w14:val="tx1"/>
            </w14:solidFill>
          </w14:textFill>
        </w:rPr>
      </w:pPr>
      <w:r>
        <w:rPr>
          <w:color w:val="000000" w:themeColor="text1"/>
          <w:highlight w:val="none"/>
          <w:lang w:val="en-US" w:eastAsia="zh-CN"/>
          <w14:textFill>
            <w14:solidFill>
              <w14:schemeClr w14:val="tx1"/>
            </w14:solidFill>
          </w14:textFill>
        </w:rPr>
        <w:t>为进一步最大限度削减车间异味无组织逸散，项目配套完善全过程异味防控措施：生产反应釜、复配罐、原料及成品储罐均采用密闭结构，储罐配套呼吸阀，储罐呼吸废气全部接入车间废气收集管网统一处理；投料、放料、灌装等易产生异味的敞口作业点位设置密闭集气罩，依托负压集气系统收集逸散异味；生产车间整体密闭封闭，日常维持车间微负压状态，从源头阻断异味外溢扩散；建立设备定期巡检制度，常态化检查管道、法兰、阀门等接口位置，杜绝跑冒滴漏产生的无组织异味；规范生产操作流程，严格控制敞口作业频次与作业时长，减少异味瞬时排放；厂区合理布置绿化植被，利用绿植吸附、降解少量逸散异味，进一步弱化厂界异味感知强度。通过源头密闭管控、负压收集治理、精细化生产管理、厂区绿化降噪除臭的综合防控体系，可有效控制车间异味污染，保障厂界异味影响可控。</w:t>
      </w:r>
    </w:p>
    <w:p w14:paraId="40BFA902">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lang w:val="en-US" w:eastAsia="zh-CN"/>
          <w14:textFill>
            <w14:solidFill>
              <w14:schemeClr w14:val="tx1"/>
            </w14:solidFill>
          </w14:textFill>
        </w:rPr>
        <w:t xml:space="preserve">排气筒高度合理性分析 </w:t>
      </w:r>
    </w:p>
    <w:p w14:paraId="0894D600">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本项目共设置1套废气处理设施及配套工艺废气排气筒，生产工艺废气统一收集后采用“水喷淋+碱喷淋+除雾器+二级活性炭”组合工艺处理，废气经高效治理达标后通过15m高排气筒高空排放。</w:t>
      </w:r>
    </w:p>
    <w:p w14:paraId="54D9B967">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根据《大气污染物综合排放标准》（GB 16297-1996）、《恶臭污染物排放标准》（GB 14554-93）及地方大气污染物排放相关管理要求，本项目工艺废气污染物（硫酸雾、氟化物、非甲烷总烃）对应的排气筒最低允许高度为15m。本项目排气筒建设高度严格按照规范设置为15m，满足国家标准最低高度要求。</w:t>
      </w:r>
    </w:p>
    <w:p w14:paraId="10093744">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项目排气筒周边无更高建筑物遮挡，废气高空排放有利于污染物扩散稀释，可有效降低厂区及厂界污染物落地浓度，避免局部污染物累积；同时项目废气经多级治理后污染物浓度极低，排放负荷小，结合区域开阔的地形条件，高空排放可进一步保障区域大气环境质量稳定。因此，本项目15m排气筒高度设置合规、布局合理、扩散条件良好，满足大气污染排放及环境管控要求。</w:t>
      </w:r>
    </w:p>
    <w:p w14:paraId="18C08B46">
      <w:pPr>
        <w:bidi w:val="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小结</w:t>
      </w:r>
    </w:p>
    <w:p w14:paraId="6CE6E31E">
      <w:pPr>
        <w:bidi w:val="0"/>
        <w:rPr>
          <w:color w:val="000000" w:themeColor="text1"/>
          <w:highlight w:val="none"/>
          <w14:textFill>
            <w14:solidFill>
              <w14:schemeClr w14:val="tx1"/>
            </w14:solidFill>
          </w14:textFill>
        </w:rPr>
      </w:pPr>
      <w:r>
        <w:rPr>
          <w:color w:val="000000" w:themeColor="text1"/>
          <w:highlight w:val="none"/>
          <w:lang w:val="en-US" w:eastAsia="zh-CN"/>
          <w14:textFill>
            <w14:solidFill>
              <w14:schemeClr w14:val="tx1"/>
            </w14:solidFill>
          </w14:textFill>
        </w:rPr>
        <w:t>综上所述，本项目针对运营期产生的颗粒物、硫酸雾、氟化物、非甲烷总烃及车间异味，构建了源头密闭收集+分级预处理+末端深度治理+无组织精细化管控的成套大气污染防控体系。各废气治理工艺均为化工行业通用成熟工艺，处理效率高、运行稳定性好、运维便捷、经济合理。各类有组织废气经处理后可稳定实现达标排放，无组织颗粒物、车间异味通过综合管控措施可实现有效控制，同时喷淋废水实现厂内资源化回用，无生产废水外排。整体大气污染防治措施技术可行、环境效益显著，可最大限度削减项目大气污染物排放量，有效控制项目运营期大气环境不利影响。</w:t>
      </w:r>
    </w:p>
    <w:p w14:paraId="3E1E7C02">
      <w:pPr>
        <w:pStyle w:val="4"/>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6.</w:t>
      </w:r>
      <w:r>
        <w:rPr>
          <w:rFonts w:hint="eastAsia"/>
          <w:color w:val="000000" w:themeColor="text1"/>
          <w:highlight w:val="none"/>
          <w:lang w:val="en-US" w:eastAsia="zh-CN"/>
          <w14:textFill>
            <w14:solidFill>
              <w14:schemeClr w14:val="tx1"/>
            </w14:solidFill>
          </w14:textFill>
        </w:rPr>
        <w:t>2.2</w:t>
      </w:r>
      <w:r>
        <w:rPr>
          <w:rFonts w:hint="default"/>
          <w:color w:val="000000" w:themeColor="text1"/>
          <w:highlight w:val="none"/>
          <w:lang w:val="en-US" w:eastAsia="zh-CN"/>
          <w14:textFill>
            <w14:solidFill>
              <w14:schemeClr w14:val="tx1"/>
            </w14:solidFill>
          </w14:textFill>
        </w:rPr>
        <w:t>废水污染防治措施及可行性分析</w:t>
      </w:r>
    </w:p>
    <w:p w14:paraId="68F42BB5">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本项目废水主要为清净下水、生活污水。软水制备产生的浓水为清净下水符合直接</w:t>
      </w:r>
      <w:r>
        <w:rPr>
          <w:rFonts w:hint="eastAsia"/>
          <w:color w:val="000000" w:themeColor="text1"/>
          <w:highlight w:val="none"/>
          <w:lang w:val="en-US" w:eastAsia="zh-CN"/>
          <w14:textFill>
            <w14:solidFill>
              <w14:schemeClr w14:val="tx1"/>
            </w14:solidFill>
          </w14:textFill>
        </w:rPr>
        <w:t>再</w:t>
      </w:r>
      <w:r>
        <w:rPr>
          <w:rFonts w:hint="default"/>
          <w:color w:val="000000" w:themeColor="text1"/>
          <w:highlight w:val="none"/>
          <w:lang w:val="en-US" w:eastAsia="zh-CN"/>
          <w14:textFill>
            <w14:solidFill>
              <w14:schemeClr w14:val="tx1"/>
            </w14:solidFill>
          </w14:textFill>
        </w:rPr>
        <w:t>利用的需求直接用于成品复配。生活污水直接排入市政下水管网后进入</w:t>
      </w:r>
      <w:r>
        <w:rPr>
          <w:rFonts w:hint="eastAsia"/>
          <w:color w:val="000000" w:themeColor="text1"/>
          <w:highlight w:val="none"/>
          <w:lang w:val="en-US" w:eastAsia="zh-CN"/>
          <w14:textFill>
            <w14:solidFill>
              <w14:schemeClr w14:val="tx1"/>
            </w14:solidFill>
          </w14:textFill>
        </w:rPr>
        <w:t>高新</w:t>
      </w:r>
      <w:r>
        <w:rPr>
          <w:rFonts w:hint="default"/>
          <w:color w:val="000000" w:themeColor="text1"/>
          <w:highlight w:val="none"/>
          <w:lang w:val="en-US" w:eastAsia="zh-CN"/>
          <w14:textFill>
            <w14:solidFill>
              <w14:schemeClr w14:val="tx1"/>
            </w14:solidFill>
          </w14:textFill>
        </w:rPr>
        <w:t>区污水处理厂进一步处理。</w:t>
      </w:r>
    </w:p>
    <w:p w14:paraId="075005C8">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废水</w:t>
      </w:r>
      <w:r>
        <w:rPr>
          <w:rFonts w:hint="eastAsia"/>
          <w:color w:val="000000" w:themeColor="text1"/>
          <w:highlight w:val="none"/>
          <w:lang w:val="en-US" w:eastAsia="zh-CN"/>
          <w14:textFill>
            <w14:solidFill>
              <w14:schemeClr w14:val="tx1"/>
            </w14:solidFill>
          </w14:textFill>
        </w:rPr>
        <w:t>回用的可行性分析</w:t>
      </w:r>
    </w:p>
    <w:p w14:paraId="2C15668C">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本项目碱喷淋塔用于处理酸性废气（氟硅酸、硫酸工艺废气，含HF、硫酸雾等），喷淋介质为碱性溶液（NaOH），废水主要</w:t>
      </w:r>
      <w:r>
        <w:rPr>
          <w:rFonts w:hint="eastAsia"/>
          <w:color w:val="000000" w:themeColor="text1"/>
          <w:highlight w:val="none"/>
          <w:lang w:val="en-US" w:eastAsia="zh-CN"/>
          <w14:textFill>
            <w14:solidFill>
              <w14:schemeClr w14:val="tx1"/>
            </w14:solidFill>
          </w14:textFill>
        </w:rPr>
        <w:t>为</w:t>
      </w:r>
      <w:r>
        <w:rPr>
          <w:color w:val="000000" w:themeColor="text1"/>
          <w:highlight w:val="none"/>
          <w14:textFill>
            <w14:solidFill>
              <w14:schemeClr w14:val="tx1"/>
            </w14:solidFill>
          </w14:textFill>
        </w:rPr>
        <w:t>碱性中和后水溶液，含硫酸钠、氟化物、少量铝盐、悬浮物；</w:t>
      </w:r>
      <w:r>
        <w:rPr>
          <w:rFonts w:hint="eastAsia"/>
          <w:color w:val="000000" w:themeColor="text1"/>
          <w:highlight w:val="none"/>
          <w14:textFill>
            <w14:solidFill>
              <w14:schemeClr w14:val="tx1"/>
            </w14:solidFill>
          </w14:textFill>
        </w:rPr>
        <w:t>为间断排浓废水，水量较小，属于工艺内部废气治理产生废水，不含重金属、难降解有机物。</w:t>
      </w:r>
    </w:p>
    <w:p w14:paraId="1658190C">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硫酸铝生产一般采用</w:t>
      </w:r>
      <w:r>
        <w:rPr>
          <w:rFonts w:hint="eastAsia"/>
          <w:color w:val="000000" w:themeColor="text1"/>
          <w:highlight w:val="none"/>
          <w:lang w:val="en-US" w:eastAsia="zh-CN"/>
          <w14:textFill>
            <w14:solidFill>
              <w14:schemeClr w14:val="tx1"/>
            </w14:solidFill>
          </w14:textFill>
        </w:rPr>
        <w:t>氢氧化铝</w:t>
      </w:r>
      <w:r>
        <w:rPr>
          <w:color w:val="000000" w:themeColor="text1"/>
          <w:highlight w:val="none"/>
          <w14:textFill>
            <w14:solidFill>
              <w14:schemeClr w14:val="tx1"/>
            </w14:solidFill>
          </w14:textFill>
        </w:rPr>
        <w:t>+硫酸反应制备液体硫酸铝，反应体系为酸性体系，工艺用水主要用于：配料稀释、反应釜调浆、产品调浓度、物料输送补水。</w:t>
      </w:r>
    </w:p>
    <w:p w14:paraId="54A9491A">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水主体阴离子为硫酸根，硫酸铝产品本身核心阴离子即为硫酸根，硫酸根不会引入外来杂质，不影响产品主组分；废水中残留碱度，进入硫酸铝反应釜后可被原料硫酸中和，消耗少量硫酸，但不会改变反应方向；废水无有机污染物、重金属污染物，不会造成产品有机物、重金属超标。少量氟会留在液体硫酸铝产品内；如果本项目硫酸铝作为速凝剂原料，少量氟对速凝剂产品性能基本无负面影响（速凝剂本身原料氟硅酸带入氟）；</w:t>
      </w:r>
      <w:r>
        <w:rPr>
          <w:rFonts w:hint="eastAsia"/>
          <w:color w:val="000000" w:themeColor="text1"/>
          <w:highlight w:val="none"/>
          <w:lang w:val="en-US" w:eastAsia="zh-CN"/>
          <w14:textFill>
            <w14:solidFill>
              <w14:schemeClr w14:val="tx1"/>
            </w14:solidFill>
          </w14:textFill>
        </w:rPr>
        <w:t>且</w:t>
      </w:r>
      <w:r>
        <w:rPr>
          <w:color w:val="000000" w:themeColor="text1"/>
          <w:highlight w:val="none"/>
          <w14:textFill>
            <w14:solidFill>
              <w14:schemeClr w14:val="tx1"/>
            </w14:solidFill>
          </w14:textFill>
        </w:rPr>
        <w:t>碱喷淋塔排浓废水属于间断少量排水；硫酸铝生产持续用水，喷淋废水量远小于硫酸铝工序用水需求量，水量上完全可以消纳，不存在废水过剩无法消纳问题；仅需设置喷淋废水收集池，缓冲间断排水。</w:t>
      </w:r>
      <w:r>
        <w:rPr>
          <w:rFonts w:hint="eastAsia"/>
          <w:color w:val="000000" w:themeColor="text1"/>
          <w:highlight w:val="none"/>
          <w:lang w:val="en-US" w:eastAsia="zh-CN"/>
          <w14:textFill>
            <w14:solidFill>
              <w14:schemeClr w14:val="tx1"/>
            </w14:solidFill>
          </w14:textFill>
        </w:rPr>
        <w:t>废水</w:t>
      </w:r>
      <w:r>
        <w:rPr>
          <w:color w:val="000000" w:themeColor="text1"/>
          <w:highlight w:val="none"/>
          <w14:textFill>
            <w14:solidFill>
              <w14:schemeClr w14:val="tx1"/>
            </w14:solidFill>
          </w14:textFill>
        </w:rPr>
        <w:t>回用于硫酸铝配料调浆，不会显著影响硫酸铝产品质量；实现废水闭路循环，无生产废水外排，具有良好资源利用效益</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喷淋塔废水回用于硫酸铝生产配料工序技术可行；废水回用可减少新鲜水消耗，实现生产废水内部消纳，无生产废水外排。</w:t>
      </w:r>
    </w:p>
    <w:p w14:paraId="1B5C34D4">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（2）生活污水处理依托可行性</w:t>
      </w:r>
    </w:p>
    <w:p w14:paraId="128C125E">
      <w:pPr>
        <w:keepLines w:val="0"/>
        <w:pageBreakBefore w:val="0"/>
        <w:widowControl w:val="0"/>
        <w:kinsoku/>
        <w:overflowPunct/>
        <w:topLinePunct w:val="0"/>
        <w:bidi w:val="0"/>
        <w:spacing w:line="360" w:lineRule="auto"/>
        <w:ind w:right="0" w:firstLine="480" w:firstLineChars="200"/>
        <w:jc w:val="both"/>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昌吉高新区污水处理厂位</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于</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昌吉高新技术产业开发区西北角，201省道以南，2013年投入使用，</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设计</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处理规模3万m</w:t>
      </w:r>
      <w:r>
        <w:rPr>
          <w:rFonts w:hint="default"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/d，目前日处理峰量为8000m</w:t>
      </w:r>
      <w:r>
        <w:rPr>
          <w:rFonts w:hint="default"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/d，污水处理工艺为污水→粗格栅及污水提升泵站→细格栅及曝气沉砂池→MBBR池→二沉池→芬顿氧化池→絮凝沉淀池→纤维转盘滤池→紫外消毒→出水</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p>
    <w:p w14:paraId="133885D2">
      <w:pPr>
        <w:keepLines w:val="0"/>
        <w:pageBreakBefore w:val="0"/>
        <w:widowControl w:val="0"/>
        <w:kinsoku/>
        <w:overflowPunct/>
        <w:topLinePunct w:val="0"/>
        <w:bidi w:val="0"/>
        <w:spacing w:line="360" w:lineRule="auto"/>
        <w:ind w:right="0" w:firstLine="480" w:firstLineChars="200"/>
        <w:jc w:val="both"/>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昌吉高新区污水处理厂设计进水水质标准为《污水综合排放标准》GB8978-1996</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中表4中的三级</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标准限值</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；氨氮排放浓度执行《污水排入城镇下水道水质标准》</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GB/T31962-2015</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中表1污水排入城镇下水道水质控制项目限值中的B级标准</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出水水质</w:t>
      </w:r>
      <w:r>
        <w:rPr>
          <w:rFonts w:hint="eastAsia" w:cs="Times New Roman"/>
          <w:b w:val="0"/>
          <w:bCs w:val="0"/>
          <w:color w:val="000000" w:themeColor="text1"/>
          <w:sz w:val="24"/>
          <w:szCs w:val="24"/>
          <w:highlight w:val="none"/>
          <w:lang w:val="en-US" w:eastAsia="zh-CN"/>
          <w14:textFill>
            <w14:solidFill>
              <w14:schemeClr w14:val="tx1"/>
            </w14:solidFill>
          </w14:textFill>
        </w:rPr>
        <w:t>达到</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 xml:space="preserve">《城镇污水处理厂污染物排放标准》 </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GB18918-2002</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中的一级A标准，夏季尾水排入污水处理厂西侧的高新区生态灌溉项目蓄水池中，用于高新区工业冷却水、绿化、洗车、浇洒道路、景观用水，冬季尾水排入园区中水库。</w:t>
      </w:r>
    </w:p>
    <w:p w14:paraId="120C2464">
      <w:pPr>
        <w:keepLines w:val="0"/>
        <w:pageBreakBefore w:val="0"/>
        <w:widowControl w:val="0"/>
        <w:kinsoku/>
        <w:overflowPunct/>
        <w:topLinePunct w:val="0"/>
        <w:bidi w:val="0"/>
        <w:spacing w:line="360" w:lineRule="auto"/>
        <w:ind w:right="0" w:firstLine="480" w:firstLineChars="200"/>
        <w:jc w:val="both"/>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本项目废水主要为</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生活污水，</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废水排放量为</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432</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/a，远远小于昌吉高新区污水处理厂剩余处理量</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，污水水质</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能够满足昌吉高新区污水处理厂设计进水水质要求</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，且项目区管网敷设完成，因此</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本项目废水处理依托昌吉高新区污水处理厂是合理可行的。</w:t>
      </w:r>
    </w:p>
    <w:p w14:paraId="34640E56">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6.2.3</w:t>
      </w:r>
      <w:r>
        <w:rPr>
          <w:rFonts w:hint="default"/>
          <w:color w:val="000000" w:themeColor="text1"/>
          <w:highlight w:val="none"/>
          <w:lang w:val="en-US" w:eastAsia="zh-CN"/>
          <w14:textFill>
            <w14:solidFill>
              <w14:schemeClr w14:val="tx1"/>
            </w14:solidFill>
          </w14:textFill>
        </w:rPr>
        <w:t>地下水污染防治措施及可行性分析</w:t>
      </w:r>
    </w:p>
    <w:p w14:paraId="61862941">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6.2.3.1</w:t>
      </w:r>
      <w:r>
        <w:rPr>
          <w:color w:val="000000" w:themeColor="text1"/>
          <w:highlight w:val="none"/>
          <w:lang w:val="en-US"/>
          <w14:textFill>
            <w14:solidFill>
              <w14:schemeClr w14:val="tx1"/>
            </w14:solidFill>
          </w14:textFill>
        </w:rPr>
        <w:t>防渗原则</w:t>
      </w:r>
    </w:p>
    <w:p w14:paraId="318CD67D">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依据《环境影响评价技术导则 地下水环境》（</w:t>
      </w:r>
      <w:r>
        <w:rPr>
          <w:color w:val="000000" w:themeColor="text1"/>
          <w:highlight w:val="none"/>
          <w14:textFill>
            <w14:solidFill>
              <w14:schemeClr w14:val="tx1"/>
            </w14:solidFill>
          </w14:textFill>
        </w:rPr>
        <w:t>HJ610-2016</w:t>
      </w:r>
      <w:r>
        <w:rPr>
          <w:rFonts w:hint="eastAsia"/>
          <w:color w:val="000000" w:themeColor="text1"/>
          <w:highlight w:val="none"/>
          <w14:textFill>
            <w14:solidFill>
              <w14:schemeClr w14:val="tx1"/>
            </w14:solidFill>
          </w14:textFill>
        </w:rPr>
        <w:t>）的要求，地下水污染防治措施按照</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源头控制、末端防治、污染监控、应急响应</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相结合的原则，从污染物的产生、入渗、扩散、应急响应全阶段进行控制。 </w:t>
      </w:r>
    </w:p>
    <w:p w14:paraId="19BEFE0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）源头控制措施 </w:t>
      </w:r>
    </w:p>
    <w:p w14:paraId="2E492756">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w:t>
      </w:r>
      <w:r>
        <w:rPr>
          <w:rFonts w:hint="eastAsia"/>
          <w:color w:val="000000" w:themeColor="text1"/>
          <w:highlight w:val="none"/>
          <w:lang w:eastAsia="zh-CN"/>
          <w14:textFill>
            <w14:solidFill>
              <w14:schemeClr w14:val="tx1"/>
            </w14:solidFill>
          </w14:textFill>
        </w:rPr>
        <w:t>包括</w:t>
      </w:r>
      <w:r>
        <w:rPr>
          <w:rFonts w:hint="eastAsia"/>
          <w:color w:val="000000" w:themeColor="text1"/>
          <w:highlight w:val="none"/>
          <w14:textFill>
            <w14:solidFill>
              <w14:schemeClr w14:val="tx1"/>
            </w14:solidFill>
          </w14:textFill>
        </w:rPr>
        <w:t>工艺管道设备，污水储存及处理构筑物采取相应措施。防止和降低污染物跑、冒、滴、漏，将污染物</w:t>
      </w:r>
      <w:r>
        <w:rPr>
          <w:rFonts w:hint="eastAsia"/>
          <w:color w:val="000000" w:themeColor="text1"/>
          <w:highlight w:val="none"/>
          <w:lang w:eastAsia="zh-CN"/>
          <w14:textFill>
            <w14:solidFill>
              <w14:schemeClr w14:val="tx1"/>
            </w14:solidFill>
          </w14:textFill>
        </w:rPr>
        <w:t>泄漏</w:t>
      </w:r>
      <w:r>
        <w:rPr>
          <w:rFonts w:hint="eastAsia"/>
          <w:color w:val="000000" w:themeColor="text1"/>
          <w:highlight w:val="none"/>
          <w14:textFill>
            <w14:solidFill>
              <w14:schemeClr w14:val="tx1"/>
            </w14:solidFill>
          </w14:textFill>
        </w:rPr>
        <w:t>的环境风险事故降到最低程度。管线敷设尽量采用</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可视化</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原则。即管道尽可能地上和架空敷设，做到污染物</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早发现、早处理</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，减少由于埋地管道泄漏而造成的地下水污染。 </w:t>
      </w:r>
    </w:p>
    <w:p w14:paraId="63CED3B6">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 xml:space="preserve">）末端控制措施 </w:t>
      </w:r>
    </w:p>
    <w:p w14:paraId="1B7609B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主要包括场内污染区地面的防渗措施和泄漏渗漏污染物收集措施。即在污染区地面进行防渗处理。防止洒落地面的污染物渗入地下，并把滞留在地面的污染物收集起来，集中送至厂内</w:t>
      </w:r>
      <w:r>
        <w:rPr>
          <w:rFonts w:hint="eastAsia"/>
          <w:color w:val="000000" w:themeColor="text1"/>
          <w:highlight w:val="none"/>
          <w:lang w:val="en-US" w:eastAsia="zh-CN"/>
          <w14:textFill>
            <w14:solidFill>
              <w14:schemeClr w14:val="tx1"/>
            </w14:solidFill>
          </w14:textFill>
        </w:rPr>
        <w:t>事故池</w:t>
      </w:r>
      <w:r>
        <w:rPr>
          <w:rFonts w:hint="eastAsia"/>
          <w:color w:val="000000" w:themeColor="text1"/>
          <w:highlight w:val="none"/>
          <w14:textFill>
            <w14:solidFill>
              <w14:schemeClr w14:val="tx1"/>
            </w14:solidFill>
          </w14:textFill>
        </w:rPr>
        <w:t>。</w:t>
      </w:r>
    </w:p>
    <w:p w14:paraId="04B0075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 xml:space="preserve">）污染监控体系 </w:t>
      </w:r>
    </w:p>
    <w:p w14:paraId="6FF784E2">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实施覆盖生产区的地下水污染监控系统，包括建立完善的监测制度。配备检测仪器和设备、科学、合理设置地下水污染监控井，及时发现污染，及时控制。</w:t>
      </w:r>
    </w:p>
    <w:p w14:paraId="75CBA1A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 xml:space="preserve">）应急响应措施 </w:t>
      </w:r>
    </w:p>
    <w:p w14:paraId="51787BE0">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包括一旦发现地下水污染事故，立即启动应急预案，采取应急措施控制地下水污染，并使污染得到治理。 </w:t>
      </w:r>
    </w:p>
    <w:p w14:paraId="6ED0CF80">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lang w:val="en-US"/>
          <w14:textFill>
            <w14:solidFill>
              <w14:schemeClr w14:val="tx1"/>
            </w14:solidFill>
          </w14:textFill>
        </w:rPr>
        <w:t>.2.3.2</w:t>
      </w:r>
      <w:r>
        <w:rPr>
          <w:color w:val="000000" w:themeColor="text1"/>
          <w:highlight w:val="none"/>
          <w:lang w:val="en-US"/>
          <w14:textFill>
            <w14:solidFill>
              <w14:schemeClr w14:val="tx1"/>
            </w14:solidFill>
          </w14:textFill>
        </w:rPr>
        <w:t>防渗方案设计</w:t>
      </w:r>
    </w:p>
    <w:p w14:paraId="0805D06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根据厂区可能</w:t>
      </w:r>
      <w:r>
        <w:rPr>
          <w:rFonts w:hint="eastAsia"/>
          <w:color w:val="000000" w:themeColor="text1"/>
          <w:highlight w:val="none"/>
          <w:lang w:eastAsia="zh-CN"/>
          <w14:textFill>
            <w14:solidFill>
              <w14:schemeClr w14:val="tx1"/>
            </w14:solidFill>
          </w14:textFill>
        </w:rPr>
        <w:t>泄漏</w:t>
      </w:r>
      <w:r>
        <w:rPr>
          <w:rFonts w:hint="eastAsia"/>
          <w:color w:val="000000" w:themeColor="text1"/>
          <w:highlight w:val="none"/>
          <w14:textFill>
            <w14:solidFill>
              <w14:schemeClr w14:val="tx1"/>
            </w14:solidFill>
          </w14:textFill>
        </w:rPr>
        <w:t>至地面区域污染物的性质和各生产单元的构筑方式，将厂区划分为简单防渗区、一般防渗区和重点防渗区。根据本工程特点，防渗区域划分及防渗要求见表</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3-1</w:t>
      </w:r>
      <w:r>
        <w:rPr>
          <w:rFonts w:hint="eastAsia"/>
          <w:color w:val="000000" w:themeColor="text1"/>
          <w:highlight w:val="none"/>
          <w14:textFill>
            <w14:solidFill>
              <w14:schemeClr w14:val="tx1"/>
            </w14:solidFill>
          </w14:textFill>
        </w:rPr>
        <w:t>，项目</w:t>
      </w:r>
      <w:r>
        <w:rPr>
          <w:color w:val="000000" w:themeColor="text1"/>
          <w:highlight w:val="none"/>
          <w14:textFill>
            <w14:solidFill>
              <w14:schemeClr w14:val="tx1"/>
            </w14:solidFill>
          </w14:textFill>
        </w:rPr>
        <w:t>分区防渗图见图</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.2-2。</w:t>
      </w:r>
    </w:p>
    <w:p w14:paraId="78C169A8">
      <w:pPr>
        <w:pStyle w:val="2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.2.3-1       污染区划分及防渗要求</w:t>
      </w:r>
    </w:p>
    <w:tbl>
      <w:tblPr>
        <w:tblStyle w:val="20"/>
        <w:tblW w:w="546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2069"/>
        <w:gridCol w:w="3562"/>
        <w:gridCol w:w="3439"/>
      </w:tblGrid>
      <w:tr w14:paraId="2D0AFE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1140" w:type="pct"/>
            <w:tcBorders>
              <w:bottom w:val="single" w:color="000000" w:sz="12" w:space="0"/>
            </w:tcBorders>
            <w:noWrap w:val="0"/>
            <w:vAlign w:val="center"/>
          </w:tcPr>
          <w:p w14:paraId="532D6D9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防渗分区</w:t>
            </w:r>
          </w:p>
        </w:tc>
        <w:tc>
          <w:tcPr>
            <w:tcW w:w="1963" w:type="pct"/>
            <w:tcBorders>
              <w:bottom w:val="single" w:color="000000" w:sz="12" w:space="0"/>
            </w:tcBorders>
            <w:noWrap w:val="0"/>
            <w:vAlign w:val="center"/>
          </w:tcPr>
          <w:p w14:paraId="5FF25C76">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位置</w:t>
            </w:r>
          </w:p>
        </w:tc>
        <w:tc>
          <w:tcPr>
            <w:tcW w:w="1895" w:type="pct"/>
            <w:tcBorders>
              <w:bottom w:val="single" w:color="000000" w:sz="12" w:space="0"/>
            </w:tcBorders>
            <w:noWrap w:val="0"/>
            <w:vAlign w:val="center"/>
          </w:tcPr>
          <w:p w14:paraId="3DEC06A9">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防渗技术要求</w:t>
            </w:r>
          </w:p>
        </w:tc>
      </w:tr>
      <w:tr w14:paraId="496878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1140" w:type="pct"/>
            <w:tcBorders>
              <w:top w:val="single" w:color="000000" w:sz="12" w:space="0"/>
            </w:tcBorders>
            <w:noWrap w:val="0"/>
            <w:vAlign w:val="center"/>
          </w:tcPr>
          <w:p w14:paraId="2DA9977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重点防渗区</w:t>
            </w:r>
          </w:p>
        </w:tc>
        <w:tc>
          <w:tcPr>
            <w:tcW w:w="1963" w:type="pct"/>
            <w:tcBorders>
              <w:top w:val="single" w:color="000000" w:sz="12" w:space="0"/>
            </w:tcBorders>
            <w:noWrap w:val="0"/>
            <w:vAlign w:val="center"/>
          </w:tcPr>
          <w:p w14:paraId="33C31080">
            <w:pPr>
              <w:pStyle w:val="26"/>
              <w:rPr>
                <w:rFonts w:hint="default"/>
                <w:color w:val="000000" w:themeColor="text1"/>
                <w:highlight w:val="none"/>
                <w:lang w:val="en-US"/>
                <w14:textFill>
                  <w14:solidFill>
                    <w14:schemeClr w14:val="tx1"/>
                  </w14:solidFill>
                </w14:textFill>
              </w:rPr>
            </w:pPr>
            <w:r>
              <w:rPr>
                <w:rFonts w:hint="eastAsia"/>
                <w:color w:val="000000" w:themeColor="text1"/>
                <w:highlight w:val="none"/>
                <w:lang w:eastAsia="zh-CN"/>
                <w14:textFill>
                  <w14:solidFill>
                    <w14:schemeClr w14:val="tx1"/>
                  </w14:solidFill>
                </w14:textFill>
              </w:rPr>
              <w:t>危废贮存库、</w:t>
            </w:r>
            <w:r>
              <w:rPr>
                <w:rFonts w:hint="eastAsia"/>
                <w:color w:val="000000" w:themeColor="text1"/>
                <w:highlight w:val="none"/>
                <w:lang w:val="en-US" w:eastAsia="zh-CN"/>
                <w14:textFill>
                  <w14:solidFill>
                    <w14:schemeClr w14:val="tx1"/>
                  </w14:solidFill>
                </w14:textFill>
              </w:rPr>
              <w:t>硫酸罐区</w:t>
            </w:r>
          </w:p>
        </w:tc>
        <w:tc>
          <w:tcPr>
            <w:tcW w:w="1895" w:type="pct"/>
            <w:tcBorders>
              <w:top w:val="single" w:color="000000" w:sz="12" w:space="0"/>
            </w:tcBorders>
            <w:noWrap w:val="0"/>
            <w:vAlign w:val="center"/>
          </w:tcPr>
          <w:p w14:paraId="6738FA02">
            <w:pPr>
              <w:pStyle w:val="26"/>
              <w:jc w:val="both"/>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防渗层为至少1m厚黏土层，或至少2mm厚高密度聚乙烯膜等人工防渗材料，渗透系数不大于10</w:t>
            </w:r>
            <w:r>
              <w:rPr>
                <w:rFonts w:hint="eastAsia"/>
                <w:color w:val="000000" w:themeColor="text1"/>
                <w:highlight w:val="none"/>
                <w:vertAlign w:val="superscript"/>
                <w:lang w:eastAsia="zh-CN"/>
                <w14:textFill>
                  <w14:solidFill>
                    <w14:schemeClr w14:val="tx1"/>
                  </w14:solidFill>
                </w14:textFill>
              </w:rPr>
              <w:t>-10</w:t>
            </w:r>
            <w:r>
              <w:rPr>
                <w:rFonts w:hint="eastAsia"/>
                <w:color w:val="000000" w:themeColor="text1"/>
                <w:highlight w:val="none"/>
                <w:lang w:eastAsia="zh-CN"/>
                <w14:textFill>
                  <w14:solidFill>
                    <w14:schemeClr w14:val="tx1"/>
                  </w14:solidFill>
                </w14:textFill>
              </w:rPr>
              <w:t>cm/s</w:t>
            </w:r>
          </w:p>
        </w:tc>
      </w:tr>
      <w:tr w14:paraId="5B621DD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1140" w:type="pct"/>
            <w:noWrap w:val="0"/>
            <w:vAlign w:val="center"/>
          </w:tcPr>
          <w:p w14:paraId="078038D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一般防渗区</w:t>
            </w:r>
          </w:p>
        </w:tc>
        <w:tc>
          <w:tcPr>
            <w:tcW w:w="1963" w:type="pct"/>
            <w:noWrap w:val="0"/>
            <w:vAlign w:val="center"/>
          </w:tcPr>
          <w:p w14:paraId="27839829">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生产车间</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原料库房、产品库房</w:t>
            </w:r>
          </w:p>
        </w:tc>
        <w:tc>
          <w:tcPr>
            <w:tcW w:w="1895" w:type="pct"/>
            <w:noWrap w:val="0"/>
            <w:vAlign w:val="center"/>
          </w:tcPr>
          <w:p w14:paraId="28507026">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等效黏土防渗层</w:t>
            </w:r>
            <w:r>
              <w:rPr>
                <w:color w:val="000000" w:themeColor="text1"/>
                <w:highlight w:val="none"/>
                <w14:textFill>
                  <w14:solidFill>
                    <w14:schemeClr w14:val="tx1"/>
                  </w14:solidFill>
                </w14:textFill>
              </w:rPr>
              <w:t>Mb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1.5m</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K</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10</w:t>
            </w:r>
            <w:r>
              <w:rPr>
                <w:color w:val="000000" w:themeColor="text1"/>
                <w:highlight w:val="none"/>
                <w:vertAlign w:val="superscript"/>
                <w14:textFill>
                  <w14:solidFill>
                    <w14:schemeClr w14:val="tx1"/>
                  </w14:solidFill>
                </w14:textFill>
              </w:rPr>
              <w:t>-7</w:t>
            </w:r>
            <w:r>
              <w:rPr>
                <w:color w:val="000000" w:themeColor="text1"/>
                <w:highlight w:val="none"/>
                <w14:textFill>
                  <w14:solidFill>
                    <w14:schemeClr w14:val="tx1"/>
                  </w14:solidFill>
                </w14:textFill>
              </w:rPr>
              <w:t>cm/s</w:t>
            </w:r>
            <w:r>
              <w:rPr>
                <w:rFonts w:hint="eastAsia"/>
                <w:color w:val="000000" w:themeColor="text1"/>
                <w:highlight w:val="none"/>
                <w14:textFill>
                  <w14:solidFill>
                    <w14:schemeClr w14:val="tx1"/>
                  </w14:solidFill>
                </w14:textFill>
              </w:rPr>
              <w:t>。</w:t>
            </w:r>
          </w:p>
        </w:tc>
      </w:tr>
      <w:tr w14:paraId="658318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jc w:val="center"/>
        </w:trPr>
        <w:tc>
          <w:tcPr>
            <w:tcW w:w="1140" w:type="pct"/>
            <w:noWrap w:val="0"/>
            <w:vAlign w:val="center"/>
          </w:tcPr>
          <w:p w14:paraId="1C793C0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简单防渗区</w:t>
            </w:r>
          </w:p>
        </w:tc>
        <w:tc>
          <w:tcPr>
            <w:tcW w:w="1963" w:type="pct"/>
            <w:noWrap w:val="0"/>
            <w:vAlign w:val="center"/>
          </w:tcPr>
          <w:p w14:paraId="2CF5D450">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厂内道路</w:t>
            </w:r>
            <w:r>
              <w:rPr>
                <w:rFonts w:hint="eastAsia"/>
                <w:color w:val="000000" w:themeColor="text1"/>
                <w:highlight w:val="none"/>
                <w14:textFill>
                  <w14:solidFill>
                    <w14:schemeClr w14:val="tx1"/>
                  </w14:solidFill>
                </w14:textFill>
              </w:rPr>
              <w:t>、办公生活区</w:t>
            </w:r>
          </w:p>
        </w:tc>
        <w:tc>
          <w:tcPr>
            <w:tcW w:w="1895" w:type="pct"/>
            <w:noWrap w:val="0"/>
            <w:vAlign w:val="center"/>
          </w:tcPr>
          <w:p w14:paraId="69B6D20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一般地面硬化</w:t>
            </w:r>
          </w:p>
        </w:tc>
      </w:tr>
    </w:tbl>
    <w:p w14:paraId="7753EE9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）重点防渗区为危险废物暂存库</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硫酸罐区</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其中</w:t>
      </w:r>
      <w:r>
        <w:rPr>
          <w:rFonts w:hint="eastAsia"/>
          <w:color w:val="000000" w:themeColor="text1"/>
          <w:highlight w:val="none"/>
          <w14:textFill>
            <w14:solidFill>
              <w14:schemeClr w14:val="tx1"/>
            </w14:solidFill>
          </w14:textFill>
        </w:rPr>
        <w:t>危废暂存库参照</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，其防渗性能为至少</w:t>
      </w:r>
      <w:r>
        <w:rPr>
          <w:color w:val="000000" w:themeColor="text1"/>
          <w:highlight w:val="none"/>
          <w14:textFill>
            <w14:solidFill>
              <w14:schemeClr w14:val="tx1"/>
            </w14:solidFill>
          </w14:textFill>
        </w:rPr>
        <w:t>1m</w:t>
      </w:r>
      <w:r>
        <w:rPr>
          <w:rFonts w:hint="eastAsia"/>
          <w:color w:val="000000" w:themeColor="text1"/>
          <w:highlight w:val="none"/>
          <w14:textFill>
            <w14:solidFill>
              <w14:schemeClr w14:val="tx1"/>
            </w14:solidFill>
          </w14:textFill>
        </w:rPr>
        <w:t>厚粘土层，或</w:t>
      </w:r>
      <w:r>
        <w:rPr>
          <w:color w:val="000000" w:themeColor="text1"/>
          <w:highlight w:val="none"/>
          <w14:textFill>
            <w14:solidFill>
              <w14:schemeClr w14:val="tx1"/>
            </w14:solidFill>
          </w14:textFill>
        </w:rPr>
        <w:t>2mm</w:t>
      </w:r>
      <w:r>
        <w:rPr>
          <w:rFonts w:hint="eastAsia"/>
          <w:color w:val="000000" w:themeColor="text1"/>
          <w:highlight w:val="none"/>
          <w14:textFill>
            <w14:solidFill>
              <w14:schemeClr w14:val="tx1"/>
            </w14:solidFill>
          </w14:textFill>
        </w:rPr>
        <w:t>厚高密度聚乙烯，或至少</w:t>
      </w:r>
      <w:r>
        <w:rPr>
          <w:color w:val="000000" w:themeColor="text1"/>
          <w:highlight w:val="none"/>
          <w14:textFill>
            <w14:solidFill>
              <w14:schemeClr w14:val="tx1"/>
            </w14:solidFill>
          </w14:textFill>
        </w:rPr>
        <w:t>2mm</w:t>
      </w:r>
      <w:r>
        <w:rPr>
          <w:rFonts w:hint="eastAsia"/>
          <w:color w:val="000000" w:themeColor="text1"/>
          <w:highlight w:val="none"/>
          <w14:textFill>
            <w14:solidFill>
              <w14:schemeClr w14:val="tx1"/>
            </w14:solidFill>
          </w14:textFill>
        </w:rPr>
        <w:t>厚的</w:t>
      </w:r>
      <w:r>
        <w:rPr>
          <w:rFonts w:hint="eastAsia"/>
          <w:color w:val="000000" w:themeColor="text1"/>
          <w:highlight w:val="none"/>
          <w:lang w:eastAsia="zh-CN"/>
          <w14:textFill>
            <w14:solidFill>
              <w14:schemeClr w14:val="tx1"/>
            </w14:solidFill>
          </w14:textFill>
        </w:rPr>
        <w:t>其他人工</w:t>
      </w:r>
      <w:r>
        <w:rPr>
          <w:rFonts w:hint="eastAsia"/>
          <w:color w:val="000000" w:themeColor="text1"/>
          <w:highlight w:val="none"/>
          <w14:textFill>
            <w14:solidFill>
              <w14:schemeClr w14:val="tx1"/>
            </w14:solidFill>
          </w14:textFill>
        </w:rPr>
        <w:t>材料，渗透系数≤</w:t>
      </w:r>
      <w:r>
        <w:rPr>
          <w:color w:val="000000" w:themeColor="text1"/>
          <w:highlight w:val="none"/>
          <w14:textFill>
            <w14:solidFill>
              <w14:schemeClr w14:val="tx1"/>
            </w14:solidFill>
          </w14:textFill>
        </w:rPr>
        <w:t>10</w:t>
      </w:r>
      <w:r>
        <w:rPr>
          <w:rFonts w:hint="eastAsia"/>
          <w:color w:val="000000" w:themeColor="text1"/>
          <w:highlight w:val="none"/>
          <w:vertAlign w:val="superscript"/>
          <w:lang w:val="en-US" w:eastAsia="zh-CN"/>
          <w14:textFill>
            <w14:solidFill>
              <w14:schemeClr w14:val="tx1"/>
            </w14:solidFill>
          </w14:textFill>
        </w:rPr>
        <w:t>-10</w:t>
      </w:r>
      <w:r>
        <w:rPr>
          <w:color w:val="000000" w:themeColor="text1"/>
          <w:highlight w:val="none"/>
          <w14:textFill>
            <w14:solidFill>
              <w14:schemeClr w14:val="tx1"/>
            </w14:solidFill>
          </w14:textFill>
        </w:rPr>
        <w:t>cm/s</w:t>
      </w:r>
      <w:r>
        <w:rPr>
          <w:rFonts w:hint="eastAsia"/>
          <w:color w:val="000000" w:themeColor="text1"/>
          <w:highlight w:val="none"/>
          <w14:textFill>
            <w14:solidFill>
              <w14:schemeClr w14:val="tx1"/>
            </w14:solidFill>
          </w14:textFill>
        </w:rPr>
        <w:t>。</w:t>
      </w:r>
    </w:p>
    <w:p w14:paraId="5D717548">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）一般防渗区为</w:t>
      </w:r>
      <w:r>
        <w:rPr>
          <w:rFonts w:hint="eastAsia"/>
          <w:color w:val="000000" w:themeColor="text1"/>
          <w:highlight w:val="none"/>
          <w:lang w:val="en-US" w:eastAsia="zh-CN"/>
          <w14:textFill>
            <w14:solidFill>
              <w14:schemeClr w14:val="tx1"/>
            </w14:solidFill>
          </w14:textFill>
        </w:rPr>
        <w:t>生产车间</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原料库房、产品库房</w:t>
      </w:r>
      <w:r>
        <w:rPr>
          <w:rFonts w:hint="eastAsia"/>
          <w:color w:val="000000" w:themeColor="text1"/>
          <w:highlight w:val="none"/>
          <w14:textFill>
            <w14:solidFill>
              <w14:schemeClr w14:val="tx1"/>
            </w14:solidFill>
          </w14:textFill>
        </w:rPr>
        <w:t>，参照《</w:t>
      </w:r>
      <w:r>
        <w:rPr>
          <w:rFonts w:hint="eastAsia"/>
          <w:color w:val="000000" w:themeColor="text1"/>
          <w:highlight w:val="none"/>
          <w:lang w:eastAsia="zh-CN"/>
          <w14:textFill>
            <w14:solidFill>
              <w14:schemeClr w14:val="tx1"/>
            </w14:solidFill>
          </w14:textFill>
        </w:rPr>
        <w:t>环境影响评价技术导则 地下水环境</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HJ610-2016</w:t>
      </w:r>
      <w:r>
        <w:rPr>
          <w:rFonts w:hint="eastAsia"/>
          <w:color w:val="000000" w:themeColor="text1"/>
          <w:highlight w:val="none"/>
          <w14:textFill>
            <w14:solidFill>
              <w14:schemeClr w14:val="tx1"/>
            </w14:solidFill>
          </w14:textFill>
        </w:rPr>
        <w:t>）相关防渗要求，等效黏土防渗层</w:t>
      </w:r>
      <w:r>
        <w:rPr>
          <w:color w:val="000000" w:themeColor="text1"/>
          <w:highlight w:val="none"/>
          <w14:textFill>
            <w14:solidFill>
              <w14:schemeClr w14:val="tx1"/>
            </w14:solidFill>
          </w14:textFill>
        </w:rPr>
        <w:t>Mb</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1.5m</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K</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10</w:t>
      </w:r>
      <w:r>
        <w:rPr>
          <w:color w:val="000000" w:themeColor="text1"/>
          <w:highlight w:val="none"/>
          <w:vertAlign w:val="superscript"/>
          <w14:textFill>
            <w14:solidFill>
              <w14:schemeClr w14:val="tx1"/>
            </w14:solidFill>
          </w14:textFill>
        </w:rPr>
        <w:t>-7</w:t>
      </w:r>
      <w:r>
        <w:rPr>
          <w:color w:val="000000" w:themeColor="text1"/>
          <w:highlight w:val="none"/>
          <w14:textFill>
            <w14:solidFill>
              <w14:schemeClr w14:val="tx1"/>
            </w14:solidFill>
          </w14:textFill>
        </w:rPr>
        <w:t>cm/s</w:t>
      </w:r>
      <w:r>
        <w:rPr>
          <w:rFonts w:hint="eastAsia"/>
          <w:color w:val="000000" w:themeColor="text1"/>
          <w:highlight w:val="none"/>
          <w14:textFill>
            <w14:solidFill>
              <w14:schemeClr w14:val="tx1"/>
            </w14:solidFill>
          </w14:textFill>
        </w:rPr>
        <w:t>。</w:t>
      </w:r>
    </w:p>
    <w:p w14:paraId="5C233AC4">
      <w:pPr>
        <w:widowControl/>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（3）简单防渗区为</w:t>
      </w:r>
      <w:r>
        <w:rPr>
          <w:color w:val="000000" w:themeColor="text1"/>
          <w:highlight w:val="none"/>
          <w14:textFill>
            <w14:solidFill>
              <w14:schemeClr w14:val="tx1"/>
            </w14:solidFill>
          </w14:textFill>
        </w:rPr>
        <w:t>厂内道路</w:t>
      </w:r>
      <w:r>
        <w:rPr>
          <w:rFonts w:hint="eastAsia"/>
          <w:color w:val="000000" w:themeColor="text1"/>
          <w:highlight w:val="none"/>
          <w14:textFill>
            <w14:solidFill>
              <w14:schemeClr w14:val="tx1"/>
            </w14:solidFill>
          </w14:textFill>
        </w:rPr>
        <w:t>、厂区办公生活区，</w:t>
      </w:r>
      <w:r>
        <w:rPr>
          <w:color w:val="000000" w:themeColor="text1"/>
          <w:highlight w:val="none"/>
          <w14:textFill>
            <w14:solidFill>
              <w14:schemeClr w14:val="tx1"/>
            </w14:solidFill>
          </w14:textFill>
        </w:rPr>
        <w:t>一般地面硬化</w:t>
      </w:r>
      <w:r>
        <w:rPr>
          <w:rFonts w:hint="eastAsia"/>
          <w:color w:val="000000" w:themeColor="text1"/>
          <w:highlight w:val="none"/>
          <w14:textFill>
            <w14:solidFill>
              <w14:schemeClr w14:val="tx1"/>
            </w14:solidFill>
          </w14:textFill>
        </w:rPr>
        <w:t>即可。</w:t>
      </w:r>
    </w:p>
    <w:p w14:paraId="01896CAD">
      <w:pPr>
        <w:pStyle w:val="4"/>
        <w:tabs>
          <w:tab w:val="left" w:pos="0"/>
        </w:tabs>
        <w:rPr>
          <w:color w:val="000000" w:themeColor="text1"/>
          <w:highlight w:val="none"/>
          <w14:textFill>
            <w14:solidFill>
              <w14:schemeClr w14:val="tx1"/>
            </w14:solidFill>
          </w14:textFill>
        </w:rPr>
      </w:pPr>
      <w:bookmarkStart w:id="1119" w:name="_Toc5159"/>
      <w:bookmarkStart w:id="1120" w:name="_Toc22575146"/>
      <w:bookmarkStart w:id="1121" w:name="_Toc32144"/>
      <w:bookmarkStart w:id="1122" w:name="_Toc24047"/>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2.4运营期</w:t>
      </w:r>
      <w:r>
        <w:rPr>
          <w:color w:val="000000" w:themeColor="text1"/>
          <w:highlight w:val="none"/>
          <w14:textFill>
            <w14:solidFill>
              <w14:schemeClr w14:val="tx1"/>
            </w14:solidFill>
          </w14:textFill>
        </w:rPr>
        <w:t>噪声污染防治措施</w:t>
      </w:r>
      <w:bookmarkEnd w:id="1119"/>
      <w:bookmarkEnd w:id="1120"/>
      <w:r>
        <w:rPr>
          <w:color w:val="000000" w:themeColor="text1"/>
          <w:highlight w:val="none"/>
          <w14:textFill>
            <w14:solidFill>
              <w14:schemeClr w14:val="tx1"/>
            </w14:solidFill>
          </w14:textFill>
        </w:rPr>
        <w:t>及可行性</w:t>
      </w:r>
      <w:r>
        <w:rPr>
          <w:rFonts w:hint="eastAsia"/>
          <w:color w:val="000000" w:themeColor="text1"/>
          <w:highlight w:val="none"/>
          <w14:textFill>
            <w14:solidFill>
              <w14:schemeClr w14:val="tx1"/>
            </w14:solidFill>
          </w14:textFill>
        </w:rPr>
        <w:t>分析</w:t>
      </w:r>
      <w:bookmarkEnd w:id="1121"/>
      <w:bookmarkEnd w:id="1122"/>
    </w:p>
    <w:p w14:paraId="5F600FEE">
      <w:pPr>
        <w:bidi w:val="0"/>
        <w:rPr>
          <w:rFonts w:hint="eastAsia" w:eastAsia="宋体"/>
          <w:color w:val="000000" w:themeColor="text1"/>
          <w:highlight w:val="none"/>
          <w:lang w:eastAsia="zh-CN"/>
          <w14:textFill>
            <w14:solidFill>
              <w14:schemeClr w14:val="tx1"/>
            </w14:solidFill>
          </w14:textFill>
        </w:rPr>
      </w:pPr>
      <w:bookmarkStart w:id="1123" w:name="_Toc325381838"/>
      <w:bookmarkStart w:id="1124" w:name="_Toc16780"/>
      <w:bookmarkStart w:id="1125" w:name="_Toc325381694"/>
      <w:bookmarkStart w:id="1126" w:name="_Toc5138"/>
      <w:r>
        <w:rPr>
          <w:color w:val="000000" w:themeColor="text1"/>
          <w:highlight w:val="none"/>
          <w14:textFill>
            <w14:solidFill>
              <w14:schemeClr w14:val="tx1"/>
            </w14:solidFill>
          </w14:textFill>
        </w:rPr>
        <w:t>本项目运营期噪声主要来源于生产配套风机、水泵、输送设备及各类机泵设备连续运转产生的机械噪声，多数设备噪声源强较高。为确保项目运营后厂界噪声稳定满足《工业企业厂界环境噪声排放标准》（GB12348-2008）</w:t>
      </w:r>
      <w:r>
        <w:rPr>
          <w:rFonts w:hint="eastAsia"/>
          <w:color w:val="000000" w:themeColor="text1"/>
          <w:highlight w:val="none"/>
          <w:lang w:val="en-US" w:eastAsia="zh-CN"/>
          <w14:textFill>
            <w14:solidFill>
              <w14:schemeClr w14:val="tx1"/>
            </w14:solidFill>
          </w14:textFill>
        </w:rPr>
        <w:t>中</w:t>
      </w:r>
      <w:r>
        <w:rPr>
          <w:color w:val="000000" w:themeColor="text1"/>
          <w:highlight w:val="none"/>
          <w14:textFill>
            <w14:solidFill>
              <w14:schemeClr w14:val="tx1"/>
            </w14:solidFill>
          </w14:textFill>
        </w:rPr>
        <w:t>3类标准要求，最大限度降低设备噪声对厂区内部及周边声环境的不利影响，项目从源头控制、布局优化、设备减振、建筑隔声、运行管理等方面采取综合降噪措施</w:t>
      </w:r>
      <w:r>
        <w:rPr>
          <w:rFonts w:hint="eastAsia"/>
          <w:color w:val="000000" w:themeColor="text1"/>
          <w:highlight w:val="none"/>
          <w:lang w:eastAsia="zh-CN"/>
          <w14:textFill>
            <w14:solidFill>
              <w14:schemeClr w14:val="tx1"/>
            </w14:solidFill>
          </w14:textFill>
        </w:rPr>
        <w:t>。</w:t>
      </w:r>
    </w:p>
    <w:p w14:paraId="69B57FA7">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（1）源头降噪，选用低噪声设备</w:t>
      </w:r>
    </w:p>
    <w:p w14:paraId="4800033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在设备选型及采购阶段严格执行低噪准入原则，优先选用技术先进、运行平稳、噪声低的成熟设备，对风机、离心泵、输送机组等高噪声设备，明确向设备厂家提出噪声限值要求，严禁选用高噪、老旧、工况不稳定设备。同时在设备安装、调试阶段严格把控安装精度，保证设备同轴度、水平度达标，避免因安装偏差、设备共振产生额外次生噪声，从源头有效降低噪声源强。</w:t>
      </w:r>
    </w:p>
    <w:p w14:paraId="139A2ED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（2）强化设备日常运维管理</w:t>
      </w:r>
    </w:p>
    <w:p w14:paraId="666BEB1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立设备常态化维护保养制度，定期对生产设备、传动部件、轴承、密封件等进行检查、润滑、紧固和检修，及时更换老化、磨损零部件，保证设备长期处于平稳、良好的运行工况，杜绝因设备故障、松动、异常磨损导致的非正常高噪声现象，稳定设备正常运行噪声水平。同时规范操作人员作业行为，杜绝野蛮操作、超负荷运行等人为造成的噪声增大问题。</w:t>
      </w:r>
    </w:p>
    <w:p w14:paraId="4196D686">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（3）优化厂区设备平面布局</w:t>
      </w:r>
    </w:p>
    <w:p w14:paraId="5756215E">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结合厂区整体布局合理规划设备布置，实行高噪声设备集中布设、远离厂界布置原则，将风机、泵类等高噪声设备尽量布置在厂区中部、远离厂界及环境敏感点的区域，利用厂区建筑、构筑物形成天然隔声缓冲带。对于受工艺条件限制不得不临近厂界布置的高噪声设备，额外增设专项隔声、减振设施，进一步削弱噪声向外传播能力。</w:t>
      </w:r>
    </w:p>
    <w:p w14:paraId="356DA91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（4）落实设备减振、隔声、吸声工程措施</w:t>
      </w:r>
    </w:p>
    <w:p w14:paraId="2A43B96F">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对所有高噪声、振动类设备底部加装专用橡胶减振垫、减振支座，有效降低设备运行振动产生的结构传声与固体传声。生产厂房整体采用密闭式设计，合理控制厂房开窗面积，配套设置隔声门窗；对高噪声车间内墙、顶部加装多孔吸声材料、柔性吸声板材等吸声结构，降低车间内部混响噪声，减少噪声叠加累积。通过“减振+吸声+隔声”多重工程措施，大幅削弱噪声向外辐射扩散。</w:t>
      </w:r>
    </w:p>
    <w:p w14:paraId="293C10A0">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综上，在采取以上措施后，厂界四周噪声可满足《工业企业厂界环境噪声排放标准》（GB12348-2008）中</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类区标准的要求</w:t>
      </w:r>
      <w:bookmarkEnd w:id="1123"/>
      <w:bookmarkEnd w:id="1124"/>
      <w:bookmarkEnd w:id="1125"/>
      <w:r>
        <w:rPr>
          <w:color w:val="000000" w:themeColor="text1"/>
          <w:highlight w:val="none"/>
          <w14:textFill>
            <w14:solidFill>
              <w14:schemeClr w14:val="tx1"/>
            </w14:solidFill>
          </w14:textFill>
        </w:rPr>
        <w:t>，拟建项目采用的噪声防治措施是可行的。</w:t>
      </w:r>
    </w:p>
    <w:bookmarkEnd w:id="1126"/>
    <w:p w14:paraId="1791A0E6">
      <w:pPr>
        <w:ind w:firstLine="0" w:firstLineChars="0"/>
        <w:rPr>
          <w:rStyle w:val="40"/>
          <w:rFonts w:hint="eastAsia"/>
          <w:color w:val="000000" w:themeColor="text1"/>
          <w:highlight w:val="none"/>
          <w14:textFill>
            <w14:solidFill>
              <w14:schemeClr w14:val="tx1"/>
            </w14:solidFill>
          </w14:textFill>
        </w:rPr>
      </w:pPr>
      <w:bookmarkStart w:id="1127" w:name="_Toc19906"/>
      <w:bookmarkStart w:id="1128" w:name="_Toc5161"/>
      <w:bookmarkStart w:id="1129" w:name="_Toc26146"/>
      <w:r>
        <w:rPr>
          <w:rStyle w:val="40"/>
          <w:rFonts w:hint="eastAsia" w:eastAsia="黑体"/>
          <w:color w:val="000000" w:themeColor="text1"/>
          <w:highlight w:val="none"/>
          <w:lang w:val="en-US" w:eastAsia="zh-CN"/>
          <w14:textFill>
            <w14:solidFill>
              <w14:schemeClr w14:val="tx1"/>
            </w14:solidFill>
          </w14:textFill>
        </w:rPr>
        <w:t>6</w:t>
      </w:r>
      <w:r>
        <w:rPr>
          <w:rStyle w:val="40"/>
          <w:color w:val="000000" w:themeColor="text1"/>
          <w:highlight w:val="none"/>
          <w14:textFill>
            <w14:solidFill>
              <w14:schemeClr w14:val="tx1"/>
            </w14:solidFill>
          </w14:textFill>
        </w:rPr>
        <w:t>.</w:t>
      </w:r>
      <w:r>
        <w:rPr>
          <w:rStyle w:val="40"/>
          <w:rFonts w:hint="eastAsia"/>
          <w:color w:val="000000" w:themeColor="text1"/>
          <w:highlight w:val="none"/>
          <w14:textFill>
            <w14:solidFill>
              <w14:schemeClr w14:val="tx1"/>
            </w14:solidFill>
          </w14:textFill>
        </w:rPr>
        <w:t>2.5运营期</w:t>
      </w:r>
      <w:r>
        <w:rPr>
          <w:rStyle w:val="40"/>
          <w:color w:val="000000" w:themeColor="text1"/>
          <w:highlight w:val="none"/>
          <w14:textFill>
            <w14:solidFill>
              <w14:schemeClr w14:val="tx1"/>
            </w14:solidFill>
          </w14:textFill>
        </w:rPr>
        <w:t>固废污染防治措施</w:t>
      </w:r>
      <w:bookmarkEnd w:id="1127"/>
      <w:r>
        <w:rPr>
          <w:rStyle w:val="40"/>
          <w:color w:val="000000" w:themeColor="text1"/>
          <w:highlight w:val="none"/>
          <w14:textFill>
            <w14:solidFill>
              <w14:schemeClr w14:val="tx1"/>
            </w14:solidFill>
          </w14:textFill>
        </w:rPr>
        <w:t>及可行性</w:t>
      </w:r>
      <w:r>
        <w:rPr>
          <w:rStyle w:val="40"/>
          <w:rFonts w:hint="eastAsia"/>
          <w:color w:val="000000" w:themeColor="text1"/>
          <w:highlight w:val="none"/>
          <w14:textFill>
            <w14:solidFill>
              <w14:schemeClr w14:val="tx1"/>
            </w14:solidFill>
          </w14:textFill>
        </w:rPr>
        <w:t>分析</w:t>
      </w:r>
      <w:bookmarkEnd w:id="1128"/>
      <w:bookmarkEnd w:id="1129"/>
    </w:p>
    <w:p w14:paraId="066F76B2">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lang w:val="en-US"/>
          <w14:textFill>
            <w14:solidFill>
              <w14:schemeClr w14:val="tx1"/>
            </w14:solidFill>
          </w14:textFill>
        </w:rPr>
        <w:t>.2.5.1</w:t>
      </w:r>
      <w:r>
        <w:rPr>
          <w:color w:val="000000" w:themeColor="text1"/>
          <w:highlight w:val="none"/>
          <w:lang w:val="en-US"/>
          <w14:textFill>
            <w14:solidFill>
              <w14:schemeClr w14:val="tx1"/>
            </w14:solidFill>
          </w14:textFill>
        </w:rPr>
        <w:t>固体废物</w:t>
      </w:r>
      <w:r>
        <w:rPr>
          <w:rFonts w:hint="eastAsia"/>
          <w:color w:val="000000" w:themeColor="text1"/>
          <w:highlight w:val="none"/>
          <w:lang w:val="en-US"/>
          <w14:textFill>
            <w14:solidFill>
              <w14:schemeClr w14:val="tx1"/>
            </w14:solidFill>
          </w14:textFill>
        </w:rPr>
        <w:t>产生</w:t>
      </w:r>
      <w:r>
        <w:rPr>
          <w:color w:val="000000" w:themeColor="text1"/>
          <w:highlight w:val="none"/>
          <w:lang w:val="en-US"/>
          <w14:textFill>
            <w14:solidFill>
              <w14:schemeClr w14:val="tx1"/>
            </w14:solidFill>
          </w14:textFill>
        </w:rPr>
        <w:t>及处置情况</w:t>
      </w:r>
    </w:p>
    <w:p w14:paraId="398649BB">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项目固体废物分为一般工业固体废物、危险废物及员工的生活垃圾，一般工业固体废物和危险废物应分类处置，一般工业固体废物和生活垃圾的厂内暂存执行《一般工业固体废物贮存和填埋污染控制标准》</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GB18599-2020</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，危险废物暂存和转运执行</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）的相关要求</w:t>
      </w:r>
      <w:r>
        <w:rPr>
          <w:rFonts w:hint="eastAsia"/>
          <w:color w:val="000000" w:themeColor="text1"/>
          <w:highlight w:val="none"/>
          <w14:textFill>
            <w14:solidFill>
              <w14:schemeClr w14:val="tx1"/>
            </w14:solidFill>
          </w14:textFill>
        </w:rPr>
        <w:t>，生活垃圾由园区环卫部门统一清运。</w:t>
      </w:r>
    </w:p>
    <w:p w14:paraId="65AE2759">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（1）一般工业固废</w:t>
      </w:r>
    </w:p>
    <w:p w14:paraId="7059E24E">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建设单位在生产车间西北角隔离区域（占地面积10m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）作为一般固废暂存区，用于存储</w:t>
      </w:r>
      <w:r>
        <w:rPr>
          <w:rFonts w:hint="default"/>
          <w:color w:val="000000" w:themeColor="text1"/>
          <w:highlight w:val="none"/>
          <w:lang w:val="en-US" w:eastAsia="zh-CN"/>
          <w14:textFill>
            <w14:solidFill>
              <w14:schemeClr w14:val="tx1"/>
            </w14:solidFill>
          </w14:textFill>
        </w:rPr>
        <w:t>未沾染有毒有害物质的包装袋</w:t>
      </w:r>
      <w:r>
        <w:rPr>
          <w:rFonts w:hint="eastAsia"/>
          <w:color w:val="000000" w:themeColor="text1"/>
          <w:highlight w:val="none"/>
          <w:lang w:val="en-US" w:eastAsia="zh-CN"/>
          <w14:textFill>
            <w14:solidFill>
              <w14:schemeClr w14:val="tx1"/>
            </w14:solidFill>
          </w14:textFill>
        </w:rPr>
        <w:t>等一般固废，根据核算，项目需贮存的一般固废量约4.2</w:t>
      </w:r>
      <w:r>
        <w:rPr>
          <w:rFonts w:hint="default"/>
          <w:color w:val="000000" w:themeColor="text1"/>
          <w:highlight w:val="none"/>
          <w:lang w:val="en-US" w:eastAsia="zh-CN"/>
          <w14:textFill>
            <w14:solidFill>
              <w14:schemeClr w14:val="tx1"/>
            </w14:solidFill>
          </w14:textFill>
        </w:rPr>
        <w:t>t/a</w:t>
      </w:r>
      <w:r>
        <w:rPr>
          <w:rFonts w:hint="eastAsia"/>
          <w:color w:val="000000" w:themeColor="text1"/>
          <w:highlight w:val="none"/>
          <w:lang w:val="en-US" w:eastAsia="zh-CN"/>
          <w14:textFill>
            <w14:solidFill>
              <w14:schemeClr w14:val="tx1"/>
            </w14:solidFill>
          </w14:textFill>
        </w:rPr>
        <w:t>。本次评价按照固废容重</w:t>
      </w:r>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w:t>
      </w:r>
      <w:r>
        <w:rPr>
          <w:rFonts w:hint="default"/>
          <w:color w:val="000000" w:themeColor="text1"/>
          <w:highlight w:val="none"/>
          <w:lang w:val="en-US" w:eastAsia="zh-CN"/>
          <w14:textFill>
            <w14:solidFill>
              <w14:schemeClr w14:val="tx1"/>
            </w14:solidFill>
          </w14:textFill>
        </w:rPr>
        <w:t>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计，则项目产生的固废容积约2.63</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vertAlign w:val="baseline"/>
          <w:lang w:val="en-US" w:eastAsia="zh-CN"/>
          <w14:textFill>
            <w14:solidFill>
              <w14:schemeClr w14:val="tx1"/>
            </w14:solidFill>
          </w14:textFill>
        </w:rPr>
        <w:t>/a</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vertAlign w:val="baseline"/>
          <w:lang w:val="en-US" w:eastAsia="zh-CN"/>
          <w14:textFill>
            <w14:solidFill>
              <w14:schemeClr w14:val="tx1"/>
            </w14:solidFill>
          </w14:textFill>
        </w:rPr>
        <w:t>满足项目固废产生量。</w:t>
      </w:r>
      <w:r>
        <w:rPr>
          <w:rFonts w:hint="eastAsia"/>
          <w:color w:val="000000" w:themeColor="text1"/>
          <w:highlight w:val="none"/>
          <w:lang w:val="en-US" w:eastAsia="zh-CN"/>
          <w14:textFill>
            <w14:solidFill>
              <w14:schemeClr w14:val="tx1"/>
            </w14:solidFill>
          </w14:textFill>
        </w:rPr>
        <w:t>并设置专人管理，如实记录一般工业固体废物的产生量、综合利用量、处置量、贮存量，并严格落实《一般工业固体废物贮存和填埋污染控制标准》（GB18599-2020）的相关要求，必须确保项目产生的一般固体废物得到妥善处置，措施可行。</w:t>
      </w:r>
    </w:p>
    <w:p w14:paraId="7486E0CB">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（2）危险废物</w:t>
      </w:r>
    </w:p>
    <w:p w14:paraId="3D9B6F6A">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建设单位新建</w:t>
      </w:r>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座面积为10m</w:t>
      </w:r>
      <w:r>
        <w:rPr>
          <w:rFonts w:hint="eastAsia"/>
          <w:color w:val="000000" w:themeColor="text1"/>
          <w:highlight w:val="none"/>
          <w:vertAlign w:val="superscript"/>
          <w:lang w:val="en-US" w:eastAsia="zh-CN"/>
          <w14:textFill>
            <w14:solidFill>
              <w14:schemeClr w14:val="tx1"/>
            </w14:solidFill>
          </w14:textFill>
        </w:rPr>
        <w:t>2</w:t>
      </w:r>
      <w:r>
        <w:rPr>
          <w:rFonts w:hint="eastAsia"/>
          <w:color w:val="000000" w:themeColor="text1"/>
          <w:highlight w:val="none"/>
          <w:vertAlign w:val="baseline"/>
          <w:lang w:val="en-US" w:eastAsia="zh-CN"/>
          <w14:textFill>
            <w14:solidFill>
              <w14:schemeClr w14:val="tx1"/>
            </w14:solidFill>
          </w14:textFill>
        </w:rPr>
        <w:t>的</w:t>
      </w:r>
      <w:r>
        <w:rPr>
          <w:rFonts w:hint="eastAsia"/>
          <w:color w:val="000000" w:themeColor="text1"/>
          <w:highlight w:val="none"/>
          <w:lang w:val="en-US" w:eastAsia="zh-CN"/>
          <w14:textFill>
            <w14:solidFill>
              <w14:schemeClr w14:val="tx1"/>
            </w14:solidFill>
          </w14:textFill>
        </w:rPr>
        <w:t>危险废物暂存间，危废贮存库内不同贮存分区之间采取隔墙隔离措施，根据危险废物的类别、形态、物理化学性质和污染防治要求进行分类贮存，且应避免危险废物与不相容的物质或材料接触。</w:t>
      </w:r>
    </w:p>
    <w:p w14:paraId="1B53EE12">
      <w:pPr>
        <w:bidi w:val="0"/>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项目产生的危废主要为废润滑油、废润滑油桶，项目危废贮存库按照危废类别分为废机油暂存区，废包装暂存区，每个分区之间采取隔墙隔离措施，并按照</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危险废物识别标志设置技术规范</w:t>
      </w:r>
      <w:r>
        <w:rPr>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HJ1276-2022</w:t>
      </w:r>
      <w:r>
        <w:rPr>
          <w:color w:val="000000" w:themeColor="text1"/>
          <w:highlight w:val="none"/>
          <w14:textFill>
            <w14:solidFill>
              <w14:schemeClr w14:val="tx1"/>
            </w14:solidFill>
          </w14:textFill>
        </w:rPr>
        <w:t>）的规定设置警示标志</w:t>
      </w:r>
      <w:r>
        <w:rPr>
          <w:rFonts w:hint="eastAsia"/>
          <w:color w:val="000000" w:themeColor="text1"/>
          <w:highlight w:val="none"/>
          <w:lang w:eastAsia="zh-CN"/>
          <w14:textFill>
            <w14:solidFill>
              <w14:schemeClr w14:val="tx1"/>
            </w14:solidFill>
          </w14:textFill>
        </w:rPr>
        <w:t>。</w:t>
      </w:r>
    </w:p>
    <w:p w14:paraId="6F62B40E">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其中液态类危废废机油，分类贮存于密闭桶中，分别贮存于各贮存区，固态类危废包装，按不同种类分别暂存于暂存间各暂存区，设</w:t>
      </w:r>
      <w:r>
        <w:rPr>
          <w:color w:val="000000" w:themeColor="text1"/>
          <w:highlight w:val="none"/>
          <w14:textFill>
            <w14:solidFill>
              <w14:schemeClr w14:val="tx1"/>
            </w14:solidFill>
          </w14:textFill>
        </w:rPr>
        <w:t>专人管理，须做好危险废物情况的记录，记录上须注明危险废物的名称、数量、特性和包装容器的类别、入库时间、存放库位、废物出库日期及接收单位名称；危险废物贮存间的管理</w:t>
      </w:r>
      <w:r>
        <w:rPr>
          <w:rFonts w:hint="eastAsia"/>
          <w:color w:val="000000" w:themeColor="text1"/>
          <w:highlight w:val="none"/>
          <w:lang w:eastAsia="zh-CN"/>
          <w14:textFill>
            <w14:solidFill>
              <w14:schemeClr w14:val="tx1"/>
            </w14:solidFill>
          </w14:textFill>
        </w:rPr>
        <w:t>人员</w:t>
      </w:r>
      <w:r>
        <w:rPr>
          <w:color w:val="000000" w:themeColor="text1"/>
          <w:highlight w:val="none"/>
          <w14:textFill>
            <w14:solidFill>
              <w14:schemeClr w14:val="tx1"/>
            </w14:solidFill>
          </w14:textFill>
        </w:rPr>
        <w:t>必须定期对所贮存的危险废物包装容器及贮存设施进行检查，发现破损，应及时采取措施清理更换。危险废物贮存间内禁止存放除危险废物及应急工具</w:t>
      </w:r>
      <w:r>
        <w:rPr>
          <w:rFonts w:hint="eastAsia"/>
          <w:color w:val="000000" w:themeColor="text1"/>
          <w:highlight w:val="none"/>
          <w:lang w:eastAsia="zh-CN"/>
          <w14:textFill>
            <w14:solidFill>
              <w14:schemeClr w14:val="tx1"/>
            </w14:solidFill>
          </w14:textFill>
        </w:rPr>
        <w:t>以外</w:t>
      </w:r>
      <w:r>
        <w:rPr>
          <w:color w:val="000000" w:themeColor="text1"/>
          <w:highlight w:val="none"/>
          <w14:textFill>
            <w14:solidFill>
              <w14:schemeClr w14:val="tx1"/>
            </w14:solidFill>
          </w14:textFill>
        </w:rPr>
        <w:t>的其他物品。</w:t>
      </w:r>
    </w:p>
    <w:p w14:paraId="5DFF131D">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综上，项目危废贮存库设置符合</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的要求，分区合理，处置措施可行。</w:t>
      </w:r>
    </w:p>
    <w:p w14:paraId="6C4EB75D">
      <w:pPr>
        <w:pStyle w:val="5"/>
        <w:rPr>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lang w:val="en-US"/>
          <w14:textFill>
            <w14:solidFill>
              <w14:schemeClr w14:val="tx1"/>
            </w14:solidFill>
          </w14:textFill>
        </w:rPr>
        <w:t xml:space="preserve">.2.5.2 </w:t>
      </w:r>
      <w:r>
        <w:rPr>
          <w:color w:val="000000" w:themeColor="text1"/>
          <w:highlight w:val="none"/>
          <w:lang w:val="en-US"/>
          <w14:textFill>
            <w14:solidFill>
              <w14:schemeClr w14:val="tx1"/>
            </w14:solidFill>
          </w14:textFill>
        </w:rPr>
        <w:t xml:space="preserve">固体废物贮存污染防治措施 </w:t>
      </w:r>
    </w:p>
    <w:p w14:paraId="0232C79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（1）一般工业固废</w:t>
      </w:r>
      <w:r>
        <w:rPr>
          <w:color w:val="000000" w:themeColor="text1"/>
          <w:highlight w:val="none"/>
          <w14:textFill>
            <w14:solidFill>
              <w14:schemeClr w14:val="tx1"/>
            </w14:solidFill>
          </w14:textFill>
        </w:rPr>
        <w:t>贮存</w:t>
      </w:r>
      <w:r>
        <w:rPr>
          <w:rFonts w:hint="eastAsia"/>
          <w:color w:val="000000" w:themeColor="text1"/>
          <w:highlight w:val="none"/>
          <w14:textFill>
            <w14:solidFill>
              <w14:schemeClr w14:val="tx1"/>
            </w14:solidFill>
          </w14:textFill>
        </w:rPr>
        <w:t>管理措施</w:t>
      </w:r>
    </w:p>
    <w:p w14:paraId="0389EC8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①对固体废物实行从产生、收集、运输、贮存直至最终处理实行全过程管理。</w:t>
      </w:r>
    </w:p>
    <w:p w14:paraId="4030503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②加强固体废物规范化管理，固体废物分类定点存放；</w:t>
      </w:r>
    </w:p>
    <w:p w14:paraId="3E14B2E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③及时清运，避免产生二次污染；</w:t>
      </w:r>
    </w:p>
    <w:p w14:paraId="6BCA546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④固体废物运输过程中应做到密闭运输，防止固废泄漏，减少污染。</w:t>
      </w:r>
    </w:p>
    <w:p w14:paraId="348A392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本次评价要求严格按照《一般工业固体废物贮存和填埋污染控制标准》（</w:t>
      </w:r>
      <w:r>
        <w:rPr>
          <w:color w:val="000000" w:themeColor="text1"/>
          <w:highlight w:val="none"/>
          <w14:textFill>
            <w14:solidFill>
              <w14:schemeClr w14:val="tx1"/>
            </w14:solidFill>
          </w14:textFill>
        </w:rPr>
        <w:t>GB18599-2020</w:t>
      </w:r>
      <w:r>
        <w:rPr>
          <w:rFonts w:hint="eastAsia"/>
          <w:color w:val="000000" w:themeColor="text1"/>
          <w:highlight w:val="none"/>
          <w14:textFill>
            <w14:solidFill>
              <w14:schemeClr w14:val="tx1"/>
            </w14:solidFill>
          </w14:textFill>
        </w:rPr>
        <w:t>）的相关要求进行建设。</w:t>
      </w:r>
    </w:p>
    <w:p w14:paraId="3A33CE3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（2）危险废物</w:t>
      </w:r>
      <w:r>
        <w:rPr>
          <w:color w:val="000000" w:themeColor="text1"/>
          <w:highlight w:val="none"/>
          <w14:textFill>
            <w14:solidFill>
              <w14:schemeClr w14:val="tx1"/>
            </w14:solidFill>
          </w14:textFill>
        </w:rPr>
        <w:t>贮存</w:t>
      </w:r>
      <w:r>
        <w:rPr>
          <w:rFonts w:hint="eastAsia"/>
          <w:color w:val="000000" w:themeColor="text1"/>
          <w:highlight w:val="none"/>
          <w14:textFill>
            <w14:solidFill>
              <w14:schemeClr w14:val="tx1"/>
            </w14:solidFill>
          </w14:textFill>
        </w:rPr>
        <w:t xml:space="preserve">管理措施 </w:t>
      </w:r>
    </w:p>
    <w:p w14:paraId="5713C3D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项目新建一座危险废物暂存间，属于《国家危险固废名录》中列明的危险固废，企业应严格按照</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中的规范要求，应按照固体废物的性质进行分类收集和暂存；做好固体废物分类收集、贮存、运输和处置等工作。 </w:t>
      </w:r>
    </w:p>
    <w:p w14:paraId="66262DDB">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①应按照</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）执行分类收集</w:t>
      </w:r>
      <w:r>
        <w:rPr>
          <w:rFonts w:hint="eastAsia"/>
          <w:color w:val="000000" w:themeColor="text1"/>
          <w:highlight w:val="none"/>
          <w14:textFill>
            <w14:solidFill>
              <w14:schemeClr w14:val="tx1"/>
            </w14:solidFill>
          </w14:textFill>
        </w:rPr>
        <w:t>、分区贮存</w:t>
      </w:r>
      <w:r>
        <w:rPr>
          <w:color w:val="000000" w:themeColor="text1"/>
          <w:highlight w:val="none"/>
          <w14:textFill>
            <w14:solidFill>
              <w14:schemeClr w14:val="tx1"/>
            </w14:solidFill>
          </w14:textFill>
        </w:rPr>
        <w:t>，必须储存于危险废物仓库内指定的容器中，容器应加盖密闭，存放地面必须硬化</w:t>
      </w:r>
      <w:r>
        <w:rPr>
          <w:rFonts w:hint="eastAsia"/>
          <w:color w:val="000000" w:themeColor="text1"/>
          <w:highlight w:val="none"/>
          <w14:textFill>
            <w14:solidFill>
              <w14:schemeClr w14:val="tx1"/>
            </w14:solidFill>
          </w14:textFill>
        </w:rPr>
        <w:t>、防渗处理</w:t>
      </w:r>
      <w:r>
        <w:rPr>
          <w:color w:val="000000" w:themeColor="text1"/>
          <w:highlight w:val="none"/>
          <w14:textFill>
            <w14:solidFill>
              <w14:schemeClr w14:val="tx1"/>
            </w14:solidFill>
          </w14:textFill>
        </w:rPr>
        <w:t>。</w:t>
      </w:r>
    </w:p>
    <w:p w14:paraId="29ACFC86">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②根据危险废物的减量化、资源化和无害化</w:t>
      </w:r>
      <w:r>
        <w:rPr>
          <w:rFonts w:hint="eastAsia"/>
          <w:color w:val="000000" w:themeColor="text1"/>
          <w:highlight w:val="none"/>
          <w:lang w:val="en-US" w:eastAsia="zh-CN"/>
          <w14:textFill>
            <w14:solidFill>
              <w14:schemeClr w14:val="tx1"/>
            </w14:solidFill>
          </w14:textFill>
        </w:rPr>
        <w:t>的原则</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通过清洁生产减少废弃物的产生，在无法减量化的情况下优先进行废物资源化利用，最终对不可利用废物进行无害化处置。</w:t>
      </w:r>
    </w:p>
    <w:p w14:paraId="1376BB4E">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③国家对危险废物的处理采取严格的管理制度，无论是转移到别处处置还是销售给其他企业综合利用，均应遵从《危险废物转移联单管理办法》及其他运输等有关规定的要求，以便管理部门对危险废物的流向进行有效控制，防止在转移过程中将危险废物排放至环境中。</w:t>
      </w:r>
    </w:p>
    <w:p w14:paraId="3598B495">
      <w:pPr>
        <w:pStyle w:val="5"/>
        <w:rPr>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lang w:val="en-US"/>
          <w14:textFill>
            <w14:solidFill>
              <w14:schemeClr w14:val="tx1"/>
            </w14:solidFill>
          </w14:textFill>
        </w:rPr>
        <w:t xml:space="preserve">.2.5.2 </w:t>
      </w:r>
      <w:r>
        <w:rPr>
          <w:color w:val="000000" w:themeColor="text1"/>
          <w:highlight w:val="none"/>
          <w:lang w:val="en-US"/>
          <w14:textFill>
            <w14:solidFill>
              <w14:schemeClr w14:val="tx1"/>
            </w14:solidFill>
          </w14:textFill>
        </w:rPr>
        <w:t xml:space="preserve">固体废物处理处置污染防治措施 </w:t>
      </w:r>
    </w:p>
    <w:p w14:paraId="67667FB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）建设项目危险废物产生后必须用容器密封储存，并在容器显著位置张贴危险废物的标识。建立档案制度</w:t>
      </w:r>
      <w:r>
        <w:rPr>
          <w:rFonts w:hint="eastAsia"/>
          <w:color w:val="000000" w:themeColor="text1"/>
          <w:highlight w:val="none"/>
          <w:lang w:eastAsia="zh-CN"/>
          <w14:textFill>
            <w14:solidFill>
              <w14:schemeClr w14:val="tx1"/>
            </w14:solidFill>
          </w14:textFill>
        </w:rPr>
        <w:t>，在</w:t>
      </w:r>
      <w:r>
        <w:rPr>
          <w:rFonts w:hint="eastAsia"/>
          <w:color w:val="000000" w:themeColor="text1"/>
          <w:highlight w:val="none"/>
          <w14:textFill>
            <w14:solidFill>
              <w14:schemeClr w14:val="tx1"/>
            </w14:solidFill>
          </w14:textFill>
        </w:rPr>
        <w:t xml:space="preserve">记录上注明危险废物的名称、来源、数量、特性和包装容器的类别、入库日期、存放库位、废物出库日期及接收单位名称。 </w:t>
      </w:r>
    </w:p>
    <w:p w14:paraId="34F437D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由于建设单位在试生产期间需对综合废水预处理系统产生的污泥进行鉴定，在鉴定期间，物化污泥将用密封袋暂存于危险废物堆场内。 </w:t>
      </w:r>
    </w:p>
    <w:p w14:paraId="1A9147D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 xml:space="preserve">）建设项目危险废物必须及时运送至有资质单位处理处置，运输过程必须符合国家对危险废物的运输要求。 </w:t>
      </w:r>
    </w:p>
    <w:p w14:paraId="7FC64D10">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 xml:space="preserve">）危险废物的转运必须填写“五联单”，且必须符合国家对危险废物转运的相关规定。 </w:t>
      </w:r>
    </w:p>
    <w:p w14:paraId="304E06B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 xml:space="preserve">）对固废堆场进行水泥硬化，并采取严格的、科学的防渗措施； </w:t>
      </w:r>
    </w:p>
    <w:p w14:paraId="2188F8E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 xml:space="preserve">）加强固废管理，固废堆场中一般固废与危险固废的堆放位置应在物理上、空间上严格区分，确保污染物不在一般固废与危险固废间转移；危险固废及时入堆场存放，并及时通知协议处理单位进行回收处理； </w:t>
      </w:r>
    </w:p>
    <w:p w14:paraId="09237A7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 xml:space="preserve">）严格落实危险固废转移台账管理，做到每一笔危险固废的去向都有台账记录，包括厂区内部的和行政管理部门的。 </w:t>
      </w:r>
    </w:p>
    <w:p w14:paraId="5E9EE392">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综上，本项目所有</w:t>
      </w:r>
      <w:r>
        <w:rPr>
          <w:rFonts w:hint="eastAsia"/>
          <w:color w:val="000000" w:themeColor="text1"/>
          <w:highlight w:val="none"/>
          <w:lang w:eastAsia="zh-CN"/>
          <w14:textFill>
            <w14:solidFill>
              <w14:schemeClr w14:val="tx1"/>
            </w14:solidFill>
          </w14:textFill>
        </w:rPr>
        <w:t>固体废物</w:t>
      </w:r>
      <w:r>
        <w:rPr>
          <w:rFonts w:hint="eastAsia"/>
          <w:color w:val="000000" w:themeColor="text1"/>
          <w:highlight w:val="none"/>
          <w14:textFill>
            <w14:solidFill>
              <w14:schemeClr w14:val="tx1"/>
            </w14:solidFill>
          </w14:textFill>
        </w:rPr>
        <w:t xml:space="preserve">均得到了妥善处理及处置，避免产生二次污染，固废处置措施可行。 </w:t>
      </w:r>
    </w:p>
    <w:p w14:paraId="2835FB73">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14:textFill>
            <w14:solidFill>
              <w14:schemeClr w14:val="tx1"/>
            </w14:solidFill>
          </w14:textFill>
        </w:rPr>
        <w:t>.2.6运营期</w:t>
      </w:r>
      <w:r>
        <w:rPr>
          <w:color w:val="000000" w:themeColor="text1"/>
          <w:highlight w:val="none"/>
          <w14:textFill>
            <w14:solidFill>
              <w14:schemeClr w14:val="tx1"/>
            </w14:solidFill>
          </w14:textFill>
        </w:rPr>
        <w:t>生态环境保护措施及可行性</w:t>
      </w:r>
      <w:r>
        <w:rPr>
          <w:rFonts w:hint="eastAsia"/>
          <w:color w:val="000000" w:themeColor="text1"/>
          <w:highlight w:val="none"/>
          <w14:textFill>
            <w14:solidFill>
              <w14:schemeClr w14:val="tx1"/>
            </w14:solidFill>
          </w14:textFill>
        </w:rPr>
        <w:t>分析</w:t>
      </w:r>
      <w:r>
        <w:rPr>
          <w:color w:val="000000" w:themeColor="text1"/>
          <w:highlight w:val="none"/>
          <w14:textFill>
            <w14:solidFill>
              <w14:schemeClr w14:val="tx1"/>
            </w14:solidFill>
          </w14:textFill>
        </w:rPr>
        <w:t xml:space="preserve"> </w:t>
      </w:r>
    </w:p>
    <w:p w14:paraId="404E44BB">
      <w:pP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绿色植被是生态系统的基础，是建立良好人工生态系统的先决条件。因此，项目区生态环境的建设与保护实质上是绿色植被的建设问题，应采取有效、科学、合理的措施，全面保护评价区的生态环境。建设单位要制定并严格落实生态影响防护与恢复的监督管理措施，要按设计要求对厂区及周边进行绿化，在满足绿化率要求的前提下，尽量在生态景观上做到完善，</w:t>
      </w:r>
      <w:r>
        <w:rPr>
          <w:rFonts w:hint="eastAsia"/>
          <w:color w:val="000000" w:themeColor="text1"/>
          <w:highlight w:val="none"/>
          <w:lang w:eastAsia="zh-CN"/>
          <w14:textFill>
            <w14:solidFill>
              <w14:schemeClr w14:val="tx1"/>
            </w14:solidFill>
          </w14:textFill>
        </w:rPr>
        <w:t>从而</w:t>
      </w:r>
      <w:r>
        <w:rPr>
          <w:color w:val="000000" w:themeColor="text1"/>
          <w:highlight w:val="none"/>
          <w14:textFill>
            <w14:solidFill>
              <w14:schemeClr w14:val="tx1"/>
            </w14:solidFill>
          </w14:textFill>
        </w:rPr>
        <w:t>改善区域生态环境，抑制土壤侵蚀，使生态环境向良性方向发展。项目建设</w:t>
      </w:r>
      <w:r>
        <w:rPr>
          <w:rFonts w:hint="eastAsia"/>
          <w:color w:val="000000" w:themeColor="text1"/>
          <w:highlight w:val="none"/>
          <w:lang w:eastAsia="zh-CN"/>
          <w14:textFill>
            <w14:solidFill>
              <w14:schemeClr w14:val="tx1"/>
            </w14:solidFill>
          </w14:textFill>
        </w:rPr>
        <w:t>运营</w:t>
      </w:r>
      <w:r>
        <w:rPr>
          <w:color w:val="000000" w:themeColor="text1"/>
          <w:highlight w:val="none"/>
          <w14:textFill>
            <w14:solidFill>
              <w14:schemeClr w14:val="tx1"/>
            </w14:solidFill>
          </w14:textFill>
        </w:rPr>
        <w:t>后，废水、废气、固废均能得到有效治理，不会对区域生态环境造成不良影响。</w:t>
      </w:r>
    </w:p>
    <w:p w14:paraId="02DF3148">
      <w:pPr>
        <w:pStyle w:val="4"/>
        <w:rPr>
          <w:color w:val="000000" w:themeColor="text1"/>
          <w:highlight w:val="none"/>
          <w14:textFill>
            <w14:solidFill>
              <w14:schemeClr w14:val="tx1"/>
            </w14:solidFill>
          </w14:textFill>
        </w:rPr>
      </w:pPr>
      <w:bookmarkStart w:id="1130" w:name="_Toc15029"/>
      <w:bookmarkStart w:id="1131" w:name="_Toc10335"/>
      <w:bookmarkStart w:id="1132" w:name="_Toc16498"/>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7运营期</w:t>
      </w:r>
      <w:r>
        <w:rPr>
          <w:color w:val="000000" w:themeColor="text1"/>
          <w:highlight w:val="none"/>
          <w14:textFill>
            <w14:solidFill>
              <w14:schemeClr w14:val="tx1"/>
            </w14:solidFill>
          </w14:textFill>
        </w:rPr>
        <w:t>土壤污染防范措施</w:t>
      </w:r>
      <w:bookmarkEnd w:id="1130"/>
      <w:r>
        <w:rPr>
          <w:color w:val="000000" w:themeColor="text1"/>
          <w:highlight w:val="none"/>
          <w14:textFill>
            <w14:solidFill>
              <w14:schemeClr w14:val="tx1"/>
            </w14:solidFill>
          </w14:textFill>
        </w:rPr>
        <w:t>及可行性</w:t>
      </w:r>
      <w:r>
        <w:rPr>
          <w:rFonts w:hint="eastAsia"/>
          <w:color w:val="000000" w:themeColor="text1"/>
          <w:highlight w:val="none"/>
          <w14:textFill>
            <w14:solidFill>
              <w14:schemeClr w14:val="tx1"/>
            </w14:solidFill>
          </w14:textFill>
        </w:rPr>
        <w:t>分析</w:t>
      </w:r>
      <w:bookmarkEnd w:id="1131"/>
      <w:bookmarkEnd w:id="1132"/>
    </w:p>
    <w:p w14:paraId="5C0AC70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本项目对土壤的环境影响途径主要为垂直入渗，因此，本项目针对土壤防治主要采取以下措施：</w:t>
      </w:r>
    </w:p>
    <w:p w14:paraId="2115F820">
      <w:pPr>
        <w:widowControl/>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w:t>
      </w:r>
      <w:r>
        <w:rPr>
          <w:color w:val="000000" w:themeColor="text1"/>
          <w:kern w:val="0"/>
          <w:highlight w:val="none"/>
          <w:lang w:bidi="ar"/>
          <w14:textFill>
            <w14:solidFill>
              <w14:schemeClr w14:val="tx1"/>
            </w14:solidFill>
          </w14:textFill>
        </w:rPr>
        <w:t>1</w:t>
      </w:r>
      <w:r>
        <w:rPr>
          <w:rFonts w:hint="eastAsia" w:ascii="宋体" w:hAnsi="宋体" w:cs="宋体"/>
          <w:color w:val="000000" w:themeColor="text1"/>
          <w:kern w:val="0"/>
          <w:highlight w:val="none"/>
          <w:lang w:bidi="ar"/>
          <w14:textFill>
            <w14:solidFill>
              <w14:schemeClr w14:val="tx1"/>
            </w14:solidFill>
          </w14:textFill>
        </w:rPr>
        <w:t xml:space="preserve">）源头控制措施 </w:t>
      </w:r>
    </w:p>
    <w:p w14:paraId="689CDEF1">
      <w:pPr>
        <w:widowControl/>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从原料和产品储存、装卸、运输、生产过程、污染处理装置等全过程控制各种有毒有害原辅材料、中间材料、产品泄漏（含跑、冒、滴、漏），同时对有害物质可能泄漏到地面的区域采取防渗措施，阻止其进入土壤中，即从源头到末端全方位采取控制措施，防止项目的建设对土壤造成污染。从生产过程入手，在工艺、管道、设备、给排水等方面尽可能地采取泄漏控制措施，从源头最大限度降低污染</w:t>
      </w:r>
      <w:r>
        <w:rPr>
          <w:rFonts w:hint="eastAsia" w:ascii="宋体" w:hAnsi="宋体" w:cs="宋体"/>
          <w:color w:val="000000" w:themeColor="text1"/>
          <w:kern w:val="0"/>
          <w:highlight w:val="none"/>
          <w:lang w:eastAsia="zh-CN" w:bidi="ar"/>
          <w14:textFill>
            <w14:solidFill>
              <w14:schemeClr w14:val="tx1"/>
            </w14:solidFill>
          </w14:textFill>
        </w:rPr>
        <w:t>物</w:t>
      </w:r>
      <w:r>
        <w:rPr>
          <w:rFonts w:hint="eastAsia" w:ascii="宋体" w:hAnsi="宋体" w:cs="宋体"/>
          <w:color w:val="000000" w:themeColor="text1"/>
          <w:kern w:val="0"/>
          <w:highlight w:val="none"/>
          <w:lang w:bidi="ar"/>
          <w14:textFill>
            <w14:solidFill>
              <w14:schemeClr w14:val="tx1"/>
            </w14:solidFill>
          </w14:textFill>
        </w:rPr>
        <w:t xml:space="preserve">泄漏的可能性和泄漏量，使项目区污染物对土壤的影响降至最低，一旦出现泄漏等即可由区域内的各种配套措施进行收集、处置，同时经过硬化处理的地面有效阻止污染物的下渗。 </w:t>
      </w:r>
    </w:p>
    <w:p w14:paraId="23D4B796">
      <w:pPr>
        <w:widowControl/>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w:t>
      </w:r>
      <w:r>
        <w:rPr>
          <w:color w:val="000000" w:themeColor="text1"/>
          <w:kern w:val="0"/>
          <w:highlight w:val="none"/>
          <w:lang w:bidi="ar"/>
          <w14:textFill>
            <w14:solidFill>
              <w14:schemeClr w14:val="tx1"/>
            </w14:solidFill>
          </w14:textFill>
        </w:rPr>
        <w:t>2</w:t>
      </w:r>
      <w:r>
        <w:rPr>
          <w:rFonts w:hint="eastAsia" w:ascii="宋体" w:hAnsi="宋体" w:cs="宋体"/>
          <w:color w:val="000000" w:themeColor="text1"/>
          <w:kern w:val="0"/>
          <w:highlight w:val="none"/>
          <w:lang w:bidi="ar"/>
          <w14:textFill>
            <w14:solidFill>
              <w14:schemeClr w14:val="tx1"/>
            </w14:solidFill>
          </w14:textFill>
        </w:rPr>
        <w:t xml:space="preserve">）过程控制措施 </w:t>
      </w:r>
    </w:p>
    <w:p w14:paraId="6D9B66D9">
      <w:pPr>
        <w:rPr>
          <w:rFonts w:hint="eastAsia" w:ascii="宋体" w:hAnsi="宋体" w:cs="宋体"/>
          <w:color w:val="000000" w:themeColor="text1"/>
          <w:kern w:val="0"/>
          <w:highlight w:val="none"/>
          <w:lang w:bidi="ar"/>
          <w14:textFill>
            <w14:solidFill>
              <w14:schemeClr w14:val="tx1"/>
            </w14:solidFill>
          </w14:textFill>
        </w:rPr>
      </w:pPr>
      <w:r>
        <w:rPr>
          <w:rFonts w:hint="eastAsia"/>
          <w:color w:val="000000" w:themeColor="text1"/>
          <w:highlight w:val="none"/>
          <w14:textFill>
            <w14:solidFill>
              <w14:schemeClr w14:val="tx1"/>
            </w14:solidFill>
          </w14:textFill>
        </w:rPr>
        <w:t>项目按重点污染防治区、一般污染防治区、简单防渗区分别采取不同等级的防渗措施，其中危废暂存库重点防渗区域，基础底部夯实，上面铺装防渗层，等效黏土防渗层厚度</w:t>
      </w:r>
      <w:r>
        <w:rPr>
          <w:color w:val="000000" w:themeColor="text1"/>
          <w:highlight w:val="none"/>
          <w14:textFill>
            <w14:solidFill>
              <w14:schemeClr w14:val="tx1"/>
            </w14:solidFill>
          </w14:textFill>
        </w:rPr>
        <w:t>≥6m</w:t>
      </w:r>
      <w:r>
        <w:rPr>
          <w:rFonts w:hint="eastAsia"/>
          <w:color w:val="000000" w:themeColor="text1"/>
          <w:highlight w:val="none"/>
          <w14:textFill>
            <w14:solidFill>
              <w14:schemeClr w14:val="tx1"/>
            </w14:solidFill>
          </w14:textFill>
        </w:rPr>
        <w:t>，渗透系数</w:t>
      </w:r>
      <w:r>
        <w:rPr>
          <w:color w:val="000000" w:themeColor="text1"/>
          <w:highlight w:val="none"/>
          <w14:textFill>
            <w14:solidFill>
              <w14:schemeClr w14:val="tx1"/>
            </w14:solidFill>
          </w14:textFill>
        </w:rPr>
        <w:t>≤10</w:t>
      </w:r>
      <w:r>
        <w:rPr>
          <w:rFonts w:hint="eastAsia"/>
          <w:color w:val="000000" w:themeColor="text1"/>
          <w:highlight w:val="none"/>
          <w:vertAlign w:val="superscript"/>
          <w:lang w:val="en-US" w:eastAsia="zh-CN"/>
          <w14:textFill>
            <w14:solidFill>
              <w14:schemeClr w14:val="tx1"/>
            </w14:solidFill>
          </w14:textFill>
        </w:rPr>
        <w:t>-10</w:t>
      </w:r>
      <w:r>
        <w:rPr>
          <w:color w:val="000000" w:themeColor="text1"/>
          <w:highlight w:val="none"/>
          <w14:textFill>
            <w14:solidFill>
              <w14:schemeClr w14:val="tx1"/>
            </w14:solidFill>
          </w14:textFill>
        </w:rPr>
        <w:t>cm/s</w:t>
      </w:r>
      <w:r>
        <w:rPr>
          <w:rFonts w:hint="eastAsia"/>
          <w:color w:val="000000" w:themeColor="text1"/>
          <w:highlight w:val="none"/>
          <w14:textFill>
            <w14:solidFill>
              <w14:schemeClr w14:val="tx1"/>
            </w14:solidFill>
          </w14:textFill>
        </w:rPr>
        <w:t>。</w:t>
      </w:r>
      <w:r>
        <w:rPr>
          <w:rFonts w:hint="eastAsia" w:ascii="宋体" w:hAnsi="宋体" w:cs="宋体"/>
          <w:color w:val="000000" w:themeColor="text1"/>
          <w:kern w:val="0"/>
          <w:highlight w:val="none"/>
          <w:lang w:bidi="ar"/>
          <w14:textFill>
            <w14:solidFill>
              <w14:schemeClr w14:val="tx1"/>
            </w14:solidFill>
          </w14:textFill>
        </w:rPr>
        <w:t>危废暂存库按照</w:t>
      </w:r>
      <w:r>
        <w:rPr>
          <w:rFonts w:hint="eastAsia"/>
          <w:color w:val="000000" w:themeColor="text1"/>
          <w:highlight w:val="none"/>
          <w:lang w:eastAsia="zh-CN"/>
          <w14:textFill>
            <w14:solidFill>
              <w14:schemeClr w14:val="tx1"/>
            </w14:solidFill>
          </w14:textFill>
        </w:rPr>
        <w:t>《危险废物贮存污染控制标准》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t>）</w:t>
      </w:r>
      <w:r>
        <w:rPr>
          <w:rFonts w:hint="eastAsia" w:ascii="宋体" w:hAnsi="宋体" w:cs="宋体"/>
          <w:color w:val="000000" w:themeColor="text1"/>
          <w:kern w:val="0"/>
          <w:highlight w:val="none"/>
          <w:lang w:bidi="ar"/>
          <w14:textFill>
            <w14:solidFill>
              <w14:schemeClr w14:val="tx1"/>
            </w14:solidFill>
          </w14:textFill>
        </w:rPr>
        <w:t>中的要求实施防渗。对其他生产车间</w:t>
      </w:r>
      <w:r>
        <w:rPr>
          <w:rFonts w:hint="eastAsia" w:ascii="宋体" w:hAnsi="宋体" w:cs="宋体"/>
          <w:color w:val="000000" w:themeColor="text1"/>
          <w:kern w:val="0"/>
          <w:highlight w:val="none"/>
          <w:lang w:eastAsia="zh-CN" w:bidi="ar"/>
          <w14:textFill>
            <w14:solidFill>
              <w14:schemeClr w14:val="tx1"/>
            </w14:solidFill>
          </w14:textFill>
        </w:rPr>
        <w:t>等</w:t>
      </w:r>
      <w:r>
        <w:rPr>
          <w:rFonts w:hint="eastAsia" w:ascii="宋体" w:hAnsi="宋体" w:cs="宋体"/>
          <w:color w:val="000000" w:themeColor="text1"/>
          <w:kern w:val="0"/>
          <w:highlight w:val="none"/>
          <w:lang w:bidi="ar"/>
          <w14:textFill>
            <w14:solidFill>
              <w14:schemeClr w14:val="tx1"/>
            </w14:solidFill>
          </w14:textFill>
        </w:rPr>
        <w:t>一般防渗区采取基底夯实、基础防渗及表层硬化措施，等效黏土防渗层厚度</w:t>
      </w:r>
      <w:r>
        <w:rPr>
          <w:color w:val="000000" w:themeColor="text1"/>
          <w:kern w:val="0"/>
          <w:highlight w:val="none"/>
          <w:lang w:bidi="ar"/>
          <w14:textFill>
            <w14:solidFill>
              <w14:schemeClr w14:val="tx1"/>
            </w14:solidFill>
          </w14:textFill>
        </w:rPr>
        <w:t>≥1.5m</w:t>
      </w:r>
      <w:r>
        <w:rPr>
          <w:rFonts w:hint="eastAsia" w:ascii="宋体" w:hAnsi="宋体" w:cs="宋体"/>
          <w:color w:val="000000" w:themeColor="text1"/>
          <w:kern w:val="0"/>
          <w:highlight w:val="none"/>
          <w:lang w:bidi="ar"/>
          <w14:textFill>
            <w14:solidFill>
              <w14:schemeClr w14:val="tx1"/>
            </w14:solidFill>
          </w14:textFill>
        </w:rPr>
        <w:t>，</w:t>
      </w:r>
      <w:r>
        <w:rPr>
          <w:rFonts w:hint="eastAsia"/>
          <w:color w:val="000000" w:themeColor="text1"/>
          <w:highlight w:val="none"/>
          <w14:textFill>
            <w14:solidFill>
              <w14:schemeClr w14:val="tx1"/>
            </w14:solidFill>
          </w14:textFill>
        </w:rPr>
        <w:t>渗透系数</w:t>
      </w:r>
      <w:r>
        <w:rPr>
          <w:color w:val="000000" w:themeColor="text1"/>
          <w:highlight w:val="none"/>
          <w14:textFill>
            <w14:solidFill>
              <w14:schemeClr w14:val="tx1"/>
            </w14:solidFill>
          </w14:textFill>
        </w:rPr>
        <w:t>≤10</w:t>
      </w:r>
      <w:r>
        <w:rPr>
          <w:rFonts w:hint="eastAsia"/>
          <w:color w:val="000000" w:themeColor="text1"/>
          <w:highlight w:val="none"/>
          <w:vertAlign w:val="superscript"/>
          <w:lang w:val="en-US" w:eastAsia="zh-CN"/>
          <w14:textFill>
            <w14:solidFill>
              <w14:schemeClr w14:val="tx1"/>
            </w14:solidFill>
          </w14:textFill>
        </w:rPr>
        <w:t>-</w:t>
      </w:r>
      <w:r>
        <w:rPr>
          <w:color w:val="000000" w:themeColor="text1"/>
          <w:highlight w:val="none"/>
          <w:vertAlign w:val="superscript"/>
          <w14:textFill>
            <w14:solidFill>
              <w14:schemeClr w14:val="tx1"/>
            </w14:solidFill>
          </w14:textFill>
        </w:rPr>
        <w:t>7</w:t>
      </w:r>
      <w:r>
        <w:rPr>
          <w:color w:val="000000" w:themeColor="text1"/>
          <w:highlight w:val="none"/>
          <w14:textFill>
            <w14:solidFill>
              <w14:schemeClr w14:val="tx1"/>
            </w14:solidFill>
          </w14:textFill>
        </w:rPr>
        <w:t>cm/s</w:t>
      </w:r>
      <w:r>
        <w:rPr>
          <w:rFonts w:hint="eastAsia"/>
          <w:color w:val="000000" w:themeColor="text1"/>
          <w:highlight w:val="none"/>
          <w14:textFill>
            <w14:solidFill>
              <w14:schemeClr w14:val="tx1"/>
            </w14:solidFill>
          </w14:textFill>
        </w:rPr>
        <w:t>。简单防渗</w:t>
      </w:r>
      <w:r>
        <w:rPr>
          <w:rFonts w:hint="eastAsia" w:ascii="宋体" w:hAnsi="宋体" w:cs="宋体"/>
          <w:color w:val="000000" w:themeColor="text1"/>
          <w:kern w:val="0"/>
          <w:highlight w:val="none"/>
          <w:lang w:bidi="ar"/>
          <w14:textFill>
            <w14:solidFill>
              <w14:schemeClr w14:val="tx1"/>
            </w14:solidFill>
          </w14:textFill>
        </w:rPr>
        <w:t>区进行地面硬化处理。</w:t>
      </w:r>
    </w:p>
    <w:p w14:paraId="7949D640">
      <w:pPr>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 xml:space="preserve">企业在管理方面严加管理，并采取相应的防渗措施可有效防治危险废物暂存和处置过程中因物料泄漏造成对区域土壤环境的污染。 </w:t>
      </w:r>
    </w:p>
    <w:p w14:paraId="512AD5C1">
      <w:pPr>
        <w:widowControl/>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企业拟加强</w:t>
      </w:r>
      <w:r>
        <w:rPr>
          <w:rFonts w:hint="eastAsia" w:ascii="宋体" w:hAnsi="宋体" w:cs="宋体"/>
          <w:color w:val="000000" w:themeColor="text1"/>
          <w:kern w:val="0"/>
          <w:highlight w:val="none"/>
          <w:lang w:eastAsia="zh-CN" w:bidi="ar"/>
          <w14:textFill>
            <w14:solidFill>
              <w14:schemeClr w14:val="tx1"/>
            </w14:solidFill>
          </w14:textFill>
        </w:rPr>
        <w:t>安全生产责任制</w:t>
      </w:r>
      <w:r>
        <w:rPr>
          <w:rFonts w:hint="eastAsia" w:ascii="宋体" w:hAnsi="宋体" w:cs="宋体"/>
          <w:color w:val="000000" w:themeColor="text1"/>
          <w:kern w:val="0"/>
          <w:highlight w:val="none"/>
          <w:lang w:bidi="ar"/>
          <w14:textFill>
            <w14:solidFill>
              <w14:schemeClr w14:val="tx1"/>
            </w14:solidFill>
          </w14:textFill>
        </w:rPr>
        <w:t>，及时检修废水处理装置运行情况，减少废水事故性排放。此外，一旦发生土壤污染事故，立即</w:t>
      </w:r>
      <w:r>
        <w:rPr>
          <w:rFonts w:hint="eastAsia" w:ascii="宋体" w:hAnsi="宋体" w:cs="宋体"/>
          <w:color w:val="000000" w:themeColor="text1"/>
          <w:kern w:val="0"/>
          <w:highlight w:val="none"/>
          <w:lang w:val="en-US" w:eastAsia="zh-CN" w:bidi="ar"/>
          <w14:textFill>
            <w14:solidFill>
              <w14:schemeClr w14:val="tx1"/>
            </w14:solidFill>
          </w14:textFill>
        </w:rPr>
        <w:t>启动</w:t>
      </w:r>
      <w:r>
        <w:rPr>
          <w:rFonts w:hint="eastAsia" w:ascii="宋体" w:hAnsi="宋体" w:cs="宋体"/>
          <w:color w:val="000000" w:themeColor="text1"/>
          <w:kern w:val="0"/>
          <w:highlight w:val="none"/>
          <w:lang w:bidi="ar"/>
          <w14:textFill>
            <w14:solidFill>
              <w14:schemeClr w14:val="tx1"/>
            </w14:solidFill>
          </w14:textFill>
        </w:rPr>
        <w:t xml:space="preserve">企业环境风险应急预案，采取应急措施控制土壤污染，并使污染得到治理。 </w:t>
      </w:r>
    </w:p>
    <w:p w14:paraId="69A9341F">
      <w:pPr>
        <w:widowControl/>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w:t>
      </w:r>
      <w:r>
        <w:rPr>
          <w:color w:val="000000" w:themeColor="text1"/>
          <w:kern w:val="0"/>
          <w:highlight w:val="none"/>
          <w:lang w:bidi="ar"/>
          <w14:textFill>
            <w14:solidFill>
              <w14:schemeClr w14:val="tx1"/>
            </w14:solidFill>
          </w14:textFill>
        </w:rPr>
        <w:t>3</w:t>
      </w:r>
      <w:r>
        <w:rPr>
          <w:rFonts w:hint="eastAsia" w:ascii="宋体" w:hAnsi="宋体" w:cs="宋体"/>
          <w:color w:val="000000" w:themeColor="text1"/>
          <w:kern w:val="0"/>
          <w:highlight w:val="none"/>
          <w:lang w:bidi="ar"/>
          <w14:textFill>
            <w14:solidFill>
              <w14:schemeClr w14:val="tx1"/>
            </w14:solidFill>
          </w14:textFill>
        </w:rPr>
        <w:t xml:space="preserve">）土壤环境跟踪监测 </w:t>
      </w:r>
    </w:p>
    <w:p w14:paraId="19821599">
      <w:pPr>
        <w:widowControl/>
        <w:jc w:val="left"/>
        <w:rPr>
          <w:rFonts w:hint="eastAsia" w:ascii="宋体" w:hAnsi="宋体" w:cs="宋体"/>
          <w:color w:val="000000" w:themeColor="text1"/>
          <w:kern w:val="0"/>
          <w:highlight w:val="none"/>
          <w:lang w:bidi="ar"/>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落实企业污染防治的主体责任，建立土壤隐患定期排查制度，按照《工业企业土壤和地下水自行监测技术指南》的要求，制定土壤和地下水自行监测方案，对厂区内的土壤进行定期检测，发现土壤污染时，及时查找</w:t>
      </w:r>
      <w:r>
        <w:rPr>
          <w:rFonts w:hint="eastAsia" w:ascii="宋体" w:hAnsi="宋体" w:cs="宋体"/>
          <w:color w:val="000000" w:themeColor="text1"/>
          <w:kern w:val="0"/>
          <w:highlight w:val="none"/>
          <w:lang w:eastAsia="zh-CN" w:bidi="ar"/>
          <w14:textFill>
            <w14:solidFill>
              <w14:schemeClr w14:val="tx1"/>
            </w14:solidFill>
          </w14:textFill>
        </w:rPr>
        <w:t>泄漏</w:t>
      </w:r>
      <w:r>
        <w:rPr>
          <w:rFonts w:hint="eastAsia" w:ascii="宋体" w:hAnsi="宋体" w:cs="宋体"/>
          <w:color w:val="000000" w:themeColor="text1"/>
          <w:kern w:val="0"/>
          <w:highlight w:val="none"/>
          <w:lang w:bidi="ar"/>
          <w14:textFill>
            <w14:solidFill>
              <w14:schemeClr w14:val="tx1"/>
            </w14:solidFill>
          </w14:textFill>
        </w:rPr>
        <w:t>源，</w:t>
      </w:r>
      <w:r>
        <w:rPr>
          <w:rFonts w:hint="eastAsia" w:ascii="宋体" w:hAnsi="宋体" w:cs="宋体"/>
          <w:color w:val="000000" w:themeColor="text1"/>
          <w:kern w:val="0"/>
          <w:highlight w:val="none"/>
          <w:lang w:eastAsia="zh-CN" w:bidi="ar"/>
          <w14:textFill>
            <w14:solidFill>
              <w14:schemeClr w14:val="tx1"/>
            </w14:solidFill>
          </w14:textFill>
        </w:rPr>
        <w:t>防止</w:t>
      </w:r>
      <w:r>
        <w:rPr>
          <w:rFonts w:hint="eastAsia" w:ascii="宋体" w:hAnsi="宋体" w:cs="宋体"/>
          <w:color w:val="000000" w:themeColor="text1"/>
          <w:kern w:val="0"/>
          <w:highlight w:val="none"/>
          <w:lang w:bidi="ar"/>
          <w14:textFill>
            <w14:solidFill>
              <w14:schemeClr w14:val="tx1"/>
            </w14:solidFill>
          </w14:textFill>
        </w:rPr>
        <w:t>污染源的进一步下渗，必要时对已污染的土壤进行替换或修复。</w:t>
      </w:r>
    </w:p>
    <w:p w14:paraId="1BA06CE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综上，本项目通过采取以上措施，可有效防止对土壤环境造成明显影响，土壤污染防治措施可行。</w:t>
      </w:r>
    </w:p>
    <w:p w14:paraId="2B03F367">
      <w:pPr>
        <w:pStyle w:val="27"/>
        <w:rPr>
          <w:rFonts w:hint="default"/>
          <w:color w:val="000000" w:themeColor="text1"/>
          <w:highlight w:val="none"/>
          <w:lang w:val="en-US" w:eastAsia="zh-CN"/>
          <w14:textFill>
            <w14:solidFill>
              <w14:schemeClr w14:val="tx1"/>
            </w14:solidFill>
          </w14:textFill>
        </w:rPr>
      </w:pPr>
    </w:p>
    <w:p w14:paraId="786407A4">
      <w:pPr>
        <w:pStyle w:val="27"/>
        <w:rPr>
          <w:rFonts w:hint="default"/>
          <w:color w:val="000000" w:themeColor="text1"/>
          <w:highlight w:val="none"/>
          <w:lang w:val="en-US" w:eastAsia="zh-CN"/>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AACDB08">
      <w:pPr>
        <w:pStyle w:val="2"/>
        <w:rPr>
          <w:color w:val="000000" w:themeColor="text1"/>
          <w:highlight w:val="none"/>
          <w14:textFill>
            <w14:solidFill>
              <w14:schemeClr w14:val="tx1"/>
            </w14:solidFill>
          </w14:textFill>
        </w:rPr>
      </w:pPr>
      <w:bookmarkStart w:id="1133" w:name="_Toc13410"/>
      <w:bookmarkStart w:id="1134" w:name="_Toc18090"/>
      <w:bookmarkStart w:id="1135" w:name="_Toc8724"/>
      <w:bookmarkStart w:id="1136" w:name="_Toc5373"/>
      <w:bookmarkStart w:id="1137" w:name="_Toc9840"/>
      <w:bookmarkStart w:id="1138" w:name="_Toc27689"/>
      <w:bookmarkStart w:id="1139" w:name="_Toc2950"/>
      <w:bookmarkStart w:id="1140" w:name="_Toc12964"/>
      <w:bookmarkStart w:id="1141" w:name="_Toc9570"/>
      <w:bookmarkStart w:id="1142" w:name="_Toc29035"/>
      <w:bookmarkStart w:id="1143" w:name="_Toc21776"/>
      <w:bookmarkStart w:id="1144" w:name="_Toc16649"/>
      <w:bookmarkStart w:id="1145" w:name="_Toc29177"/>
      <w:bookmarkStart w:id="1146" w:name="_Toc16745"/>
      <w:bookmarkStart w:id="1147" w:name="_Toc27807"/>
      <w:bookmarkStart w:id="1148" w:name="_Toc25917"/>
      <w:r>
        <w:rPr>
          <w:rFonts w:hint="eastAsia"/>
          <w:color w:val="000000" w:themeColor="text1"/>
          <w:highlight w:val="none"/>
          <w:lang w:val="en-US" w:eastAsia="zh-CN"/>
          <w14:textFill>
            <w14:solidFill>
              <w14:schemeClr w14:val="tx1"/>
            </w14:solidFill>
          </w14:textFill>
        </w:rPr>
        <w:t xml:space="preserve">7 </w:t>
      </w:r>
      <w:r>
        <w:rPr>
          <w:color w:val="000000" w:themeColor="text1"/>
          <w:highlight w:val="none"/>
          <w14:textFill>
            <w14:solidFill>
              <w14:schemeClr w14:val="tx1"/>
            </w14:solidFill>
          </w14:textFill>
        </w:rPr>
        <w:t>环境影响经济损益分析</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14:paraId="0B6174A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环境影响经济损益分析</w:t>
      </w:r>
      <w:r>
        <w:rPr>
          <w:rFonts w:hint="eastAsia"/>
          <w:color w:val="000000" w:themeColor="text1"/>
          <w:highlight w:val="none"/>
          <w:lang w:eastAsia="zh-CN"/>
          <w14:textFill>
            <w14:solidFill>
              <w14:schemeClr w14:val="tx1"/>
            </w14:solidFill>
          </w14:textFill>
        </w:rPr>
        <w:t>即</w:t>
      </w:r>
      <w:r>
        <w:rPr>
          <w:color w:val="000000" w:themeColor="text1"/>
          <w:highlight w:val="none"/>
          <w14:textFill>
            <w14:solidFill>
              <w14:schemeClr w14:val="tx1"/>
            </w14:solidFill>
          </w14:textFill>
        </w:rPr>
        <w:t>针对项目的性质和当地的具体情况，确定环境影响因子，从而对项目环境影响范围内的环境影响总体作出经济评价。根据理论发展和多年的实际经验，任何工程都不可能对全部环境影响因子作出经济评价，因此环境影响经济损益分析的重点是对工程的主要环境影响因子作出投资费用和经济损益的评价，即项目的环境保护措施投资估算和经济效益、环境效益、社会效益以及项目环境影响的费用—效益总体分析评价。</w:t>
      </w:r>
    </w:p>
    <w:p w14:paraId="2BE0932F">
      <w:pPr>
        <w:pStyle w:val="3"/>
        <w:rPr>
          <w:rFonts w:hint="eastAsia"/>
          <w:color w:val="000000" w:themeColor="text1"/>
          <w:highlight w:val="none"/>
          <w14:textFill>
            <w14:solidFill>
              <w14:schemeClr w14:val="tx1"/>
            </w14:solidFill>
          </w14:textFill>
        </w:rPr>
      </w:pPr>
      <w:bookmarkStart w:id="1149" w:name="_bookmark116"/>
      <w:bookmarkEnd w:id="1149"/>
      <w:bookmarkStart w:id="1150" w:name="_Toc15748"/>
      <w:bookmarkStart w:id="1151" w:name="_Toc18204"/>
      <w:bookmarkStart w:id="1152" w:name="_Toc18947"/>
      <w:bookmarkStart w:id="1153" w:name="_Toc31123"/>
      <w:bookmarkStart w:id="1154" w:name="_Toc27570"/>
      <w:bookmarkStart w:id="1155" w:name="_Toc4474"/>
      <w:bookmarkStart w:id="1156" w:name="_Toc19166"/>
      <w:bookmarkStart w:id="1157" w:name="_Toc8049"/>
      <w:bookmarkStart w:id="1158" w:name="_Toc12224"/>
      <w:bookmarkStart w:id="1159" w:name="_Toc26153"/>
      <w:bookmarkStart w:id="1160" w:name="_Toc5682"/>
      <w:bookmarkStart w:id="1161" w:name="_Toc30446"/>
      <w:bookmarkStart w:id="1162" w:name="_Toc7736"/>
      <w:bookmarkStart w:id="1163" w:name="_Toc22624"/>
      <w:bookmarkStart w:id="1164" w:name="_Toc12576"/>
      <w:bookmarkStart w:id="1165" w:name="_Toc23497"/>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.1经济效益</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14:paraId="4BDF098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项目建成达产后，项目正常年份利润总额为</w:t>
      </w:r>
      <w:r>
        <w:rPr>
          <w:rFonts w:hint="eastAsia"/>
          <w:color w:val="000000" w:themeColor="text1"/>
          <w:highlight w:val="none"/>
          <w:lang w:val="en-US" w:eastAsia="zh-CN"/>
          <w14:textFill>
            <w14:solidFill>
              <w14:schemeClr w14:val="tx1"/>
            </w14:solidFill>
          </w14:textFill>
        </w:rPr>
        <w:t>195</w:t>
      </w:r>
      <w:r>
        <w:rPr>
          <w:color w:val="000000" w:themeColor="text1"/>
          <w:highlight w:val="none"/>
          <w14:textFill>
            <w14:solidFill>
              <w14:schemeClr w14:val="tx1"/>
            </w14:solidFill>
          </w14:textFill>
        </w:rPr>
        <w:t>万元。该项目投资利润率较高，内部收益率远大于8%的目标收益率，投资回收期较短，项目抗风险能力较强，从经济上看，该项目切实可行。</w:t>
      </w:r>
    </w:p>
    <w:p w14:paraId="7E13B0DB">
      <w:pPr>
        <w:pStyle w:val="3"/>
        <w:rPr>
          <w:rFonts w:hint="eastAsia"/>
          <w:color w:val="000000" w:themeColor="text1"/>
          <w:highlight w:val="none"/>
          <w14:textFill>
            <w14:solidFill>
              <w14:schemeClr w14:val="tx1"/>
            </w14:solidFill>
          </w14:textFill>
        </w:rPr>
      </w:pPr>
      <w:bookmarkStart w:id="1166" w:name="_bookmark117"/>
      <w:bookmarkEnd w:id="1166"/>
      <w:bookmarkStart w:id="1167" w:name="_Toc17694"/>
      <w:bookmarkStart w:id="1168" w:name="_Toc21052"/>
      <w:bookmarkStart w:id="1169" w:name="_Toc19658"/>
      <w:bookmarkStart w:id="1170" w:name="_Toc9308"/>
      <w:bookmarkStart w:id="1171" w:name="_Toc13260"/>
      <w:bookmarkStart w:id="1172" w:name="_Toc8214"/>
      <w:bookmarkStart w:id="1173" w:name="_Toc9792"/>
      <w:bookmarkStart w:id="1174" w:name="_Toc24814"/>
      <w:bookmarkStart w:id="1175" w:name="_Toc8114"/>
      <w:bookmarkStart w:id="1176" w:name="_Toc7831"/>
      <w:bookmarkStart w:id="1177" w:name="_Toc19898"/>
      <w:bookmarkStart w:id="1178" w:name="_Toc6178"/>
      <w:bookmarkStart w:id="1179" w:name="_Toc5947"/>
      <w:bookmarkStart w:id="1180" w:name="_Toc2159"/>
      <w:bookmarkStart w:id="1181" w:name="_Toc6454"/>
      <w:bookmarkStart w:id="1182" w:name="_Toc27172"/>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.2社会效益分析</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14:paraId="70F5212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该项目的建成投产将产生以下几方面的社会效益：</w:t>
      </w:r>
    </w:p>
    <w:p w14:paraId="09D4BEE1">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转化资源优势</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促进当地工业发展</w:t>
      </w:r>
    </w:p>
    <w:p w14:paraId="2DFA5F42">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项目建厂落户</w:t>
      </w:r>
      <w:r>
        <w:rPr>
          <w:rFonts w:hint="eastAsia"/>
          <w:color w:val="000000" w:themeColor="text1"/>
          <w:highlight w:val="none"/>
          <w:lang w:val="en-US" w:eastAsia="zh-CN"/>
          <w14:textFill>
            <w14:solidFill>
              <w14:schemeClr w14:val="tx1"/>
            </w14:solidFill>
          </w14:textFill>
        </w:rPr>
        <w:t>昌吉高新区</w:t>
      </w:r>
      <w:r>
        <w:rPr>
          <w:color w:val="000000" w:themeColor="text1"/>
          <w:highlight w:val="none"/>
          <w14:textFill>
            <w14:solidFill>
              <w14:schemeClr w14:val="tx1"/>
            </w14:solidFill>
          </w14:textFill>
        </w:rPr>
        <w:t>，把资源优势转化为产品经济优势、搞好产业经济结构调整对当地经济的发展具有十分重要的意义。因此本项目具有生产成本低、原料供应充足、能源供应有保障、产品有市场等诸多优势，具有良好的竞争能力和发展前景，对发展地区经济具有重要意义。</w:t>
      </w:r>
    </w:p>
    <w:p w14:paraId="5F84D294">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通过本项目的实施，引进了资金、技术和管理经验，对促进地方工业发展，提高初级产品加工深度、实现资源优势向经济优势转化具有明显的实际意义。该项目对推进实现其城镇经济发展规划同样具有积极意义。</w:t>
      </w:r>
    </w:p>
    <w:p w14:paraId="66A92FD0">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创造就业机会，带动相关产业发展</w:t>
      </w:r>
    </w:p>
    <w:p w14:paraId="3FD7C92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本项目的建设完成后能增加就业机会，解决一部分社会人员就业问题，提高当地人民群众的生活水平，同时还能带动当地相关产业的发展，在一定程度上减轻了国家的负担，维护了社会安定。</w:t>
      </w:r>
    </w:p>
    <w:p w14:paraId="420CF3D7">
      <w:pPr>
        <w:widowControl/>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本工程投产后，每年要使用大量的原材料，一方面加大了相关产品的销售市场，另一方面也增加了交通运输企业的收入。本工程的建设有利于区域整体产业的良性发展，促进区域产业链的形成。项目的建设有利于促进区域性产业链的形成和协调发展。</w:t>
      </w:r>
    </w:p>
    <w:p w14:paraId="4025AF66">
      <w:pPr>
        <w:pStyle w:val="3"/>
        <w:bidi w:val="0"/>
        <w:rPr>
          <w:rFonts w:hint="eastAsia"/>
          <w:color w:val="000000" w:themeColor="text1"/>
          <w:highlight w:val="none"/>
          <w14:textFill>
            <w14:solidFill>
              <w14:schemeClr w14:val="tx1"/>
            </w14:solidFill>
          </w14:textFill>
        </w:rPr>
      </w:pPr>
      <w:bookmarkStart w:id="1183" w:name="_bookmark118"/>
      <w:bookmarkEnd w:id="1183"/>
      <w:bookmarkStart w:id="1184" w:name="_Toc19993"/>
      <w:bookmarkStart w:id="1185" w:name="_Toc19133"/>
      <w:bookmarkStart w:id="1186" w:name="_Toc30838"/>
      <w:bookmarkStart w:id="1187" w:name="_Toc28849"/>
      <w:bookmarkStart w:id="1188" w:name="_Toc1146"/>
      <w:bookmarkStart w:id="1189" w:name="_Toc3807"/>
      <w:bookmarkStart w:id="1190" w:name="_Toc8424"/>
      <w:bookmarkStart w:id="1191" w:name="_Toc4915"/>
      <w:bookmarkStart w:id="1192" w:name="_Toc6572"/>
      <w:bookmarkStart w:id="1193" w:name="_Toc26317"/>
      <w:bookmarkStart w:id="1194" w:name="_Toc17384"/>
      <w:bookmarkStart w:id="1195" w:name="_Toc21241"/>
      <w:bookmarkStart w:id="1196" w:name="_Toc19826"/>
      <w:bookmarkStart w:id="1197" w:name="_Toc21168"/>
      <w:bookmarkStart w:id="1198" w:name="_Toc13905"/>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.3环境损益分析</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14:paraId="25D6F30F">
      <w:pP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本项目拟投资建设的各项污染治理措施能有效地消减污染物排放量，可将其环境 影响降至较低水平，具有较好的环境效益。</w:t>
      </w:r>
      <w:r>
        <w:rPr>
          <w:rFonts w:hint="eastAsia"/>
          <w:color w:val="000000" w:themeColor="text1"/>
          <w:highlight w:val="none"/>
          <w14:textFill>
            <w14:solidFill>
              <w14:schemeClr w14:val="tx1"/>
            </w14:solidFill>
          </w14:textFill>
        </w:rPr>
        <w:t xml:space="preserve"> </w:t>
      </w:r>
    </w:p>
    <w:p w14:paraId="44B89AAA">
      <w:pPr>
        <w:keepNext w:val="0"/>
        <w:keepLines w:val="0"/>
        <w:widowControl/>
        <w:suppressLineNumbers w:val="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本项目为减水剂生产线迁建项目，</w:t>
      </w:r>
      <w:r>
        <w:rPr>
          <w:rFonts w:ascii="宋体" w:hAnsi="宋体" w:eastAsia="宋体" w:cs="宋体"/>
          <w:color w:val="000000" w:themeColor="text1"/>
          <w:kern w:val="0"/>
          <w:sz w:val="24"/>
          <w:szCs w:val="24"/>
          <w:highlight w:val="none"/>
          <w:lang w:val="en-US" w:eastAsia="zh-CN" w:bidi="ar"/>
          <w14:textFill>
            <w14:solidFill>
              <w14:schemeClr w14:val="tx1"/>
            </w14:solidFill>
          </w14:textFill>
        </w:rPr>
        <w:t>本项目租赁厂房，无厂房主体土建施工，施工内容主要为新增生产线和设备基础施工、原有生产线拆除、设备清运及新设备安装调试</w:t>
      </w:r>
      <w:r>
        <w:rPr>
          <w:color w:val="000000" w:themeColor="text1"/>
          <w:highlight w:val="none"/>
          <w14:textFill>
            <w14:solidFill>
              <w14:schemeClr w14:val="tx1"/>
            </w14:solidFill>
          </w14:textFill>
        </w:rPr>
        <w:t>。本次环境损益分析从环境效益、环境损失、环境损益综合评述三方面开展。</w:t>
      </w:r>
    </w:p>
    <w:p w14:paraId="56031558">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.3.1 环境效益</w:t>
      </w:r>
    </w:p>
    <w:p w14:paraId="27E291C3">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现有污染源优化削减效益</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项目实施后，原有老旧生产线拆除，淘汰原有工艺设备存在的无组织废气逸散、设备噪声偏高、跑冒滴漏等环境短板。新生产线采用密闭投料、密闭输送等设施，优化废气收集系统，从源头减少废气无组织排放；配套升级减振、隔声设施，降低设备噪声排放水平。相比原有工程，项目运营期污染物排放水平得到改善，区域环境质量得到一定改善。</w:t>
      </w:r>
    </w:p>
    <w:p w14:paraId="4083C7DA">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环境管理提升效益</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拆迁工作</w:t>
      </w:r>
      <w:r>
        <w:rPr>
          <w:color w:val="000000" w:themeColor="text1"/>
          <w:highlight w:val="none"/>
          <w14:textFill>
            <w14:solidFill>
              <w14:schemeClr w14:val="tx1"/>
            </w14:solidFill>
          </w14:textFill>
        </w:rPr>
        <w:t>完成后，厂区生产布局得到优化，环保设施配套更加完善，厂区危废暂存、废气收集等环保硬件条件提升；同步完善厂区环境管理制度、台账记录、自行监测计划，企业环境风险防控能力提升，降低非正常工况下污染物泄漏的环境风险。</w:t>
      </w:r>
    </w:p>
    <w:p w14:paraId="24DE6136">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社会间接环境效益</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项目在厂区现有用地内实施，不新增占地，不破坏原有植被、土壤；项目建设带动地方产业发展，稳定就业，在满足区域产业发展需求的前提下，通过环保措施管控污染物排放，实现产业发展与环境保护协调。</w:t>
      </w:r>
    </w:p>
    <w:p w14:paraId="6E45EA18">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.3.2 环境损失</w:t>
      </w:r>
    </w:p>
    <w:p w14:paraId="2E83C2CF">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环境损失主要体现在施工期短暂环境扰动，以及运营期污染物排放带来的环境资源占用。</w:t>
      </w:r>
    </w:p>
    <w:p w14:paraId="263264A4">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施工期短期环境损失</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厂房内拆建作业将短时产生少量粉尘、机械噪声，施工车辆产生尾气与道路扬尘；施工人员产生少量生活污水与生活垃圾。该类环境影响仅发生在施工阶段，工期短、属于可逆影响，施工结束后污染随之消失。在严格落实湿法抑尘、噪声管控、固废及时清运等措施后，环境损失可控制在较低水平。</w:t>
      </w:r>
    </w:p>
    <w:p w14:paraId="66B9E867">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运营期环境资源占用损失</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项目运营过程中消耗水、电能等资源，生产过程会产生工艺废气、设备噪声、生产废水、生产固废等污染物。污染物经配套环保设施处理后达标排放，仍会占用区域环境容量；废机油等危险废物产生、贮存、转运过程存在潜在环境风险，若管理不当，存在污染土壤、地下水的潜在可能性。本项目污染物排放量较小，对区域环境容量占用有限。</w:t>
      </w:r>
    </w:p>
    <w:p w14:paraId="12532CEB">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环保投资与运维成本</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项目为控制污染需投入环保设施，同时运营阶段需持续投入资金用于环保设施运维、监测、危废处置、台账管理等，形成持续性经济投入，构成项目环境相关经济成本。</w:t>
      </w:r>
    </w:p>
    <w:p w14:paraId="1789FE36">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.3.3 环境损益综述</w:t>
      </w:r>
    </w:p>
    <w:p w14:paraId="4F8D0E42">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实施带来的长期环境效益大于施工及运营阶段产生的环境损失。项目淘汰老旧生产线，优化生产工艺与环保设施，降低污染物排放水平；项目在现有厂区内建设，不新增土地扰动。项目运营期产生的各类污染物，在落实环评提出的污染防治措施后，均可实现稳定达标排放，环境风险可控。</w:t>
      </w:r>
    </w:p>
    <w:p w14:paraId="3A539CA1">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项目在获取经济效益的同时，通过工艺升级实现污染减排，环境正效益显著，从环境损益角度分析，本项目建设具备环境可行性</w:t>
      </w:r>
    </w:p>
    <w:p w14:paraId="0D4AC640">
      <w:pPr>
        <w:pStyle w:val="3"/>
        <w:rPr>
          <w:color w:val="000000" w:themeColor="text1"/>
          <w:highlight w:val="none"/>
          <w14:textFill>
            <w14:solidFill>
              <w14:schemeClr w14:val="tx1"/>
            </w14:solidFill>
          </w14:textFill>
        </w:rPr>
      </w:pPr>
      <w:bookmarkStart w:id="1199" w:name="_Toc15734"/>
      <w:bookmarkStart w:id="1200" w:name="_Toc2332"/>
      <w:bookmarkStart w:id="1201" w:name="_Toc2731"/>
      <w:bookmarkStart w:id="1202" w:name="_Toc15677"/>
      <w:bookmarkStart w:id="1203" w:name="_Toc3053"/>
      <w:bookmarkStart w:id="1204" w:name="_Toc7499"/>
      <w:bookmarkStart w:id="1205" w:name="_Toc2145"/>
      <w:bookmarkStart w:id="1206" w:name="_Toc740"/>
      <w:bookmarkStart w:id="1207" w:name="_Toc5399"/>
      <w:bookmarkStart w:id="1208" w:name="_Toc19344"/>
      <w:bookmarkStart w:id="1209" w:name="_Toc4971"/>
      <w:bookmarkStart w:id="1210" w:name="_Toc11019"/>
      <w:bookmarkStart w:id="1211" w:name="_Toc31439"/>
      <w:bookmarkStart w:id="1212" w:name="_Toc30423"/>
      <w:bookmarkStart w:id="1213" w:name="_Toc4326"/>
      <w:bookmarkStart w:id="1214" w:name="_Toc5970"/>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环保投资概算</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14:paraId="1BAA657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根据《建设项目环境保护设计规定》，凡属污染治理和保护环境所需的装置、设备、监测手段和工程设施均核定为环保设施。另外还包括既是生产需要又为环境保护服务的设施。</w:t>
      </w:r>
    </w:p>
    <w:p w14:paraId="7C9EC5C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w:t>
      </w:r>
      <w:r>
        <w:rPr>
          <w:rFonts w:hint="eastAsia"/>
          <w:color w:val="000000" w:themeColor="text1"/>
          <w:highlight w:val="none"/>
          <w:lang w:val="en-US" w:eastAsia="zh-CN"/>
          <w14:textFill>
            <w14:solidFill>
              <w14:schemeClr w14:val="tx1"/>
            </w14:solidFill>
          </w14:textFill>
        </w:rPr>
        <w:t>异地迁建项目，</w:t>
      </w:r>
      <w:r>
        <w:rPr>
          <w:rFonts w:hint="eastAsia"/>
          <w:color w:val="000000" w:themeColor="text1"/>
          <w:highlight w:val="none"/>
          <w14:textFill>
            <w14:solidFill>
              <w14:schemeClr w14:val="tx1"/>
            </w14:solidFill>
          </w14:textFill>
        </w:rPr>
        <w:t>投资共计</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00万元，</w:t>
      </w:r>
      <w:r>
        <w:rPr>
          <w:color w:val="000000" w:themeColor="text1"/>
          <w:highlight w:val="none"/>
          <w14:textFill>
            <w14:solidFill>
              <w14:schemeClr w14:val="tx1"/>
            </w14:solidFill>
          </w14:textFill>
        </w:rPr>
        <w:t>其中环境保护投资</w:t>
      </w:r>
      <w:r>
        <w:rPr>
          <w:rFonts w:hint="eastAsia"/>
          <w:color w:val="000000" w:themeColor="text1"/>
          <w:highlight w:val="none"/>
          <w:lang w:val="en-US" w:eastAsia="zh-CN"/>
          <w14:textFill>
            <w14:solidFill>
              <w14:schemeClr w14:val="tx1"/>
            </w14:solidFill>
          </w14:textFill>
        </w:rPr>
        <w:t>52</w:t>
      </w:r>
      <w:r>
        <w:rPr>
          <w:color w:val="000000" w:themeColor="text1"/>
          <w:highlight w:val="none"/>
          <w14:textFill>
            <w14:solidFill>
              <w14:schemeClr w14:val="tx1"/>
            </w14:solidFill>
          </w14:textFill>
        </w:rPr>
        <w:t>万元，占总投资的</w:t>
      </w:r>
      <w:r>
        <w:rPr>
          <w:rFonts w:hint="eastAsia"/>
          <w:color w:val="000000" w:themeColor="text1"/>
          <w:highlight w:val="none"/>
          <w:lang w:val="en-US" w:eastAsia="zh-CN"/>
          <w14:textFill>
            <w14:solidFill>
              <w14:schemeClr w14:val="tx1"/>
            </w14:solidFill>
          </w14:textFill>
        </w:rPr>
        <w:t>17.33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"_bookmark119"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项目环境保护投资概算见表</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t>。</w:t>
      </w:r>
    </w:p>
    <w:p w14:paraId="7C5D9EAC">
      <w:pPr>
        <w:pStyle w:val="25"/>
        <w:rPr>
          <w:color w:val="000000" w:themeColor="text1"/>
          <w:highlight w:val="none"/>
          <w14:textFill>
            <w14:solidFill>
              <w14:schemeClr w14:val="tx1"/>
            </w14:solidFill>
          </w14:textFill>
        </w:rPr>
      </w:pPr>
      <w:bookmarkStart w:id="1215" w:name="_bookmark119"/>
      <w:bookmarkEnd w:id="1215"/>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环保设施投资一览表</w:t>
      </w:r>
    </w:p>
    <w:tbl>
      <w:tblPr>
        <w:tblStyle w:val="20"/>
        <w:tblW w:w="907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01"/>
        <w:gridCol w:w="1895"/>
        <w:gridCol w:w="4390"/>
        <w:gridCol w:w="2185"/>
      </w:tblGrid>
      <w:tr w14:paraId="00412B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2496" w:type="dxa"/>
            <w:gridSpan w:val="2"/>
            <w:tcBorders>
              <w:bottom w:val="single" w:color="000000" w:sz="12" w:space="0"/>
            </w:tcBorders>
            <w:noWrap w:val="0"/>
            <w:vAlign w:val="center"/>
          </w:tcPr>
          <w:p w14:paraId="61FBB13F">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类别</w:t>
            </w:r>
          </w:p>
        </w:tc>
        <w:tc>
          <w:tcPr>
            <w:tcW w:w="4390" w:type="dxa"/>
            <w:tcBorders>
              <w:bottom w:val="single" w:color="000000" w:sz="12" w:space="0"/>
            </w:tcBorders>
            <w:noWrap w:val="0"/>
            <w:vAlign w:val="center"/>
          </w:tcPr>
          <w:p w14:paraId="18D91C33">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防治措施</w:t>
            </w:r>
          </w:p>
        </w:tc>
        <w:tc>
          <w:tcPr>
            <w:tcW w:w="2185" w:type="dxa"/>
            <w:tcBorders>
              <w:bottom w:val="single" w:color="000000" w:sz="12" w:space="0"/>
            </w:tcBorders>
            <w:noWrap w:val="0"/>
            <w:vAlign w:val="center"/>
          </w:tcPr>
          <w:p w14:paraId="5A85300B">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投资估算（万元）</w:t>
            </w:r>
          </w:p>
        </w:tc>
      </w:tr>
      <w:tr w14:paraId="3546E7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01" w:type="dxa"/>
            <w:vMerge w:val="restart"/>
            <w:tcBorders>
              <w:top w:val="single" w:color="000000" w:sz="12" w:space="0"/>
            </w:tcBorders>
            <w:noWrap w:val="0"/>
            <w:vAlign w:val="center"/>
          </w:tcPr>
          <w:p w14:paraId="48AB4714">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运营期</w:t>
            </w:r>
          </w:p>
        </w:tc>
        <w:tc>
          <w:tcPr>
            <w:tcW w:w="1895" w:type="dxa"/>
            <w:tcBorders>
              <w:top w:val="single" w:color="000000" w:sz="12" w:space="0"/>
            </w:tcBorders>
            <w:noWrap w:val="0"/>
            <w:vAlign w:val="center"/>
          </w:tcPr>
          <w:p w14:paraId="5BD97289">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废气</w:t>
            </w:r>
          </w:p>
        </w:tc>
        <w:tc>
          <w:tcPr>
            <w:tcW w:w="4390" w:type="dxa"/>
            <w:tcBorders>
              <w:top w:val="single" w:color="000000" w:sz="12" w:space="0"/>
            </w:tcBorders>
            <w:noWrap w:val="0"/>
            <w:vAlign w:val="center"/>
          </w:tcPr>
          <w:p w14:paraId="63D8F6B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水喷淋+碱喷淋+除雾器+二级活性炭</w:t>
            </w:r>
          </w:p>
        </w:tc>
        <w:tc>
          <w:tcPr>
            <w:tcW w:w="2185" w:type="dxa"/>
            <w:tcBorders>
              <w:top w:val="single" w:color="000000" w:sz="12" w:space="0"/>
            </w:tcBorders>
            <w:noWrap w:val="0"/>
            <w:vAlign w:val="center"/>
          </w:tcPr>
          <w:p w14:paraId="7A9935B7">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p>
        </w:tc>
      </w:tr>
      <w:tr w14:paraId="721901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01" w:type="dxa"/>
            <w:vMerge w:val="continue"/>
            <w:noWrap w:val="0"/>
            <w:vAlign w:val="center"/>
          </w:tcPr>
          <w:p w14:paraId="50832F4C">
            <w:pPr>
              <w:pStyle w:val="26"/>
              <w:rPr>
                <w:color w:val="000000" w:themeColor="text1"/>
                <w:highlight w:val="none"/>
                <w14:textFill>
                  <w14:solidFill>
                    <w14:schemeClr w14:val="tx1"/>
                  </w14:solidFill>
                </w14:textFill>
              </w:rPr>
            </w:pPr>
          </w:p>
        </w:tc>
        <w:tc>
          <w:tcPr>
            <w:tcW w:w="1895" w:type="dxa"/>
            <w:noWrap w:val="0"/>
            <w:vAlign w:val="center"/>
          </w:tcPr>
          <w:p w14:paraId="3E358F34">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噪声</w:t>
            </w:r>
          </w:p>
        </w:tc>
        <w:tc>
          <w:tcPr>
            <w:tcW w:w="4390" w:type="dxa"/>
            <w:noWrap w:val="0"/>
            <w:vAlign w:val="center"/>
          </w:tcPr>
          <w:p w14:paraId="0581B289">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隔声罩、减振垫等降噪减振措施</w:t>
            </w:r>
          </w:p>
        </w:tc>
        <w:tc>
          <w:tcPr>
            <w:tcW w:w="2185" w:type="dxa"/>
            <w:noWrap w:val="0"/>
            <w:vAlign w:val="center"/>
          </w:tcPr>
          <w:p w14:paraId="10979757">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r>
      <w:tr w14:paraId="352D71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01" w:type="dxa"/>
            <w:vMerge w:val="continue"/>
            <w:noWrap w:val="0"/>
            <w:vAlign w:val="center"/>
          </w:tcPr>
          <w:p w14:paraId="31A56B8A">
            <w:pPr>
              <w:pStyle w:val="26"/>
              <w:rPr>
                <w:color w:val="000000" w:themeColor="text1"/>
                <w:highlight w:val="none"/>
                <w14:textFill>
                  <w14:solidFill>
                    <w14:schemeClr w14:val="tx1"/>
                  </w14:solidFill>
                </w14:textFill>
              </w:rPr>
            </w:pPr>
          </w:p>
        </w:tc>
        <w:tc>
          <w:tcPr>
            <w:tcW w:w="1895" w:type="dxa"/>
            <w:noWrap w:val="0"/>
            <w:vAlign w:val="center"/>
          </w:tcPr>
          <w:p w14:paraId="3419D590">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固废</w:t>
            </w:r>
          </w:p>
        </w:tc>
        <w:tc>
          <w:tcPr>
            <w:tcW w:w="4390" w:type="dxa"/>
            <w:noWrap w:val="0"/>
            <w:vAlign w:val="center"/>
          </w:tcPr>
          <w:p w14:paraId="038E0264">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危险固废暂存设施，一般固废收集设施</w:t>
            </w:r>
          </w:p>
        </w:tc>
        <w:tc>
          <w:tcPr>
            <w:tcW w:w="2185" w:type="dxa"/>
            <w:noWrap w:val="0"/>
            <w:vAlign w:val="center"/>
          </w:tcPr>
          <w:p w14:paraId="7776C8A8">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p>
        </w:tc>
      </w:tr>
      <w:tr w14:paraId="0584AB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01" w:type="dxa"/>
            <w:vMerge w:val="continue"/>
            <w:noWrap w:val="0"/>
            <w:vAlign w:val="center"/>
          </w:tcPr>
          <w:p w14:paraId="09FF6F25">
            <w:pPr>
              <w:pStyle w:val="26"/>
              <w:rPr>
                <w:color w:val="000000" w:themeColor="text1"/>
                <w:highlight w:val="none"/>
                <w14:textFill>
                  <w14:solidFill>
                    <w14:schemeClr w14:val="tx1"/>
                  </w14:solidFill>
                </w14:textFill>
              </w:rPr>
            </w:pPr>
          </w:p>
        </w:tc>
        <w:tc>
          <w:tcPr>
            <w:tcW w:w="1895" w:type="dxa"/>
            <w:noWrap w:val="0"/>
            <w:vAlign w:val="center"/>
          </w:tcPr>
          <w:p w14:paraId="1E03EC1F">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环境风险</w:t>
            </w:r>
          </w:p>
        </w:tc>
        <w:tc>
          <w:tcPr>
            <w:tcW w:w="4390" w:type="dxa"/>
            <w:noWrap w:val="0"/>
            <w:vAlign w:val="center"/>
          </w:tcPr>
          <w:p w14:paraId="1B974494">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1座容积为180</w:t>
            </w:r>
            <w:r>
              <w:rPr>
                <w:rFonts w:hint="default"/>
                <w:color w:val="000000" w:themeColor="text1"/>
                <w:highlight w:val="none"/>
                <w:lang w:val="en-US" w:eastAsia="zh-CN"/>
                <w14:textFill>
                  <w14:solidFill>
                    <w14:schemeClr w14:val="tx1"/>
                  </w14:solidFill>
                </w14:textFill>
              </w:rPr>
              <w:t>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事故池</w:t>
            </w:r>
          </w:p>
        </w:tc>
        <w:tc>
          <w:tcPr>
            <w:tcW w:w="2185" w:type="dxa"/>
            <w:noWrap w:val="0"/>
            <w:vAlign w:val="center"/>
          </w:tcPr>
          <w:p w14:paraId="7242EA08">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w:t>
            </w:r>
          </w:p>
        </w:tc>
      </w:tr>
      <w:tr w14:paraId="7B724B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01" w:type="dxa"/>
            <w:vMerge w:val="continue"/>
            <w:noWrap w:val="0"/>
            <w:vAlign w:val="center"/>
          </w:tcPr>
          <w:p w14:paraId="7683A190">
            <w:pPr>
              <w:pStyle w:val="26"/>
              <w:rPr>
                <w:color w:val="000000" w:themeColor="text1"/>
                <w:highlight w:val="none"/>
                <w14:textFill>
                  <w14:solidFill>
                    <w14:schemeClr w14:val="tx1"/>
                  </w14:solidFill>
                </w14:textFill>
              </w:rPr>
            </w:pPr>
          </w:p>
        </w:tc>
        <w:tc>
          <w:tcPr>
            <w:tcW w:w="1895" w:type="dxa"/>
            <w:noWrap w:val="0"/>
            <w:vAlign w:val="center"/>
          </w:tcPr>
          <w:p w14:paraId="7CBB8E99">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环境管理</w:t>
            </w:r>
          </w:p>
        </w:tc>
        <w:tc>
          <w:tcPr>
            <w:tcW w:w="4390" w:type="dxa"/>
            <w:noWrap w:val="0"/>
            <w:vAlign w:val="center"/>
          </w:tcPr>
          <w:p w14:paraId="2F75D5C9">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环境影响评价，竣工环保验收</w:t>
            </w:r>
          </w:p>
        </w:tc>
        <w:tc>
          <w:tcPr>
            <w:tcW w:w="2185" w:type="dxa"/>
            <w:noWrap w:val="0"/>
            <w:vAlign w:val="center"/>
          </w:tcPr>
          <w:p w14:paraId="0F807F5E">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r>
      <w:tr w14:paraId="1B4027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01" w:type="dxa"/>
            <w:vMerge w:val="continue"/>
            <w:noWrap w:val="0"/>
            <w:vAlign w:val="center"/>
          </w:tcPr>
          <w:p w14:paraId="604FAD16">
            <w:pPr>
              <w:pStyle w:val="26"/>
              <w:rPr>
                <w:color w:val="000000" w:themeColor="text1"/>
                <w:highlight w:val="none"/>
                <w14:textFill>
                  <w14:solidFill>
                    <w14:schemeClr w14:val="tx1"/>
                  </w14:solidFill>
                </w14:textFill>
              </w:rPr>
            </w:pPr>
          </w:p>
        </w:tc>
        <w:tc>
          <w:tcPr>
            <w:tcW w:w="6285" w:type="dxa"/>
            <w:gridSpan w:val="2"/>
            <w:noWrap w:val="0"/>
            <w:vAlign w:val="center"/>
          </w:tcPr>
          <w:p w14:paraId="38268E7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小计</w:t>
            </w:r>
          </w:p>
        </w:tc>
        <w:tc>
          <w:tcPr>
            <w:tcW w:w="2185" w:type="dxa"/>
            <w:noWrap w:val="0"/>
            <w:vAlign w:val="center"/>
          </w:tcPr>
          <w:p w14:paraId="0AD072A1">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52</w:t>
            </w:r>
          </w:p>
        </w:tc>
      </w:tr>
      <w:tr w14:paraId="0FAF5C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86" w:type="dxa"/>
            <w:gridSpan w:val="3"/>
            <w:noWrap w:val="0"/>
            <w:vAlign w:val="center"/>
          </w:tcPr>
          <w:p w14:paraId="6B9D1DDD">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项目总投资</w:t>
            </w:r>
          </w:p>
        </w:tc>
        <w:tc>
          <w:tcPr>
            <w:tcW w:w="2185" w:type="dxa"/>
            <w:noWrap w:val="0"/>
            <w:vAlign w:val="center"/>
          </w:tcPr>
          <w:p w14:paraId="1FF3F808">
            <w:pPr>
              <w:pStyle w:val="2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00</w:t>
            </w:r>
          </w:p>
        </w:tc>
      </w:tr>
      <w:tr w14:paraId="3B51BE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86" w:type="dxa"/>
            <w:gridSpan w:val="3"/>
            <w:noWrap w:val="0"/>
            <w:vAlign w:val="center"/>
          </w:tcPr>
          <w:p w14:paraId="5B72C0C8">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环保投资占比</w:t>
            </w:r>
          </w:p>
        </w:tc>
        <w:tc>
          <w:tcPr>
            <w:tcW w:w="2185" w:type="dxa"/>
            <w:noWrap w:val="0"/>
            <w:vAlign w:val="center"/>
          </w:tcPr>
          <w:p w14:paraId="00B40A90">
            <w:pPr>
              <w:pStyle w:val="2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17.33</w:t>
            </w:r>
            <w:r>
              <w:rPr>
                <w:rFonts w:hint="eastAsia"/>
                <w:color w:val="000000" w:themeColor="text1"/>
                <w:highlight w:val="none"/>
                <w14:textFill>
                  <w14:solidFill>
                    <w14:schemeClr w14:val="tx1"/>
                  </w14:solidFill>
                </w14:textFill>
              </w:rPr>
              <w:t>%</w:t>
            </w:r>
          </w:p>
        </w:tc>
      </w:tr>
    </w:tbl>
    <w:p w14:paraId="4BD19D65">
      <w:pPr>
        <w:rPr>
          <w:rFonts w:hint="eastAsia"/>
          <w:color w:val="000000" w:themeColor="text1"/>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E4AD649">
      <w:pPr>
        <w:pStyle w:val="2"/>
        <w:rPr>
          <w:color w:val="000000" w:themeColor="text1"/>
          <w:highlight w:val="none"/>
          <w14:textFill>
            <w14:solidFill>
              <w14:schemeClr w14:val="tx1"/>
            </w14:solidFill>
          </w14:textFill>
        </w:rPr>
      </w:pPr>
      <w:bookmarkStart w:id="1216" w:name="_Toc29586"/>
      <w:bookmarkStart w:id="1217" w:name="_Toc5968"/>
      <w:bookmarkStart w:id="1218" w:name="_Toc31666"/>
      <w:bookmarkStart w:id="1219" w:name="_Toc8499"/>
      <w:bookmarkStart w:id="1220" w:name="_Toc24250"/>
      <w:bookmarkStart w:id="1221" w:name="_Toc2229"/>
      <w:bookmarkStart w:id="1222" w:name="_Toc6580"/>
      <w:bookmarkStart w:id="1223" w:name="_Toc11246"/>
      <w:bookmarkStart w:id="1224" w:name="_Toc3855"/>
      <w:bookmarkStart w:id="1225" w:name="_Toc25286"/>
      <w:bookmarkStart w:id="1226" w:name="_Toc8773"/>
      <w:bookmarkStart w:id="1227" w:name="_Toc11078"/>
      <w:bookmarkStart w:id="1228" w:name="_Toc6312"/>
      <w:bookmarkStart w:id="1229" w:name="_Toc2985"/>
      <w:bookmarkStart w:id="1230" w:name="_Toc240"/>
      <w:bookmarkStart w:id="1231" w:name="_Toc22575154"/>
      <w:bookmarkStart w:id="1232" w:name="_Toc20430"/>
      <w:bookmarkStart w:id="1233" w:name="_Toc51"/>
      <w:bookmarkStart w:id="1234" w:name="_Toc24308"/>
      <w:bookmarkStart w:id="1235" w:name="_Toc4885"/>
      <w:bookmarkStart w:id="1236" w:name="_Toc18551"/>
      <w:bookmarkStart w:id="1237" w:name="_Toc12876"/>
      <w:bookmarkStart w:id="1238" w:name="_Toc18942"/>
      <w:bookmarkStart w:id="1239" w:name="_Toc24355"/>
      <w:bookmarkStart w:id="1240" w:name="_Toc25281"/>
      <w:r>
        <w:rPr>
          <w:rFonts w:hint="eastAsia"/>
          <w:color w:val="000000" w:themeColor="text1"/>
          <w:highlight w:val="none"/>
          <w:lang w:val="en-US" w:eastAsia="zh-CN"/>
          <w14:textFill>
            <w14:solidFill>
              <w14:schemeClr w14:val="tx1"/>
            </w14:solidFill>
          </w14:textFill>
        </w:rPr>
        <w:t xml:space="preserve">8 </w:t>
      </w:r>
      <w:r>
        <w:rPr>
          <w:color w:val="000000" w:themeColor="text1"/>
          <w:highlight w:val="none"/>
          <w14:textFill>
            <w14:solidFill>
              <w14:schemeClr w14:val="tx1"/>
            </w14:solidFill>
          </w14:textFill>
        </w:rPr>
        <w:t>环境管理与监测计划</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14:paraId="04EFBC1C">
      <w:pPr>
        <w:pStyle w:val="3"/>
        <w:rPr>
          <w:color w:val="000000" w:themeColor="text1"/>
          <w:highlight w:val="none"/>
          <w14:textFill>
            <w14:solidFill>
              <w14:schemeClr w14:val="tx1"/>
            </w14:solidFill>
          </w14:textFill>
        </w:rPr>
      </w:pPr>
      <w:bookmarkStart w:id="1241" w:name="_Toc29108"/>
      <w:bookmarkStart w:id="1242" w:name="_Toc28626"/>
      <w:bookmarkStart w:id="1243" w:name="_Toc29277"/>
      <w:bookmarkStart w:id="1244" w:name="_Toc18289"/>
      <w:bookmarkStart w:id="1245" w:name="_Toc29802"/>
      <w:bookmarkStart w:id="1246" w:name="_Toc8358"/>
      <w:bookmarkStart w:id="1247" w:name="_Toc18489"/>
      <w:bookmarkStart w:id="1248" w:name="_Toc17852"/>
      <w:bookmarkStart w:id="1249" w:name="_Toc20054"/>
      <w:bookmarkStart w:id="1250" w:name="_Toc8747"/>
      <w:bookmarkStart w:id="1251" w:name="_Toc1092"/>
      <w:bookmarkStart w:id="1252" w:name="_Toc22575155"/>
      <w:bookmarkStart w:id="1253" w:name="_Toc29599"/>
      <w:bookmarkStart w:id="1254" w:name="_Toc20300"/>
      <w:bookmarkStart w:id="1255" w:name="_Toc26610"/>
      <w:bookmarkStart w:id="1256" w:name="_Toc12519"/>
      <w:bookmarkStart w:id="1257" w:name="_Toc949"/>
      <w:bookmarkStart w:id="1258" w:name="_Toc489250697"/>
      <w:bookmarkStart w:id="1259" w:name="_Toc1764"/>
      <w:bookmarkStart w:id="1260" w:name="_Toc1967"/>
      <w:bookmarkStart w:id="1261" w:name="_Toc3114"/>
      <w:bookmarkStart w:id="1262" w:name="_Toc6299"/>
      <w:bookmarkStart w:id="1263" w:name="_Toc13731"/>
      <w:bookmarkStart w:id="1264" w:name="_Toc26240"/>
      <w:bookmarkStart w:id="1265" w:name="_Toc2503"/>
      <w:bookmarkStart w:id="1266" w:name="_Toc12878"/>
      <w:bookmarkStart w:id="1267" w:name="_Toc9193"/>
      <w:bookmarkStart w:id="1268" w:name="_Toc17712"/>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.1环境管理</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14:paraId="48059FDC">
      <w:pPr>
        <w:rPr>
          <w:color w:val="000000" w:themeColor="text1"/>
          <w:highlight w:val="none"/>
          <w14:textFill>
            <w14:solidFill>
              <w14:schemeClr w14:val="tx1"/>
            </w14:solidFill>
          </w14:textFill>
        </w:rPr>
      </w:pPr>
      <w:bookmarkStart w:id="1269" w:name="_Toc275880256"/>
      <w:bookmarkStart w:id="1270" w:name="_Toc241117211"/>
      <w:bookmarkStart w:id="1271" w:name="_Toc502242174"/>
      <w:bookmarkStart w:id="1272" w:name="_Toc237134844"/>
      <w:bookmarkStart w:id="1273" w:name="_Toc491884719"/>
      <w:bookmarkStart w:id="1274" w:name="_Toc325566217"/>
      <w:bookmarkStart w:id="1275" w:name="_Toc28504"/>
      <w:bookmarkStart w:id="1276" w:name="_Toc13688"/>
      <w:bookmarkStart w:id="1277" w:name="_Toc6222"/>
      <w:r>
        <w:rPr>
          <w:color w:val="000000" w:themeColor="text1"/>
          <w:highlight w:val="none"/>
          <w14:textFill>
            <w14:solidFill>
              <w14:schemeClr w14:val="tx1"/>
            </w14:solidFill>
          </w14:textFill>
        </w:rPr>
        <w:t>企业环境管理的基本任务是以保护环境为目标</w:t>
      </w:r>
      <w:r>
        <w:rPr>
          <w:rFonts w:hint="eastAsia"/>
          <w:color w:val="000000" w:themeColor="text1"/>
          <w:highlight w:val="none"/>
          <w:lang w:eastAsia="zh-CN"/>
          <w14:textFill>
            <w14:solidFill>
              <w14:schemeClr w14:val="tx1"/>
            </w14:solidFill>
          </w14:textFill>
        </w:rPr>
        <w:t>，以</w:t>
      </w:r>
      <w:r>
        <w:rPr>
          <w:color w:val="000000" w:themeColor="text1"/>
          <w:highlight w:val="none"/>
          <w14:textFill>
            <w14:solidFill>
              <w14:schemeClr w14:val="tx1"/>
            </w14:solidFill>
          </w14:textFill>
        </w:rPr>
        <w:t>清洁生产为手段</w:t>
      </w:r>
      <w:r>
        <w:rPr>
          <w:rFonts w:hint="eastAsia"/>
          <w:color w:val="000000" w:themeColor="text1"/>
          <w:highlight w:val="none"/>
          <w:lang w:eastAsia="zh-CN"/>
          <w14:textFill>
            <w14:solidFill>
              <w14:schemeClr w14:val="tx1"/>
            </w14:solidFill>
          </w14:textFill>
        </w:rPr>
        <w:t>，以</w:t>
      </w:r>
      <w:r>
        <w:rPr>
          <w:color w:val="000000" w:themeColor="text1"/>
          <w:highlight w:val="none"/>
          <w14:textFill>
            <w14:solidFill>
              <w14:schemeClr w14:val="tx1"/>
            </w14:solidFill>
          </w14:textFill>
        </w:rPr>
        <w:t>发展生产与经济效益为目的，可以促进企业的生产管理、物资管理和技术管理，使资源、能源得到充分利用，降低企业能耗、物耗，减少污染物排放总量，起到保护环境，同时也使企业达到提高经济效益的目的。</w:t>
      </w:r>
    </w:p>
    <w:p w14:paraId="2CFAB34F">
      <w:pPr>
        <w:pStyle w:val="4"/>
        <w:rPr>
          <w:color w:val="000000" w:themeColor="text1"/>
          <w:highlight w:val="none"/>
          <w14:textFill>
            <w14:solidFill>
              <w14:schemeClr w14:val="tx1"/>
            </w14:solidFill>
          </w14:textFill>
        </w:rPr>
      </w:pPr>
      <w:bookmarkStart w:id="1278" w:name="_Toc5458"/>
      <w:bookmarkStart w:id="1279" w:name="_Toc4681"/>
      <w:bookmarkStart w:id="1280" w:name="_Toc25375"/>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1 </w:t>
      </w:r>
      <w:r>
        <w:rPr>
          <w:color w:val="000000" w:themeColor="text1"/>
          <w:highlight w:val="none"/>
          <w14:textFill>
            <w14:solidFill>
              <w14:schemeClr w14:val="tx1"/>
            </w14:solidFill>
          </w14:textFill>
        </w:rPr>
        <w:t>环境管理体系</w:t>
      </w:r>
      <w:bookmarkEnd w:id="1269"/>
      <w:bookmarkEnd w:id="1270"/>
      <w:bookmarkEnd w:id="1271"/>
      <w:bookmarkEnd w:id="1272"/>
      <w:bookmarkEnd w:id="1273"/>
      <w:bookmarkEnd w:id="1274"/>
      <w:bookmarkEnd w:id="1278"/>
      <w:bookmarkEnd w:id="1279"/>
      <w:bookmarkEnd w:id="1280"/>
    </w:p>
    <w:p w14:paraId="3BEC0DAC">
      <w:pPr>
        <w:rPr>
          <w:color w:val="000000" w:themeColor="text1"/>
          <w:highlight w:val="none"/>
          <w14:textFill>
            <w14:solidFill>
              <w14:schemeClr w14:val="tx1"/>
            </w14:solidFill>
          </w14:textFill>
        </w:rPr>
      </w:pPr>
      <w:bookmarkStart w:id="1281" w:name="_Toc195355268"/>
      <w:bookmarkStart w:id="1282" w:name="_Toc195355266"/>
      <w:bookmarkStart w:id="1283" w:name="_Toc502242175"/>
      <w:bookmarkStart w:id="1284" w:name="_Toc241117212"/>
      <w:bookmarkStart w:id="1285" w:name="_Toc491884720"/>
      <w:bookmarkStart w:id="1286" w:name="_Toc325566218"/>
      <w:bookmarkStart w:id="1287" w:name="_Toc237134846"/>
      <w:bookmarkStart w:id="1288" w:name="_Toc275880257"/>
      <w:r>
        <w:rPr>
          <w:color w:val="000000" w:themeColor="text1"/>
          <w:highlight w:val="none"/>
          <w14:textFill>
            <w14:solidFill>
              <w14:schemeClr w14:val="tx1"/>
            </w14:solidFill>
          </w14:textFill>
        </w:rPr>
        <w:t>为了保证将环境保护纳入企业管理和生产计划，并制定企业管理的污染控制指标，使企业排污符合国家和地方有关排放标准，并实现企业管理总量控制，企业内部必须建立行之有效的环境管理机构。</w:t>
      </w:r>
    </w:p>
    <w:p w14:paraId="2A7B48A3">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项目环境管理采取总经理负责制，企业环境保护工作由总经理负责监督落实。各生产装置设置1名兼职环境管理人员负责日常环保管理工作。 </w:t>
      </w:r>
    </w:p>
    <w:bookmarkEnd w:id="1275"/>
    <w:bookmarkEnd w:id="1276"/>
    <w:bookmarkEnd w:id="1277"/>
    <w:bookmarkEnd w:id="1281"/>
    <w:bookmarkEnd w:id="1282"/>
    <w:bookmarkEnd w:id="1283"/>
    <w:bookmarkEnd w:id="1284"/>
    <w:bookmarkEnd w:id="1285"/>
    <w:bookmarkEnd w:id="1286"/>
    <w:bookmarkEnd w:id="1287"/>
    <w:bookmarkEnd w:id="1288"/>
    <w:p w14:paraId="02738679">
      <w:pPr>
        <w:pStyle w:val="4"/>
        <w:rPr>
          <w:color w:val="000000" w:themeColor="text1"/>
          <w:highlight w:val="none"/>
          <w14:textFill>
            <w14:solidFill>
              <w14:schemeClr w14:val="tx1"/>
            </w14:solidFill>
          </w14:textFill>
        </w:rPr>
      </w:pPr>
      <w:bookmarkStart w:id="1289" w:name="_Toc6190"/>
      <w:bookmarkStart w:id="1290" w:name="_Toc21425"/>
      <w:bookmarkStart w:id="1291" w:name="_Toc22213"/>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2各阶段</w:t>
      </w:r>
      <w:r>
        <w:rPr>
          <w:color w:val="000000" w:themeColor="text1"/>
          <w:highlight w:val="none"/>
          <w14:textFill>
            <w14:solidFill>
              <w14:schemeClr w14:val="tx1"/>
            </w14:solidFill>
          </w14:textFill>
        </w:rPr>
        <w:t>环境管理要求</w:t>
      </w:r>
      <w:bookmarkEnd w:id="1289"/>
      <w:bookmarkEnd w:id="1290"/>
      <w:bookmarkEnd w:id="1291"/>
    </w:p>
    <w:p w14:paraId="6CBD41A3">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color w:val="000000" w:themeColor="text1"/>
          <w:highlight w:val="none"/>
          <w:lang w:val="en-US"/>
          <w14:textFill>
            <w14:solidFill>
              <w14:schemeClr w14:val="tx1"/>
            </w14:solidFill>
          </w14:textFill>
        </w:rPr>
        <w:t>.</w:t>
      </w:r>
      <w:r>
        <w:rPr>
          <w:rFonts w:hint="eastAsia"/>
          <w:color w:val="000000" w:themeColor="text1"/>
          <w:highlight w:val="none"/>
          <w:lang w:val="en-US"/>
          <w14:textFill>
            <w14:solidFill>
              <w14:schemeClr w14:val="tx1"/>
            </w14:solidFill>
          </w14:textFill>
        </w:rPr>
        <w:t>1.</w:t>
      </w:r>
      <w:r>
        <w:rPr>
          <w:color w:val="000000" w:themeColor="text1"/>
          <w:highlight w:val="none"/>
          <w:lang w:val="en-US"/>
          <w14:textFill>
            <w14:solidFill>
              <w14:schemeClr w14:val="tx1"/>
            </w14:solidFill>
          </w14:textFill>
        </w:rPr>
        <w:t xml:space="preserve">2.1 </w:t>
      </w:r>
      <w:r>
        <w:rPr>
          <w:rFonts w:hint="eastAsia"/>
          <w:color w:val="000000" w:themeColor="text1"/>
          <w:highlight w:val="none"/>
          <w:lang w:val="en-US"/>
          <w14:textFill>
            <w14:solidFill>
              <w14:schemeClr w14:val="tx1"/>
            </w14:solidFill>
          </w14:textFill>
        </w:rPr>
        <w:t xml:space="preserve">项目审批阶段 </w:t>
      </w:r>
    </w:p>
    <w:p w14:paraId="6CF7F82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项目环境影响评价文件要按照环境保护部公布《建设项目环境影响评价分类管理目录》的规定，确定环境影响评价文件的类别，委托相应机构编制环境影响评价文件。 </w:t>
      </w:r>
    </w:p>
    <w:p w14:paraId="5EC7A35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企业在委托环评文件编制后应积极配合环评编制单位查勘现场，及时提供环评文件编写所需的各类资料。 </w:t>
      </w:r>
    </w:p>
    <w:p w14:paraId="23FBC09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在环境影响报告书的编制和环境保护主管部门审批或者重新审核环境影响报告书的过程中，应该按规定公开有关环境影响评价的信息，征求公众意见。 </w:t>
      </w:r>
    </w:p>
    <w:p w14:paraId="30DC2247">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企业有权要求环评文件编制及审批等单位和个人为其保守商业、技术等秘密。</w:t>
      </w:r>
    </w:p>
    <w:p w14:paraId="12F3D24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环境影响评价文件，由建设单位报有审批权的生态环境行政主管部门审批，环境影响评价文件未经批准，不得开工建设，自批准之日起超过</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 xml:space="preserve">年方决定该项目开工建设的，其环境影响评价文件应当报原审批部门重新审核。 </w:t>
      </w:r>
    </w:p>
    <w:p w14:paraId="2EFDE163">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lang w:val="en-US"/>
          <w14:textFill>
            <w14:solidFill>
              <w14:schemeClr w14:val="tx1"/>
            </w14:solidFill>
          </w14:textFill>
        </w:rPr>
        <w:t>.1</w:t>
      </w:r>
      <w:r>
        <w:rPr>
          <w:color w:val="000000" w:themeColor="text1"/>
          <w:highlight w:val="none"/>
          <w:lang w:val="en-US"/>
          <w14:textFill>
            <w14:solidFill>
              <w14:schemeClr w14:val="tx1"/>
            </w14:solidFill>
          </w14:textFill>
        </w:rPr>
        <w:t xml:space="preserve">.2.2 </w:t>
      </w:r>
      <w:r>
        <w:rPr>
          <w:rFonts w:hint="eastAsia"/>
          <w:color w:val="000000" w:themeColor="text1"/>
          <w:highlight w:val="none"/>
          <w:lang w:val="en-US"/>
          <w14:textFill>
            <w14:solidFill>
              <w14:schemeClr w14:val="tx1"/>
            </w14:solidFill>
          </w14:textFill>
        </w:rPr>
        <w:t xml:space="preserve">建设施工阶段 </w:t>
      </w:r>
    </w:p>
    <w:p w14:paraId="4B647A62">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项目建设中应根据环境影响评价报告中有关施工期污染防治措施及生态环境保护措施的具体要求，进行规范管理，保证守法的规范性。建设单位应会同施工单位做好环保工程设施的施工建设、资金使用情况等资料、文件的整理，建档备查，以季报的形式将环保工程进度情况上报当地环境保护主管部门。 </w:t>
      </w:r>
    </w:p>
    <w:p w14:paraId="0775347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建设单位与施工单位负责落实环境保护主管部门对施工阶段的环保要求以及施工过程中的环保措施；主要是保护施工现场周围的环境，防止对自然环境造成不应有的破坏；防止和减轻废气、污水、粉尘、噪声、震动等对周围区域的污染和危害。具体的管理要求见施工期污染防治措施分析内容。</w:t>
      </w:r>
      <w:r>
        <w:rPr>
          <w:rFonts w:hint="eastAsia" w:ascii="宋体" w:hAnsi="宋体" w:cs="宋体"/>
          <w:color w:val="000000" w:themeColor="text1"/>
          <w:kern w:val="0"/>
          <w:highlight w:val="none"/>
          <w:lang w:bidi="ar"/>
          <w14:textFill>
            <w14:solidFill>
              <w14:schemeClr w14:val="tx1"/>
            </w14:solidFill>
          </w14:textFill>
        </w:rPr>
        <w:t xml:space="preserve"> </w:t>
      </w:r>
    </w:p>
    <w:p w14:paraId="76E006D2">
      <w:pPr>
        <w:pStyle w:val="5"/>
        <w:rPr>
          <w:rFonts w:hint="eastAsia"/>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lang w:val="en-US"/>
          <w14:textFill>
            <w14:solidFill>
              <w14:schemeClr w14:val="tx1"/>
            </w14:solidFill>
          </w14:textFill>
        </w:rPr>
        <w:t>.1</w:t>
      </w:r>
      <w:r>
        <w:rPr>
          <w:color w:val="000000" w:themeColor="text1"/>
          <w:highlight w:val="none"/>
          <w:lang w:val="en-US"/>
          <w14:textFill>
            <w14:solidFill>
              <w14:schemeClr w14:val="tx1"/>
            </w14:solidFill>
          </w14:textFill>
        </w:rPr>
        <w:t xml:space="preserve">.2.3 </w:t>
      </w:r>
      <w:r>
        <w:rPr>
          <w:rFonts w:hint="eastAsia"/>
          <w:color w:val="000000" w:themeColor="text1"/>
          <w:highlight w:val="none"/>
          <w:lang w:val="en-US"/>
          <w14:textFill>
            <w14:solidFill>
              <w14:schemeClr w14:val="tx1"/>
            </w14:solidFill>
          </w14:textFill>
        </w:rPr>
        <w:t xml:space="preserve">竣工环境保护验收阶段 </w:t>
      </w:r>
    </w:p>
    <w:p w14:paraId="446C050E">
      <w:pPr>
        <w:widowControl/>
        <w:jc w:val="left"/>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 xml:space="preserve">根据《建设项目竣工环境保护验收暂行办法》，建设项目竣工后建设单位自主开展环境保护验收及相关监督管理。 </w:t>
      </w:r>
    </w:p>
    <w:p w14:paraId="50ECBBE9">
      <w:pPr>
        <w:widowControl/>
        <w:rPr>
          <w:color w:val="000000" w:themeColor="text1"/>
          <w:highlight w:val="none"/>
          <w14:textFill>
            <w14:solidFill>
              <w14:schemeClr w14:val="tx1"/>
            </w14:solidFill>
          </w14:textFill>
        </w:rPr>
      </w:pPr>
      <w:r>
        <w:rPr>
          <w:rFonts w:hint="eastAsia" w:ascii="宋体" w:hAnsi="宋体" w:cs="宋体"/>
          <w:color w:val="000000" w:themeColor="text1"/>
          <w:kern w:val="0"/>
          <w:highlight w:val="none"/>
          <w:lang w:bidi="ar"/>
          <w14:textFill>
            <w14:solidFill>
              <w14:schemeClr w14:val="tx1"/>
            </w14:solidFill>
          </w14:textFill>
        </w:rPr>
        <w:t xml:space="preserve">项目建设中应配套建设气、水、噪声或者固体废物污染防治设施，正式投入生产或使用之前自主开展环境保护验收，建设单位是建设项目竣工环境保护验收的责任主体，应当按照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 性负责，不得在验收过程中弄虚作假。环境保护设施是指防治环境污染和生态破坏以及开展环境监测所需的装置、设备和工程设施等。 </w:t>
      </w:r>
    </w:p>
    <w:p w14:paraId="4E9B4A90">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验收报告分为验收监测（调查）报告、验收意见和其他需要说明的事项等三项内容。 </w:t>
      </w:r>
    </w:p>
    <w:p w14:paraId="61602972">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建设项目竣工环境保护验收的主要依据、验收的程序和内容具体详见《建设项目竣工环境保护验收暂行办法》中的相关要求。应当在项目产生实际污染物排放之前，按照国家排污许可有关管理规定要求，申请变更排污许可证，不得无证排污或不按证排污。建设项目验收报告中与污染物排放相关的主要内容应当纳入该项目验收完成当年排污许可证执行年报。 </w:t>
      </w:r>
    </w:p>
    <w:p w14:paraId="16E3EE8C">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lang w:val="en-US"/>
          <w14:textFill>
            <w14:solidFill>
              <w14:schemeClr w14:val="tx1"/>
            </w14:solidFill>
          </w14:textFill>
        </w:rPr>
        <w:t>.1.</w:t>
      </w:r>
      <w:r>
        <w:rPr>
          <w:color w:val="000000" w:themeColor="text1"/>
          <w:highlight w:val="none"/>
          <w:lang w:val="en-US"/>
          <w14:textFill>
            <w14:solidFill>
              <w14:schemeClr w14:val="tx1"/>
            </w14:solidFill>
          </w14:textFill>
        </w:rPr>
        <w:t xml:space="preserve">2.4 </w:t>
      </w:r>
      <w:r>
        <w:rPr>
          <w:rFonts w:hint="eastAsia"/>
          <w:color w:val="000000" w:themeColor="text1"/>
          <w:highlight w:val="none"/>
          <w:lang w:val="en-US"/>
          <w14:textFill>
            <w14:solidFill>
              <w14:schemeClr w14:val="tx1"/>
            </w14:solidFill>
          </w14:textFill>
        </w:rPr>
        <w:t xml:space="preserve">运行期的环境保护管理 </w:t>
      </w:r>
    </w:p>
    <w:p w14:paraId="09AE8E5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（1）根据国家环保政策、标准及环境监测要求，制定该项目运行期环保管理规章制度、各种污染物排放控制指标； </w:t>
      </w:r>
    </w:p>
    <w:p w14:paraId="1C720B7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（2）负责该项目内所有环保设施的日常运行管理，保障各环保设施的正常运行，并保证处理的规范性、台账运行规范性，处理效果检测落实情况； </w:t>
      </w:r>
    </w:p>
    <w:p w14:paraId="37DBCC8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（3）负责该项目运行期环境监测工作，及时掌握该项目污染状况，整理监测数据，建立污染源档案； </w:t>
      </w:r>
    </w:p>
    <w:p w14:paraId="5830FAA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（4）项目运行期的环境管理由安环科承担；负责该项目内所有环保设施的日常运行管理，保障各环保设施的正常运行，并对环保设施的改进提出积极的建议； </w:t>
      </w:r>
    </w:p>
    <w:p w14:paraId="0BB160A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（5）负责对职工进行环保宣传教育工作，以及检查、监督各单位环保制度的执行情况； </w:t>
      </w:r>
    </w:p>
    <w:p w14:paraId="615EC2F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（6）建立健全环境台账和环境档案管理与保密制度、污染防治设施设计技术改进及运行资料、污染源调查技术档案、环境监测及评价资料、项目平面图和转移联单。</w:t>
      </w:r>
    </w:p>
    <w:p w14:paraId="486591C6">
      <w:pPr>
        <w:rPr>
          <w:color w:val="000000" w:themeColor="text1"/>
          <w:kern w:val="0"/>
          <w:highlight w:val="none"/>
          <w14:textFill>
            <w14:solidFill>
              <w14:schemeClr w14:val="tx1"/>
            </w14:solidFill>
          </w14:textFill>
        </w:rPr>
      </w:pPr>
      <w:r>
        <w:rPr>
          <w:rFonts w:hint="eastAsia"/>
          <w:color w:val="000000" w:themeColor="text1"/>
          <w:highlight w:val="none"/>
          <w14:textFill>
            <w14:solidFill>
              <w14:schemeClr w14:val="tx1"/>
            </w14:solidFill>
          </w14:textFill>
        </w:rPr>
        <w:t>项目具体废气、废水、噪声、固体废物污染防治措施见运营期污染防治措施分析内容。</w:t>
      </w:r>
    </w:p>
    <w:p w14:paraId="58945443">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t xml:space="preserve">环境管理制度 </w:t>
      </w:r>
    </w:p>
    <w:p w14:paraId="210DBCE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企业应建立健全环境管理制度体系，将环保工作纳入考核体系，确保在日常运行中将环保目标落到实处。</w:t>
      </w:r>
    </w:p>
    <w:p w14:paraId="5C975D76">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）“三同时”制度 </w:t>
      </w:r>
    </w:p>
    <w:p w14:paraId="38C358DD">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根据《建设项目环境保护管理条例》，建设项目需要配套建设的环境保护设施，必须与主体工程同时设计、同时施工、同时投产使用。项目竣工后，建设单位应当按照国务院环境保护行政主管部门规定的标准和程序，对配套建设的环境保护设施进行验收，编制验收报告。建设单位在环境保护设施验收过程中，应当如实查验、监测、记载建设项目环境保护设施的建设和调试情况，不得弄虚作假，验收报告应依法向社会公开。本项目配套建设的环境保护设施经验收合格，方可投入生产或者使用。 </w:t>
      </w:r>
    </w:p>
    <w:p w14:paraId="55B97A6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本项目的性质、规模、地点、生产工艺和环境保护措施等发生变动的，必须向环保部门报告，并履行相关手续，如发生重大变动并且可能导致环境影响显著变化（特别是不利环境影响加重）的应当重新报批环评。 </w:t>
      </w:r>
    </w:p>
    <w:p w14:paraId="104D51D6">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 xml:space="preserve">）排污许可证制度 </w:t>
      </w:r>
    </w:p>
    <w:p w14:paraId="726E67F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建设单位应当在项目投入生产或使用并产生实际排污行为之前申请变更排污许可证。依法按照排污许可证申请与核发技术规范提交排污许可申请，申报排放污染物种类、排放浓度等，测算并申报污染物排放量。建设单位应当严格执行排污许可证的规定，禁止无证排污或不按证排污。 </w:t>
      </w:r>
    </w:p>
    <w:p w14:paraId="7252ACA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 xml:space="preserve">）环保台账制度 </w:t>
      </w:r>
    </w:p>
    <w:p w14:paraId="48E70F4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厂内需完善记录制度和档案保存制度，有利于环境管理质量的追踪和持续改进；记录</w:t>
      </w:r>
      <w:r>
        <w:rPr>
          <w:rFonts w:hint="eastAsia"/>
          <w:color w:val="000000" w:themeColor="text1"/>
          <w:highlight w:val="none"/>
          <w:lang w:eastAsia="zh-CN"/>
          <w14:textFill>
            <w14:solidFill>
              <w14:schemeClr w14:val="tx1"/>
            </w14:solidFill>
          </w14:textFill>
        </w:rPr>
        <w:t>和台账</w:t>
      </w:r>
      <w:r>
        <w:rPr>
          <w:rFonts w:hint="eastAsia"/>
          <w:color w:val="000000" w:themeColor="text1"/>
          <w:highlight w:val="none"/>
          <w14:textFill>
            <w14:solidFill>
              <w14:schemeClr w14:val="tx1"/>
            </w14:solidFill>
          </w14:textFill>
        </w:rPr>
        <w:t>包括设施运行和维护记录、危险废物进出</w:t>
      </w:r>
      <w:r>
        <w:rPr>
          <w:rFonts w:hint="eastAsia"/>
          <w:color w:val="000000" w:themeColor="text1"/>
          <w:highlight w:val="none"/>
          <w:lang w:eastAsia="zh-CN"/>
          <w14:textFill>
            <w14:solidFill>
              <w14:schemeClr w14:val="tx1"/>
            </w14:solidFill>
          </w14:textFill>
        </w:rPr>
        <w:t>台账</w:t>
      </w:r>
      <w:r>
        <w:rPr>
          <w:rFonts w:hint="eastAsia"/>
          <w:color w:val="000000" w:themeColor="text1"/>
          <w:highlight w:val="none"/>
          <w14:textFill>
            <w14:solidFill>
              <w14:schemeClr w14:val="tx1"/>
            </w14:solidFill>
          </w14:textFill>
        </w:rPr>
        <w:t>、废水、废气污染物监测</w:t>
      </w:r>
      <w:r>
        <w:rPr>
          <w:rFonts w:hint="eastAsia"/>
          <w:color w:val="000000" w:themeColor="text1"/>
          <w:highlight w:val="none"/>
          <w:lang w:eastAsia="zh-CN"/>
          <w14:textFill>
            <w14:solidFill>
              <w14:schemeClr w14:val="tx1"/>
            </w14:solidFill>
          </w14:textFill>
        </w:rPr>
        <w:t>台账</w:t>
      </w:r>
      <w:r>
        <w:rPr>
          <w:rFonts w:hint="eastAsia"/>
          <w:color w:val="000000" w:themeColor="text1"/>
          <w:highlight w:val="none"/>
          <w14:textFill>
            <w14:solidFill>
              <w14:schemeClr w14:val="tx1"/>
            </w14:solidFill>
          </w14:textFill>
        </w:rPr>
        <w:t>、所有化学品</w:t>
      </w:r>
      <w:r>
        <w:rPr>
          <w:rFonts w:hint="eastAsia"/>
          <w:color w:val="000000" w:themeColor="text1"/>
          <w:highlight w:val="none"/>
          <w:lang w:eastAsia="zh-CN"/>
          <w14:textFill>
            <w14:solidFill>
              <w14:schemeClr w14:val="tx1"/>
            </w14:solidFill>
          </w14:textFill>
        </w:rPr>
        <w:t>使用台账</w:t>
      </w:r>
      <w:r>
        <w:rPr>
          <w:rFonts w:hint="eastAsia"/>
          <w:color w:val="000000" w:themeColor="text1"/>
          <w:highlight w:val="none"/>
          <w14:textFill>
            <w14:solidFill>
              <w14:schemeClr w14:val="tx1"/>
            </w14:solidFill>
          </w14:textFill>
        </w:rPr>
        <w:t>、突发性事件的处理、调查记录等，妥善保存所有记录、</w:t>
      </w:r>
      <w:r>
        <w:rPr>
          <w:rFonts w:hint="eastAsia"/>
          <w:color w:val="000000" w:themeColor="text1"/>
          <w:highlight w:val="none"/>
          <w:lang w:eastAsia="zh-CN"/>
          <w14:textFill>
            <w14:solidFill>
              <w14:schemeClr w14:val="tx1"/>
            </w14:solidFill>
          </w14:textFill>
        </w:rPr>
        <w:t>台账及</w:t>
      </w:r>
      <w:r>
        <w:rPr>
          <w:rFonts w:hint="eastAsia"/>
          <w:color w:val="000000" w:themeColor="text1"/>
          <w:highlight w:val="none"/>
          <w14:textFill>
            <w14:solidFill>
              <w14:schemeClr w14:val="tx1"/>
            </w14:solidFill>
          </w14:textFill>
        </w:rPr>
        <w:t>污染物排放监测资料、环境管理档案资料等。厂内环境保护相关的所有记录、</w:t>
      </w:r>
      <w:r>
        <w:rPr>
          <w:rFonts w:hint="eastAsia"/>
          <w:color w:val="000000" w:themeColor="text1"/>
          <w:highlight w:val="none"/>
          <w:lang w:eastAsia="zh-CN"/>
          <w14:textFill>
            <w14:solidFill>
              <w14:schemeClr w14:val="tx1"/>
            </w14:solidFill>
          </w14:textFill>
        </w:rPr>
        <w:t>台账及</w:t>
      </w:r>
      <w:r>
        <w:rPr>
          <w:rFonts w:hint="eastAsia"/>
          <w:color w:val="000000" w:themeColor="text1"/>
          <w:highlight w:val="none"/>
          <w14:textFill>
            <w14:solidFill>
              <w14:schemeClr w14:val="tx1"/>
            </w14:solidFill>
          </w14:textFill>
        </w:rPr>
        <w:t xml:space="preserve">污染物排放监测资料、环境管理档案资料等应妥善保存并定期上报，发现污染因子超标，要在监测数据出来后以书面形式上报公司管理层，快速果断采取应对措施。 </w:t>
      </w:r>
    </w:p>
    <w:p w14:paraId="2ACA863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 xml:space="preserve">）污染治理设施管理制度 </w:t>
      </w:r>
    </w:p>
    <w:p w14:paraId="6C9A357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建成后，必须确保污染处理设施长期、稳定、有效地运行，不得擅自拆除或者闲置污染处理设施，不得故意不正常使用污染处理设施。污染处理设施的管理必须与生产经营活动一起纳入单位日常管理工作的范畴，落实责任人、操作人员、维修人员、运行经费、设备的备品备件、化学药品和其他原辅材料。同时要建立岗位责任制、制定操作规程、建立</w:t>
      </w:r>
      <w:r>
        <w:rPr>
          <w:rFonts w:hint="eastAsia"/>
          <w:color w:val="000000" w:themeColor="text1"/>
          <w:highlight w:val="none"/>
          <w:lang w:eastAsia="zh-CN"/>
          <w14:textFill>
            <w14:solidFill>
              <w14:schemeClr w14:val="tx1"/>
            </w14:solidFill>
          </w14:textFill>
        </w:rPr>
        <w:t>管理台账</w:t>
      </w:r>
      <w:r>
        <w:rPr>
          <w:rFonts w:hint="eastAsia"/>
          <w:color w:val="000000" w:themeColor="text1"/>
          <w:highlight w:val="none"/>
          <w14:textFill>
            <w14:solidFill>
              <w14:schemeClr w14:val="tx1"/>
            </w14:solidFill>
          </w14:textFill>
        </w:rPr>
        <w:t xml:space="preserve">。 </w:t>
      </w:r>
    </w:p>
    <w:p w14:paraId="7883B15A">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 xml:space="preserve">）报告制度 </w:t>
      </w:r>
    </w:p>
    <w:p w14:paraId="23E5048D">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取得排污许可证后，执行排污许可证执行报告制度，执行报告按报告周期分为年度执行报告、季度执行报告和月度执行报告，建设单位应至少提交年度执行报告与季度执行报告。年度执行报告每年上报一次，季度执行报告每季度上报一次。</w:t>
      </w:r>
    </w:p>
    <w:p w14:paraId="52A7FC5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其中年报编制内容分为</w:t>
      </w:r>
      <w:r>
        <w:rPr>
          <w:color w:val="000000" w:themeColor="text1"/>
          <w:highlight w:val="none"/>
          <w14:textFill>
            <w14:solidFill>
              <w14:schemeClr w14:val="tx1"/>
            </w14:solidFill>
          </w14:textFill>
        </w:rPr>
        <w:t>13</w:t>
      </w:r>
      <w:r>
        <w:rPr>
          <w:rFonts w:hint="eastAsia"/>
          <w:color w:val="000000" w:themeColor="text1"/>
          <w:highlight w:val="none"/>
          <w14:textFill>
            <w14:solidFill>
              <w14:schemeClr w14:val="tx1"/>
            </w14:solidFill>
          </w14:textFill>
        </w:rPr>
        <w:t xml:space="preserve">个部分，包括基本生产信息，遵守法律法规情况，污染防治设施运行情况，自行监测情况，台账管理情况，实际排放情况及合规判定分析，环境保护税缴纳情况，信息公开情况，单位内部环境管理体系建设与运行情况，其他排污许可证规定的内容执行情况，其他需要说明的问题，结论，附图附件要求。季报内容至少包括污染物实际排放情况及合规判定分析，污染防治设施运行情况中异常情况的说明及所采取的措施。 </w:t>
      </w:r>
    </w:p>
    <w:p w14:paraId="4CA08C6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 xml:space="preserve">）环保奖惩制度 </w:t>
      </w:r>
    </w:p>
    <w:p w14:paraId="6875F1C6">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企业应加强宣传教育，</w:t>
      </w:r>
      <w:r>
        <w:rPr>
          <w:rFonts w:hint="eastAsia"/>
          <w:color w:val="000000" w:themeColor="text1"/>
          <w:highlight w:val="none"/>
          <w:lang w:eastAsia="zh-CN"/>
          <w14:textFill>
            <w14:solidFill>
              <w14:schemeClr w14:val="tx1"/>
            </w14:solidFill>
          </w14:textFill>
        </w:rPr>
        <w:t>增强</w:t>
      </w:r>
      <w:r>
        <w:rPr>
          <w:rFonts w:hint="eastAsia"/>
          <w:color w:val="000000" w:themeColor="text1"/>
          <w:highlight w:val="none"/>
          <w14:textFill>
            <w14:solidFill>
              <w14:schemeClr w14:val="tx1"/>
            </w14:solidFill>
          </w14:textFill>
        </w:rPr>
        <w:t xml:space="preserve">员工的污染隐患意识和环境风险意识；制定员工参与环保技术培训的计划，提高员工技术素质水平；设立岗位实责制，制定严格的奖、罚制度。建议企业设置环境保护奖励条例，纳入人员考核体系。对爱护环保设施、节能降耗、改善环境者实行奖励；对环保观念淡薄、不按环保管理要求，造成环保设施损坏、环境污染及资源和能源浪费者一律处以重罚。 </w:t>
      </w:r>
    </w:p>
    <w:p w14:paraId="00B55EB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 xml:space="preserve">）信息公开制度 </w:t>
      </w:r>
    </w:p>
    <w:p w14:paraId="73C020E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建设单位在环评编制、审批、竣工环保验收、正常运行、取得排污许可证等各阶段均应按照有关要求，通过网站或者其他便于公众知悉的方式，依法向社会公开项目污染物排放清单，明确污染物排放的管理要求。包括工程组成及原辅材料组分要求，建设项目拟采取的环境保护措施及主要运行参数，排放的污染物种类、排放浓度和总量指标，排污口信息，执行的环境标准，环境风险防范措施以及环境监测等相关内容。 </w:t>
      </w:r>
    </w:p>
    <w:p w14:paraId="46BE876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t xml:space="preserve">）加强污染物监控体系建设 </w:t>
      </w:r>
    </w:p>
    <w:p w14:paraId="450D4E7C">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企业应遵守排污许可证规定和有关标准规范，严格执行污染源自行监测和信息公开制度。企业对自行监测数据的真实性和准确性负责，并向社会主动公开自行监测数据；建立健全内部质量控制为主、外部质量监督为辅的质量管理制度。企业内部加强对污染物的监控、监测，并接受生态环境部门监督检查。</w:t>
      </w:r>
    </w:p>
    <w:p w14:paraId="7955AEFE">
      <w:pPr>
        <w:pStyle w:val="3"/>
        <w:rPr>
          <w:color w:val="000000" w:themeColor="text1"/>
          <w:highlight w:val="none"/>
          <w14:textFill>
            <w14:solidFill>
              <w14:schemeClr w14:val="tx1"/>
            </w14:solidFill>
          </w14:textFill>
        </w:rPr>
      </w:pPr>
      <w:bookmarkStart w:id="1292" w:name="_Toc489250698"/>
      <w:bookmarkStart w:id="1293" w:name="_Toc23537"/>
      <w:bookmarkStart w:id="1294" w:name="_Toc20800"/>
      <w:bookmarkStart w:id="1295" w:name="_Toc15568"/>
      <w:bookmarkStart w:id="1296" w:name="_Toc8187"/>
      <w:bookmarkStart w:id="1297" w:name="_Toc15001"/>
      <w:bookmarkStart w:id="1298" w:name="_Toc3642"/>
      <w:bookmarkStart w:id="1299" w:name="_Toc27333"/>
      <w:bookmarkStart w:id="1300" w:name="_Toc14248"/>
      <w:bookmarkStart w:id="1301" w:name="_Toc15249"/>
      <w:bookmarkStart w:id="1302" w:name="_Toc13489"/>
      <w:bookmarkStart w:id="1303" w:name="_Toc7531"/>
      <w:bookmarkStart w:id="1304" w:name="_Toc15765"/>
      <w:bookmarkStart w:id="1305" w:name="_Toc9765"/>
      <w:bookmarkStart w:id="1306" w:name="_Toc3697"/>
      <w:bookmarkStart w:id="1307" w:name="_Toc9144"/>
      <w:bookmarkStart w:id="1308" w:name="_Toc24641"/>
      <w:bookmarkStart w:id="1309" w:name="_Toc18366"/>
      <w:bookmarkStart w:id="1310" w:name="_Toc28945"/>
      <w:bookmarkStart w:id="1311" w:name="_Toc3639"/>
      <w:bookmarkStart w:id="1312" w:name="_Toc29293"/>
      <w:bookmarkStart w:id="1313" w:name="_Toc13630"/>
      <w:bookmarkStart w:id="1314" w:name="_Toc26268"/>
      <w:bookmarkStart w:id="1315" w:name="_Toc28983"/>
      <w:bookmarkStart w:id="1316" w:name="_Toc27122"/>
      <w:bookmarkStart w:id="1317" w:name="_Toc20190"/>
      <w:bookmarkStart w:id="1318" w:name="_Toc22575156"/>
      <w:bookmarkStart w:id="1319" w:name="_Toc21513"/>
      <w:bookmarkStart w:id="1320" w:name="_Toc8878"/>
      <w:bookmarkStart w:id="1321" w:name="_Toc94001018"/>
      <w:bookmarkStart w:id="1322" w:name="_Toc18494"/>
      <w:bookmarkStart w:id="1323" w:name="_Toc18732"/>
      <w:bookmarkStart w:id="1324" w:name="_Toc30613"/>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环境监测</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14:paraId="7308D703">
      <w:pPr>
        <w:pStyle w:val="4"/>
        <w:rPr>
          <w:color w:val="000000" w:themeColor="text1"/>
          <w:highlight w:val="none"/>
          <w14:textFill>
            <w14:solidFill>
              <w14:schemeClr w14:val="tx1"/>
            </w14:solidFill>
          </w14:textFill>
        </w:rPr>
      </w:pPr>
      <w:bookmarkStart w:id="1325" w:name="_Toc3839"/>
      <w:bookmarkStart w:id="1326" w:name="_Toc13202"/>
      <w:bookmarkStart w:id="1327" w:name="_Toc1041"/>
      <w:bookmarkStart w:id="1328" w:name="_Toc24215"/>
      <w:bookmarkStart w:id="1329" w:name="_Toc25087"/>
      <w:bookmarkStart w:id="1330" w:name="_Toc30753"/>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环境监测的意义</w:t>
      </w:r>
      <w:bookmarkEnd w:id="1325"/>
      <w:bookmarkEnd w:id="1326"/>
      <w:bookmarkEnd w:id="1327"/>
      <w:bookmarkEnd w:id="1328"/>
      <w:bookmarkEnd w:id="1329"/>
      <w:bookmarkEnd w:id="1330"/>
    </w:p>
    <w:p w14:paraId="1D4C6A3A">
      <w:pPr>
        <w:wordWrap w:val="0"/>
        <w:jc w:val="left"/>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环境监测（包括污染源监测）是企业环境保护的重要组成部分，也是企业的一项规范化制度。通过环境监测，进行数据整理分析，建立监测档案，可为污染源治理，掌握污染物排放变化规律提供依据，为上级生态环境部门进行区域环境规划、管理执法提供依据。同时，环境监测也是企业实现污染物总量控制，做到清洁生产的重要保证手段之一。</w:t>
      </w:r>
    </w:p>
    <w:p w14:paraId="00789833">
      <w:pPr>
        <w:pStyle w:val="4"/>
        <w:rPr>
          <w:color w:val="000000" w:themeColor="text1"/>
          <w:highlight w:val="none"/>
          <w14:textFill>
            <w14:solidFill>
              <w14:schemeClr w14:val="tx1"/>
            </w14:solidFill>
          </w14:textFill>
        </w:rPr>
      </w:pPr>
      <w:bookmarkStart w:id="1331" w:name="_Toc19991"/>
      <w:bookmarkStart w:id="1332" w:name="_Toc32457"/>
      <w:bookmarkStart w:id="1333" w:name="_Toc8672"/>
      <w:bookmarkStart w:id="1334" w:name="_Toc11575"/>
      <w:bookmarkStart w:id="1335" w:name="_Toc20589"/>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2污染源</w:t>
      </w:r>
      <w:r>
        <w:rPr>
          <w:color w:val="000000" w:themeColor="text1"/>
          <w:highlight w:val="none"/>
          <w14:textFill>
            <w14:solidFill>
              <w14:schemeClr w14:val="tx1"/>
            </w14:solidFill>
          </w14:textFill>
        </w:rPr>
        <w:t>监测</w:t>
      </w:r>
      <w:bookmarkEnd w:id="1331"/>
      <w:r>
        <w:rPr>
          <w:color w:val="000000" w:themeColor="text1"/>
          <w:highlight w:val="none"/>
          <w14:textFill>
            <w14:solidFill>
              <w14:schemeClr w14:val="tx1"/>
            </w14:solidFill>
          </w14:textFill>
        </w:rPr>
        <w:t>计划</w:t>
      </w:r>
      <w:bookmarkEnd w:id="1332"/>
      <w:bookmarkEnd w:id="1333"/>
      <w:bookmarkEnd w:id="1334"/>
      <w:bookmarkEnd w:id="1335"/>
    </w:p>
    <w:p w14:paraId="58CF3395">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根据《环境影响评价技术导则 大气环境》</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HJ2.2-2018</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，污染源自行监测计划按照《排污单位自行监测技术指南 总则》（</w:t>
      </w:r>
      <w:r>
        <w:rPr>
          <w:color w:val="000000" w:themeColor="text1"/>
          <w:highlight w:val="none"/>
          <w14:textFill>
            <w14:solidFill>
              <w14:schemeClr w14:val="tx1"/>
            </w14:solidFill>
          </w14:textFill>
        </w:rPr>
        <w:t>HJ 819-2017</w:t>
      </w:r>
      <w:r>
        <w:rPr>
          <w:rFonts w:hint="eastAsia"/>
          <w:color w:val="000000" w:themeColor="text1"/>
          <w:highlight w:val="none"/>
          <w14:textFill>
            <w14:solidFill>
              <w14:schemeClr w14:val="tx1"/>
            </w14:solidFill>
          </w14:textFill>
        </w:rPr>
        <w:t>）、《排污许可证申请与核发技术规范</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专用化学产品制造工业》</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HJ1103-2020</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等规范进行。建设单位可根据自身条件和能力，利用自有人员、场所和设备自行监测</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也可委托其它有资质的检</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监</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 xml:space="preserve">测机构代其开展自行监测。 </w:t>
      </w:r>
    </w:p>
    <w:p w14:paraId="538973A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本项目工程污染源自行监测计划见表</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p>
    <w:p w14:paraId="4CC43665">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 xml:space="preserve">2-1   </w:t>
      </w:r>
      <w:r>
        <w:rPr>
          <w:rFonts w:hint="eastAsia"/>
          <w:color w:val="000000" w:themeColor="text1"/>
          <w:highlight w:val="none"/>
          <w14:textFill>
            <w14:solidFill>
              <w14:schemeClr w14:val="tx1"/>
            </w14:solidFill>
          </w14:textFill>
        </w:rPr>
        <w:t xml:space="preserve">  项目工程污染源监测计划表</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1559"/>
        <w:gridCol w:w="1730"/>
        <w:gridCol w:w="1200"/>
        <w:gridCol w:w="4010"/>
      </w:tblGrid>
      <w:tr w14:paraId="481DAC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 w:type="pct"/>
            <w:tcBorders>
              <w:bottom w:val="single" w:color="auto" w:sz="12" w:space="0"/>
            </w:tcBorders>
            <w:noWrap w:val="0"/>
            <w:vAlign w:val="center"/>
          </w:tcPr>
          <w:p w14:paraId="3C44871B">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项目</w:t>
            </w:r>
          </w:p>
        </w:tc>
        <w:tc>
          <w:tcPr>
            <w:tcW w:w="859" w:type="pct"/>
            <w:tcBorders>
              <w:bottom w:val="single" w:color="auto" w:sz="12" w:space="0"/>
            </w:tcBorders>
            <w:noWrap w:val="0"/>
            <w:vAlign w:val="center"/>
          </w:tcPr>
          <w:p w14:paraId="294881D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监测点位</w:t>
            </w:r>
          </w:p>
        </w:tc>
        <w:tc>
          <w:tcPr>
            <w:tcW w:w="953" w:type="pct"/>
            <w:tcBorders>
              <w:bottom w:val="single" w:color="auto" w:sz="12" w:space="0"/>
            </w:tcBorders>
            <w:noWrap w:val="0"/>
            <w:vAlign w:val="center"/>
          </w:tcPr>
          <w:p w14:paraId="553A5CF8">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监测指标</w:t>
            </w:r>
          </w:p>
        </w:tc>
        <w:tc>
          <w:tcPr>
            <w:tcW w:w="661" w:type="pct"/>
            <w:tcBorders>
              <w:bottom w:val="single" w:color="auto" w:sz="12" w:space="0"/>
            </w:tcBorders>
            <w:noWrap w:val="0"/>
            <w:vAlign w:val="center"/>
          </w:tcPr>
          <w:p w14:paraId="41EBD44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监测频次</w:t>
            </w:r>
          </w:p>
        </w:tc>
        <w:tc>
          <w:tcPr>
            <w:tcW w:w="2209" w:type="pct"/>
            <w:tcBorders>
              <w:bottom w:val="single" w:color="auto" w:sz="12" w:space="0"/>
            </w:tcBorders>
            <w:noWrap w:val="0"/>
            <w:vAlign w:val="center"/>
          </w:tcPr>
          <w:p w14:paraId="6945BF55">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执行标准</w:t>
            </w:r>
          </w:p>
        </w:tc>
      </w:tr>
      <w:tr w14:paraId="6FCB97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315" w:type="pct"/>
            <w:vMerge w:val="restart"/>
            <w:tcBorders>
              <w:top w:val="single" w:color="auto" w:sz="12" w:space="0"/>
            </w:tcBorders>
            <w:noWrap w:val="0"/>
            <w:vAlign w:val="center"/>
          </w:tcPr>
          <w:p w14:paraId="50E0EA7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废气</w:t>
            </w:r>
          </w:p>
        </w:tc>
        <w:tc>
          <w:tcPr>
            <w:tcW w:w="859" w:type="pct"/>
            <w:vMerge w:val="restart"/>
            <w:tcBorders>
              <w:top w:val="single" w:color="auto" w:sz="12" w:space="0"/>
            </w:tcBorders>
            <w:noWrap w:val="0"/>
            <w:vAlign w:val="center"/>
          </w:tcPr>
          <w:p w14:paraId="5F8BF12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废气排放口DA001</w:t>
            </w:r>
          </w:p>
        </w:tc>
        <w:tc>
          <w:tcPr>
            <w:tcW w:w="953" w:type="pct"/>
            <w:tcBorders>
              <w:top w:val="single" w:color="auto" w:sz="12" w:space="0"/>
            </w:tcBorders>
            <w:noWrap w:val="0"/>
            <w:vAlign w:val="center"/>
          </w:tcPr>
          <w:p w14:paraId="25C872E1">
            <w:pPr>
              <w:pStyle w:val="26"/>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661" w:type="pct"/>
            <w:tcBorders>
              <w:top w:val="single" w:color="auto" w:sz="12" w:space="0"/>
            </w:tcBorders>
            <w:noWrap w:val="0"/>
            <w:vAlign w:val="center"/>
          </w:tcPr>
          <w:p w14:paraId="4C182CA8">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1次/</w:t>
            </w:r>
            <w:r>
              <w:rPr>
                <w:rFonts w:hint="eastAsia" w:cs="Times New Roman"/>
                <w:color w:val="000000" w:themeColor="text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highlight w:val="none"/>
                <w14:textFill>
                  <w14:solidFill>
                    <w14:schemeClr w14:val="tx1"/>
                  </w14:solidFill>
                </w14:textFill>
              </w:rPr>
              <w:t>年</w:t>
            </w:r>
          </w:p>
        </w:tc>
        <w:tc>
          <w:tcPr>
            <w:tcW w:w="2209" w:type="pct"/>
            <w:vMerge w:val="restart"/>
            <w:tcBorders>
              <w:top w:val="single" w:color="auto" w:sz="12" w:space="0"/>
            </w:tcBorders>
            <w:noWrap w:val="0"/>
            <w:vAlign w:val="center"/>
          </w:tcPr>
          <w:p w14:paraId="21F7EB50">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《大气污染物综合排放标准》（</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GB16297-1996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中二级排放标准</w:t>
            </w:r>
          </w:p>
        </w:tc>
      </w:tr>
      <w:tr w14:paraId="515F0C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 w:type="pct"/>
            <w:vMerge w:val="continue"/>
            <w:noWrap w:val="0"/>
            <w:vAlign w:val="center"/>
          </w:tcPr>
          <w:p w14:paraId="45E9342B">
            <w:pPr>
              <w:pStyle w:val="26"/>
              <w:rPr>
                <w:color w:val="000000" w:themeColor="text1"/>
                <w:highlight w:val="none"/>
                <w14:textFill>
                  <w14:solidFill>
                    <w14:schemeClr w14:val="tx1"/>
                  </w14:solidFill>
                </w14:textFill>
              </w:rPr>
            </w:pPr>
          </w:p>
        </w:tc>
        <w:tc>
          <w:tcPr>
            <w:tcW w:w="859" w:type="pct"/>
            <w:vMerge w:val="continue"/>
            <w:noWrap w:val="0"/>
            <w:vAlign w:val="center"/>
          </w:tcPr>
          <w:p w14:paraId="47FAD5CC">
            <w:pPr>
              <w:pStyle w:val="26"/>
              <w:rPr>
                <w:rFonts w:hint="eastAsia"/>
                <w:color w:val="000000" w:themeColor="text1"/>
                <w:highlight w:val="none"/>
                <w14:textFill>
                  <w14:solidFill>
                    <w14:schemeClr w14:val="tx1"/>
                  </w14:solidFill>
                </w14:textFill>
              </w:rPr>
            </w:pPr>
          </w:p>
        </w:tc>
        <w:tc>
          <w:tcPr>
            <w:tcW w:w="953" w:type="pct"/>
            <w:noWrap w:val="0"/>
            <w:vAlign w:val="center"/>
          </w:tcPr>
          <w:p w14:paraId="5F918828">
            <w:pPr>
              <w:pStyle w:val="26"/>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661" w:type="pct"/>
            <w:noWrap w:val="0"/>
            <w:vAlign w:val="center"/>
          </w:tcPr>
          <w:p w14:paraId="08A70739">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1次/</w:t>
            </w:r>
            <w:r>
              <w:rPr>
                <w:rFonts w:hint="eastAsia" w:cs="Times New Roman"/>
                <w:color w:val="000000" w:themeColor="text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highlight w:val="none"/>
                <w14:textFill>
                  <w14:solidFill>
                    <w14:schemeClr w14:val="tx1"/>
                  </w14:solidFill>
                </w14:textFill>
              </w:rPr>
              <w:t>年</w:t>
            </w:r>
          </w:p>
        </w:tc>
        <w:tc>
          <w:tcPr>
            <w:tcW w:w="2209" w:type="pct"/>
            <w:vMerge w:val="continue"/>
            <w:noWrap w:val="0"/>
            <w:vAlign w:val="center"/>
          </w:tcPr>
          <w:p w14:paraId="5B1374EC">
            <w:pPr>
              <w:pStyle w:val="26"/>
              <w:rPr>
                <w:rFonts w:hint="eastAsia" w:ascii="Times New Roman" w:hAnsi="Times New Roman" w:eastAsia="宋体" w:cs="Times New Roman"/>
                <w:color w:val="000000" w:themeColor="text1"/>
                <w:highlight w:val="none"/>
                <w14:textFill>
                  <w14:solidFill>
                    <w14:schemeClr w14:val="tx1"/>
                  </w14:solidFill>
                </w14:textFill>
              </w:rPr>
            </w:pPr>
          </w:p>
        </w:tc>
      </w:tr>
      <w:tr w14:paraId="0C0BE7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 w:type="pct"/>
            <w:vMerge w:val="continue"/>
            <w:noWrap w:val="0"/>
            <w:vAlign w:val="center"/>
          </w:tcPr>
          <w:p w14:paraId="3CF2BF46">
            <w:pPr>
              <w:pStyle w:val="26"/>
              <w:rPr>
                <w:color w:val="000000" w:themeColor="text1"/>
                <w:highlight w:val="none"/>
                <w14:textFill>
                  <w14:solidFill>
                    <w14:schemeClr w14:val="tx1"/>
                  </w14:solidFill>
                </w14:textFill>
              </w:rPr>
            </w:pPr>
          </w:p>
        </w:tc>
        <w:tc>
          <w:tcPr>
            <w:tcW w:w="859" w:type="pct"/>
            <w:vMerge w:val="continue"/>
            <w:noWrap w:val="0"/>
            <w:vAlign w:val="center"/>
          </w:tcPr>
          <w:p w14:paraId="07A93148">
            <w:pPr>
              <w:pStyle w:val="26"/>
              <w:rPr>
                <w:rFonts w:hint="eastAsia"/>
                <w:color w:val="000000" w:themeColor="text1"/>
                <w:highlight w:val="none"/>
                <w14:textFill>
                  <w14:solidFill>
                    <w14:schemeClr w14:val="tx1"/>
                  </w14:solidFill>
                </w14:textFill>
              </w:rPr>
            </w:pPr>
          </w:p>
        </w:tc>
        <w:tc>
          <w:tcPr>
            <w:tcW w:w="953" w:type="pct"/>
            <w:noWrap w:val="0"/>
            <w:vAlign w:val="center"/>
          </w:tcPr>
          <w:p w14:paraId="13E925BB">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661" w:type="pct"/>
            <w:noWrap w:val="0"/>
            <w:vAlign w:val="center"/>
          </w:tcPr>
          <w:p w14:paraId="5265231D">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1次/</w:t>
            </w:r>
            <w:r>
              <w:rPr>
                <w:rFonts w:hint="eastAsia" w:cs="Times New Roman"/>
                <w:color w:val="000000" w:themeColor="text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highlight w:val="none"/>
                <w14:textFill>
                  <w14:solidFill>
                    <w14:schemeClr w14:val="tx1"/>
                  </w14:solidFill>
                </w14:textFill>
              </w:rPr>
              <w:t>年</w:t>
            </w:r>
          </w:p>
        </w:tc>
        <w:tc>
          <w:tcPr>
            <w:tcW w:w="2209" w:type="pct"/>
            <w:vMerge w:val="continue"/>
            <w:noWrap w:val="0"/>
            <w:vAlign w:val="center"/>
          </w:tcPr>
          <w:p w14:paraId="638D2F45">
            <w:pPr>
              <w:pStyle w:val="26"/>
              <w:rPr>
                <w:rFonts w:hint="eastAsia" w:ascii="Times New Roman" w:hAnsi="Times New Roman" w:eastAsia="宋体" w:cs="Times New Roman"/>
                <w:color w:val="000000" w:themeColor="text1"/>
                <w:highlight w:val="none"/>
                <w14:textFill>
                  <w14:solidFill>
                    <w14:schemeClr w14:val="tx1"/>
                  </w14:solidFill>
                </w14:textFill>
              </w:rPr>
            </w:pPr>
          </w:p>
        </w:tc>
      </w:tr>
      <w:tr w14:paraId="16F499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 w:type="pct"/>
            <w:vMerge w:val="continue"/>
            <w:noWrap w:val="0"/>
            <w:vAlign w:val="center"/>
          </w:tcPr>
          <w:p w14:paraId="17500E14">
            <w:pPr>
              <w:pStyle w:val="26"/>
              <w:rPr>
                <w:color w:val="000000" w:themeColor="text1"/>
                <w:highlight w:val="none"/>
                <w14:textFill>
                  <w14:solidFill>
                    <w14:schemeClr w14:val="tx1"/>
                  </w14:solidFill>
                </w14:textFill>
              </w:rPr>
            </w:pPr>
          </w:p>
        </w:tc>
        <w:tc>
          <w:tcPr>
            <w:tcW w:w="859" w:type="pct"/>
            <w:vMerge w:val="continue"/>
            <w:noWrap w:val="0"/>
            <w:vAlign w:val="center"/>
          </w:tcPr>
          <w:p w14:paraId="32112C2A">
            <w:pPr>
              <w:pStyle w:val="26"/>
              <w:rPr>
                <w:rFonts w:hint="eastAsia"/>
                <w:color w:val="000000" w:themeColor="text1"/>
                <w:highlight w:val="none"/>
                <w14:textFill>
                  <w14:solidFill>
                    <w14:schemeClr w14:val="tx1"/>
                  </w14:solidFill>
                </w14:textFill>
              </w:rPr>
            </w:pPr>
          </w:p>
        </w:tc>
        <w:tc>
          <w:tcPr>
            <w:tcW w:w="953" w:type="pct"/>
            <w:noWrap w:val="0"/>
            <w:vAlign w:val="center"/>
          </w:tcPr>
          <w:p w14:paraId="6915BF21">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661" w:type="pct"/>
            <w:noWrap w:val="0"/>
            <w:vAlign w:val="center"/>
          </w:tcPr>
          <w:p w14:paraId="79EA9C8A">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1次/</w:t>
            </w:r>
            <w:r>
              <w:rPr>
                <w:rFonts w:hint="eastAsia" w:cs="Times New Roman"/>
                <w:color w:val="000000" w:themeColor="text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highlight w:val="none"/>
                <w14:textFill>
                  <w14:solidFill>
                    <w14:schemeClr w14:val="tx1"/>
                  </w14:solidFill>
                </w14:textFill>
              </w:rPr>
              <w:t>年</w:t>
            </w:r>
          </w:p>
        </w:tc>
        <w:tc>
          <w:tcPr>
            <w:tcW w:w="2209" w:type="pct"/>
            <w:vMerge w:val="continue"/>
            <w:noWrap w:val="0"/>
            <w:vAlign w:val="center"/>
          </w:tcPr>
          <w:p w14:paraId="3059E5BF">
            <w:pPr>
              <w:pStyle w:val="26"/>
              <w:rPr>
                <w:rFonts w:hint="eastAsia" w:ascii="Times New Roman" w:hAnsi="Times New Roman" w:eastAsia="宋体" w:cs="Times New Roman"/>
                <w:color w:val="000000" w:themeColor="text1"/>
                <w:highlight w:val="none"/>
                <w14:textFill>
                  <w14:solidFill>
                    <w14:schemeClr w14:val="tx1"/>
                  </w14:solidFill>
                </w14:textFill>
              </w:rPr>
            </w:pPr>
          </w:p>
        </w:tc>
      </w:tr>
      <w:tr w14:paraId="099B7D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15" w:type="pct"/>
            <w:vMerge w:val="continue"/>
            <w:noWrap w:val="0"/>
            <w:vAlign w:val="center"/>
          </w:tcPr>
          <w:p w14:paraId="56484F0F">
            <w:pPr>
              <w:pStyle w:val="26"/>
              <w:rPr>
                <w:color w:val="000000" w:themeColor="text1"/>
                <w:highlight w:val="none"/>
                <w14:textFill>
                  <w14:solidFill>
                    <w14:schemeClr w14:val="tx1"/>
                  </w14:solidFill>
                </w14:textFill>
              </w:rPr>
            </w:pPr>
          </w:p>
        </w:tc>
        <w:tc>
          <w:tcPr>
            <w:tcW w:w="859" w:type="pct"/>
            <w:vMerge w:val="restart"/>
            <w:noWrap w:val="0"/>
            <w:vAlign w:val="center"/>
          </w:tcPr>
          <w:p w14:paraId="412F64A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厂界</w:t>
            </w:r>
          </w:p>
        </w:tc>
        <w:tc>
          <w:tcPr>
            <w:tcW w:w="953" w:type="pct"/>
            <w:noWrap w:val="0"/>
            <w:vAlign w:val="center"/>
          </w:tcPr>
          <w:p w14:paraId="5B013CF6">
            <w:pPr>
              <w:pStyle w:val="26"/>
              <w:ind w:left="0" w:leftChars="0" w:right="0" w:rightChars="0" w:firstLine="0" w:firstLineChars="0"/>
              <w:rPr>
                <w:rFonts w:hint="default" w:eastAsia="宋体"/>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661" w:type="pct"/>
            <w:vMerge w:val="restart"/>
            <w:noWrap w:val="0"/>
            <w:vAlign w:val="center"/>
          </w:tcPr>
          <w:p w14:paraId="06EA5860">
            <w:pPr>
              <w:pStyle w:val="26"/>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1次/</w:t>
            </w:r>
            <w:r>
              <w:rPr>
                <w:rFonts w:hint="eastAsia" w:cs="Times New Roman"/>
                <w:color w:val="000000" w:themeColor="text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highlight w:val="none"/>
                <w14:textFill>
                  <w14:solidFill>
                    <w14:schemeClr w14:val="tx1"/>
                  </w14:solidFill>
                </w14:textFill>
              </w:rPr>
              <w:t>年</w:t>
            </w:r>
          </w:p>
        </w:tc>
        <w:tc>
          <w:tcPr>
            <w:tcW w:w="2209" w:type="pct"/>
            <w:vMerge w:val="restart"/>
            <w:noWrap w:val="0"/>
            <w:vAlign w:val="center"/>
          </w:tcPr>
          <w:p w14:paraId="6A73DBEF">
            <w:pPr>
              <w:pStyle w:val="26"/>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《大气污染物综合排放标准》（</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GB16297-1996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中二级排放标准</w:t>
            </w:r>
          </w:p>
        </w:tc>
      </w:tr>
      <w:tr w14:paraId="554990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15" w:type="pct"/>
            <w:vMerge w:val="continue"/>
            <w:noWrap w:val="0"/>
            <w:vAlign w:val="center"/>
          </w:tcPr>
          <w:p w14:paraId="1D115050">
            <w:pPr>
              <w:pStyle w:val="26"/>
              <w:rPr>
                <w:color w:val="000000" w:themeColor="text1"/>
                <w:highlight w:val="none"/>
                <w14:textFill>
                  <w14:solidFill>
                    <w14:schemeClr w14:val="tx1"/>
                  </w14:solidFill>
                </w14:textFill>
              </w:rPr>
            </w:pPr>
          </w:p>
        </w:tc>
        <w:tc>
          <w:tcPr>
            <w:tcW w:w="859" w:type="pct"/>
            <w:vMerge w:val="continue"/>
            <w:noWrap w:val="0"/>
            <w:vAlign w:val="center"/>
          </w:tcPr>
          <w:p w14:paraId="3A561452">
            <w:pPr>
              <w:pStyle w:val="26"/>
              <w:rPr>
                <w:color w:val="000000" w:themeColor="text1"/>
                <w:highlight w:val="none"/>
                <w14:textFill>
                  <w14:solidFill>
                    <w14:schemeClr w14:val="tx1"/>
                  </w14:solidFill>
                </w14:textFill>
              </w:rPr>
            </w:pPr>
          </w:p>
        </w:tc>
        <w:tc>
          <w:tcPr>
            <w:tcW w:w="953" w:type="pct"/>
            <w:noWrap w:val="0"/>
            <w:vAlign w:val="center"/>
          </w:tcPr>
          <w:p w14:paraId="42FEB28B">
            <w:pPr>
              <w:pStyle w:val="26"/>
              <w:ind w:left="0" w:leftChars="0" w:right="0" w:rightChars="0" w:firstLine="0" w:firstLineChars="0"/>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661" w:type="pct"/>
            <w:vMerge w:val="continue"/>
            <w:noWrap w:val="0"/>
            <w:vAlign w:val="center"/>
          </w:tcPr>
          <w:p w14:paraId="0DFA893E">
            <w:pPr>
              <w:pStyle w:val="26"/>
              <w:rPr>
                <w:color w:val="000000" w:themeColor="text1"/>
                <w:highlight w:val="none"/>
                <w14:textFill>
                  <w14:solidFill>
                    <w14:schemeClr w14:val="tx1"/>
                  </w14:solidFill>
                </w14:textFill>
              </w:rPr>
            </w:pPr>
          </w:p>
        </w:tc>
        <w:tc>
          <w:tcPr>
            <w:tcW w:w="2209" w:type="pct"/>
            <w:vMerge w:val="continue"/>
            <w:noWrap w:val="0"/>
            <w:vAlign w:val="center"/>
          </w:tcPr>
          <w:p w14:paraId="66E68F85">
            <w:pPr>
              <w:pStyle w:val="26"/>
              <w:rPr>
                <w:rFonts w:hint="eastAsia"/>
                <w:color w:val="000000" w:themeColor="text1"/>
                <w:highlight w:val="none"/>
                <w14:textFill>
                  <w14:solidFill>
                    <w14:schemeClr w14:val="tx1"/>
                  </w14:solidFill>
                </w14:textFill>
              </w:rPr>
            </w:pPr>
          </w:p>
        </w:tc>
      </w:tr>
      <w:tr w14:paraId="51B023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15" w:type="pct"/>
            <w:vMerge w:val="continue"/>
            <w:noWrap w:val="0"/>
            <w:vAlign w:val="center"/>
          </w:tcPr>
          <w:p w14:paraId="557BFAC6">
            <w:pPr>
              <w:pStyle w:val="26"/>
              <w:rPr>
                <w:color w:val="000000" w:themeColor="text1"/>
                <w:highlight w:val="none"/>
                <w14:textFill>
                  <w14:solidFill>
                    <w14:schemeClr w14:val="tx1"/>
                  </w14:solidFill>
                </w14:textFill>
              </w:rPr>
            </w:pPr>
          </w:p>
        </w:tc>
        <w:tc>
          <w:tcPr>
            <w:tcW w:w="859" w:type="pct"/>
            <w:vMerge w:val="continue"/>
            <w:noWrap w:val="0"/>
            <w:vAlign w:val="center"/>
          </w:tcPr>
          <w:p w14:paraId="3F168690">
            <w:pPr>
              <w:pStyle w:val="26"/>
              <w:rPr>
                <w:color w:val="000000" w:themeColor="text1"/>
                <w:highlight w:val="none"/>
                <w14:textFill>
                  <w14:solidFill>
                    <w14:schemeClr w14:val="tx1"/>
                  </w14:solidFill>
                </w14:textFill>
              </w:rPr>
            </w:pPr>
          </w:p>
        </w:tc>
        <w:tc>
          <w:tcPr>
            <w:tcW w:w="953" w:type="pct"/>
            <w:noWrap w:val="0"/>
            <w:vAlign w:val="center"/>
          </w:tcPr>
          <w:p w14:paraId="6293F40A">
            <w:pPr>
              <w:pStyle w:val="26"/>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661" w:type="pct"/>
            <w:vMerge w:val="continue"/>
            <w:noWrap w:val="0"/>
            <w:vAlign w:val="center"/>
          </w:tcPr>
          <w:p w14:paraId="3C918EBB">
            <w:pPr>
              <w:pStyle w:val="26"/>
              <w:rPr>
                <w:color w:val="000000" w:themeColor="text1"/>
                <w:highlight w:val="none"/>
                <w14:textFill>
                  <w14:solidFill>
                    <w14:schemeClr w14:val="tx1"/>
                  </w14:solidFill>
                </w14:textFill>
              </w:rPr>
            </w:pPr>
          </w:p>
        </w:tc>
        <w:tc>
          <w:tcPr>
            <w:tcW w:w="2209" w:type="pct"/>
            <w:vMerge w:val="continue"/>
            <w:noWrap w:val="0"/>
            <w:vAlign w:val="center"/>
          </w:tcPr>
          <w:p w14:paraId="1593FC53">
            <w:pPr>
              <w:pStyle w:val="26"/>
              <w:rPr>
                <w:rFonts w:hint="eastAsia"/>
                <w:color w:val="000000" w:themeColor="text1"/>
                <w:highlight w:val="none"/>
                <w14:textFill>
                  <w14:solidFill>
                    <w14:schemeClr w14:val="tx1"/>
                  </w14:solidFill>
                </w14:textFill>
              </w:rPr>
            </w:pPr>
          </w:p>
        </w:tc>
      </w:tr>
      <w:tr w14:paraId="4E4B68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15" w:type="pct"/>
            <w:vMerge w:val="continue"/>
            <w:noWrap w:val="0"/>
            <w:vAlign w:val="center"/>
          </w:tcPr>
          <w:p w14:paraId="65A2D919">
            <w:pPr>
              <w:pStyle w:val="26"/>
              <w:rPr>
                <w:color w:val="000000" w:themeColor="text1"/>
                <w:highlight w:val="none"/>
                <w14:textFill>
                  <w14:solidFill>
                    <w14:schemeClr w14:val="tx1"/>
                  </w14:solidFill>
                </w14:textFill>
              </w:rPr>
            </w:pPr>
          </w:p>
        </w:tc>
        <w:tc>
          <w:tcPr>
            <w:tcW w:w="859" w:type="pct"/>
            <w:vMerge w:val="continue"/>
            <w:noWrap w:val="0"/>
            <w:vAlign w:val="center"/>
          </w:tcPr>
          <w:p w14:paraId="0B69B3B2">
            <w:pPr>
              <w:pStyle w:val="26"/>
              <w:rPr>
                <w:color w:val="000000" w:themeColor="text1"/>
                <w:highlight w:val="none"/>
                <w14:textFill>
                  <w14:solidFill>
                    <w14:schemeClr w14:val="tx1"/>
                  </w14:solidFill>
                </w14:textFill>
              </w:rPr>
            </w:pPr>
          </w:p>
        </w:tc>
        <w:tc>
          <w:tcPr>
            <w:tcW w:w="953" w:type="pct"/>
            <w:noWrap w:val="0"/>
            <w:vAlign w:val="center"/>
          </w:tcPr>
          <w:p w14:paraId="03533587">
            <w:pPr>
              <w:pStyle w:val="26"/>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661" w:type="pct"/>
            <w:vMerge w:val="continue"/>
            <w:noWrap w:val="0"/>
            <w:vAlign w:val="center"/>
          </w:tcPr>
          <w:p w14:paraId="3A940568">
            <w:pPr>
              <w:pStyle w:val="26"/>
              <w:rPr>
                <w:color w:val="000000" w:themeColor="text1"/>
                <w:highlight w:val="none"/>
                <w14:textFill>
                  <w14:solidFill>
                    <w14:schemeClr w14:val="tx1"/>
                  </w14:solidFill>
                </w14:textFill>
              </w:rPr>
            </w:pPr>
          </w:p>
        </w:tc>
        <w:tc>
          <w:tcPr>
            <w:tcW w:w="2209" w:type="pct"/>
            <w:vMerge w:val="continue"/>
            <w:noWrap w:val="0"/>
            <w:vAlign w:val="center"/>
          </w:tcPr>
          <w:p w14:paraId="66860E92">
            <w:pPr>
              <w:pStyle w:val="26"/>
              <w:rPr>
                <w:rFonts w:hint="eastAsia"/>
                <w:color w:val="000000" w:themeColor="text1"/>
                <w:highlight w:val="none"/>
                <w14:textFill>
                  <w14:solidFill>
                    <w14:schemeClr w14:val="tx1"/>
                  </w14:solidFill>
                </w14:textFill>
              </w:rPr>
            </w:pPr>
          </w:p>
        </w:tc>
      </w:tr>
      <w:tr w14:paraId="2EE4B9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15" w:type="pct"/>
            <w:vMerge w:val="continue"/>
            <w:noWrap w:val="0"/>
            <w:vAlign w:val="center"/>
          </w:tcPr>
          <w:p w14:paraId="72AA6E4F">
            <w:pPr>
              <w:pStyle w:val="26"/>
              <w:rPr>
                <w:color w:val="000000" w:themeColor="text1"/>
                <w:highlight w:val="none"/>
                <w14:textFill>
                  <w14:solidFill>
                    <w14:schemeClr w14:val="tx1"/>
                  </w14:solidFill>
                </w14:textFill>
              </w:rPr>
            </w:pPr>
          </w:p>
        </w:tc>
        <w:tc>
          <w:tcPr>
            <w:tcW w:w="859" w:type="pct"/>
            <w:noWrap w:val="0"/>
            <w:vAlign w:val="center"/>
          </w:tcPr>
          <w:p w14:paraId="0F35033C">
            <w:pPr>
              <w:pStyle w:val="26"/>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厂区内</w:t>
            </w:r>
          </w:p>
        </w:tc>
        <w:tc>
          <w:tcPr>
            <w:tcW w:w="953" w:type="pct"/>
            <w:noWrap w:val="0"/>
            <w:vAlign w:val="center"/>
          </w:tcPr>
          <w:p w14:paraId="1264392C">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非甲烷总烃</w:t>
            </w:r>
          </w:p>
        </w:tc>
        <w:tc>
          <w:tcPr>
            <w:tcW w:w="661" w:type="pct"/>
            <w:noWrap w:val="0"/>
            <w:vAlign w:val="center"/>
          </w:tcPr>
          <w:p w14:paraId="0CCC6CA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1次/年</w:t>
            </w:r>
          </w:p>
        </w:tc>
        <w:tc>
          <w:tcPr>
            <w:tcW w:w="2209" w:type="pct"/>
            <w:noWrap w:val="0"/>
            <w:vAlign w:val="center"/>
          </w:tcPr>
          <w:p w14:paraId="3244FEFF">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挥发性有机物无组织排放控制标准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GB 37822-2019</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表A.1中的特别排放限值</w:t>
            </w:r>
          </w:p>
        </w:tc>
      </w:tr>
      <w:tr w14:paraId="14010D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5" w:type="pct"/>
            <w:noWrap w:val="0"/>
            <w:vAlign w:val="center"/>
          </w:tcPr>
          <w:p w14:paraId="13F6BE1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噪声</w:t>
            </w:r>
          </w:p>
        </w:tc>
        <w:tc>
          <w:tcPr>
            <w:tcW w:w="859" w:type="pct"/>
            <w:noWrap w:val="0"/>
            <w:vAlign w:val="center"/>
          </w:tcPr>
          <w:p w14:paraId="068942B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项目边界</w:t>
            </w:r>
          </w:p>
        </w:tc>
        <w:tc>
          <w:tcPr>
            <w:tcW w:w="953" w:type="pct"/>
            <w:noWrap w:val="0"/>
            <w:vAlign w:val="center"/>
          </w:tcPr>
          <w:p w14:paraId="557C450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昼夜等效</w:t>
            </w:r>
            <w:r>
              <w:rPr>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声级</w:t>
            </w:r>
          </w:p>
        </w:tc>
        <w:tc>
          <w:tcPr>
            <w:tcW w:w="661" w:type="pct"/>
            <w:noWrap w:val="0"/>
            <w:vAlign w:val="center"/>
          </w:tcPr>
          <w:p w14:paraId="0C6FCCA3">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1次/季度</w:t>
            </w:r>
          </w:p>
        </w:tc>
        <w:tc>
          <w:tcPr>
            <w:tcW w:w="2209" w:type="pct"/>
            <w:noWrap w:val="0"/>
            <w:vAlign w:val="center"/>
          </w:tcPr>
          <w:p w14:paraId="5D9ECE4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《工业企业厂界环境噪声排放标准》（</w:t>
            </w:r>
            <w:r>
              <w:rPr>
                <w:color w:val="000000" w:themeColor="text1"/>
                <w:highlight w:val="none"/>
                <w14:textFill>
                  <w14:solidFill>
                    <w14:schemeClr w14:val="tx1"/>
                  </w14:solidFill>
                </w14:textFill>
              </w:rPr>
              <w:t>GB12348-2008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 xml:space="preserve">3 </w:t>
            </w:r>
            <w:r>
              <w:rPr>
                <w:rFonts w:hint="eastAsia"/>
                <w:color w:val="000000" w:themeColor="text1"/>
                <w:highlight w:val="none"/>
                <w14:textFill>
                  <w14:solidFill>
                    <w14:schemeClr w14:val="tx1"/>
                  </w14:solidFill>
                </w14:textFill>
              </w:rPr>
              <w:t>类标准</w:t>
            </w:r>
          </w:p>
        </w:tc>
      </w:tr>
      <w:bookmarkEnd w:id="1321"/>
      <w:bookmarkEnd w:id="1322"/>
      <w:bookmarkEnd w:id="1323"/>
      <w:bookmarkEnd w:id="1324"/>
    </w:tbl>
    <w:p w14:paraId="4814CE7E">
      <w:pPr>
        <w:pStyle w:val="4"/>
        <w:bidi w:val="0"/>
        <w:rPr>
          <w:rFonts w:hint="default"/>
          <w:color w:val="000000" w:themeColor="text1"/>
          <w:highlight w:val="none"/>
          <w:lang w:val="en-US" w:eastAsia="zh-CN"/>
          <w14:textFill>
            <w14:solidFill>
              <w14:schemeClr w14:val="tx1"/>
            </w14:solidFill>
          </w14:textFill>
        </w:rPr>
      </w:pPr>
      <w:bookmarkStart w:id="1336" w:name="_Toc17855"/>
      <w:bookmarkStart w:id="1337" w:name="_Toc9040"/>
      <w:bookmarkStart w:id="1338" w:name="_Toc18147"/>
      <w:bookmarkStart w:id="1339" w:name="_Toc31335"/>
      <w:bookmarkStart w:id="1340" w:name="_Toc571"/>
      <w:bookmarkStart w:id="1341" w:name="_Toc29154"/>
      <w:bookmarkStart w:id="1342" w:name="_Toc16813"/>
      <w:bookmarkStart w:id="1343" w:name="_Toc22575157"/>
      <w:bookmarkStart w:id="1344" w:name="_Toc3606"/>
      <w:bookmarkStart w:id="1345" w:name="_Toc8834"/>
      <w:bookmarkStart w:id="1346" w:name="_Toc26815"/>
      <w:bookmarkStart w:id="1347" w:name="_Toc21428"/>
      <w:bookmarkStart w:id="1348" w:name="_Toc25418"/>
      <w:bookmarkStart w:id="1349" w:name="_Toc489250699"/>
      <w:bookmarkStart w:id="1350" w:name="_Toc30670"/>
      <w:r>
        <w:rPr>
          <w:rFonts w:hint="eastAsia"/>
          <w:color w:val="000000" w:themeColor="text1"/>
          <w:highlight w:val="none"/>
          <w:lang w:val="en-US" w:eastAsia="zh-CN"/>
          <w14:textFill>
            <w14:solidFill>
              <w14:schemeClr w14:val="tx1"/>
            </w14:solidFill>
          </w14:textFill>
        </w:rPr>
        <w:t>8.2.3跟踪监测计划</w:t>
      </w:r>
      <w:bookmarkEnd w:id="1336"/>
    </w:p>
    <w:p w14:paraId="6C078A35">
      <w:pPr>
        <w:keepNext w:val="0"/>
        <w:keepLines w:val="0"/>
        <w:pageBreakBefore w:val="0"/>
        <w:widowControl w:val="0"/>
        <w:suppressLineNumbers w:val="0"/>
        <w:shd w:val="clear" w:color="auto" w:fill="auto"/>
        <w:kinsoku/>
        <w:wordWrap w:val="0"/>
        <w:overflowPunct/>
        <w:topLinePunct w:val="0"/>
        <w:autoSpaceDE/>
        <w:autoSpaceDN/>
        <w:bidi w:val="0"/>
        <w:spacing w:beforeAutospacing="0" w:line="360" w:lineRule="auto"/>
        <w:ind w:left="0" w:leftChars="0" w:right="0" w:rightChars="0" w:firstLine="480" w:firstLineChars="200"/>
        <w:jc w:val="left"/>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本项目跟踪监测计划见表8.2.3-1。</w:t>
      </w:r>
    </w:p>
    <w:p w14:paraId="4403CDD3">
      <w:pPr>
        <w:pStyle w:val="25"/>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8.2.3</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rFonts w:hint="default"/>
          <w:color w:val="000000" w:themeColor="text1"/>
          <w:highlight w:val="none"/>
          <w:lang w:val="en-US" w:eastAsia="zh-CN"/>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跟踪监测计划表</w:t>
      </w:r>
    </w:p>
    <w:tbl>
      <w:tblPr>
        <w:tblStyle w:val="20"/>
        <w:tblW w:w="53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2531"/>
        <w:gridCol w:w="1807"/>
        <w:gridCol w:w="1270"/>
        <w:gridCol w:w="2779"/>
      </w:tblGrid>
      <w:tr w14:paraId="0BF87C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tcBorders>
              <w:bottom w:val="single" w:color="auto" w:sz="12" w:space="0"/>
            </w:tcBorders>
            <w:noWrap w:val="0"/>
            <w:vAlign w:val="center"/>
          </w:tcPr>
          <w:p w14:paraId="5147B811">
            <w:pPr>
              <w:pStyle w:val="26"/>
              <w:bidi w:val="0"/>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项目</w:t>
            </w:r>
          </w:p>
        </w:tc>
        <w:tc>
          <w:tcPr>
            <w:tcW w:w="1395" w:type="pct"/>
            <w:tcBorders>
              <w:bottom w:val="single" w:color="auto" w:sz="12" w:space="0"/>
            </w:tcBorders>
            <w:noWrap w:val="0"/>
            <w:vAlign w:val="center"/>
          </w:tcPr>
          <w:p w14:paraId="2CDDB31D">
            <w:pPr>
              <w:pStyle w:val="26"/>
              <w:bidi w:val="0"/>
              <w:rPr>
                <w:rFonts w:hint="default"/>
                <w:b/>
                <w:bCs/>
                <w:color w:val="000000" w:themeColor="text1"/>
                <w:highlight w:val="none"/>
                <w14:textFill>
                  <w14:solidFill>
                    <w14:schemeClr w14:val="tx1"/>
                  </w14:solidFill>
                </w14:textFill>
              </w:rPr>
            </w:pPr>
            <w:r>
              <w:rPr>
                <w:rFonts w:hint="default"/>
                <w:b/>
                <w:bCs/>
                <w:color w:val="000000" w:themeColor="text1"/>
                <w:highlight w:val="none"/>
                <w14:textFill>
                  <w14:solidFill>
                    <w14:schemeClr w14:val="tx1"/>
                  </w14:solidFill>
                </w14:textFill>
              </w:rPr>
              <w:t>监测点位</w:t>
            </w:r>
          </w:p>
        </w:tc>
        <w:tc>
          <w:tcPr>
            <w:tcW w:w="996" w:type="pct"/>
            <w:tcBorders>
              <w:bottom w:val="single" w:color="auto" w:sz="12" w:space="0"/>
            </w:tcBorders>
            <w:noWrap w:val="0"/>
            <w:vAlign w:val="center"/>
          </w:tcPr>
          <w:p w14:paraId="73E61239">
            <w:pPr>
              <w:pStyle w:val="26"/>
              <w:bidi w:val="0"/>
              <w:rPr>
                <w:rFonts w:hint="default"/>
                <w:b/>
                <w:bCs/>
                <w:color w:val="000000" w:themeColor="text1"/>
                <w:highlight w:val="none"/>
                <w14:textFill>
                  <w14:solidFill>
                    <w14:schemeClr w14:val="tx1"/>
                  </w14:solidFill>
                </w14:textFill>
              </w:rPr>
            </w:pPr>
            <w:r>
              <w:rPr>
                <w:rFonts w:hint="default"/>
                <w:b/>
                <w:bCs/>
                <w:color w:val="000000" w:themeColor="text1"/>
                <w:highlight w:val="none"/>
                <w14:textFill>
                  <w14:solidFill>
                    <w14:schemeClr w14:val="tx1"/>
                  </w14:solidFill>
                </w14:textFill>
              </w:rPr>
              <w:t>监测指标</w:t>
            </w:r>
          </w:p>
        </w:tc>
        <w:tc>
          <w:tcPr>
            <w:tcW w:w="700" w:type="pct"/>
            <w:tcBorders>
              <w:bottom w:val="single" w:color="auto" w:sz="12" w:space="0"/>
            </w:tcBorders>
            <w:noWrap w:val="0"/>
            <w:vAlign w:val="center"/>
          </w:tcPr>
          <w:p w14:paraId="4EF2751D">
            <w:pPr>
              <w:pStyle w:val="26"/>
              <w:bidi w:val="0"/>
              <w:rPr>
                <w:rFonts w:hint="default"/>
                <w:b/>
                <w:bCs/>
                <w:color w:val="000000" w:themeColor="text1"/>
                <w:highlight w:val="none"/>
                <w14:textFill>
                  <w14:solidFill>
                    <w14:schemeClr w14:val="tx1"/>
                  </w14:solidFill>
                </w14:textFill>
              </w:rPr>
            </w:pPr>
            <w:r>
              <w:rPr>
                <w:rFonts w:hint="default"/>
                <w:b/>
                <w:bCs/>
                <w:color w:val="000000" w:themeColor="text1"/>
                <w:highlight w:val="none"/>
                <w14:textFill>
                  <w14:solidFill>
                    <w14:schemeClr w14:val="tx1"/>
                  </w14:solidFill>
                </w14:textFill>
              </w:rPr>
              <w:t>监测频次</w:t>
            </w:r>
          </w:p>
        </w:tc>
        <w:tc>
          <w:tcPr>
            <w:tcW w:w="1531" w:type="pct"/>
            <w:tcBorders>
              <w:bottom w:val="single" w:color="auto" w:sz="12" w:space="0"/>
            </w:tcBorders>
            <w:noWrap w:val="0"/>
            <w:vAlign w:val="center"/>
          </w:tcPr>
          <w:p w14:paraId="741D2FAF">
            <w:pPr>
              <w:pStyle w:val="26"/>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执行标准</w:t>
            </w:r>
          </w:p>
        </w:tc>
      </w:tr>
      <w:tr w14:paraId="73886D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377" w:type="pct"/>
            <w:vMerge w:val="restart"/>
            <w:tcBorders>
              <w:tl2br w:val="nil"/>
              <w:tr2bl w:val="nil"/>
            </w:tcBorders>
            <w:noWrap w:val="0"/>
            <w:vAlign w:val="center"/>
          </w:tcPr>
          <w:p w14:paraId="6F7C05B5">
            <w:pPr>
              <w:pStyle w:val="2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地下水</w:t>
            </w:r>
          </w:p>
        </w:tc>
        <w:tc>
          <w:tcPr>
            <w:tcW w:w="1395" w:type="pct"/>
            <w:tcBorders>
              <w:tl2br w:val="nil"/>
              <w:tr2bl w:val="nil"/>
            </w:tcBorders>
            <w:noWrap w:val="0"/>
            <w:vAlign w:val="center"/>
          </w:tcPr>
          <w:p w14:paraId="5D423C2C">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 xml:space="preserve">项目共布设地下水监测 </w:t>
            </w:r>
          </w:p>
          <w:p w14:paraId="56BFBC96">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井</w:t>
            </w:r>
            <w:r>
              <w:rPr>
                <w:rFonts w:hint="default" w:ascii="Times New Roman" w:hAnsi="Times New Roman" w:eastAsia="宋体" w:cs="Times New Roman"/>
                <w:color w:val="000000" w:themeColor="text1"/>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眼（</w:t>
            </w:r>
            <w:r>
              <w:rPr>
                <w:rFonts w:hint="default" w:ascii="Times New Roman" w:hAnsi="Times New Roman" w:eastAsia="宋体" w:cs="Times New Roman"/>
                <w:color w:val="000000" w:themeColor="text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：上游灌溉水井；</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：下游南侧灌溉水井；</w:t>
            </w:r>
            <w:r>
              <w:rPr>
                <w:rFonts w:hint="default" w:ascii="Times New Roman" w:hAnsi="Times New Roman" w:eastAsia="宋体" w:cs="Times New Roman"/>
                <w:color w:val="000000" w:themeColor="text1"/>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：下游北侧灌溉水井。</w:t>
            </w:r>
          </w:p>
        </w:tc>
        <w:tc>
          <w:tcPr>
            <w:tcW w:w="996" w:type="pct"/>
            <w:vMerge w:val="restart"/>
            <w:tcBorders>
              <w:tl2br w:val="nil"/>
              <w:tr2bl w:val="nil"/>
            </w:tcBorders>
            <w:noWrap w:val="0"/>
            <w:vAlign w:val="center"/>
          </w:tcPr>
          <w:p w14:paraId="477EFEC2">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pH</w:t>
            </w:r>
            <w:r>
              <w:rPr>
                <w:rFonts w:hint="eastAsia" w:ascii="Times New Roman" w:hAnsi="Times New Roman" w:eastAsia="宋体" w:cs="Times New Roman"/>
                <w:color w:val="000000" w:themeColor="text1"/>
                <w:highlight w:val="none"/>
                <w:lang w:val="en-US" w:eastAsia="zh-CN"/>
                <w14:textFill>
                  <w14:solidFill>
                    <w14:schemeClr w14:val="tx1"/>
                  </w14:solidFill>
                </w14:textFill>
              </w:rPr>
              <w:t>、高锰酸盐指数、五日生化需氧量、氨氮、总氮、总磷等</w:t>
            </w:r>
          </w:p>
        </w:tc>
        <w:tc>
          <w:tcPr>
            <w:tcW w:w="700" w:type="pct"/>
            <w:tcBorders>
              <w:tl2br w:val="nil"/>
              <w:tr2bl w:val="nil"/>
            </w:tcBorders>
            <w:noWrap w:val="0"/>
            <w:vAlign w:val="center"/>
          </w:tcPr>
          <w:p w14:paraId="026061C9">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1次/年</w:t>
            </w:r>
          </w:p>
        </w:tc>
        <w:tc>
          <w:tcPr>
            <w:tcW w:w="1531" w:type="pct"/>
            <w:vMerge w:val="restart"/>
            <w:tcBorders>
              <w:tl2br w:val="nil"/>
              <w:tr2bl w:val="nil"/>
            </w:tcBorders>
            <w:noWrap w:val="0"/>
            <w:vAlign w:val="center"/>
          </w:tcPr>
          <w:p w14:paraId="00156C16">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《地下水质量标准》Ⅲ类标准（GB14848-2017）</w:t>
            </w:r>
          </w:p>
        </w:tc>
      </w:tr>
      <w:tr w14:paraId="6646C8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vMerge w:val="restart"/>
            <w:tcBorders>
              <w:tl2br w:val="nil"/>
              <w:tr2bl w:val="nil"/>
            </w:tcBorders>
            <w:noWrap w:val="0"/>
            <w:vAlign w:val="center"/>
          </w:tcPr>
          <w:p w14:paraId="73EAABB2">
            <w:pPr>
              <w:pStyle w:val="26"/>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土壤</w:t>
            </w:r>
          </w:p>
        </w:tc>
        <w:tc>
          <w:tcPr>
            <w:tcW w:w="1395" w:type="pct"/>
            <w:tcBorders>
              <w:tl2br w:val="nil"/>
              <w:tr2bl w:val="nil"/>
            </w:tcBorders>
            <w:noWrap w:val="0"/>
            <w:vAlign w:val="center"/>
          </w:tcPr>
          <w:p w14:paraId="18D73E44">
            <w:pPr>
              <w:pStyle w:val="26"/>
              <w:bidi w:val="0"/>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一类单元周边深层样点</w:t>
            </w:r>
          </w:p>
        </w:tc>
        <w:tc>
          <w:tcPr>
            <w:tcW w:w="996" w:type="pct"/>
            <w:vMerge w:val="restart"/>
            <w:tcBorders>
              <w:tl2br w:val="nil"/>
              <w:tr2bl w:val="nil"/>
            </w:tcBorders>
            <w:noWrap w:val="0"/>
            <w:vAlign w:val="center"/>
          </w:tcPr>
          <w:p w14:paraId="767438EC">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pH</w:t>
            </w:r>
            <w:r>
              <w:rPr>
                <w:rFonts w:hint="eastAsia" w:eastAsia="宋体" w:cs="Times New Roman"/>
                <w:color w:val="000000" w:themeColor="text1"/>
                <w:highlight w:val="none"/>
                <w:lang w:val="en-US" w:eastAsia="zh-CN"/>
                <w14:textFill>
                  <w14:solidFill>
                    <w14:schemeClr w14:val="tx1"/>
                  </w14:solidFill>
                </w14:textFill>
              </w:rPr>
              <w:t>+45项</w:t>
            </w:r>
          </w:p>
        </w:tc>
        <w:tc>
          <w:tcPr>
            <w:tcW w:w="700" w:type="pct"/>
            <w:tcBorders>
              <w:tl2br w:val="nil"/>
              <w:tr2bl w:val="nil"/>
            </w:tcBorders>
            <w:noWrap w:val="0"/>
            <w:vAlign w:val="center"/>
          </w:tcPr>
          <w:p w14:paraId="7BE45B4F">
            <w:pPr>
              <w:pStyle w:val="26"/>
              <w:bidi w:val="0"/>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highlight w:val="none"/>
                <w:lang w:val="en-US" w:eastAsia="zh-CN"/>
                <w14:textFill>
                  <w14:solidFill>
                    <w14:schemeClr w14:val="tx1"/>
                  </w14:solidFill>
                </w14:textFill>
              </w:rPr>
              <w:t>1次/</w:t>
            </w:r>
            <w:r>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t>3年</w:t>
            </w:r>
          </w:p>
        </w:tc>
        <w:tc>
          <w:tcPr>
            <w:tcW w:w="1531" w:type="pct"/>
            <w:vMerge w:val="restart"/>
            <w:tcBorders>
              <w:tl2br w:val="nil"/>
              <w:tr2bl w:val="nil"/>
            </w:tcBorders>
            <w:noWrap w:val="0"/>
            <w:vAlign w:val="center"/>
          </w:tcPr>
          <w:p w14:paraId="01A61502">
            <w:pPr>
              <w:pStyle w:val="26"/>
              <w:bidi w:val="0"/>
              <w:rPr>
                <w:rFonts w:hint="default" w:ascii="Times New Roman" w:hAnsi="Times New Roman" w:eastAsia="宋体" w:cs="Times New Roman"/>
                <w:color w:val="000000" w:themeColor="text1"/>
                <w:sz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《土壤环境质量</w:t>
            </w:r>
            <w:r>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highlight w:val="none"/>
                <w14:textFill>
                  <w14:solidFill>
                    <w14:schemeClr w14:val="tx1"/>
                  </w14:solidFill>
                </w14:textFill>
              </w:rPr>
              <w:t>建设用地土壤污染风险管控标准（试行）》（GB36600-2018）表1 中第二类用筛选值</w:t>
            </w:r>
          </w:p>
        </w:tc>
      </w:tr>
      <w:tr w14:paraId="125B26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vMerge w:val="continue"/>
            <w:tcBorders>
              <w:tl2br w:val="nil"/>
              <w:tr2bl w:val="nil"/>
            </w:tcBorders>
            <w:noWrap w:val="0"/>
            <w:vAlign w:val="center"/>
          </w:tcPr>
          <w:p w14:paraId="68E4F877">
            <w:pPr>
              <w:pStyle w:val="26"/>
              <w:bidi w:val="0"/>
              <w:rPr>
                <w:rFonts w:hint="eastAsia"/>
                <w:color w:val="000000" w:themeColor="text1"/>
                <w:highlight w:val="none"/>
                <w:lang w:val="en-US" w:eastAsia="zh-CN"/>
                <w14:textFill>
                  <w14:solidFill>
                    <w14:schemeClr w14:val="tx1"/>
                  </w14:solidFill>
                </w14:textFill>
              </w:rPr>
            </w:pPr>
          </w:p>
        </w:tc>
        <w:tc>
          <w:tcPr>
            <w:tcW w:w="1395" w:type="pct"/>
            <w:tcBorders>
              <w:tl2br w:val="nil"/>
              <w:tr2bl w:val="nil"/>
            </w:tcBorders>
            <w:noWrap w:val="0"/>
            <w:vAlign w:val="center"/>
          </w:tcPr>
          <w:p w14:paraId="44D88D40">
            <w:pPr>
              <w:pStyle w:val="26"/>
              <w:bidi w:val="0"/>
              <w:ind w:left="0" w:leftChars="0" w:right="0" w:rightChars="0"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一类单元周边表层样点</w:t>
            </w:r>
          </w:p>
        </w:tc>
        <w:tc>
          <w:tcPr>
            <w:tcW w:w="996" w:type="pct"/>
            <w:vMerge w:val="continue"/>
            <w:tcBorders>
              <w:tl2br w:val="nil"/>
              <w:tr2bl w:val="nil"/>
            </w:tcBorders>
            <w:noWrap w:val="0"/>
            <w:vAlign w:val="center"/>
          </w:tcPr>
          <w:p w14:paraId="59C3E1AA">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700" w:type="pct"/>
            <w:tcBorders>
              <w:tl2br w:val="nil"/>
              <w:tr2bl w:val="nil"/>
            </w:tcBorders>
            <w:noWrap w:val="0"/>
            <w:vAlign w:val="center"/>
          </w:tcPr>
          <w:p w14:paraId="2806A671">
            <w:pPr>
              <w:pStyle w:val="26"/>
              <w:bidi w:val="0"/>
              <w:rPr>
                <w:rFonts w:hint="default" w:ascii="Times New Roman" w:hAnsi="Times New Roman" w:eastAsia="宋体" w:cs="Times New Roman"/>
                <w:color w:val="000000" w:themeColor="text1"/>
                <w:sz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highlight w:val="none"/>
                <w:lang w:val="en-US" w:eastAsia="zh-CN"/>
                <w14:textFill>
                  <w14:solidFill>
                    <w14:schemeClr w14:val="tx1"/>
                  </w14:solidFill>
                </w14:textFill>
              </w:rPr>
              <w:t>1次/</w:t>
            </w:r>
            <w:r>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t>年</w:t>
            </w:r>
          </w:p>
        </w:tc>
        <w:tc>
          <w:tcPr>
            <w:tcW w:w="1531" w:type="pct"/>
            <w:vMerge w:val="continue"/>
            <w:tcBorders>
              <w:tl2br w:val="nil"/>
              <w:tr2bl w:val="nil"/>
            </w:tcBorders>
            <w:noWrap w:val="0"/>
            <w:vAlign w:val="center"/>
          </w:tcPr>
          <w:p w14:paraId="4FA44F02">
            <w:pPr>
              <w:pStyle w:val="26"/>
              <w:bidi w:val="0"/>
              <w:rPr>
                <w:rFonts w:hint="default" w:ascii="Times New Roman" w:hAnsi="Times New Roman" w:eastAsia="宋体" w:cs="Times New Roman"/>
                <w:color w:val="000000" w:themeColor="text1"/>
                <w:sz w:val="21"/>
                <w:highlight w:val="none"/>
                <w14:textFill>
                  <w14:solidFill>
                    <w14:schemeClr w14:val="tx1"/>
                  </w14:solidFill>
                </w14:textFill>
              </w:rPr>
            </w:pPr>
          </w:p>
        </w:tc>
      </w:tr>
      <w:tr w14:paraId="09FFBA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vMerge w:val="continue"/>
            <w:tcBorders>
              <w:tl2br w:val="nil"/>
              <w:tr2bl w:val="nil"/>
            </w:tcBorders>
            <w:noWrap w:val="0"/>
            <w:vAlign w:val="center"/>
          </w:tcPr>
          <w:p w14:paraId="23246582">
            <w:pPr>
              <w:pStyle w:val="26"/>
              <w:bidi w:val="0"/>
              <w:rPr>
                <w:rFonts w:hint="eastAsia"/>
                <w:color w:val="000000" w:themeColor="text1"/>
                <w:highlight w:val="none"/>
                <w:lang w:val="en-US" w:eastAsia="zh-CN"/>
                <w14:textFill>
                  <w14:solidFill>
                    <w14:schemeClr w14:val="tx1"/>
                  </w14:solidFill>
                </w14:textFill>
              </w:rPr>
            </w:pPr>
          </w:p>
        </w:tc>
        <w:tc>
          <w:tcPr>
            <w:tcW w:w="1395" w:type="pct"/>
            <w:tcBorders>
              <w:tl2br w:val="nil"/>
              <w:tr2bl w:val="nil"/>
            </w:tcBorders>
            <w:noWrap w:val="0"/>
            <w:vAlign w:val="center"/>
          </w:tcPr>
          <w:p w14:paraId="2393963A">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二类单元周边表层样点</w:t>
            </w:r>
          </w:p>
        </w:tc>
        <w:tc>
          <w:tcPr>
            <w:tcW w:w="996" w:type="pct"/>
            <w:vMerge w:val="continue"/>
            <w:tcBorders>
              <w:tl2br w:val="nil"/>
              <w:tr2bl w:val="nil"/>
            </w:tcBorders>
            <w:noWrap w:val="0"/>
            <w:vAlign w:val="center"/>
          </w:tcPr>
          <w:p w14:paraId="1E9D2574">
            <w:pPr>
              <w:pStyle w:val="26"/>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p>
        </w:tc>
        <w:tc>
          <w:tcPr>
            <w:tcW w:w="700" w:type="pct"/>
            <w:tcBorders>
              <w:tl2br w:val="nil"/>
              <w:tr2bl w:val="nil"/>
            </w:tcBorders>
            <w:noWrap w:val="0"/>
            <w:vAlign w:val="center"/>
          </w:tcPr>
          <w:p w14:paraId="7B3014F9">
            <w:pPr>
              <w:pStyle w:val="26"/>
              <w:bidi w:val="0"/>
              <w:rPr>
                <w:rFonts w:hint="default" w:ascii="Times New Roman" w:hAnsi="Times New Roman" w:eastAsia="宋体" w:cs="Times New Roman"/>
                <w:color w:val="000000" w:themeColor="text1"/>
                <w:sz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highlight w:val="none"/>
                <w:lang w:val="en-US" w:eastAsia="zh-CN"/>
                <w14:textFill>
                  <w14:solidFill>
                    <w14:schemeClr w14:val="tx1"/>
                  </w14:solidFill>
                </w14:textFill>
              </w:rPr>
              <w:t>1次/</w:t>
            </w:r>
            <w:r>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t>年</w:t>
            </w:r>
          </w:p>
        </w:tc>
        <w:tc>
          <w:tcPr>
            <w:tcW w:w="1531" w:type="pct"/>
            <w:vMerge w:val="continue"/>
            <w:tcBorders>
              <w:tl2br w:val="nil"/>
              <w:tr2bl w:val="nil"/>
            </w:tcBorders>
            <w:noWrap w:val="0"/>
            <w:vAlign w:val="center"/>
          </w:tcPr>
          <w:p w14:paraId="38D842B3">
            <w:pPr>
              <w:pStyle w:val="26"/>
              <w:bidi w:val="0"/>
              <w:rPr>
                <w:rFonts w:hint="default" w:ascii="Times New Roman" w:hAnsi="Times New Roman" w:eastAsia="宋体" w:cs="Times New Roman"/>
                <w:color w:val="000000" w:themeColor="text1"/>
                <w:sz w:val="21"/>
                <w:highlight w:val="none"/>
                <w14:textFill>
                  <w14:solidFill>
                    <w14:schemeClr w14:val="tx1"/>
                  </w14:solidFill>
                </w14:textFill>
              </w:rPr>
            </w:pPr>
          </w:p>
        </w:tc>
      </w:tr>
      <w:tr w14:paraId="4F45A3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tcBorders>
              <w:tl2br w:val="nil"/>
              <w:tr2bl w:val="nil"/>
            </w:tcBorders>
            <w:noWrap w:val="0"/>
            <w:vAlign w:val="center"/>
          </w:tcPr>
          <w:p w14:paraId="7AC3C7B1">
            <w:pPr>
              <w:pStyle w:val="26"/>
              <w:bidi w:val="0"/>
              <w:rPr>
                <w:rFonts w:hint="default" w:ascii="Times New Roman" w:hAnsi="Times New Roman" w:eastAsia="宋体" w:cs="Times New Roman"/>
                <w:color w:val="000000" w:themeColor="text1"/>
                <w:sz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注：一类单元周边（包括硫酸储罐、危废</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贮存库</w:t>
            </w:r>
            <w:r>
              <w:rPr>
                <w:rFonts w:hint="eastAsia"/>
                <w:color w:val="000000" w:themeColor="text1"/>
                <w:highlight w:val="none"/>
                <w:lang w:val="en-US" w:eastAsia="zh-CN"/>
                <w14:textFill>
                  <w14:solidFill>
                    <w14:schemeClr w14:val="tx1"/>
                  </w14:solidFill>
                </w14:textFill>
              </w:rPr>
              <w:t>）二类单元（生产车间）</w:t>
            </w:r>
          </w:p>
        </w:tc>
      </w:tr>
    </w:tbl>
    <w:p w14:paraId="35CA750E">
      <w:pPr>
        <w:widowControl/>
        <w:ind w:firstLine="0" w:firstLineChars="0"/>
        <w:jc w:val="left"/>
        <w:rPr>
          <w:color w:val="000000" w:themeColor="text1"/>
          <w:highlight w:val="none"/>
          <w14:textFill>
            <w14:solidFill>
              <w14:schemeClr w14:val="tx1"/>
            </w14:solidFill>
          </w14:textFill>
        </w:rPr>
      </w:pPr>
      <w:r>
        <w:rPr>
          <w:rStyle w:val="40"/>
          <w:rFonts w:hint="eastAsia" w:eastAsia="黑体"/>
          <w:color w:val="000000" w:themeColor="text1"/>
          <w:highlight w:val="none"/>
          <w:lang w:val="en-US" w:eastAsia="zh-CN"/>
          <w14:textFill>
            <w14:solidFill>
              <w14:schemeClr w14:val="tx1"/>
            </w14:solidFill>
          </w14:textFill>
        </w:rPr>
        <w:t>8</w:t>
      </w:r>
      <w:r>
        <w:rPr>
          <w:rStyle w:val="40"/>
          <w:rFonts w:hint="eastAsia"/>
          <w:color w:val="000000" w:themeColor="text1"/>
          <w:highlight w:val="none"/>
          <w14:textFill>
            <w14:solidFill>
              <w14:schemeClr w14:val="tx1"/>
            </w14:solidFill>
          </w14:textFill>
        </w:rPr>
        <w:t>.2.</w:t>
      </w:r>
      <w:r>
        <w:rPr>
          <w:rStyle w:val="40"/>
          <w:rFonts w:hint="eastAsia"/>
          <w:color w:val="000000" w:themeColor="text1"/>
          <w:highlight w:val="none"/>
          <w:lang w:val="en-US" w:eastAsia="zh-CN"/>
          <w14:textFill>
            <w14:solidFill>
              <w14:schemeClr w14:val="tx1"/>
            </w14:solidFill>
          </w14:textFill>
        </w:rPr>
        <w:t>4</w:t>
      </w:r>
      <w:r>
        <w:rPr>
          <w:rStyle w:val="40"/>
          <w:color w:val="000000" w:themeColor="text1"/>
          <w:highlight w:val="none"/>
          <w14:textFill>
            <w14:solidFill>
              <w14:schemeClr w14:val="tx1"/>
            </w14:solidFill>
          </w14:textFill>
        </w:rPr>
        <w:t>事故应急监测</w:t>
      </w:r>
      <w:r>
        <w:rPr>
          <w:rFonts w:ascii="黑体" w:hAnsi="宋体" w:eastAsia="黑体" w:cs="黑体"/>
          <w:color w:val="000000" w:themeColor="text1"/>
          <w:kern w:val="0"/>
          <w:sz w:val="28"/>
          <w:szCs w:val="28"/>
          <w:highlight w:val="none"/>
          <w:lang w:bidi="ar"/>
          <w14:textFill>
            <w14:solidFill>
              <w14:schemeClr w14:val="tx1"/>
            </w14:solidFill>
          </w14:textFill>
        </w:rPr>
        <w:t xml:space="preserve"> </w:t>
      </w:r>
    </w:p>
    <w:p w14:paraId="75BBEB30">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项目事故预案中需包括应急监测程序，项目运行过程中一旦发生事故，应立即启动应急监测程序，并跟踪监测污染物的迁移情况，直到事故影响根本消除。事故应急监测方案应与当地环境监测站共同</w:t>
      </w:r>
      <w:r>
        <w:rPr>
          <w:rFonts w:hint="eastAsia"/>
          <w:color w:val="000000" w:themeColor="text1"/>
          <w:highlight w:val="none"/>
          <w:lang w:eastAsia="zh-CN"/>
          <w14:textFill>
            <w14:solidFill>
              <w14:schemeClr w14:val="tx1"/>
            </w14:solidFill>
          </w14:textFill>
        </w:rPr>
        <w:t>制定</w:t>
      </w:r>
      <w:r>
        <w:rPr>
          <w:rFonts w:hint="eastAsia"/>
          <w:color w:val="000000" w:themeColor="text1"/>
          <w:highlight w:val="none"/>
          <w14:textFill>
            <w14:solidFill>
              <w14:schemeClr w14:val="tx1"/>
            </w14:solidFill>
          </w14:textFill>
        </w:rPr>
        <w:t>和实施，环境监测人员（本企业）在工作时间</w:t>
      </w:r>
      <w:r>
        <w:rPr>
          <w:color w:val="000000" w:themeColor="text1"/>
          <w:highlight w:val="none"/>
          <w14:textFill>
            <w14:solidFill>
              <w14:schemeClr w14:val="tx1"/>
            </w14:solidFill>
          </w14:textFill>
        </w:rPr>
        <w:t>10min</w:t>
      </w:r>
      <w:r>
        <w:rPr>
          <w:rFonts w:hint="eastAsia"/>
          <w:color w:val="000000" w:themeColor="text1"/>
          <w:highlight w:val="none"/>
          <w14:textFill>
            <w14:solidFill>
              <w14:schemeClr w14:val="tx1"/>
            </w14:solidFill>
          </w14:textFill>
        </w:rPr>
        <w:t>内、非工作时间</w:t>
      </w:r>
      <w:r>
        <w:rPr>
          <w:color w:val="000000" w:themeColor="text1"/>
          <w:highlight w:val="none"/>
          <w14:textFill>
            <w14:solidFill>
              <w14:schemeClr w14:val="tx1"/>
            </w14:solidFill>
          </w14:textFill>
        </w:rPr>
        <w:t>20min</w:t>
      </w:r>
      <w:r>
        <w:rPr>
          <w:rFonts w:hint="eastAsia"/>
          <w:color w:val="000000" w:themeColor="text1"/>
          <w:highlight w:val="none"/>
          <w14:textFill>
            <w14:solidFill>
              <w14:schemeClr w14:val="tx1"/>
            </w14:solidFill>
          </w14:textFill>
        </w:rPr>
        <w:t>内要到达事故现场，需实验室分析测试的项目，在采样后</w:t>
      </w:r>
      <w:r>
        <w:rPr>
          <w:color w:val="000000" w:themeColor="text1"/>
          <w:highlight w:val="none"/>
          <w14:textFill>
            <w14:solidFill>
              <w14:schemeClr w14:val="tx1"/>
            </w14:solidFill>
          </w14:textFill>
        </w:rPr>
        <w:t>24h</w:t>
      </w:r>
      <w:r>
        <w:rPr>
          <w:rFonts w:hint="eastAsia"/>
          <w:color w:val="000000" w:themeColor="text1"/>
          <w:highlight w:val="none"/>
          <w14:textFill>
            <w14:solidFill>
              <w14:schemeClr w14:val="tx1"/>
            </w14:solidFill>
          </w14:textFill>
        </w:rPr>
        <w:t>内必须报出，应急监测专题报告在</w:t>
      </w:r>
      <w:r>
        <w:rPr>
          <w:color w:val="000000" w:themeColor="text1"/>
          <w:highlight w:val="none"/>
          <w14:textFill>
            <w14:solidFill>
              <w14:schemeClr w14:val="tx1"/>
            </w14:solidFill>
          </w14:textFill>
        </w:rPr>
        <w:t>48h</w:t>
      </w:r>
      <w:r>
        <w:rPr>
          <w:rFonts w:hint="eastAsia"/>
          <w:color w:val="000000" w:themeColor="text1"/>
          <w:highlight w:val="none"/>
          <w14:textFill>
            <w14:solidFill>
              <w14:schemeClr w14:val="tx1"/>
            </w14:solidFill>
          </w14:textFill>
        </w:rPr>
        <w:t>内要报出。根据事故发生源、污染物泄漏种类的分析成果、监测事故的特征因子、监测范围应对事故附近的辐射圈周界进行采样监测。在事故单元出口、事故水池、废水排放口监测事故废水，监测因子主要包括：流量、</w:t>
      </w:r>
      <w:r>
        <w:rPr>
          <w:color w:val="000000" w:themeColor="text1"/>
          <w:highlight w:val="none"/>
          <w14:textFill>
            <w14:solidFill>
              <w14:schemeClr w14:val="tx1"/>
            </w14:solidFill>
          </w14:textFill>
        </w:rPr>
        <w:t>pH</w:t>
      </w:r>
      <w:r>
        <w:rPr>
          <w:rFonts w:hint="eastAsia"/>
          <w:color w:val="000000" w:themeColor="text1"/>
          <w:highlight w:val="none"/>
          <w14:textFill>
            <w14:solidFill>
              <w14:schemeClr w14:val="tx1"/>
            </w14:solidFill>
          </w14:textFill>
        </w:rPr>
        <w:t>值、</w:t>
      </w:r>
      <w:r>
        <w:rPr>
          <w:color w:val="000000" w:themeColor="text1"/>
          <w:highlight w:val="none"/>
          <w14:textFill>
            <w14:solidFill>
              <w14:schemeClr w14:val="tx1"/>
            </w14:solidFill>
          </w14:textFill>
        </w:rPr>
        <w:t>COD</w:t>
      </w:r>
      <w:r>
        <w:rPr>
          <w:rFonts w:hint="eastAsia"/>
          <w:color w:val="000000" w:themeColor="text1"/>
          <w:highlight w:val="none"/>
          <w14:textFill>
            <w14:solidFill>
              <w14:schemeClr w14:val="tx1"/>
            </w14:solidFill>
          </w14:textFill>
        </w:rPr>
        <w:t>、氨氮、悬浮物、色度、</w:t>
      </w:r>
      <w:r>
        <w:rPr>
          <w:color w:val="000000" w:themeColor="text1"/>
          <w:highlight w:val="none"/>
          <w14:textFill>
            <w14:solidFill>
              <w14:schemeClr w14:val="tx1"/>
            </w14:solidFill>
          </w14:textFill>
        </w:rPr>
        <w:t>BOD</w:t>
      </w:r>
      <w:r>
        <w:rPr>
          <w:color w:val="000000" w:themeColor="text1"/>
          <w:highlight w:val="none"/>
          <w:vertAlign w:val="subscript"/>
          <w14:textFill>
            <w14:solidFill>
              <w14:schemeClr w14:val="tx1"/>
            </w14:solidFill>
          </w14:textFill>
        </w:rPr>
        <w:t>5</w:t>
      </w:r>
      <w:r>
        <w:rPr>
          <w:rFonts w:hint="eastAsia"/>
          <w:color w:val="000000" w:themeColor="text1"/>
          <w:highlight w:val="none"/>
          <w14:textFill>
            <w14:solidFill>
              <w14:schemeClr w14:val="tx1"/>
            </w14:solidFill>
          </w14:textFill>
        </w:rPr>
        <w:t xml:space="preserve">、总磷、总氮。监测频率初始加密监测，视污染物浓度递减。 </w:t>
      </w:r>
    </w:p>
    <w:p w14:paraId="3864BC46">
      <w:pPr>
        <w:pStyle w:val="3"/>
        <w:rPr>
          <w:color w:val="000000" w:themeColor="text1"/>
          <w:highlight w:val="none"/>
          <w14:textFill>
            <w14:solidFill>
              <w14:schemeClr w14:val="tx1"/>
            </w14:solidFill>
          </w14:textFill>
        </w:rPr>
      </w:pPr>
      <w:bookmarkStart w:id="1351" w:name="_Toc11394"/>
      <w:bookmarkStart w:id="1352" w:name="_Toc4939"/>
      <w:bookmarkStart w:id="1353" w:name="_Toc26039"/>
      <w:bookmarkStart w:id="1354" w:name="_Toc24864"/>
      <w:bookmarkStart w:id="1355" w:name="_Toc26154"/>
      <w:bookmarkStart w:id="1356" w:name="_Toc30636"/>
      <w:bookmarkStart w:id="1357" w:name="_Toc27769"/>
      <w:bookmarkStart w:id="1358" w:name="_Toc14742"/>
      <w:bookmarkStart w:id="1359" w:name="_Toc872"/>
      <w:bookmarkStart w:id="1360" w:name="_Toc27144"/>
      <w:bookmarkStart w:id="1361" w:name="_Toc6259"/>
      <w:bookmarkStart w:id="1362" w:name="_Toc1876"/>
      <w:bookmarkStart w:id="1363" w:name="_Toc16480"/>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污染物排放管理</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14:paraId="7158145F">
      <w:pPr>
        <w:pStyle w:val="4"/>
        <w:rPr>
          <w:rFonts w:hint="eastAsia"/>
          <w:color w:val="000000" w:themeColor="text1"/>
          <w:highlight w:val="none"/>
          <w14:textFill>
            <w14:solidFill>
              <w14:schemeClr w14:val="tx1"/>
            </w14:solidFill>
          </w14:textFill>
        </w:rPr>
      </w:pPr>
      <w:bookmarkStart w:id="1364" w:name="_Toc169"/>
      <w:bookmarkStart w:id="1365" w:name="_Toc9716"/>
      <w:bookmarkStart w:id="1366" w:name="_Toc4497"/>
      <w:bookmarkStart w:id="1367" w:name="_Toc22103"/>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污染物排放</w:t>
      </w:r>
      <w:bookmarkEnd w:id="1364"/>
      <w:bookmarkEnd w:id="1365"/>
      <w:bookmarkEnd w:id="1366"/>
      <w:bookmarkEnd w:id="1367"/>
      <w:r>
        <w:rPr>
          <w:rFonts w:hint="eastAsia"/>
          <w:color w:val="000000" w:themeColor="text1"/>
          <w:highlight w:val="none"/>
          <w14:textFill>
            <w14:solidFill>
              <w14:schemeClr w14:val="tx1"/>
            </w14:solidFill>
          </w14:textFill>
        </w:rPr>
        <w:t>清单</w:t>
      </w:r>
    </w:p>
    <w:p w14:paraId="25D3D3FB">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关于做好环境影响评价制度与排污许可制衔接相关工作的通知（环办环评〔</w:t>
      </w:r>
      <w:r>
        <w:rPr>
          <w:color w:val="000000" w:themeColor="text1"/>
          <w:highlight w:val="none"/>
          <w14:textFill>
            <w14:solidFill>
              <w14:schemeClr w14:val="tx1"/>
            </w14:solidFill>
          </w14:textFill>
        </w:rPr>
        <w:t>2017</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84</w:t>
      </w:r>
      <w:r>
        <w:rPr>
          <w:rFonts w:hint="eastAsia"/>
          <w:color w:val="000000" w:themeColor="text1"/>
          <w:highlight w:val="none"/>
          <w14:textFill>
            <w14:solidFill>
              <w14:schemeClr w14:val="tx1"/>
            </w14:solidFill>
          </w14:textFill>
        </w:rPr>
        <w:t>号）</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结合排污许可证申请与核发技术规范，核定建设项目的产排污环节、污染物种类及污染防治设施和措施等基本信息；依据国家或地方污染物排放标准、环境质量标准和总量控制要求等管理规定，按照污染源源强核算技术指南、环境影响评价要素导则等技术文件，严格核定排放口数量、位置以及每个排放口的污染物种类、允许排放浓度和允许排放量、排放方式、排放去向、自行监测计划等与污染物排放相关的主要内容。本项目全厂投运后的污染物排放清单详见表</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.1-1</w:t>
      </w:r>
      <w:r>
        <w:rPr>
          <w:rFonts w:hint="eastAsia"/>
          <w:color w:val="000000" w:themeColor="text1"/>
          <w:highlight w:val="none"/>
          <w14:textFill>
            <w14:solidFill>
              <w14:schemeClr w14:val="tx1"/>
            </w14:solidFill>
          </w14:textFill>
        </w:rPr>
        <w:t>。</w:t>
      </w:r>
    </w:p>
    <w:p w14:paraId="4F5F0506">
      <w:pPr>
        <w:bidi w:val="0"/>
        <w:ind w:left="0" w:leftChars="0" w:firstLine="0" w:firstLineChars="0"/>
        <w:rPr>
          <w:color w:val="000000" w:themeColor="text1"/>
          <w:highlight w:val="none"/>
          <w14:textFill>
            <w14:solidFill>
              <w14:schemeClr w14:val="tx1"/>
            </w14:solidFill>
          </w14:textFill>
        </w:rPr>
      </w:pPr>
    </w:p>
    <w:p w14:paraId="0CEDB157">
      <w:pPr>
        <w:bidi w:val="0"/>
        <w:rPr>
          <w:color w:val="000000" w:themeColor="text1"/>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9D966A7">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.1-1</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项目污染物排放清单 </w:t>
      </w:r>
    </w:p>
    <w:tbl>
      <w:tblPr>
        <w:tblStyle w:val="20"/>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104"/>
        <w:gridCol w:w="1820"/>
        <w:gridCol w:w="1712"/>
        <w:gridCol w:w="1313"/>
        <w:gridCol w:w="1375"/>
        <w:gridCol w:w="1275"/>
        <w:gridCol w:w="1150"/>
        <w:gridCol w:w="1125"/>
        <w:gridCol w:w="2612"/>
      </w:tblGrid>
      <w:tr w14:paraId="6A3746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restart"/>
            <w:noWrap w:val="0"/>
            <w:vAlign w:val="center"/>
          </w:tcPr>
          <w:p w14:paraId="7C2004D0">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类型</w:t>
            </w:r>
          </w:p>
        </w:tc>
        <w:tc>
          <w:tcPr>
            <w:tcW w:w="1104" w:type="dxa"/>
            <w:vMerge w:val="restart"/>
            <w:noWrap w:val="0"/>
            <w:vAlign w:val="center"/>
          </w:tcPr>
          <w:p w14:paraId="64D16CAF">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排放口</w:t>
            </w:r>
          </w:p>
        </w:tc>
        <w:tc>
          <w:tcPr>
            <w:tcW w:w="1820" w:type="dxa"/>
            <w:vMerge w:val="restart"/>
            <w:noWrap w:val="0"/>
            <w:vAlign w:val="center"/>
          </w:tcPr>
          <w:p w14:paraId="67488585">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污染物</w:t>
            </w:r>
          </w:p>
        </w:tc>
        <w:tc>
          <w:tcPr>
            <w:tcW w:w="1712" w:type="dxa"/>
            <w:vMerge w:val="restart"/>
            <w:noWrap w:val="0"/>
            <w:vAlign w:val="center"/>
          </w:tcPr>
          <w:p w14:paraId="3DB7D5B6">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治理措施</w:t>
            </w:r>
          </w:p>
        </w:tc>
        <w:tc>
          <w:tcPr>
            <w:tcW w:w="3963" w:type="dxa"/>
            <w:gridSpan w:val="3"/>
            <w:noWrap w:val="0"/>
            <w:vAlign w:val="center"/>
          </w:tcPr>
          <w:p w14:paraId="36F2995F">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排放情况</w:t>
            </w:r>
          </w:p>
        </w:tc>
        <w:tc>
          <w:tcPr>
            <w:tcW w:w="2275" w:type="dxa"/>
            <w:gridSpan w:val="2"/>
            <w:noWrap w:val="0"/>
            <w:vAlign w:val="center"/>
          </w:tcPr>
          <w:p w14:paraId="545E082D">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排放标准限值</w:t>
            </w:r>
          </w:p>
        </w:tc>
        <w:tc>
          <w:tcPr>
            <w:tcW w:w="2612" w:type="dxa"/>
            <w:vMerge w:val="restart"/>
            <w:noWrap w:val="0"/>
            <w:vAlign w:val="center"/>
          </w:tcPr>
          <w:p w14:paraId="3CDFEE9A">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排放标准名称</w:t>
            </w:r>
          </w:p>
        </w:tc>
      </w:tr>
      <w:tr w14:paraId="2AF596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continue"/>
            <w:tcBorders>
              <w:bottom w:val="single" w:color="auto" w:sz="12" w:space="0"/>
            </w:tcBorders>
            <w:noWrap w:val="0"/>
            <w:vAlign w:val="center"/>
          </w:tcPr>
          <w:p w14:paraId="6CDA24C6">
            <w:pPr>
              <w:pStyle w:val="26"/>
              <w:rPr>
                <w:rFonts w:hint="eastAsia"/>
                <w:b/>
                <w:bCs/>
                <w:color w:val="000000" w:themeColor="text1"/>
                <w:highlight w:val="none"/>
                <w14:textFill>
                  <w14:solidFill>
                    <w14:schemeClr w14:val="tx1"/>
                  </w14:solidFill>
                </w14:textFill>
              </w:rPr>
            </w:pPr>
          </w:p>
        </w:tc>
        <w:tc>
          <w:tcPr>
            <w:tcW w:w="1104" w:type="dxa"/>
            <w:vMerge w:val="continue"/>
            <w:tcBorders>
              <w:bottom w:val="single" w:color="auto" w:sz="12" w:space="0"/>
            </w:tcBorders>
            <w:noWrap w:val="0"/>
            <w:vAlign w:val="center"/>
          </w:tcPr>
          <w:p w14:paraId="5DDACEFA">
            <w:pPr>
              <w:pStyle w:val="26"/>
              <w:rPr>
                <w:rFonts w:hint="eastAsia"/>
                <w:b/>
                <w:bCs/>
                <w:color w:val="000000" w:themeColor="text1"/>
                <w:highlight w:val="none"/>
                <w14:textFill>
                  <w14:solidFill>
                    <w14:schemeClr w14:val="tx1"/>
                  </w14:solidFill>
                </w14:textFill>
              </w:rPr>
            </w:pPr>
          </w:p>
        </w:tc>
        <w:tc>
          <w:tcPr>
            <w:tcW w:w="1820" w:type="dxa"/>
            <w:vMerge w:val="continue"/>
            <w:tcBorders>
              <w:bottom w:val="single" w:color="auto" w:sz="12" w:space="0"/>
            </w:tcBorders>
            <w:noWrap w:val="0"/>
            <w:vAlign w:val="center"/>
          </w:tcPr>
          <w:p w14:paraId="2A454D7D">
            <w:pPr>
              <w:pStyle w:val="26"/>
              <w:rPr>
                <w:rFonts w:hint="eastAsia"/>
                <w:b/>
                <w:bCs/>
                <w:color w:val="000000" w:themeColor="text1"/>
                <w:highlight w:val="none"/>
                <w14:textFill>
                  <w14:solidFill>
                    <w14:schemeClr w14:val="tx1"/>
                  </w14:solidFill>
                </w14:textFill>
              </w:rPr>
            </w:pPr>
          </w:p>
        </w:tc>
        <w:tc>
          <w:tcPr>
            <w:tcW w:w="1712" w:type="dxa"/>
            <w:vMerge w:val="continue"/>
            <w:tcBorders>
              <w:bottom w:val="single" w:color="auto" w:sz="12" w:space="0"/>
            </w:tcBorders>
            <w:noWrap w:val="0"/>
            <w:vAlign w:val="center"/>
          </w:tcPr>
          <w:p w14:paraId="5E8B76CB">
            <w:pPr>
              <w:pStyle w:val="26"/>
              <w:rPr>
                <w:b/>
                <w:bCs/>
                <w:color w:val="000000" w:themeColor="text1"/>
                <w:highlight w:val="none"/>
                <w14:textFill>
                  <w14:solidFill>
                    <w14:schemeClr w14:val="tx1"/>
                  </w14:solidFill>
                </w14:textFill>
              </w:rPr>
            </w:pPr>
          </w:p>
        </w:tc>
        <w:tc>
          <w:tcPr>
            <w:tcW w:w="1313" w:type="dxa"/>
            <w:tcBorders>
              <w:bottom w:val="single" w:color="auto" w:sz="12" w:space="0"/>
            </w:tcBorders>
            <w:noWrap w:val="0"/>
            <w:vAlign w:val="center"/>
          </w:tcPr>
          <w:p w14:paraId="1D1A83F0">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排放量（t/a）</w:t>
            </w:r>
          </w:p>
        </w:tc>
        <w:tc>
          <w:tcPr>
            <w:tcW w:w="1375" w:type="dxa"/>
            <w:tcBorders>
              <w:bottom w:val="single" w:color="auto" w:sz="12" w:space="0"/>
            </w:tcBorders>
            <w:noWrap w:val="0"/>
            <w:vAlign w:val="center"/>
          </w:tcPr>
          <w:p w14:paraId="47A279C3">
            <w:pPr>
              <w:pStyle w:val="26"/>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排放速率（kg/h）</w:t>
            </w:r>
          </w:p>
        </w:tc>
        <w:tc>
          <w:tcPr>
            <w:tcW w:w="1275" w:type="dxa"/>
            <w:tcBorders>
              <w:bottom w:val="single" w:color="auto" w:sz="12" w:space="0"/>
            </w:tcBorders>
            <w:noWrap w:val="0"/>
            <w:vAlign w:val="center"/>
          </w:tcPr>
          <w:p w14:paraId="780AC924">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排放浓度（mg/m</w:t>
            </w:r>
            <w:r>
              <w:rPr>
                <w:rFonts w:hint="eastAsia"/>
                <w:b/>
                <w:bCs/>
                <w:color w:val="000000" w:themeColor="text1"/>
                <w:highlight w:val="none"/>
                <w:vertAlign w:val="superscript"/>
                <w14:textFill>
                  <w14:solidFill>
                    <w14:schemeClr w14:val="tx1"/>
                  </w14:solidFill>
                </w14:textFill>
              </w:rPr>
              <w:t>3</w:t>
            </w:r>
            <w:r>
              <w:rPr>
                <w:rFonts w:hint="eastAsia"/>
                <w:b/>
                <w:bCs/>
                <w:color w:val="000000" w:themeColor="text1"/>
                <w:highlight w:val="none"/>
                <w14:textFill>
                  <w14:solidFill>
                    <w14:schemeClr w14:val="tx1"/>
                  </w14:solidFill>
                </w14:textFill>
              </w:rPr>
              <w:t>）</w:t>
            </w:r>
          </w:p>
        </w:tc>
        <w:tc>
          <w:tcPr>
            <w:tcW w:w="1150" w:type="dxa"/>
            <w:tcBorders>
              <w:bottom w:val="single" w:color="auto" w:sz="12" w:space="0"/>
            </w:tcBorders>
            <w:noWrap w:val="0"/>
            <w:vAlign w:val="center"/>
          </w:tcPr>
          <w:p w14:paraId="688F4F85">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排放速率（kg/h）</w:t>
            </w:r>
          </w:p>
        </w:tc>
        <w:tc>
          <w:tcPr>
            <w:tcW w:w="1125" w:type="dxa"/>
            <w:tcBorders>
              <w:bottom w:val="single" w:color="auto" w:sz="12" w:space="0"/>
            </w:tcBorders>
            <w:noWrap w:val="0"/>
            <w:vAlign w:val="center"/>
          </w:tcPr>
          <w:p w14:paraId="4872AD94">
            <w:pPr>
              <w:pStyle w:val="26"/>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排放浓度（mg/m</w:t>
            </w:r>
            <w:r>
              <w:rPr>
                <w:rFonts w:hint="eastAsia"/>
                <w:b/>
                <w:bCs/>
                <w:color w:val="000000" w:themeColor="text1"/>
                <w:highlight w:val="none"/>
                <w:vertAlign w:val="superscript"/>
                <w14:textFill>
                  <w14:solidFill>
                    <w14:schemeClr w14:val="tx1"/>
                  </w14:solidFill>
                </w14:textFill>
              </w:rPr>
              <w:t>3</w:t>
            </w:r>
            <w:r>
              <w:rPr>
                <w:rFonts w:hint="eastAsia"/>
                <w:b/>
                <w:bCs/>
                <w:color w:val="000000" w:themeColor="text1"/>
                <w:highlight w:val="none"/>
                <w14:textFill>
                  <w14:solidFill>
                    <w14:schemeClr w14:val="tx1"/>
                  </w14:solidFill>
                </w14:textFill>
              </w:rPr>
              <w:t>）</w:t>
            </w:r>
          </w:p>
        </w:tc>
        <w:tc>
          <w:tcPr>
            <w:tcW w:w="2612" w:type="dxa"/>
            <w:vMerge w:val="continue"/>
            <w:tcBorders>
              <w:bottom w:val="single" w:color="auto" w:sz="12" w:space="0"/>
            </w:tcBorders>
            <w:noWrap w:val="0"/>
            <w:vAlign w:val="center"/>
          </w:tcPr>
          <w:p w14:paraId="5357EBB1">
            <w:pPr>
              <w:pStyle w:val="26"/>
              <w:rPr>
                <w:rFonts w:hint="eastAsia"/>
                <w:b/>
                <w:bCs/>
                <w:color w:val="000000" w:themeColor="text1"/>
                <w:highlight w:val="none"/>
                <w14:textFill>
                  <w14:solidFill>
                    <w14:schemeClr w14:val="tx1"/>
                  </w14:solidFill>
                </w14:textFill>
              </w:rPr>
            </w:pPr>
          </w:p>
        </w:tc>
      </w:tr>
      <w:tr w14:paraId="567560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88" w:type="dxa"/>
            <w:vMerge w:val="restart"/>
            <w:tcBorders>
              <w:top w:val="single" w:color="auto" w:sz="12" w:space="0"/>
            </w:tcBorders>
            <w:noWrap w:val="0"/>
            <w:vAlign w:val="center"/>
          </w:tcPr>
          <w:p w14:paraId="24320B17">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有组织废气</w:t>
            </w:r>
          </w:p>
        </w:tc>
        <w:tc>
          <w:tcPr>
            <w:tcW w:w="1104" w:type="dxa"/>
            <w:vMerge w:val="restart"/>
            <w:tcBorders>
              <w:top w:val="single" w:color="auto" w:sz="12" w:space="0"/>
            </w:tcBorders>
            <w:noWrap w:val="0"/>
            <w:vAlign w:val="center"/>
          </w:tcPr>
          <w:p w14:paraId="5D99641A">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废气排放口DA001</w:t>
            </w:r>
          </w:p>
        </w:tc>
        <w:tc>
          <w:tcPr>
            <w:tcW w:w="1820" w:type="dxa"/>
            <w:tcBorders>
              <w:top w:val="single" w:color="auto" w:sz="12" w:space="0"/>
            </w:tcBorders>
            <w:noWrap w:val="0"/>
            <w:vAlign w:val="center"/>
          </w:tcPr>
          <w:p w14:paraId="3C15DF8C">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1712" w:type="dxa"/>
            <w:vMerge w:val="restart"/>
            <w:tcBorders>
              <w:top w:val="single" w:color="auto" w:sz="12" w:space="0"/>
            </w:tcBorders>
            <w:noWrap w:val="0"/>
            <w:vAlign w:val="center"/>
          </w:tcPr>
          <w:p w14:paraId="24A8C5A7">
            <w:pPr>
              <w:pStyle w:val="26"/>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水喷淋+碱喷淋+除雾器+二级活性炭</w:t>
            </w:r>
          </w:p>
        </w:tc>
        <w:tc>
          <w:tcPr>
            <w:tcW w:w="1313" w:type="dxa"/>
            <w:tcBorders>
              <w:top w:val="single" w:color="auto" w:sz="12" w:space="0"/>
            </w:tcBorders>
            <w:noWrap w:val="0"/>
            <w:vAlign w:val="center"/>
          </w:tcPr>
          <w:p w14:paraId="28A6EFED">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0.036</w:t>
            </w:r>
          </w:p>
        </w:tc>
        <w:tc>
          <w:tcPr>
            <w:tcW w:w="1375" w:type="dxa"/>
            <w:tcBorders>
              <w:top w:val="single" w:color="auto" w:sz="12" w:space="0"/>
            </w:tcBorders>
            <w:noWrap w:val="0"/>
            <w:vAlign w:val="center"/>
          </w:tcPr>
          <w:p w14:paraId="74259154">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0.2</w:t>
            </w:r>
          </w:p>
        </w:tc>
        <w:tc>
          <w:tcPr>
            <w:tcW w:w="1275" w:type="dxa"/>
            <w:tcBorders>
              <w:top w:val="single" w:color="auto" w:sz="12" w:space="0"/>
            </w:tcBorders>
            <w:noWrap w:val="0"/>
            <w:vAlign w:val="center"/>
          </w:tcPr>
          <w:p w14:paraId="539BB81E">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4</w:t>
            </w:r>
          </w:p>
        </w:tc>
        <w:tc>
          <w:tcPr>
            <w:tcW w:w="1150" w:type="dxa"/>
            <w:tcBorders>
              <w:top w:val="single" w:color="auto" w:sz="12" w:space="0"/>
            </w:tcBorders>
            <w:noWrap w:val="0"/>
            <w:vAlign w:val="center"/>
          </w:tcPr>
          <w:p w14:paraId="73957591">
            <w:pPr>
              <w:pStyle w:val="26"/>
              <w:ind w:left="0" w:leftChars="0" w:right="0" w:rightChars="0" w:firstLine="0" w:firstLineChars="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3.5</w:t>
            </w:r>
          </w:p>
        </w:tc>
        <w:tc>
          <w:tcPr>
            <w:tcW w:w="1125" w:type="dxa"/>
            <w:tcBorders>
              <w:top w:val="single" w:color="auto" w:sz="12" w:space="0"/>
            </w:tcBorders>
            <w:noWrap w:val="0"/>
            <w:vAlign w:val="center"/>
          </w:tcPr>
          <w:p w14:paraId="2A7C612F">
            <w:pPr>
              <w:pStyle w:val="26"/>
              <w:ind w:left="0" w:leftChars="0" w:right="0" w:rightChars="0" w:firstLine="0" w:firstLineChars="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w:t>
            </w:r>
          </w:p>
        </w:tc>
        <w:tc>
          <w:tcPr>
            <w:tcW w:w="2612" w:type="dxa"/>
            <w:vMerge w:val="restart"/>
            <w:tcBorders>
              <w:top w:val="single" w:color="auto" w:sz="12" w:space="0"/>
            </w:tcBorders>
            <w:noWrap w:val="0"/>
            <w:vAlign w:val="center"/>
          </w:tcPr>
          <w:p w14:paraId="5841FB15">
            <w:pPr>
              <w:pStyle w:val="26"/>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《大气污染物综合排放标准》（</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GB16297-1996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中二级排放标准</w:t>
            </w:r>
          </w:p>
        </w:tc>
      </w:tr>
      <w:tr w14:paraId="464271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688" w:type="dxa"/>
            <w:vMerge w:val="continue"/>
            <w:noWrap w:val="0"/>
            <w:vAlign w:val="center"/>
          </w:tcPr>
          <w:p w14:paraId="0517099E">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22DD1756">
            <w:pPr>
              <w:pStyle w:val="26"/>
              <w:rPr>
                <w:rFonts w:hint="eastAsia"/>
                <w:color w:val="000000" w:themeColor="text1"/>
                <w:highlight w:val="none"/>
                <w14:textFill>
                  <w14:solidFill>
                    <w14:schemeClr w14:val="tx1"/>
                  </w14:solidFill>
                </w14:textFill>
              </w:rPr>
            </w:pPr>
          </w:p>
        </w:tc>
        <w:tc>
          <w:tcPr>
            <w:tcW w:w="1820" w:type="dxa"/>
            <w:noWrap w:val="0"/>
            <w:vAlign w:val="center"/>
          </w:tcPr>
          <w:p w14:paraId="2F8BFA75">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非甲烷总烃</w:t>
            </w:r>
          </w:p>
        </w:tc>
        <w:tc>
          <w:tcPr>
            <w:tcW w:w="1712" w:type="dxa"/>
            <w:vMerge w:val="continue"/>
            <w:noWrap w:val="0"/>
            <w:vAlign w:val="center"/>
          </w:tcPr>
          <w:p w14:paraId="39C6CCFF">
            <w:pPr>
              <w:pStyle w:val="26"/>
              <w:rPr>
                <w:rFonts w:hint="eastAsia" w:ascii="Times New Roman" w:hAnsi="Times New Roman" w:eastAsia="宋体" w:cs="Times New Roman"/>
                <w:color w:val="000000" w:themeColor="text1"/>
                <w:highlight w:val="none"/>
                <w14:textFill>
                  <w14:solidFill>
                    <w14:schemeClr w14:val="tx1"/>
                  </w14:solidFill>
                </w14:textFill>
              </w:rPr>
            </w:pPr>
          </w:p>
        </w:tc>
        <w:tc>
          <w:tcPr>
            <w:tcW w:w="1313" w:type="dxa"/>
            <w:noWrap w:val="0"/>
            <w:vAlign w:val="center"/>
          </w:tcPr>
          <w:p w14:paraId="2468412D">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0.07</w:t>
            </w:r>
          </w:p>
        </w:tc>
        <w:tc>
          <w:tcPr>
            <w:tcW w:w="1375" w:type="dxa"/>
            <w:noWrap w:val="0"/>
            <w:vAlign w:val="center"/>
          </w:tcPr>
          <w:p w14:paraId="6E93DEBA">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0.13</w:t>
            </w:r>
          </w:p>
        </w:tc>
        <w:tc>
          <w:tcPr>
            <w:tcW w:w="1275" w:type="dxa"/>
            <w:noWrap w:val="0"/>
            <w:vAlign w:val="center"/>
          </w:tcPr>
          <w:p w14:paraId="549D1E14">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2.6</w:t>
            </w:r>
          </w:p>
        </w:tc>
        <w:tc>
          <w:tcPr>
            <w:tcW w:w="1150" w:type="dxa"/>
            <w:noWrap w:val="0"/>
            <w:vAlign w:val="center"/>
          </w:tcPr>
          <w:p w14:paraId="37DA8B3B">
            <w:pPr>
              <w:pStyle w:val="26"/>
              <w:ind w:left="0" w:leftChars="0" w:right="0" w:rightChars="0" w:firstLine="0" w:firstLineChars="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w:t>
            </w:r>
          </w:p>
        </w:tc>
        <w:tc>
          <w:tcPr>
            <w:tcW w:w="1125" w:type="dxa"/>
            <w:noWrap w:val="0"/>
            <w:vAlign w:val="center"/>
          </w:tcPr>
          <w:p w14:paraId="6481A57F">
            <w:pPr>
              <w:pStyle w:val="26"/>
              <w:ind w:left="0" w:leftChars="0" w:right="0" w:rightChars="0" w:firstLine="0" w:firstLineChars="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120</w:t>
            </w:r>
          </w:p>
        </w:tc>
        <w:tc>
          <w:tcPr>
            <w:tcW w:w="2612" w:type="dxa"/>
            <w:vMerge w:val="continue"/>
            <w:noWrap w:val="0"/>
            <w:vAlign w:val="center"/>
          </w:tcPr>
          <w:p w14:paraId="153BB10F">
            <w:pPr>
              <w:pStyle w:val="26"/>
              <w:rPr>
                <w:rFonts w:hint="eastAsia"/>
                <w:color w:val="000000" w:themeColor="text1"/>
                <w:highlight w:val="none"/>
                <w14:textFill>
                  <w14:solidFill>
                    <w14:schemeClr w14:val="tx1"/>
                  </w14:solidFill>
                </w14:textFill>
              </w:rPr>
            </w:pPr>
          </w:p>
        </w:tc>
      </w:tr>
      <w:tr w14:paraId="1BD178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88" w:type="dxa"/>
            <w:vMerge w:val="continue"/>
            <w:noWrap w:val="0"/>
            <w:vAlign w:val="center"/>
          </w:tcPr>
          <w:p w14:paraId="2C21936F">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726B058F">
            <w:pPr>
              <w:pStyle w:val="26"/>
              <w:rPr>
                <w:rFonts w:hint="eastAsia"/>
                <w:color w:val="000000" w:themeColor="text1"/>
                <w:highlight w:val="none"/>
                <w:lang w:val="en-US" w:eastAsia="zh-CN"/>
                <w14:textFill>
                  <w14:solidFill>
                    <w14:schemeClr w14:val="tx1"/>
                  </w14:solidFill>
                </w14:textFill>
              </w:rPr>
            </w:pPr>
          </w:p>
        </w:tc>
        <w:tc>
          <w:tcPr>
            <w:tcW w:w="1820" w:type="dxa"/>
            <w:noWrap w:val="0"/>
            <w:vAlign w:val="center"/>
          </w:tcPr>
          <w:p w14:paraId="76BB2B57">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1712" w:type="dxa"/>
            <w:vMerge w:val="continue"/>
            <w:noWrap w:val="0"/>
            <w:vAlign w:val="center"/>
          </w:tcPr>
          <w:p w14:paraId="767E894A">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313" w:type="dxa"/>
            <w:noWrap w:val="0"/>
            <w:vAlign w:val="center"/>
          </w:tcPr>
          <w:p w14:paraId="681B9893">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w:t>
            </w:r>
            <w:r>
              <w:rPr>
                <w:rFonts w:hint="eastAsia"/>
                <w:color w:val="000000" w:themeColor="text1"/>
                <w:highlight w:val="none"/>
                <w:lang w:val="en-US" w:eastAsia="zh-CN"/>
                <w14:textFill>
                  <w14:solidFill>
                    <w14:schemeClr w14:val="tx1"/>
                  </w14:solidFill>
                </w14:textFill>
              </w:rPr>
              <w:t>1</w:t>
            </w:r>
          </w:p>
        </w:tc>
        <w:tc>
          <w:tcPr>
            <w:tcW w:w="1375" w:type="dxa"/>
            <w:noWrap w:val="0"/>
            <w:vAlign w:val="center"/>
          </w:tcPr>
          <w:p w14:paraId="78FB71F9">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0.02</w:t>
            </w:r>
            <w:r>
              <w:rPr>
                <w:rFonts w:hint="eastAsia"/>
                <w:color w:val="000000" w:themeColor="text1"/>
                <w:highlight w:val="none"/>
                <w:lang w:val="en-US" w:eastAsia="zh-CN"/>
                <w14:textFill>
                  <w14:solidFill>
                    <w14:schemeClr w14:val="tx1"/>
                  </w14:solidFill>
                </w14:textFill>
              </w:rPr>
              <w:t>2</w:t>
            </w:r>
          </w:p>
        </w:tc>
        <w:tc>
          <w:tcPr>
            <w:tcW w:w="1275" w:type="dxa"/>
            <w:noWrap w:val="0"/>
            <w:vAlign w:val="center"/>
          </w:tcPr>
          <w:p w14:paraId="3C502848">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0.4</w:t>
            </w:r>
            <w:r>
              <w:rPr>
                <w:rFonts w:hint="eastAsia"/>
                <w:color w:val="000000" w:themeColor="text1"/>
                <w:highlight w:val="none"/>
                <w:lang w:val="en-US" w:eastAsia="zh-CN"/>
                <w14:textFill>
                  <w14:solidFill>
                    <w14:schemeClr w14:val="tx1"/>
                  </w14:solidFill>
                </w14:textFill>
              </w:rPr>
              <w:t>4</w:t>
            </w:r>
          </w:p>
        </w:tc>
        <w:tc>
          <w:tcPr>
            <w:tcW w:w="1150" w:type="dxa"/>
            <w:noWrap w:val="0"/>
            <w:vAlign w:val="center"/>
          </w:tcPr>
          <w:p w14:paraId="4C74DFBA">
            <w:pPr>
              <w:pStyle w:val="26"/>
              <w:ind w:left="0" w:leftChars="0" w:right="0" w:rightChars="0" w:firstLine="0" w:firstLineChars="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p>
        </w:tc>
        <w:tc>
          <w:tcPr>
            <w:tcW w:w="1125" w:type="dxa"/>
            <w:noWrap w:val="0"/>
            <w:vAlign w:val="center"/>
          </w:tcPr>
          <w:p w14:paraId="288B1976">
            <w:pPr>
              <w:pStyle w:val="26"/>
              <w:ind w:left="0" w:leftChars="0" w:right="0" w:rightChars="0" w:firstLine="0" w:firstLineChars="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w:t>
            </w:r>
          </w:p>
        </w:tc>
        <w:tc>
          <w:tcPr>
            <w:tcW w:w="2612" w:type="dxa"/>
            <w:vMerge w:val="continue"/>
            <w:noWrap w:val="0"/>
            <w:vAlign w:val="center"/>
          </w:tcPr>
          <w:p w14:paraId="0F83D152">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DC806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88" w:type="dxa"/>
            <w:vMerge w:val="continue"/>
            <w:noWrap w:val="0"/>
            <w:vAlign w:val="center"/>
          </w:tcPr>
          <w:p w14:paraId="45581066">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2F4427FF">
            <w:pPr>
              <w:pStyle w:val="26"/>
              <w:rPr>
                <w:rFonts w:hint="eastAsia"/>
                <w:color w:val="000000" w:themeColor="text1"/>
                <w:highlight w:val="none"/>
                <w:lang w:val="en-US" w:eastAsia="zh-CN"/>
                <w14:textFill>
                  <w14:solidFill>
                    <w14:schemeClr w14:val="tx1"/>
                  </w14:solidFill>
                </w14:textFill>
              </w:rPr>
            </w:pPr>
          </w:p>
        </w:tc>
        <w:tc>
          <w:tcPr>
            <w:tcW w:w="1820" w:type="dxa"/>
            <w:noWrap w:val="0"/>
            <w:vAlign w:val="center"/>
          </w:tcPr>
          <w:p w14:paraId="5FF0C3E5">
            <w:pPr>
              <w:pStyle w:val="26"/>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氟化物</w:t>
            </w:r>
          </w:p>
        </w:tc>
        <w:tc>
          <w:tcPr>
            <w:tcW w:w="1712" w:type="dxa"/>
            <w:vMerge w:val="continue"/>
            <w:noWrap w:val="0"/>
            <w:vAlign w:val="center"/>
          </w:tcPr>
          <w:p w14:paraId="2F874AD2">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1313" w:type="dxa"/>
            <w:noWrap w:val="0"/>
            <w:vAlign w:val="center"/>
          </w:tcPr>
          <w:p w14:paraId="5BE4B8A5">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0.00007</w:t>
            </w:r>
          </w:p>
        </w:tc>
        <w:tc>
          <w:tcPr>
            <w:tcW w:w="1375" w:type="dxa"/>
            <w:noWrap w:val="0"/>
            <w:vAlign w:val="center"/>
          </w:tcPr>
          <w:p w14:paraId="64991CF4">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0.0001</w:t>
            </w:r>
          </w:p>
        </w:tc>
        <w:tc>
          <w:tcPr>
            <w:tcW w:w="1275" w:type="dxa"/>
            <w:noWrap w:val="0"/>
            <w:vAlign w:val="center"/>
          </w:tcPr>
          <w:p w14:paraId="780DF282">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w:t>
            </w:r>
            <w:r>
              <w:rPr>
                <w:rFonts w:hint="eastAsia"/>
                <w:color w:val="000000" w:themeColor="text1"/>
                <w:highlight w:val="none"/>
                <w:lang w:val="en-US" w:eastAsia="zh-CN"/>
                <w14:textFill>
                  <w14:solidFill>
                    <w14:schemeClr w14:val="tx1"/>
                  </w14:solidFill>
                </w14:textFill>
              </w:rPr>
              <w:t>3</w:t>
            </w:r>
          </w:p>
        </w:tc>
        <w:tc>
          <w:tcPr>
            <w:tcW w:w="1150" w:type="dxa"/>
            <w:noWrap w:val="0"/>
            <w:vAlign w:val="center"/>
          </w:tcPr>
          <w:p w14:paraId="7CA4CD24">
            <w:pPr>
              <w:pStyle w:val="26"/>
              <w:ind w:left="0" w:leftChars="0" w:right="0" w:rightChars="0" w:firstLine="0" w:firstLineChars="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w:t>
            </w:r>
          </w:p>
        </w:tc>
        <w:tc>
          <w:tcPr>
            <w:tcW w:w="1125" w:type="dxa"/>
            <w:noWrap w:val="0"/>
            <w:vAlign w:val="center"/>
          </w:tcPr>
          <w:p w14:paraId="63F2A518">
            <w:pPr>
              <w:pStyle w:val="26"/>
              <w:ind w:left="0" w:leftChars="0" w:right="0" w:rightChars="0"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p>
        </w:tc>
        <w:tc>
          <w:tcPr>
            <w:tcW w:w="2612" w:type="dxa"/>
            <w:vMerge w:val="continue"/>
            <w:noWrap w:val="0"/>
            <w:vAlign w:val="center"/>
          </w:tcPr>
          <w:p w14:paraId="2C52B45C">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720C1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88" w:type="dxa"/>
            <w:vMerge w:val="restart"/>
            <w:noWrap w:val="0"/>
            <w:vAlign w:val="center"/>
          </w:tcPr>
          <w:p w14:paraId="11C7A6C5">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无组织废气</w:t>
            </w:r>
          </w:p>
        </w:tc>
        <w:tc>
          <w:tcPr>
            <w:tcW w:w="1104" w:type="dxa"/>
            <w:vMerge w:val="restart"/>
            <w:noWrap w:val="0"/>
            <w:vAlign w:val="center"/>
          </w:tcPr>
          <w:p w14:paraId="16C0F7A3">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生产车间</w:t>
            </w:r>
          </w:p>
        </w:tc>
        <w:tc>
          <w:tcPr>
            <w:tcW w:w="1820" w:type="dxa"/>
            <w:noWrap w:val="0"/>
            <w:vAlign w:val="center"/>
          </w:tcPr>
          <w:p w14:paraId="1FB21174">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p>
        </w:tc>
        <w:tc>
          <w:tcPr>
            <w:tcW w:w="1712" w:type="dxa"/>
            <w:vMerge w:val="restart"/>
            <w:noWrap w:val="0"/>
            <w:vAlign w:val="center"/>
          </w:tcPr>
          <w:p w14:paraId="67722F31">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强化通风、加强绿化</w:t>
            </w:r>
          </w:p>
        </w:tc>
        <w:tc>
          <w:tcPr>
            <w:tcW w:w="1313" w:type="dxa"/>
            <w:noWrap w:val="0"/>
            <w:vAlign w:val="center"/>
          </w:tcPr>
          <w:p w14:paraId="28397D7A">
            <w:pPr>
              <w:pStyle w:val="26"/>
              <w:bidi w:val="0"/>
              <w:rPr>
                <w:rFonts w:hint="default"/>
                <w:color w:val="000000" w:themeColor="text1"/>
                <w:highlight w:val="none"/>
                <w:lang w:val="en-US"/>
                <w14:textFill>
                  <w14:solidFill>
                    <w14:schemeClr w14:val="tx1"/>
                  </w14:solidFill>
                </w14:textFill>
              </w:rPr>
            </w:pPr>
            <w:r>
              <w:rPr>
                <w:rFonts w:hint="default"/>
                <w:color w:val="000000" w:themeColor="text1"/>
                <w:highlight w:val="none"/>
                <w:lang w:val="en-US" w:eastAsia="zh-CN"/>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21</w:t>
            </w:r>
          </w:p>
        </w:tc>
        <w:tc>
          <w:tcPr>
            <w:tcW w:w="1375" w:type="dxa"/>
            <w:noWrap w:val="0"/>
            <w:vAlign w:val="center"/>
          </w:tcPr>
          <w:p w14:paraId="1BEC75CB">
            <w:pPr>
              <w:pStyle w:val="26"/>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w:t>
            </w:r>
            <w:r>
              <w:rPr>
                <w:rFonts w:hint="eastAsia"/>
                <w:color w:val="000000" w:themeColor="text1"/>
                <w:highlight w:val="none"/>
                <w:lang w:val="en-US" w:eastAsia="zh-CN"/>
                <w14:textFill>
                  <w14:solidFill>
                    <w14:schemeClr w14:val="tx1"/>
                  </w14:solidFill>
                </w14:textFill>
              </w:rPr>
              <w:t>5</w:t>
            </w:r>
          </w:p>
        </w:tc>
        <w:tc>
          <w:tcPr>
            <w:tcW w:w="1275" w:type="dxa"/>
            <w:noWrap w:val="0"/>
            <w:vAlign w:val="center"/>
          </w:tcPr>
          <w:p w14:paraId="266B51A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7EB71F6B">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25" w:type="dxa"/>
            <w:noWrap w:val="0"/>
            <w:vAlign w:val="center"/>
          </w:tcPr>
          <w:p w14:paraId="0DCF4F06">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2612" w:type="dxa"/>
            <w:vMerge w:val="restart"/>
            <w:noWrap w:val="0"/>
            <w:vAlign w:val="center"/>
          </w:tcPr>
          <w:p w14:paraId="4A5B3DDD">
            <w:pPr>
              <w:pStyle w:val="26"/>
              <w:rPr>
                <w:rFonts w:hint="default"/>
                <w:color w:val="000000" w:themeColor="text1"/>
                <w:highlight w:val="none"/>
                <w:lang w:val="en-US"/>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《大气污染物综合排放标准》（</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GB16297-1996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cs="Times New Roman"/>
                <w:color w:val="000000" w:themeColor="text1"/>
                <w:highlight w:val="none"/>
                <w:lang w:val="en-US" w:eastAsia="zh-CN"/>
                <w14:textFill>
                  <w14:solidFill>
                    <w14:schemeClr w14:val="tx1"/>
                  </w14:solidFill>
                </w14:textFill>
              </w:rPr>
              <w:t>无组织排放限值</w:t>
            </w:r>
          </w:p>
        </w:tc>
      </w:tr>
      <w:tr w14:paraId="41A6C9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continue"/>
            <w:noWrap w:val="0"/>
            <w:vAlign w:val="center"/>
          </w:tcPr>
          <w:p w14:paraId="36E6C096">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658804DF">
            <w:pPr>
              <w:pStyle w:val="26"/>
              <w:rPr>
                <w:rFonts w:hint="eastAsia"/>
                <w:color w:val="000000" w:themeColor="text1"/>
                <w:highlight w:val="none"/>
                <w14:textFill>
                  <w14:solidFill>
                    <w14:schemeClr w14:val="tx1"/>
                  </w14:solidFill>
                </w14:textFill>
              </w:rPr>
            </w:pPr>
          </w:p>
        </w:tc>
        <w:tc>
          <w:tcPr>
            <w:tcW w:w="1820" w:type="dxa"/>
            <w:noWrap w:val="0"/>
            <w:vAlign w:val="center"/>
          </w:tcPr>
          <w:p w14:paraId="3FB004AA">
            <w:pPr>
              <w:pStyle w:val="26"/>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硫酸雾</w:t>
            </w:r>
          </w:p>
        </w:tc>
        <w:tc>
          <w:tcPr>
            <w:tcW w:w="1712" w:type="dxa"/>
            <w:vMerge w:val="continue"/>
            <w:noWrap w:val="0"/>
            <w:vAlign w:val="center"/>
          </w:tcPr>
          <w:p w14:paraId="08480AC8">
            <w:pPr>
              <w:pStyle w:val="26"/>
              <w:rPr>
                <w:color w:val="000000" w:themeColor="text1"/>
                <w:highlight w:val="none"/>
                <w14:textFill>
                  <w14:solidFill>
                    <w14:schemeClr w14:val="tx1"/>
                  </w14:solidFill>
                </w14:textFill>
              </w:rPr>
            </w:pPr>
          </w:p>
        </w:tc>
        <w:tc>
          <w:tcPr>
            <w:tcW w:w="1313" w:type="dxa"/>
            <w:noWrap w:val="0"/>
            <w:vAlign w:val="center"/>
          </w:tcPr>
          <w:p w14:paraId="5DB47E83">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0.04</w:t>
            </w: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kg/a</w:t>
            </w:r>
          </w:p>
        </w:tc>
        <w:tc>
          <w:tcPr>
            <w:tcW w:w="1375" w:type="dxa"/>
            <w:noWrap w:val="0"/>
            <w:vAlign w:val="center"/>
          </w:tcPr>
          <w:p w14:paraId="401156E6">
            <w:pPr>
              <w:pStyle w:val="26"/>
              <w:bidi w:val="0"/>
              <w:rPr>
                <w:rFonts w:hint="eastAsia"/>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0.0000</w:t>
            </w:r>
            <w:r>
              <w:rPr>
                <w:rFonts w:hint="eastAsia"/>
                <w:color w:val="000000" w:themeColor="text1"/>
                <w:highlight w:val="none"/>
                <w:lang w:val="en-US" w:eastAsia="zh-CN"/>
                <w14:textFill>
                  <w14:solidFill>
                    <w14:schemeClr w14:val="tx1"/>
                  </w14:solidFill>
                </w14:textFill>
              </w:rPr>
              <w:t>1</w:t>
            </w:r>
          </w:p>
        </w:tc>
        <w:tc>
          <w:tcPr>
            <w:tcW w:w="1275" w:type="dxa"/>
            <w:noWrap w:val="0"/>
            <w:vAlign w:val="center"/>
          </w:tcPr>
          <w:p w14:paraId="020BBCA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24B20E0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25" w:type="dxa"/>
            <w:noWrap w:val="0"/>
            <w:vAlign w:val="center"/>
          </w:tcPr>
          <w:p w14:paraId="49D72176">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p>
        </w:tc>
        <w:tc>
          <w:tcPr>
            <w:tcW w:w="2612" w:type="dxa"/>
            <w:vMerge w:val="continue"/>
            <w:noWrap w:val="0"/>
            <w:vAlign w:val="center"/>
          </w:tcPr>
          <w:p w14:paraId="06ED49D3">
            <w:pPr>
              <w:pStyle w:val="26"/>
              <w:rPr>
                <w:rFonts w:hint="eastAsia"/>
                <w:color w:val="000000" w:themeColor="text1"/>
                <w:highlight w:val="none"/>
                <w14:textFill>
                  <w14:solidFill>
                    <w14:schemeClr w14:val="tx1"/>
                  </w14:solidFill>
                </w14:textFill>
              </w:rPr>
            </w:pPr>
          </w:p>
        </w:tc>
      </w:tr>
      <w:tr w14:paraId="1BC22A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restart"/>
            <w:noWrap w:val="0"/>
            <w:vAlign w:val="center"/>
          </w:tcPr>
          <w:p w14:paraId="60549F6D">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废水</w:t>
            </w:r>
          </w:p>
        </w:tc>
        <w:tc>
          <w:tcPr>
            <w:tcW w:w="1104" w:type="dxa"/>
            <w:vMerge w:val="restart"/>
            <w:noWrap w:val="0"/>
            <w:vAlign w:val="center"/>
          </w:tcPr>
          <w:p w14:paraId="54D83562">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废水</w:t>
            </w:r>
          </w:p>
        </w:tc>
        <w:tc>
          <w:tcPr>
            <w:tcW w:w="1820" w:type="dxa"/>
            <w:noWrap w:val="0"/>
            <w:vAlign w:val="center"/>
          </w:tcPr>
          <w:p w14:paraId="65976265">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COD</w:t>
            </w:r>
          </w:p>
        </w:tc>
        <w:tc>
          <w:tcPr>
            <w:tcW w:w="1712" w:type="dxa"/>
            <w:vMerge w:val="restart"/>
            <w:noWrap w:val="0"/>
            <w:vAlign w:val="center"/>
          </w:tcPr>
          <w:p w14:paraId="4E050DF4">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313" w:type="dxa"/>
            <w:noWrap w:val="0"/>
            <w:vAlign w:val="center"/>
          </w:tcPr>
          <w:p w14:paraId="7A2D22C5">
            <w:pPr>
              <w:pStyle w:val="26"/>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0.15</w:t>
            </w:r>
          </w:p>
        </w:tc>
        <w:tc>
          <w:tcPr>
            <w:tcW w:w="1375" w:type="dxa"/>
            <w:noWrap w:val="0"/>
            <w:vAlign w:val="center"/>
          </w:tcPr>
          <w:p w14:paraId="1E92BD2F">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275" w:type="dxa"/>
            <w:noWrap w:val="0"/>
            <w:vAlign w:val="center"/>
          </w:tcPr>
          <w:p w14:paraId="3485F36D">
            <w:pPr>
              <w:pStyle w:val="26"/>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350</w:t>
            </w:r>
          </w:p>
        </w:tc>
        <w:tc>
          <w:tcPr>
            <w:tcW w:w="1150" w:type="dxa"/>
            <w:noWrap w:val="0"/>
            <w:vAlign w:val="center"/>
          </w:tcPr>
          <w:p w14:paraId="3BC19775">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125" w:type="dxa"/>
            <w:noWrap w:val="0"/>
            <w:vAlign w:val="center"/>
          </w:tcPr>
          <w:p w14:paraId="636FB5F2">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500</w:t>
            </w:r>
          </w:p>
        </w:tc>
        <w:tc>
          <w:tcPr>
            <w:tcW w:w="2612" w:type="dxa"/>
            <w:vMerge w:val="restart"/>
            <w:noWrap w:val="0"/>
            <w:vAlign w:val="center"/>
          </w:tcPr>
          <w:p w14:paraId="015ED9BD">
            <w:pPr>
              <w:pStyle w:val="26"/>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污水综合排放标准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（GB 8978-1996 ）</w:t>
            </w:r>
          </w:p>
        </w:tc>
      </w:tr>
      <w:tr w14:paraId="4F5788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continue"/>
            <w:noWrap w:val="0"/>
            <w:vAlign w:val="center"/>
          </w:tcPr>
          <w:p w14:paraId="686DB722">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27E226B5">
            <w:pPr>
              <w:pStyle w:val="26"/>
              <w:rPr>
                <w:rFonts w:hint="eastAsia"/>
                <w:color w:val="000000" w:themeColor="text1"/>
                <w:highlight w:val="none"/>
                <w14:textFill>
                  <w14:solidFill>
                    <w14:schemeClr w14:val="tx1"/>
                  </w14:solidFill>
                </w14:textFill>
              </w:rPr>
            </w:pPr>
          </w:p>
        </w:tc>
        <w:tc>
          <w:tcPr>
            <w:tcW w:w="1820" w:type="dxa"/>
            <w:noWrap w:val="0"/>
            <w:vAlign w:val="center"/>
          </w:tcPr>
          <w:p w14:paraId="764685AE">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BOD</w:t>
            </w:r>
          </w:p>
        </w:tc>
        <w:tc>
          <w:tcPr>
            <w:tcW w:w="1712" w:type="dxa"/>
            <w:vMerge w:val="continue"/>
            <w:noWrap w:val="0"/>
            <w:vAlign w:val="center"/>
          </w:tcPr>
          <w:p w14:paraId="734DCC0F">
            <w:pPr>
              <w:pStyle w:val="26"/>
              <w:rPr>
                <w:rFonts w:hint="eastAsia"/>
                <w:color w:val="000000" w:themeColor="text1"/>
                <w:highlight w:val="none"/>
                <w14:textFill>
                  <w14:solidFill>
                    <w14:schemeClr w14:val="tx1"/>
                  </w14:solidFill>
                </w14:textFill>
              </w:rPr>
            </w:pPr>
          </w:p>
        </w:tc>
        <w:tc>
          <w:tcPr>
            <w:tcW w:w="1313" w:type="dxa"/>
            <w:noWrap w:val="0"/>
            <w:vAlign w:val="center"/>
          </w:tcPr>
          <w:p w14:paraId="5C16CCBD">
            <w:pPr>
              <w:pStyle w:val="26"/>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0.11</w:t>
            </w:r>
          </w:p>
        </w:tc>
        <w:tc>
          <w:tcPr>
            <w:tcW w:w="1375" w:type="dxa"/>
            <w:noWrap w:val="0"/>
            <w:vAlign w:val="center"/>
          </w:tcPr>
          <w:p w14:paraId="64313056">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275" w:type="dxa"/>
            <w:noWrap w:val="0"/>
            <w:vAlign w:val="center"/>
          </w:tcPr>
          <w:p w14:paraId="0DC80D5B">
            <w:pPr>
              <w:pStyle w:val="26"/>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250</w:t>
            </w:r>
          </w:p>
        </w:tc>
        <w:tc>
          <w:tcPr>
            <w:tcW w:w="1150" w:type="dxa"/>
            <w:noWrap w:val="0"/>
            <w:vAlign w:val="center"/>
          </w:tcPr>
          <w:p w14:paraId="4247360C">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125" w:type="dxa"/>
            <w:noWrap w:val="0"/>
            <w:vAlign w:val="center"/>
          </w:tcPr>
          <w:p w14:paraId="28066E6D">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300</w:t>
            </w:r>
          </w:p>
        </w:tc>
        <w:tc>
          <w:tcPr>
            <w:tcW w:w="2612" w:type="dxa"/>
            <w:vMerge w:val="continue"/>
            <w:noWrap w:val="0"/>
            <w:vAlign w:val="center"/>
          </w:tcPr>
          <w:p w14:paraId="3A60AB22">
            <w:pPr>
              <w:pStyle w:val="26"/>
              <w:rPr>
                <w:rFonts w:hint="eastAsia"/>
                <w:color w:val="000000" w:themeColor="text1"/>
                <w:highlight w:val="none"/>
                <w14:textFill>
                  <w14:solidFill>
                    <w14:schemeClr w14:val="tx1"/>
                  </w14:solidFill>
                </w14:textFill>
              </w:rPr>
            </w:pPr>
          </w:p>
        </w:tc>
      </w:tr>
      <w:tr w14:paraId="3FF00E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688" w:type="dxa"/>
            <w:vMerge w:val="continue"/>
            <w:noWrap w:val="0"/>
            <w:vAlign w:val="center"/>
          </w:tcPr>
          <w:p w14:paraId="5B4CBE79">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2F885A64">
            <w:pPr>
              <w:pStyle w:val="26"/>
              <w:rPr>
                <w:rFonts w:hint="eastAsia"/>
                <w:color w:val="000000" w:themeColor="text1"/>
                <w:highlight w:val="none"/>
                <w14:textFill>
                  <w14:solidFill>
                    <w14:schemeClr w14:val="tx1"/>
                  </w14:solidFill>
                </w14:textFill>
              </w:rPr>
            </w:pPr>
          </w:p>
        </w:tc>
        <w:tc>
          <w:tcPr>
            <w:tcW w:w="1820" w:type="dxa"/>
            <w:noWrap w:val="0"/>
            <w:vAlign w:val="center"/>
          </w:tcPr>
          <w:p w14:paraId="77B3AA0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氨氮</w:t>
            </w:r>
          </w:p>
        </w:tc>
        <w:tc>
          <w:tcPr>
            <w:tcW w:w="1712" w:type="dxa"/>
            <w:vMerge w:val="continue"/>
            <w:noWrap w:val="0"/>
            <w:vAlign w:val="center"/>
          </w:tcPr>
          <w:p w14:paraId="3DEF92E0">
            <w:pPr>
              <w:pStyle w:val="26"/>
              <w:rPr>
                <w:rFonts w:hint="eastAsia"/>
                <w:color w:val="000000" w:themeColor="text1"/>
                <w:highlight w:val="none"/>
                <w14:textFill>
                  <w14:solidFill>
                    <w14:schemeClr w14:val="tx1"/>
                  </w14:solidFill>
                </w14:textFill>
              </w:rPr>
            </w:pPr>
          </w:p>
        </w:tc>
        <w:tc>
          <w:tcPr>
            <w:tcW w:w="1313" w:type="dxa"/>
            <w:noWrap w:val="0"/>
            <w:vAlign w:val="center"/>
          </w:tcPr>
          <w:p w14:paraId="283EBB45">
            <w:pPr>
              <w:pStyle w:val="26"/>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0.09</w:t>
            </w:r>
          </w:p>
        </w:tc>
        <w:tc>
          <w:tcPr>
            <w:tcW w:w="1375" w:type="dxa"/>
            <w:noWrap w:val="0"/>
            <w:vAlign w:val="center"/>
          </w:tcPr>
          <w:p w14:paraId="7E2AEB9D">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275" w:type="dxa"/>
            <w:noWrap w:val="0"/>
            <w:vAlign w:val="center"/>
          </w:tcPr>
          <w:p w14:paraId="448FA4D0">
            <w:pPr>
              <w:pStyle w:val="26"/>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200</w:t>
            </w:r>
          </w:p>
        </w:tc>
        <w:tc>
          <w:tcPr>
            <w:tcW w:w="1150" w:type="dxa"/>
            <w:noWrap w:val="0"/>
            <w:vAlign w:val="center"/>
          </w:tcPr>
          <w:p w14:paraId="4A1407B6">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125" w:type="dxa"/>
            <w:noWrap w:val="0"/>
            <w:vAlign w:val="center"/>
          </w:tcPr>
          <w:p w14:paraId="057D53CA">
            <w:pPr>
              <w:pStyle w:val="26"/>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45</w:t>
            </w:r>
          </w:p>
        </w:tc>
        <w:tc>
          <w:tcPr>
            <w:tcW w:w="2612" w:type="dxa"/>
            <w:vMerge w:val="continue"/>
            <w:noWrap w:val="0"/>
            <w:vAlign w:val="center"/>
          </w:tcPr>
          <w:p w14:paraId="2EFFFC92">
            <w:pPr>
              <w:pStyle w:val="26"/>
              <w:rPr>
                <w:rFonts w:hint="eastAsia"/>
                <w:color w:val="000000" w:themeColor="text1"/>
                <w:highlight w:val="none"/>
                <w14:textFill>
                  <w14:solidFill>
                    <w14:schemeClr w14:val="tx1"/>
                  </w14:solidFill>
                </w14:textFill>
              </w:rPr>
            </w:pPr>
          </w:p>
        </w:tc>
      </w:tr>
      <w:tr w14:paraId="22A7F7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continue"/>
            <w:noWrap w:val="0"/>
            <w:vAlign w:val="center"/>
          </w:tcPr>
          <w:p w14:paraId="6DDF447C">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7F3F6CDA">
            <w:pPr>
              <w:pStyle w:val="26"/>
              <w:rPr>
                <w:rFonts w:hint="eastAsia"/>
                <w:color w:val="000000" w:themeColor="text1"/>
                <w:highlight w:val="none"/>
                <w14:textFill>
                  <w14:solidFill>
                    <w14:schemeClr w14:val="tx1"/>
                  </w14:solidFill>
                </w14:textFill>
              </w:rPr>
            </w:pPr>
          </w:p>
        </w:tc>
        <w:tc>
          <w:tcPr>
            <w:tcW w:w="1820" w:type="dxa"/>
            <w:noWrap w:val="0"/>
            <w:vAlign w:val="center"/>
          </w:tcPr>
          <w:p w14:paraId="51FE0645">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SS</w:t>
            </w:r>
          </w:p>
        </w:tc>
        <w:tc>
          <w:tcPr>
            <w:tcW w:w="1712" w:type="dxa"/>
            <w:vMerge w:val="continue"/>
            <w:noWrap w:val="0"/>
            <w:vAlign w:val="center"/>
          </w:tcPr>
          <w:p w14:paraId="5C5D2A27">
            <w:pPr>
              <w:pStyle w:val="26"/>
              <w:rPr>
                <w:rFonts w:hint="eastAsia"/>
                <w:color w:val="000000" w:themeColor="text1"/>
                <w:highlight w:val="none"/>
                <w14:textFill>
                  <w14:solidFill>
                    <w14:schemeClr w14:val="tx1"/>
                  </w14:solidFill>
                </w14:textFill>
              </w:rPr>
            </w:pPr>
          </w:p>
        </w:tc>
        <w:tc>
          <w:tcPr>
            <w:tcW w:w="1313" w:type="dxa"/>
            <w:noWrap w:val="0"/>
            <w:vAlign w:val="center"/>
          </w:tcPr>
          <w:p w14:paraId="675BFF5A">
            <w:pPr>
              <w:pStyle w:val="26"/>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0.02</w:t>
            </w:r>
          </w:p>
        </w:tc>
        <w:tc>
          <w:tcPr>
            <w:tcW w:w="1375" w:type="dxa"/>
            <w:noWrap w:val="0"/>
            <w:vAlign w:val="center"/>
          </w:tcPr>
          <w:p w14:paraId="66952853">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275" w:type="dxa"/>
            <w:noWrap w:val="0"/>
            <w:vAlign w:val="center"/>
          </w:tcPr>
          <w:p w14:paraId="1FD9EDB9">
            <w:pPr>
              <w:pStyle w:val="26"/>
              <w:rPr>
                <w:rFonts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40</w:t>
            </w:r>
          </w:p>
        </w:tc>
        <w:tc>
          <w:tcPr>
            <w:tcW w:w="1150" w:type="dxa"/>
            <w:noWrap w:val="0"/>
            <w:vAlign w:val="center"/>
          </w:tcPr>
          <w:p w14:paraId="78CFC02C">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w:t>
            </w:r>
          </w:p>
        </w:tc>
        <w:tc>
          <w:tcPr>
            <w:tcW w:w="1125" w:type="dxa"/>
            <w:noWrap w:val="0"/>
            <w:vAlign w:val="center"/>
          </w:tcPr>
          <w:p w14:paraId="5AEAB9AF">
            <w:pPr>
              <w:pStyle w:val="26"/>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400</w:t>
            </w:r>
          </w:p>
        </w:tc>
        <w:tc>
          <w:tcPr>
            <w:tcW w:w="2612" w:type="dxa"/>
            <w:vMerge w:val="continue"/>
            <w:noWrap w:val="0"/>
            <w:vAlign w:val="center"/>
          </w:tcPr>
          <w:p w14:paraId="0415BAA2">
            <w:pPr>
              <w:pStyle w:val="26"/>
              <w:rPr>
                <w:rFonts w:hint="eastAsia"/>
                <w:color w:val="000000" w:themeColor="text1"/>
                <w:highlight w:val="none"/>
                <w14:textFill>
                  <w14:solidFill>
                    <w14:schemeClr w14:val="tx1"/>
                  </w14:solidFill>
                </w14:textFill>
              </w:rPr>
            </w:pPr>
          </w:p>
        </w:tc>
      </w:tr>
      <w:tr w14:paraId="468152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restart"/>
            <w:noWrap w:val="0"/>
            <w:vAlign w:val="center"/>
          </w:tcPr>
          <w:p w14:paraId="5F0184F6">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固废</w:t>
            </w:r>
          </w:p>
        </w:tc>
        <w:tc>
          <w:tcPr>
            <w:tcW w:w="1104" w:type="dxa"/>
            <w:vMerge w:val="restart"/>
            <w:noWrap w:val="0"/>
            <w:vAlign w:val="center"/>
          </w:tcPr>
          <w:p w14:paraId="248333C7">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一般工业固废</w:t>
            </w:r>
          </w:p>
        </w:tc>
        <w:tc>
          <w:tcPr>
            <w:tcW w:w="1820" w:type="dxa"/>
            <w:noWrap w:val="0"/>
            <w:vAlign w:val="center"/>
          </w:tcPr>
          <w:p w14:paraId="5719D89B">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废</w:t>
            </w:r>
            <w:r>
              <w:rPr>
                <w:rFonts w:hint="eastAsia"/>
                <w:color w:val="000000" w:themeColor="text1"/>
                <w:highlight w:val="none"/>
                <w:lang w:val="en-US" w:eastAsia="zh-CN"/>
                <w14:textFill>
                  <w14:solidFill>
                    <w14:schemeClr w14:val="tx1"/>
                  </w14:solidFill>
                </w14:textFill>
              </w:rPr>
              <w:t>包装</w:t>
            </w:r>
          </w:p>
        </w:tc>
        <w:tc>
          <w:tcPr>
            <w:tcW w:w="1712" w:type="dxa"/>
            <w:noWrap w:val="0"/>
            <w:vAlign w:val="center"/>
          </w:tcPr>
          <w:p w14:paraId="21B8A790">
            <w:pPr>
              <w:pStyle w:val="26"/>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集中收集后由定期</w:t>
            </w:r>
            <w:r>
              <w:rPr>
                <w:rFonts w:hint="eastAsia"/>
                <w:color w:val="000000" w:themeColor="text1"/>
                <w:highlight w:val="none"/>
                <w:lang w:val="en-US" w:eastAsia="zh-CN"/>
                <w14:textFill>
                  <w14:solidFill>
                    <w14:schemeClr w14:val="tx1"/>
                  </w14:solidFill>
                </w14:textFill>
              </w:rPr>
              <w:t>外售</w:t>
            </w:r>
          </w:p>
        </w:tc>
        <w:tc>
          <w:tcPr>
            <w:tcW w:w="1313" w:type="dxa"/>
            <w:noWrap w:val="0"/>
            <w:vAlign w:val="center"/>
          </w:tcPr>
          <w:p w14:paraId="79A03E47">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2.8</w:t>
            </w:r>
          </w:p>
        </w:tc>
        <w:tc>
          <w:tcPr>
            <w:tcW w:w="1375" w:type="dxa"/>
            <w:noWrap w:val="0"/>
            <w:vAlign w:val="center"/>
          </w:tcPr>
          <w:p w14:paraId="5033A31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75" w:type="dxa"/>
            <w:noWrap w:val="0"/>
            <w:vAlign w:val="center"/>
          </w:tcPr>
          <w:p w14:paraId="135DCA7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4C3CF86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25" w:type="dxa"/>
            <w:noWrap w:val="0"/>
            <w:vAlign w:val="center"/>
          </w:tcPr>
          <w:p w14:paraId="48889FFB">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612" w:type="dxa"/>
            <w:vMerge w:val="restart"/>
            <w:noWrap w:val="0"/>
            <w:vAlign w:val="center"/>
          </w:tcPr>
          <w:p w14:paraId="72505EA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贮存执行</w:t>
            </w:r>
            <w:r>
              <w:rPr>
                <w:color w:val="000000" w:themeColor="text1"/>
                <w:highlight w:val="none"/>
                <w14:textFill>
                  <w14:solidFill>
                    <w14:schemeClr w14:val="tx1"/>
                  </w14:solidFill>
                </w14:textFill>
              </w:rPr>
              <w:t>《一般工业固体废物贮存和填埋污染控制标准》（GB18599-2020）</w:t>
            </w:r>
          </w:p>
        </w:tc>
      </w:tr>
      <w:tr w14:paraId="0584D1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continue"/>
            <w:noWrap w:val="0"/>
            <w:vAlign w:val="center"/>
          </w:tcPr>
          <w:p w14:paraId="6303C37C">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7AFBFFA5">
            <w:pPr>
              <w:pStyle w:val="26"/>
              <w:rPr>
                <w:rFonts w:hint="eastAsia"/>
                <w:color w:val="000000" w:themeColor="text1"/>
                <w:highlight w:val="none"/>
                <w14:textFill>
                  <w14:solidFill>
                    <w14:schemeClr w14:val="tx1"/>
                  </w14:solidFill>
                </w14:textFill>
              </w:rPr>
            </w:pPr>
          </w:p>
        </w:tc>
        <w:tc>
          <w:tcPr>
            <w:tcW w:w="1820" w:type="dxa"/>
            <w:noWrap w:val="0"/>
            <w:vAlign w:val="center"/>
          </w:tcPr>
          <w:p w14:paraId="2FC12D41">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废离子交换树脂</w:t>
            </w:r>
          </w:p>
        </w:tc>
        <w:tc>
          <w:tcPr>
            <w:tcW w:w="1712" w:type="dxa"/>
            <w:noWrap w:val="0"/>
            <w:vAlign w:val="center"/>
          </w:tcPr>
          <w:p w14:paraId="2C177CE5">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厂家回收处理</w:t>
            </w:r>
          </w:p>
        </w:tc>
        <w:tc>
          <w:tcPr>
            <w:tcW w:w="1313" w:type="dxa"/>
            <w:noWrap w:val="0"/>
            <w:vAlign w:val="center"/>
          </w:tcPr>
          <w:p w14:paraId="2748F4AE">
            <w:pPr>
              <w:pStyle w:val="26"/>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w:t>
            </w:r>
          </w:p>
        </w:tc>
        <w:tc>
          <w:tcPr>
            <w:tcW w:w="1375" w:type="dxa"/>
            <w:shd w:val="clear" w:color="auto" w:fill="auto"/>
            <w:noWrap w:val="0"/>
            <w:vAlign w:val="center"/>
          </w:tcPr>
          <w:p w14:paraId="564A5DC0">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75" w:type="dxa"/>
            <w:shd w:val="clear" w:color="auto" w:fill="auto"/>
            <w:noWrap w:val="0"/>
            <w:vAlign w:val="center"/>
          </w:tcPr>
          <w:p w14:paraId="7D41CB4B">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shd w:val="clear" w:color="auto" w:fill="auto"/>
            <w:noWrap w:val="0"/>
            <w:vAlign w:val="center"/>
          </w:tcPr>
          <w:p w14:paraId="756FC080">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25" w:type="dxa"/>
            <w:shd w:val="clear" w:color="auto" w:fill="auto"/>
            <w:noWrap w:val="0"/>
            <w:vAlign w:val="center"/>
          </w:tcPr>
          <w:p w14:paraId="1F808222">
            <w:pPr>
              <w:pStyle w:val="26"/>
              <w:ind w:left="0" w:leftChars="0" w:right="0" w:rightChars="0" w:firstLine="0" w:firstLineChars="0"/>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612" w:type="dxa"/>
            <w:vMerge w:val="continue"/>
            <w:noWrap w:val="0"/>
            <w:vAlign w:val="center"/>
          </w:tcPr>
          <w:p w14:paraId="070D8F4A">
            <w:pPr>
              <w:pStyle w:val="26"/>
              <w:rPr>
                <w:rFonts w:hint="eastAsia"/>
                <w:color w:val="000000" w:themeColor="text1"/>
                <w:highlight w:val="none"/>
                <w14:textFill>
                  <w14:solidFill>
                    <w14:schemeClr w14:val="tx1"/>
                  </w14:solidFill>
                </w14:textFill>
              </w:rPr>
            </w:pPr>
          </w:p>
        </w:tc>
      </w:tr>
      <w:tr w14:paraId="01D210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continue"/>
            <w:noWrap w:val="0"/>
            <w:vAlign w:val="center"/>
          </w:tcPr>
          <w:p w14:paraId="5F7F3CA1">
            <w:pPr>
              <w:pStyle w:val="26"/>
              <w:rPr>
                <w:color w:val="000000" w:themeColor="text1"/>
                <w:highlight w:val="none"/>
                <w14:textFill>
                  <w14:solidFill>
                    <w14:schemeClr w14:val="tx1"/>
                  </w14:solidFill>
                </w14:textFill>
              </w:rPr>
            </w:pPr>
          </w:p>
        </w:tc>
        <w:tc>
          <w:tcPr>
            <w:tcW w:w="1104" w:type="dxa"/>
            <w:vMerge w:val="restart"/>
            <w:noWrap w:val="0"/>
            <w:vAlign w:val="center"/>
          </w:tcPr>
          <w:p w14:paraId="5F93D8F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危险废物</w:t>
            </w:r>
          </w:p>
        </w:tc>
        <w:tc>
          <w:tcPr>
            <w:tcW w:w="1820" w:type="dxa"/>
            <w:noWrap w:val="0"/>
            <w:vAlign w:val="center"/>
          </w:tcPr>
          <w:p w14:paraId="4C7E2124">
            <w:pPr>
              <w:pStyle w:val="26"/>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废</w:t>
            </w:r>
            <w:r>
              <w:rPr>
                <w:rFonts w:hint="eastAsia"/>
                <w:color w:val="000000" w:themeColor="text1"/>
                <w:highlight w:val="none"/>
                <w:lang w:val="en-US" w:eastAsia="zh-CN"/>
                <w14:textFill>
                  <w14:solidFill>
                    <w14:schemeClr w14:val="tx1"/>
                  </w14:solidFill>
                </w14:textFill>
              </w:rPr>
              <w:t>包装</w:t>
            </w:r>
          </w:p>
        </w:tc>
        <w:tc>
          <w:tcPr>
            <w:tcW w:w="1712" w:type="dxa"/>
            <w:vMerge w:val="restart"/>
            <w:noWrap w:val="0"/>
            <w:vAlign w:val="center"/>
          </w:tcPr>
          <w:p w14:paraId="39B60F95">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危废暂存库暂存，定期</w:t>
            </w:r>
            <w:r>
              <w:rPr>
                <w:color w:val="000000" w:themeColor="text1"/>
                <w:highlight w:val="none"/>
                <w14:textFill>
                  <w14:solidFill>
                    <w14:schemeClr w14:val="tx1"/>
                  </w14:solidFill>
                </w14:textFill>
              </w:rPr>
              <w:t>交由具有危险废物处置资质单位处置</w:t>
            </w:r>
          </w:p>
        </w:tc>
        <w:tc>
          <w:tcPr>
            <w:tcW w:w="1313" w:type="dxa"/>
            <w:noWrap w:val="0"/>
            <w:vAlign w:val="center"/>
          </w:tcPr>
          <w:p w14:paraId="35F6A130">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0.6</w:t>
            </w:r>
          </w:p>
        </w:tc>
        <w:tc>
          <w:tcPr>
            <w:tcW w:w="1375" w:type="dxa"/>
            <w:noWrap w:val="0"/>
            <w:vAlign w:val="center"/>
          </w:tcPr>
          <w:p w14:paraId="4EC9B804">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75" w:type="dxa"/>
            <w:noWrap w:val="0"/>
            <w:vAlign w:val="center"/>
          </w:tcPr>
          <w:p w14:paraId="25A21018">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1A7CDD0A">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25" w:type="dxa"/>
            <w:noWrap w:val="0"/>
            <w:vAlign w:val="center"/>
          </w:tcPr>
          <w:p w14:paraId="7CE32F3B">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612" w:type="dxa"/>
            <w:vMerge w:val="restart"/>
            <w:noWrap w:val="0"/>
            <w:vAlign w:val="center"/>
          </w:tcPr>
          <w:p w14:paraId="7C099009">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贮存执行《危险废物贮存污染控制标准》（</w:t>
            </w:r>
            <w:r>
              <w:rPr>
                <w:color w:val="000000" w:themeColor="text1"/>
                <w:highlight w:val="none"/>
                <w14:textFill>
                  <w14:solidFill>
                    <w14:schemeClr w14:val="tx1"/>
                  </w14:solidFill>
                </w14:textFill>
              </w:rPr>
              <w:t>GB18597-20</w:t>
            </w:r>
            <w:r>
              <w:rPr>
                <w:rFonts w:hint="eastAsia"/>
                <w:color w:val="000000" w:themeColor="text1"/>
                <w:highlight w:val="none"/>
                <w14:textFill>
                  <w14:solidFill>
                    <w14:schemeClr w14:val="tx1"/>
                  </w14:solidFill>
                </w14:textFill>
              </w:rPr>
              <w:t>23）</w:t>
            </w:r>
          </w:p>
        </w:tc>
      </w:tr>
      <w:tr w14:paraId="64BA66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continue"/>
            <w:noWrap w:val="0"/>
            <w:vAlign w:val="center"/>
          </w:tcPr>
          <w:p w14:paraId="5C9D8C5A">
            <w:pPr>
              <w:pStyle w:val="26"/>
              <w:rPr>
                <w:rFonts w:hint="eastAsia"/>
                <w:color w:val="000000" w:themeColor="text1"/>
                <w:highlight w:val="none"/>
                <w14:textFill>
                  <w14:solidFill>
                    <w14:schemeClr w14:val="tx1"/>
                  </w14:solidFill>
                </w14:textFill>
              </w:rPr>
            </w:pPr>
          </w:p>
        </w:tc>
        <w:tc>
          <w:tcPr>
            <w:tcW w:w="1104" w:type="dxa"/>
            <w:vMerge w:val="continue"/>
            <w:noWrap w:val="0"/>
            <w:vAlign w:val="center"/>
          </w:tcPr>
          <w:p w14:paraId="4B198C8D">
            <w:pPr>
              <w:pStyle w:val="26"/>
              <w:rPr>
                <w:rFonts w:hint="eastAsia"/>
                <w:color w:val="000000" w:themeColor="text1"/>
                <w:highlight w:val="none"/>
                <w14:textFill>
                  <w14:solidFill>
                    <w14:schemeClr w14:val="tx1"/>
                  </w14:solidFill>
                </w14:textFill>
              </w:rPr>
            </w:pPr>
          </w:p>
        </w:tc>
        <w:tc>
          <w:tcPr>
            <w:tcW w:w="1820" w:type="dxa"/>
            <w:noWrap w:val="0"/>
            <w:vAlign w:val="center"/>
          </w:tcPr>
          <w:p w14:paraId="6ECE02DF">
            <w:pPr>
              <w:pStyle w:val="26"/>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废</w:t>
            </w:r>
            <w:r>
              <w:rPr>
                <w:rFonts w:hint="eastAsia"/>
                <w:color w:val="000000" w:themeColor="text1"/>
                <w:highlight w:val="none"/>
                <w14:textFill>
                  <w14:solidFill>
                    <w14:schemeClr w14:val="tx1"/>
                  </w14:solidFill>
                </w14:textFill>
              </w:rPr>
              <w:t>机</w:t>
            </w:r>
            <w:r>
              <w:rPr>
                <w:color w:val="000000" w:themeColor="text1"/>
                <w:highlight w:val="none"/>
                <w14:textFill>
                  <w14:solidFill>
                    <w14:schemeClr w14:val="tx1"/>
                  </w14:solidFill>
                </w14:textFill>
              </w:rPr>
              <w:t>油</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废油桶</w:t>
            </w:r>
          </w:p>
        </w:tc>
        <w:tc>
          <w:tcPr>
            <w:tcW w:w="1712" w:type="dxa"/>
            <w:vMerge w:val="continue"/>
            <w:noWrap w:val="0"/>
            <w:vAlign w:val="center"/>
          </w:tcPr>
          <w:p w14:paraId="524AA672">
            <w:pPr>
              <w:pStyle w:val="26"/>
              <w:rPr>
                <w:rFonts w:hint="eastAsia"/>
                <w:color w:val="000000" w:themeColor="text1"/>
                <w:highlight w:val="none"/>
                <w14:textFill>
                  <w14:solidFill>
                    <w14:schemeClr w14:val="tx1"/>
                  </w14:solidFill>
                </w14:textFill>
              </w:rPr>
            </w:pPr>
          </w:p>
        </w:tc>
        <w:tc>
          <w:tcPr>
            <w:tcW w:w="1313" w:type="dxa"/>
            <w:noWrap w:val="0"/>
            <w:vAlign w:val="center"/>
          </w:tcPr>
          <w:p w14:paraId="4C7F32AB">
            <w:pPr>
              <w:pStyle w:val="26"/>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5</w:t>
            </w:r>
          </w:p>
        </w:tc>
        <w:tc>
          <w:tcPr>
            <w:tcW w:w="1375" w:type="dxa"/>
            <w:noWrap w:val="0"/>
            <w:vAlign w:val="center"/>
          </w:tcPr>
          <w:p w14:paraId="5A1AF228">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75" w:type="dxa"/>
            <w:noWrap w:val="0"/>
            <w:vAlign w:val="center"/>
          </w:tcPr>
          <w:p w14:paraId="38033213">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43AFA63F">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25" w:type="dxa"/>
            <w:noWrap w:val="0"/>
            <w:vAlign w:val="center"/>
          </w:tcPr>
          <w:p w14:paraId="39877A1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612" w:type="dxa"/>
            <w:vMerge w:val="continue"/>
            <w:noWrap w:val="0"/>
            <w:vAlign w:val="center"/>
          </w:tcPr>
          <w:p w14:paraId="6137CA18">
            <w:pPr>
              <w:pStyle w:val="26"/>
              <w:rPr>
                <w:rFonts w:hint="eastAsia"/>
                <w:color w:val="000000" w:themeColor="text1"/>
                <w:highlight w:val="none"/>
                <w14:textFill>
                  <w14:solidFill>
                    <w14:schemeClr w14:val="tx1"/>
                  </w14:solidFill>
                </w14:textFill>
              </w:rPr>
            </w:pPr>
          </w:p>
        </w:tc>
      </w:tr>
      <w:tr w14:paraId="479644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8" w:type="dxa"/>
            <w:vMerge w:val="continue"/>
            <w:noWrap w:val="0"/>
            <w:vAlign w:val="center"/>
          </w:tcPr>
          <w:p w14:paraId="2DC155A5">
            <w:pPr>
              <w:pStyle w:val="26"/>
              <w:rPr>
                <w:rFonts w:hint="eastAsia"/>
                <w:color w:val="000000" w:themeColor="text1"/>
                <w:highlight w:val="none"/>
                <w14:textFill>
                  <w14:solidFill>
                    <w14:schemeClr w14:val="tx1"/>
                  </w14:solidFill>
                </w14:textFill>
              </w:rPr>
            </w:pPr>
          </w:p>
        </w:tc>
        <w:tc>
          <w:tcPr>
            <w:tcW w:w="1104" w:type="dxa"/>
            <w:noWrap w:val="0"/>
            <w:vAlign w:val="center"/>
          </w:tcPr>
          <w:p w14:paraId="150C77BF">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生活垃圾</w:t>
            </w:r>
          </w:p>
        </w:tc>
        <w:tc>
          <w:tcPr>
            <w:tcW w:w="1820" w:type="dxa"/>
            <w:noWrap w:val="0"/>
            <w:vAlign w:val="center"/>
          </w:tcPr>
          <w:p w14:paraId="1F66F7CE">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生活垃圾</w:t>
            </w:r>
          </w:p>
        </w:tc>
        <w:tc>
          <w:tcPr>
            <w:tcW w:w="1712" w:type="dxa"/>
            <w:noWrap w:val="0"/>
            <w:vAlign w:val="center"/>
          </w:tcPr>
          <w:p w14:paraId="13AA3658">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环卫部门定期清运</w:t>
            </w:r>
          </w:p>
        </w:tc>
        <w:tc>
          <w:tcPr>
            <w:tcW w:w="1313" w:type="dxa"/>
            <w:noWrap w:val="0"/>
            <w:vAlign w:val="center"/>
          </w:tcPr>
          <w:p w14:paraId="13586588">
            <w:pPr>
              <w:pStyle w:val="26"/>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5.4</w:t>
            </w:r>
          </w:p>
        </w:tc>
        <w:tc>
          <w:tcPr>
            <w:tcW w:w="1375" w:type="dxa"/>
            <w:noWrap w:val="0"/>
            <w:vAlign w:val="center"/>
          </w:tcPr>
          <w:p w14:paraId="7C893840">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275" w:type="dxa"/>
            <w:noWrap w:val="0"/>
            <w:vAlign w:val="center"/>
          </w:tcPr>
          <w:p w14:paraId="3B9E9A9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50" w:type="dxa"/>
            <w:noWrap w:val="0"/>
            <w:vAlign w:val="center"/>
          </w:tcPr>
          <w:p w14:paraId="1B4FC4B1">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125" w:type="dxa"/>
            <w:noWrap w:val="0"/>
            <w:vAlign w:val="center"/>
          </w:tcPr>
          <w:p w14:paraId="0976998A">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612" w:type="dxa"/>
            <w:noWrap w:val="0"/>
            <w:vAlign w:val="center"/>
          </w:tcPr>
          <w:p w14:paraId="206422F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r>
    </w:tbl>
    <w:p w14:paraId="5C4C9912">
      <w:pPr>
        <w:ind w:left="0" w:leftChars="0" w:firstLine="0" w:firstLineChars="0"/>
        <w:rPr>
          <w:color w:val="000000" w:themeColor="text1"/>
          <w:highlight w:val="none"/>
          <w14:textFill>
            <w14:solidFill>
              <w14:schemeClr w14:val="tx1"/>
            </w14:solidFill>
          </w14:textFill>
        </w:rPr>
      </w:pPr>
    </w:p>
    <w:p w14:paraId="1F4DB5AF">
      <w:pPr>
        <w:pStyle w:val="27"/>
        <w:rPr>
          <w:color w:val="000000" w:themeColor="text1"/>
          <w:highlight w:val="none"/>
          <w14:textFill>
            <w14:solidFill>
              <w14:schemeClr w14:val="tx1"/>
            </w14:solidFill>
          </w14:textFill>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6E87273">
      <w:pPr>
        <w:pStyle w:val="4"/>
        <w:rPr>
          <w:color w:val="000000" w:themeColor="text1"/>
          <w:highlight w:val="none"/>
          <w14:textFill>
            <w14:solidFill>
              <w14:schemeClr w14:val="tx1"/>
            </w14:solidFill>
          </w14:textFill>
        </w:rPr>
      </w:pPr>
      <w:bookmarkStart w:id="1368" w:name="_Toc8605"/>
      <w:bookmarkStart w:id="1369" w:name="_Toc21942"/>
      <w:bookmarkStart w:id="1370" w:name="_Toc16234"/>
      <w:bookmarkStart w:id="1371" w:name="_Toc4751"/>
      <w:bookmarkStart w:id="1372" w:name="_Toc21184"/>
      <w:bookmarkStart w:id="1373" w:name="_Toc30213"/>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社会公开信息</w:t>
      </w:r>
      <w:bookmarkEnd w:id="1368"/>
      <w:bookmarkEnd w:id="1369"/>
      <w:bookmarkEnd w:id="1370"/>
      <w:bookmarkEnd w:id="1371"/>
      <w:bookmarkEnd w:id="1372"/>
      <w:bookmarkEnd w:id="1373"/>
    </w:p>
    <w:p w14:paraId="441EB81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根据《企业环境信息依法披露管理办法》相关规定，企业事业单位应当建立健全本单位环境信息公开制度，制定机构负责本单位环境信息公开日常工作</w:t>
      </w:r>
      <w:r>
        <w:rPr>
          <w:rFonts w:hint="eastAsia"/>
          <w:color w:val="000000" w:themeColor="text1"/>
          <w:highlight w:val="none"/>
          <w14:textFill>
            <w14:solidFill>
              <w14:schemeClr w14:val="tx1"/>
            </w14:solidFill>
          </w14:textFill>
        </w:rPr>
        <w:t>，并按照准则编制年度环境信息依法披露报告和临时环境信息依法披露报告，并上传至企业环境信息依法披露系统。应当于每年3月15日前披露上一年度1月1日至12月31日的环境信息，企业年度环境信息依法披露报告应当包括以下内容：</w:t>
      </w:r>
    </w:p>
    <w:p w14:paraId="435E4BE0">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企业基本信息，包括企业生产和生态环境保护等方面的基础信息；</w:t>
      </w:r>
      <w:r>
        <w:rPr>
          <w:color w:val="000000" w:themeColor="text1"/>
          <w:highlight w:val="none"/>
          <w14:textFill>
            <w14:solidFill>
              <w14:schemeClr w14:val="tx1"/>
            </w14:solidFill>
          </w14:textFill>
        </w:rPr>
        <w:t xml:space="preserve"> </w:t>
      </w:r>
    </w:p>
    <w:p w14:paraId="4094101B">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企业环境管理信息，包括生态环境行政许可、环境保护税、环境污染责任保险、环保信用评价等方面的信息；</w:t>
      </w:r>
      <w:r>
        <w:rPr>
          <w:color w:val="000000" w:themeColor="text1"/>
          <w:highlight w:val="none"/>
          <w14:textFill>
            <w14:solidFill>
              <w14:schemeClr w14:val="tx1"/>
            </w14:solidFill>
          </w14:textFill>
        </w:rPr>
        <w:t xml:space="preserve"> </w:t>
      </w:r>
    </w:p>
    <w:p w14:paraId="1BB3E394">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污染物产生、治理与排放信息，包括污染防治设施，污染物排放，有毒有害物质排放，工业固体废物和危险废物产生、贮存、流向、利用、处置，自行监测等方面的信息；</w:t>
      </w:r>
      <w:r>
        <w:rPr>
          <w:color w:val="000000" w:themeColor="text1"/>
          <w:highlight w:val="none"/>
          <w14:textFill>
            <w14:solidFill>
              <w14:schemeClr w14:val="tx1"/>
            </w14:solidFill>
          </w14:textFill>
        </w:rPr>
        <w:t xml:space="preserve"> </w:t>
      </w:r>
    </w:p>
    <w:p w14:paraId="6BDE115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碳排放信息，包括排放量、排放设施等方面的信息；</w:t>
      </w:r>
      <w:r>
        <w:rPr>
          <w:color w:val="000000" w:themeColor="text1"/>
          <w:highlight w:val="none"/>
          <w14:textFill>
            <w14:solidFill>
              <w14:schemeClr w14:val="tx1"/>
            </w14:solidFill>
          </w14:textFill>
        </w:rPr>
        <w:t xml:space="preserve"> </w:t>
      </w:r>
    </w:p>
    <w:p w14:paraId="20059EED">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生态环境应急信息，包括突发环境事件应急预案、重污染天气应急响应等方面的信息；</w:t>
      </w:r>
      <w:r>
        <w:rPr>
          <w:color w:val="000000" w:themeColor="text1"/>
          <w:highlight w:val="none"/>
          <w14:textFill>
            <w14:solidFill>
              <w14:schemeClr w14:val="tx1"/>
            </w14:solidFill>
          </w14:textFill>
        </w:rPr>
        <w:t xml:space="preserve"> </w:t>
      </w:r>
    </w:p>
    <w:p w14:paraId="795F0E94">
      <w:pP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生态环境违法信息；</w:t>
      </w:r>
    </w:p>
    <w:p w14:paraId="48BCB3B2">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（7）本年度临时环境信息依法披露情况；</w:t>
      </w:r>
    </w:p>
    <w:p w14:paraId="42A752C4">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（8）法律法规规定的其他环境信息。</w:t>
      </w:r>
    </w:p>
    <w:p w14:paraId="02846327">
      <w:pPr>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若</w:t>
      </w:r>
      <w:r>
        <w:rPr>
          <w:color w:val="000000" w:themeColor="text1"/>
          <w:highlight w:val="none"/>
          <w14:textFill>
            <w14:solidFill>
              <w14:schemeClr w14:val="tx1"/>
            </w14:solidFill>
          </w14:textFill>
        </w:rPr>
        <w:t>公司的环境信息发生变更或有新生成时，应在环境信息生成或者变更之日起三十日内予以公开。环境保护主管部门应当宣传和引导公众监督企业事业单位环境信息公开工作。</w:t>
      </w:r>
    </w:p>
    <w:p w14:paraId="36DD7005">
      <w:pPr>
        <w:pStyle w:val="4"/>
        <w:rPr>
          <w:color w:val="000000" w:themeColor="text1"/>
          <w:highlight w:val="none"/>
          <w14:textFill>
            <w14:solidFill>
              <w14:schemeClr w14:val="tx1"/>
            </w14:solidFill>
          </w14:textFill>
        </w:rPr>
      </w:pPr>
      <w:bookmarkStart w:id="1374" w:name="_Toc29560"/>
      <w:bookmarkStart w:id="1375" w:name="_Toc30849"/>
      <w:bookmarkStart w:id="1376" w:name="_Toc18315"/>
      <w:bookmarkStart w:id="1377" w:name="_Toc5883"/>
      <w:bookmarkStart w:id="1378" w:name="_Toc20730"/>
      <w:bookmarkStart w:id="1379" w:name="_Toc1766"/>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t>污染物排放口设置及规范化管理</w:t>
      </w:r>
      <w:bookmarkEnd w:id="1374"/>
      <w:bookmarkEnd w:id="1375"/>
      <w:bookmarkEnd w:id="1376"/>
      <w:bookmarkEnd w:id="1377"/>
      <w:bookmarkEnd w:id="1378"/>
      <w:bookmarkEnd w:id="1379"/>
    </w:p>
    <w:p w14:paraId="16CB8C66">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本项目应按《环境保护图形</w:t>
      </w:r>
      <w:r>
        <w:rPr>
          <w:rFonts w:hint="eastAsia" w:ascii="Times New Roman" w:hAnsi="Times New Roman" w:eastAsia="宋体" w:cs="Times New Roman"/>
          <w:color w:val="000000" w:themeColor="text1"/>
          <w:highlight w:val="none"/>
          <w14:textFill>
            <w14:solidFill>
              <w14:schemeClr w14:val="tx1"/>
            </w14:solidFill>
          </w14:textFill>
        </w:rPr>
        <w:t>标志-排放口（源）》（GB15562.1-1995）</w:t>
      </w:r>
      <w:r>
        <w:rPr>
          <w:rFonts w:hint="eastAsia" w:ascii="Times New Roman" w:hAnsi="Times New Roman" w:eastAsia="宋体" w:cs="Times New Roman"/>
          <w:color w:val="000000" w:themeColor="text1"/>
          <w:highlight w:val="none"/>
          <w:lang w:eastAsia="zh-CN"/>
          <w14:textFill>
            <w14:solidFill>
              <w14:schemeClr w14:val="tx1"/>
            </w14:solidFill>
          </w14:textFill>
        </w:rPr>
        <w:t>、</w:t>
      </w:r>
      <w:r>
        <w:rPr>
          <w:rFonts w:hint="eastAsia" w:ascii="Times New Roman" w:hAnsi="Times New Roman" w:eastAsia="宋体" w:cs="Times New Roman"/>
          <w:color w:val="000000" w:themeColor="text1"/>
          <w:highlight w:val="none"/>
          <w14:textFill>
            <w14:solidFill>
              <w14:schemeClr w14:val="tx1"/>
            </w14:solidFill>
          </w14:textFill>
        </w:rPr>
        <w:fldChar w:fldCharType="begin"/>
      </w:r>
      <w:r>
        <w:rPr>
          <w:rFonts w:hint="eastAsia" w:ascii="Times New Roman" w:hAnsi="Times New Roman" w:eastAsia="宋体" w:cs="Times New Roman"/>
          <w:color w:val="000000" w:themeColor="text1"/>
          <w:highlight w:val="none"/>
          <w14:textFill>
            <w14:solidFill>
              <w14:schemeClr w14:val="tx1"/>
            </w14:solidFill>
          </w14:textFill>
        </w:rPr>
        <w:instrText xml:space="preserve"> HYPERLINK "http://www.mee.gov.cn/xxgk2018/xxgk/xxgk01/202302/t20230224_1017497.html" </w:instrText>
      </w:r>
      <w:r>
        <w:rPr>
          <w:rFonts w:hint="eastAsia" w:ascii="Times New Roman" w:hAnsi="Times New Roman" w:eastAsia="宋体" w:cs="Times New Roman"/>
          <w:color w:val="000000" w:themeColor="text1"/>
          <w:highlight w:val="none"/>
          <w14:textFill>
            <w14:solidFill>
              <w14:schemeClr w14:val="tx1"/>
            </w14:solidFill>
          </w14:textFill>
        </w:rPr>
        <w:fldChar w:fldCharType="separate"/>
      </w:r>
      <w:r>
        <w:rPr>
          <w:rFonts w:hint="eastAsia" w:ascii="Times New Roman" w:hAnsi="Times New Roman" w:eastAsia="宋体" w:cs="Times New Roman"/>
          <w:color w:val="000000" w:themeColor="text1"/>
          <w:highlight w:val="none"/>
          <w14:textFill>
            <w14:solidFill>
              <w14:schemeClr w14:val="tx1"/>
            </w14:solidFill>
          </w14:textFill>
        </w:rPr>
        <w:t>《环境保护图形标志—固体废物贮存（处置）场》（GB 15562.2-1995）修改单</w:t>
      </w:r>
      <w:r>
        <w:rPr>
          <w:rFonts w:hint="eastAsia" w:ascii="Times New Roman" w:hAnsi="Times New Roman" w:eastAsia="宋体" w:cs="Times New Roman"/>
          <w:color w:val="000000" w:themeColor="text1"/>
          <w:highlight w:val="none"/>
          <w14:textFill>
            <w14:solidFill>
              <w14:schemeClr w14:val="tx1"/>
            </w14:solidFill>
          </w14:textFill>
        </w:rPr>
        <w:fldChar w:fldCharType="end"/>
      </w:r>
      <w:r>
        <w:rPr>
          <w:rFonts w:hint="eastAsia" w:ascii="Times New Roman" w:hAnsi="Times New Roman" w:eastAsia="宋体" w:cs="Times New Roman"/>
          <w:color w:val="000000" w:themeColor="text1"/>
          <w:highlight w:val="none"/>
          <w14:textFill>
            <w14:solidFill>
              <w14:schemeClr w14:val="tx1"/>
            </w14:solidFill>
          </w14:textFill>
        </w:rPr>
        <w:t>（及《危险废物识别标志设置技术规范》（HJ</w:t>
      </w: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highlight w:val="none"/>
          <w14:textFill>
            <w14:solidFill>
              <w14:schemeClr w14:val="tx1"/>
            </w14:solidFill>
          </w14:textFill>
        </w:rPr>
        <w:t>276-2022）规定的图形，在各气、水、声排污口（源）挂牌标识，做到各排污口（</w:t>
      </w:r>
      <w:r>
        <w:rPr>
          <w:color w:val="000000" w:themeColor="text1"/>
          <w:highlight w:val="none"/>
          <w14:textFill>
            <w14:solidFill>
              <w14:schemeClr w14:val="tx1"/>
            </w14:solidFill>
          </w14:textFill>
        </w:rPr>
        <w:t>源）的环保标志明显，便于企业管理和公众监督。</w:t>
      </w:r>
    </w:p>
    <w:p w14:paraId="1F77F88B">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列入总量控制污染物的排污口为管理的重点，排污口应便于采样与计量监测，便于日常现场监督检查。排污口位置必须合理确定，按</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环监</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1996</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470号</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文件要求进行规范化管理。</w:t>
      </w:r>
    </w:p>
    <w:p w14:paraId="3C4CE8A3">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污染物排放口的环保图形标志牌应设置在靠近采样点的醒目位置处，标志牌设置高度为其上缘距地面约2</w:t>
      </w:r>
      <w:r>
        <w:rPr>
          <w:rFonts w:hint="eastAsia"/>
          <w:color w:val="000000" w:themeColor="text1"/>
          <w:highlight w:val="none"/>
          <w14:textFill>
            <w14:solidFill>
              <w14:schemeClr w14:val="tx1"/>
            </w14:solidFill>
          </w14:textFill>
        </w:rPr>
        <w:t>m</w:t>
      </w:r>
      <w:r>
        <w:rPr>
          <w:color w:val="000000" w:themeColor="text1"/>
          <w:highlight w:val="none"/>
          <w14:textFill>
            <w14:solidFill>
              <w14:schemeClr w14:val="tx1"/>
            </w14:solidFill>
          </w14:textFill>
        </w:rPr>
        <w:t>。</w:t>
      </w:r>
    </w:p>
    <w:p w14:paraId="60860509">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重点排污单位的污染物排放口或固体废物贮存处置场地以设置立式标志牌为主，一般排污单位的污染物排放口或固体废物贮存处置场地可以根据情况设置立式或平面固定式标志牌。一般污染物排放口或固体废物贮存堆放场地设置提示性环境保护图形标志牌。环境保护图形标志具体设置图形见表</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p>
    <w:p w14:paraId="27811473">
      <w:pPr>
        <w:pStyle w:val="25"/>
        <w:rPr>
          <w:color w:val="000000" w:themeColor="text1"/>
          <w:highlight w:val="none"/>
          <w14:textFill>
            <w14:solidFill>
              <w14:schemeClr w14:val="tx1"/>
            </w14:solidFill>
          </w14:textFill>
        </w:rPr>
      </w:pPr>
      <w:bookmarkStart w:id="1380" w:name="_Ref975"/>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1  </w:t>
      </w:r>
      <w:r>
        <w:rPr>
          <w:color w:val="000000" w:themeColor="text1"/>
          <w:highlight w:val="none"/>
          <w14:textFill>
            <w14:solidFill>
              <w14:schemeClr w14:val="tx1"/>
            </w14:solidFill>
          </w14:textFill>
        </w:rPr>
        <w:t xml:space="preserve">    环境保护图形标志设置图形表</w:t>
      </w:r>
      <w:bookmarkEnd w:id="1380"/>
    </w:p>
    <w:tbl>
      <w:tblPr>
        <w:tblStyle w:val="20"/>
        <w:tblW w:w="907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7"/>
        <w:gridCol w:w="1964"/>
        <w:gridCol w:w="1838"/>
        <w:gridCol w:w="1853"/>
        <w:gridCol w:w="2529"/>
      </w:tblGrid>
      <w:tr w14:paraId="1F9A32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7" w:type="dxa"/>
            <w:tcBorders>
              <w:bottom w:val="single" w:color="auto" w:sz="12" w:space="0"/>
            </w:tcBorders>
            <w:noWrap w:val="0"/>
            <w:vAlign w:val="center"/>
          </w:tcPr>
          <w:p w14:paraId="0508032F">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序号</w:t>
            </w:r>
          </w:p>
        </w:tc>
        <w:tc>
          <w:tcPr>
            <w:tcW w:w="1964" w:type="dxa"/>
            <w:tcBorders>
              <w:bottom w:val="single" w:color="auto" w:sz="12" w:space="0"/>
            </w:tcBorders>
            <w:noWrap w:val="0"/>
            <w:vAlign w:val="center"/>
          </w:tcPr>
          <w:p w14:paraId="7F12DEC5">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提示图形标志</w:t>
            </w:r>
          </w:p>
        </w:tc>
        <w:tc>
          <w:tcPr>
            <w:tcW w:w="1838" w:type="dxa"/>
            <w:tcBorders>
              <w:bottom w:val="single" w:color="auto" w:sz="12" w:space="0"/>
            </w:tcBorders>
            <w:noWrap w:val="0"/>
            <w:vAlign w:val="center"/>
          </w:tcPr>
          <w:p w14:paraId="4DD91E34">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警告图形符号</w:t>
            </w:r>
          </w:p>
        </w:tc>
        <w:tc>
          <w:tcPr>
            <w:tcW w:w="1853" w:type="dxa"/>
            <w:tcBorders>
              <w:bottom w:val="single" w:color="auto" w:sz="12" w:space="0"/>
            </w:tcBorders>
            <w:noWrap w:val="0"/>
            <w:vAlign w:val="center"/>
          </w:tcPr>
          <w:p w14:paraId="2E3F5AAD">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名称</w:t>
            </w:r>
          </w:p>
        </w:tc>
        <w:tc>
          <w:tcPr>
            <w:tcW w:w="2529" w:type="dxa"/>
            <w:tcBorders>
              <w:bottom w:val="single" w:color="auto" w:sz="12" w:space="0"/>
            </w:tcBorders>
            <w:noWrap w:val="0"/>
            <w:vAlign w:val="center"/>
          </w:tcPr>
          <w:p w14:paraId="281E94A7">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功能</w:t>
            </w:r>
          </w:p>
        </w:tc>
      </w:tr>
      <w:tr w14:paraId="673711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7" w:type="dxa"/>
            <w:tcBorders>
              <w:top w:val="single" w:color="auto" w:sz="12" w:space="0"/>
            </w:tcBorders>
            <w:noWrap w:val="0"/>
            <w:vAlign w:val="center"/>
          </w:tcPr>
          <w:p w14:paraId="224BCE09">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964" w:type="dxa"/>
            <w:tcBorders>
              <w:top w:val="single" w:color="auto" w:sz="12" w:space="0"/>
            </w:tcBorders>
            <w:noWrap w:val="0"/>
            <w:vAlign w:val="center"/>
          </w:tcPr>
          <w:p w14:paraId="13C26AE3">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863600" cy="906145"/>
                  <wp:effectExtent l="0" t="0" r="0" b="8255"/>
                  <wp:docPr id="1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1"/>
                          <pic:cNvPicPr>
                            <a:picLocks noChangeAspect="1"/>
                          </pic:cNvPicPr>
                        </pic:nvPicPr>
                        <pic:blipFill>
                          <a:blip r:embed="rId59"/>
                          <a:stretch>
                            <a:fillRect/>
                          </a:stretch>
                        </pic:blipFill>
                        <pic:spPr>
                          <a:xfrm>
                            <a:off x="0" y="0"/>
                            <a:ext cx="863600" cy="906145"/>
                          </a:xfrm>
                          <a:prstGeom prst="rect">
                            <a:avLst/>
                          </a:prstGeom>
                          <a:noFill/>
                          <a:ln>
                            <a:noFill/>
                          </a:ln>
                        </pic:spPr>
                      </pic:pic>
                    </a:graphicData>
                  </a:graphic>
                </wp:inline>
              </w:drawing>
            </w:r>
          </w:p>
        </w:tc>
        <w:tc>
          <w:tcPr>
            <w:tcW w:w="1838" w:type="dxa"/>
            <w:tcBorders>
              <w:top w:val="single" w:color="auto" w:sz="12" w:space="0"/>
            </w:tcBorders>
            <w:noWrap w:val="0"/>
            <w:vAlign w:val="center"/>
          </w:tcPr>
          <w:p w14:paraId="76DBE1B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922655" cy="922655"/>
                  <wp:effectExtent l="0" t="0" r="4445" b="4445"/>
                  <wp:docPr id="2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2"/>
                          <pic:cNvPicPr>
                            <a:picLocks noChangeAspect="1"/>
                          </pic:cNvPicPr>
                        </pic:nvPicPr>
                        <pic:blipFill>
                          <a:blip r:embed="rId60"/>
                          <a:stretch>
                            <a:fillRect/>
                          </a:stretch>
                        </pic:blipFill>
                        <pic:spPr>
                          <a:xfrm>
                            <a:off x="0" y="0"/>
                            <a:ext cx="922655" cy="922655"/>
                          </a:xfrm>
                          <a:prstGeom prst="rect">
                            <a:avLst/>
                          </a:prstGeom>
                          <a:noFill/>
                          <a:ln>
                            <a:noFill/>
                          </a:ln>
                        </pic:spPr>
                      </pic:pic>
                    </a:graphicData>
                  </a:graphic>
                </wp:inline>
              </w:drawing>
            </w:r>
          </w:p>
        </w:tc>
        <w:tc>
          <w:tcPr>
            <w:tcW w:w="1853" w:type="dxa"/>
            <w:tcBorders>
              <w:top w:val="single" w:color="auto" w:sz="12" w:space="0"/>
            </w:tcBorders>
            <w:noWrap w:val="0"/>
            <w:vAlign w:val="center"/>
          </w:tcPr>
          <w:p w14:paraId="2E5B993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废水排放口</w:t>
            </w:r>
          </w:p>
        </w:tc>
        <w:tc>
          <w:tcPr>
            <w:tcW w:w="2529" w:type="dxa"/>
            <w:tcBorders>
              <w:top w:val="single" w:color="auto" w:sz="12" w:space="0"/>
            </w:tcBorders>
            <w:noWrap w:val="0"/>
            <w:vAlign w:val="center"/>
          </w:tcPr>
          <w:p w14:paraId="5D3CF75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表示废水向水体排放</w:t>
            </w:r>
          </w:p>
        </w:tc>
      </w:tr>
      <w:tr w14:paraId="0A1815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7" w:type="dxa"/>
            <w:noWrap w:val="0"/>
            <w:vAlign w:val="center"/>
          </w:tcPr>
          <w:p w14:paraId="0D3E0705">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964" w:type="dxa"/>
            <w:noWrap w:val="0"/>
            <w:vAlign w:val="center"/>
          </w:tcPr>
          <w:p w14:paraId="4244F6A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922655" cy="863600"/>
                  <wp:effectExtent l="0" t="0" r="4445" b="0"/>
                  <wp:docPr id="1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3"/>
                          <pic:cNvPicPr>
                            <a:picLocks noChangeAspect="1"/>
                          </pic:cNvPicPr>
                        </pic:nvPicPr>
                        <pic:blipFill>
                          <a:blip r:embed="rId61"/>
                          <a:stretch>
                            <a:fillRect/>
                          </a:stretch>
                        </pic:blipFill>
                        <pic:spPr>
                          <a:xfrm>
                            <a:off x="0" y="0"/>
                            <a:ext cx="922655" cy="863600"/>
                          </a:xfrm>
                          <a:prstGeom prst="rect">
                            <a:avLst/>
                          </a:prstGeom>
                          <a:noFill/>
                          <a:ln>
                            <a:noFill/>
                          </a:ln>
                        </pic:spPr>
                      </pic:pic>
                    </a:graphicData>
                  </a:graphic>
                </wp:inline>
              </w:drawing>
            </w:r>
          </w:p>
        </w:tc>
        <w:tc>
          <w:tcPr>
            <w:tcW w:w="1838" w:type="dxa"/>
            <w:noWrap w:val="0"/>
            <w:vAlign w:val="center"/>
          </w:tcPr>
          <w:p w14:paraId="2C031AD6">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957580" cy="906145"/>
                  <wp:effectExtent l="0" t="0" r="7620" b="825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62"/>
                          <a:stretch>
                            <a:fillRect/>
                          </a:stretch>
                        </pic:blipFill>
                        <pic:spPr>
                          <a:xfrm>
                            <a:off x="0" y="0"/>
                            <a:ext cx="957580" cy="906145"/>
                          </a:xfrm>
                          <a:prstGeom prst="rect">
                            <a:avLst/>
                          </a:prstGeom>
                          <a:noFill/>
                          <a:ln>
                            <a:noFill/>
                          </a:ln>
                        </pic:spPr>
                      </pic:pic>
                    </a:graphicData>
                  </a:graphic>
                </wp:inline>
              </w:drawing>
            </w:r>
          </w:p>
        </w:tc>
        <w:tc>
          <w:tcPr>
            <w:tcW w:w="1853" w:type="dxa"/>
            <w:noWrap w:val="0"/>
            <w:vAlign w:val="center"/>
          </w:tcPr>
          <w:p w14:paraId="53F842A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废气排放口</w:t>
            </w:r>
          </w:p>
        </w:tc>
        <w:tc>
          <w:tcPr>
            <w:tcW w:w="2529" w:type="dxa"/>
            <w:noWrap w:val="0"/>
            <w:vAlign w:val="center"/>
          </w:tcPr>
          <w:p w14:paraId="6D22B41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表示废气向大气环境排放</w:t>
            </w:r>
          </w:p>
        </w:tc>
      </w:tr>
      <w:tr w14:paraId="0BF59C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7" w:type="dxa"/>
            <w:noWrap w:val="0"/>
            <w:vAlign w:val="center"/>
          </w:tcPr>
          <w:p w14:paraId="551CE6A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964" w:type="dxa"/>
            <w:noWrap w:val="0"/>
            <w:vAlign w:val="center"/>
          </w:tcPr>
          <w:p w14:paraId="77A0A3F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965200" cy="922655"/>
                  <wp:effectExtent l="0" t="0" r="0" b="4445"/>
                  <wp:docPr id="1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5"/>
                          <pic:cNvPicPr>
                            <a:picLocks noChangeAspect="1"/>
                          </pic:cNvPicPr>
                        </pic:nvPicPr>
                        <pic:blipFill>
                          <a:blip r:embed="rId63"/>
                          <a:stretch>
                            <a:fillRect/>
                          </a:stretch>
                        </pic:blipFill>
                        <pic:spPr>
                          <a:xfrm>
                            <a:off x="0" y="0"/>
                            <a:ext cx="965200" cy="922655"/>
                          </a:xfrm>
                          <a:prstGeom prst="rect">
                            <a:avLst/>
                          </a:prstGeom>
                          <a:noFill/>
                          <a:ln>
                            <a:noFill/>
                          </a:ln>
                        </pic:spPr>
                      </pic:pic>
                    </a:graphicData>
                  </a:graphic>
                </wp:inline>
              </w:drawing>
            </w:r>
          </w:p>
        </w:tc>
        <w:tc>
          <w:tcPr>
            <w:tcW w:w="1838" w:type="dxa"/>
            <w:noWrap w:val="0"/>
            <w:vAlign w:val="center"/>
          </w:tcPr>
          <w:p w14:paraId="4FF6F9BB">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965200" cy="779145"/>
                  <wp:effectExtent l="0" t="0" r="0" b="8255"/>
                  <wp:docPr id="1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6"/>
                          <pic:cNvPicPr>
                            <a:picLocks noChangeAspect="1"/>
                          </pic:cNvPicPr>
                        </pic:nvPicPr>
                        <pic:blipFill>
                          <a:blip r:embed="rId64"/>
                          <a:stretch>
                            <a:fillRect/>
                          </a:stretch>
                        </pic:blipFill>
                        <pic:spPr>
                          <a:xfrm>
                            <a:off x="0" y="0"/>
                            <a:ext cx="965200" cy="779145"/>
                          </a:xfrm>
                          <a:prstGeom prst="rect">
                            <a:avLst/>
                          </a:prstGeom>
                          <a:noFill/>
                          <a:ln>
                            <a:noFill/>
                          </a:ln>
                        </pic:spPr>
                      </pic:pic>
                    </a:graphicData>
                  </a:graphic>
                </wp:inline>
              </w:drawing>
            </w:r>
          </w:p>
        </w:tc>
        <w:tc>
          <w:tcPr>
            <w:tcW w:w="1853" w:type="dxa"/>
            <w:noWrap w:val="0"/>
            <w:vAlign w:val="center"/>
          </w:tcPr>
          <w:p w14:paraId="44D2D96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噪声排放源</w:t>
            </w:r>
          </w:p>
        </w:tc>
        <w:tc>
          <w:tcPr>
            <w:tcW w:w="2529" w:type="dxa"/>
            <w:noWrap w:val="0"/>
            <w:vAlign w:val="center"/>
          </w:tcPr>
          <w:p w14:paraId="2B7D5E3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表示噪声向外环境排放</w:t>
            </w:r>
          </w:p>
        </w:tc>
      </w:tr>
      <w:tr w14:paraId="776CA2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7" w:type="dxa"/>
            <w:noWrap w:val="0"/>
            <w:vAlign w:val="center"/>
          </w:tcPr>
          <w:p w14:paraId="188C2D38">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964" w:type="dxa"/>
            <w:noWrap w:val="0"/>
            <w:vAlign w:val="center"/>
          </w:tcPr>
          <w:p w14:paraId="6AEBFBDC">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965200" cy="914400"/>
                  <wp:effectExtent l="0" t="0" r="0" b="0"/>
                  <wp:docPr id="20"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7"/>
                          <pic:cNvPicPr>
                            <a:picLocks noChangeAspect="1"/>
                          </pic:cNvPicPr>
                        </pic:nvPicPr>
                        <pic:blipFill>
                          <a:blip r:embed="rId65"/>
                          <a:stretch>
                            <a:fillRect/>
                          </a:stretch>
                        </pic:blipFill>
                        <pic:spPr>
                          <a:xfrm>
                            <a:off x="0" y="0"/>
                            <a:ext cx="965200" cy="914400"/>
                          </a:xfrm>
                          <a:prstGeom prst="rect">
                            <a:avLst/>
                          </a:prstGeom>
                          <a:noFill/>
                          <a:ln>
                            <a:noFill/>
                          </a:ln>
                        </pic:spPr>
                      </pic:pic>
                    </a:graphicData>
                  </a:graphic>
                </wp:inline>
              </w:drawing>
            </w:r>
          </w:p>
        </w:tc>
        <w:tc>
          <w:tcPr>
            <w:tcW w:w="1838" w:type="dxa"/>
            <w:noWrap w:val="0"/>
            <w:vAlign w:val="center"/>
          </w:tcPr>
          <w:p w14:paraId="244A1ED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965200" cy="829945"/>
                  <wp:effectExtent l="0" t="0" r="0" b="8255"/>
                  <wp:docPr id="2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8"/>
                          <pic:cNvPicPr>
                            <a:picLocks noChangeAspect="1"/>
                          </pic:cNvPicPr>
                        </pic:nvPicPr>
                        <pic:blipFill>
                          <a:blip r:embed="rId66"/>
                          <a:stretch>
                            <a:fillRect/>
                          </a:stretch>
                        </pic:blipFill>
                        <pic:spPr>
                          <a:xfrm>
                            <a:off x="0" y="0"/>
                            <a:ext cx="965200" cy="829945"/>
                          </a:xfrm>
                          <a:prstGeom prst="rect">
                            <a:avLst/>
                          </a:prstGeom>
                          <a:noFill/>
                          <a:ln>
                            <a:noFill/>
                          </a:ln>
                        </pic:spPr>
                      </pic:pic>
                    </a:graphicData>
                  </a:graphic>
                </wp:inline>
              </w:drawing>
            </w:r>
          </w:p>
        </w:tc>
        <w:tc>
          <w:tcPr>
            <w:tcW w:w="1853" w:type="dxa"/>
            <w:noWrap w:val="0"/>
            <w:vAlign w:val="center"/>
          </w:tcPr>
          <w:p w14:paraId="2F86D47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一般固体废物</w:t>
            </w:r>
          </w:p>
        </w:tc>
        <w:tc>
          <w:tcPr>
            <w:tcW w:w="2529" w:type="dxa"/>
            <w:noWrap w:val="0"/>
            <w:vAlign w:val="center"/>
          </w:tcPr>
          <w:p w14:paraId="4FC7AD20">
            <w:pPr>
              <w:pStyle w:val="26"/>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表示一般固体废物贮存、处置场</w:t>
            </w:r>
          </w:p>
        </w:tc>
      </w:tr>
      <w:tr w14:paraId="16F6DD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7" w:type="dxa"/>
            <w:noWrap w:val="0"/>
            <w:vAlign w:val="center"/>
          </w:tcPr>
          <w:p w14:paraId="130B60AE">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1964" w:type="dxa"/>
            <w:noWrap w:val="0"/>
            <w:vAlign w:val="center"/>
          </w:tcPr>
          <w:p w14:paraId="7A0873D4">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1838" w:type="dxa"/>
            <w:noWrap w:val="0"/>
            <w:vAlign w:val="center"/>
          </w:tcPr>
          <w:p w14:paraId="4714D4ED">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1029335" cy="881380"/>
                  <wp:effectExtent l="0" t="0" r="12065" b="7620"/>
                  <wp:docPr id="23"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9"/>
                          <pic:cNvPicPr>
                            <a:picLocks noChangeAspect="1"/>
                          </pic:cNvPicPr>
                        </pic:nvPicPr>
                        <pic:blipFill>
                          <a:blip r:embed="rId67"/>
                          <a:stretch>
                            <a:fillRect/>
                          </a:stretch>
                        </pic:blipFill>
                        <pic:spPr>
                          <a:xfrm>
                            <a:off x="0" y="0"/>
                            <a:ext cx="1029335" cy="881380"/>
                          </a:xfrm>
                          <a:prstGeom prst="rect">
                            <a:avLst/>
                          </a:prstGeom>
                          <a:noFill/>
                          <a:ln>
                            <a:noFill/>
                          </a:ln>
                        </pic:spPr>
                      </pic:pic>
                    </a:graphicData>
                  </a:graphic>
                </wp:inline>
              </w:drawing>
            </w:r>
          </w:p>
        </w:tc>
        <w:tc>
          <w:tcPr>
            <w:tcW w:w="1853" w:type="dxa"/>
            <w:noWrap w:val="0"/>
            <w:vAlign w:val="center"/>
          </w:tcPr>
          <w:p w14:paraId="31932182">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危险废物</w:t>
            </w:r>
          </w:p>
        </w:tc>
        <w:tc>
          <w:tcPr>
            <w:tcW w:w="2529" w:type="dxa"/>
            <w:noWrap w:val="0"/>
            <w:vAlign w:val="center"/>
          </w:tcPr>
          <w:p w14:paraId="1056F3F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表示危险废物贮存场</w:t>
            </w:r>
          </w:p>
        </w:tc>
      </w:tr>
    </w:tbl>
    <w:p w14:paraId="06DDE67C">
      <w:pPr>
        <w:pStyle w:val="3"/>
        <w:rPr>
          <w:color w:val="000000" w:themeColor="text1"/>
          <w:highlight w:val="none"/>
          <w14:textFill>
            <w14:solidFill>
              <w14:schemeClr w14:val="tx1"/>
            </w14:solidFill>
          </w14:textFill>
        </w:rPr>
      </w:pPr>
      <w:bookmarkStart w:id="1381" w:name="_Toc8334"/>
      <w:bookmarkStart w:id="1382" w:name="_Toc5195"/>
      <w:bookmarkStart w:id="1383" w:name="_Toc5123"/>
      <w:bookmarkStart w:id="1384" w:name="_Toc4203"/>
      <w:bookmarkStart w:id="1385" w:name="_Toc30774"/>
      <w:bookmarkStart w:id="1386" w:name="_Toc356"/>
      <w:bookmarkStart w:id="1387" w:name="_Toc22575158"/>
      <w:bookmarkStart w:id="1388" w:name="_Toc10421"/>
      <w:bookmarkStart w:id="1389" w:name="_Toc13779"/>
      <w:bookmarkStart w:id="1390" w:name="_Toc9310"/>
      <w:bookmarkStart w:id="1391" w:name="_Toc21385"/>
      <w:bookmarkStart w:id="1392" w:name="_Toc19481"/>
      <w:bookmarkStart w:id="1393" w:name="_Toc13283"/>
      <w:bookmarkStart w:id="1394" w:name="_Toc25372"/>
      <w:bookmarkStart w:id="1395" w:name="_Toc31081"/>
      <w:bookmarkStart w:id="1396" w:name="_Toc10206"/>
      <w:bookmarkStart w:id="1397" w:name="_Toc11957"/>
      <w:bookmarkStart w:id="1398" w:name="_Toc685"/>
      <w:bookmarkStart w:id="1399" w:name="_Toc15287"/>
      <w:bookmarkStart w:id="1400" w:name="_Toc28111"/>
      <w:bookmarkStart w:id="1401" w:name="_Toc21521"/>
      <w:bookmarkStart w:id="1402" w:name="_Toc9409"/>
      <w:bookmarkStart w:id="1403" w:name="_Toc10291"/>
      <w:bookmarkStart w:id="1404" w:name="_Toc21854"/>
      <w:bookmarkStart w:id="1405" w:name="_Toc379"/>
      <w:bookmarkStart w:id="1406" w:name="_Toc489250741"/>
      <w:bookmarkStart w:id="1407" w:name="_Toc15950"/>
      <w:bookmarkStart w:id="1408" w:name="_Toc18005"/>
      <w:bookmarkStart w:id="1409" w:name="_Toc1400"/>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竣工验收管理</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14:paraId="20B109D6">
      <w:pPr>
        <w:rPr>
          <w:color w:val="000000" w:themeColor="text1"/>
          <w:highlight w:val="none"/>
          <w14:textFill>
            <w14:solidFill>
              <w14:schemeClr w14:val="tx1"/>
            </w14:solidFill>
          </w14:textFill>
        </w:rPr>
      </w:pPr>
      <w:bookmarkStart w:id="1410" w:name="_Toc28495"/>
      <w:bookmarkStart w:id="1411" w:name="_Toc297"/>
      <w:bookmarkStart w:id="1412" w:name="_Toc5050"/>
      <w:r>
        <w:rPr>
          <w:color w:val="000000" w:themeColor="text1"/>
          <w:highlight w:val="none"/>
          <w14:textFill>
            <w14:solidFill>
              <w14:schemeClr w14:val="tx1"/>
            </w14:solidFill>
          </w14:textFill>
        </w:rPr>
        <w:t>根据《建设项目竣工环境保护验收暂行办法》</w:t>
      </w:r>
      <w:r>
        <w:rPr>
          <w:rFonts w:hint="eastAsia"/>
          <w:color w:val="000000" w:themeColor="text1"/>
          <w:highlight w:val="none"/>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4"/>
          <w:szCs w:val="24"/>
          <w:highlight w:val="none"/>
          <w:shd w:val="clear" w:fill="FFFFFF"/>
          <w14:textFill>
            <w14:solidFill>
              <w14:schemeClr w14:val="tx1"/>
            </w14:solidFill>
          </w14:textFill>
        </w:rPr>
        <w:t>国环规环评〔2017〕4号</w:t>
      </w:r>
      <w:r>
        <w:rPr>
          <w:rFonts w:hint="eastAsia" w:ascii="宋体" w:hAnsi="宋体" w:eastAsia="宋体" w:cs="宋体"/>
          <w:i w:val="0"/>
          <w:iCs w:val="0"/>
          <w:caps w:val="0"/>
          <w:color w:val="000000" w:themeColor="text1"/>
          <w:spacing w:val="0"/>
          <w:sz w:val="24"/>
          <w:szCs w:val="24"/>
          <w:highlight w:val="none"/>
          <w:shd w:val="clear" w:fill="FFFFFF"/>
          <w:lang w:eastAsia="zh-CN"/>
          <w14:textFill>
            <w14:solidFill>
              <w14:schemeClr w14:val="tx1"/>
            </w14:solidFill>
          </w14:textFill>
        </w:rPr>
        <w:t>）</w:t>
      </w:r>
      <w:r>
        <w:rPr>
          <w:color w:val="000000" w:themeColor="text1"/>
          <w:highlight w:val="none"/>
          <w14:textFill>
            <w14:solidFill>
              <w14:schemeClr w14:val="tx1"/>
            </w14:solidFill>
          </w14:textFill>
        </w:rPr>
        <w:t>建设项目竣工后，建设单位应当如实查验、监测、记载建设项目环境保护设施的建设和调试情况，编制验收监测（调查）报告。建设单位不具备编制验收监测（调查）报告能力的，可以委托有能力的技术机构编制，建设单位对受委托的技术机构编制的验收监测（调查）报告结论负责。</w:t>
      </w:r>
    </w:p>
    <w:p w14:paraId="68E4727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保护设施未与主体工程同时建成的，或者应当取得排污许可证但未取得的，建设单位不得对该建设项目环境保护设施进行调试。调试期间，建设单位应当对环境保护设施运行情况和建设项目对环境的影响进行监测。</w:t>
      </w:r>
    </w:p>
    <w:p w14:paraId="25B2C52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项目配套建设的环境保护设施竣工后，公开竣工日期；对建设项目配套建设的环境保护设施进行调试前，公开调试的起止日期；验收报告编制完成后5个工作日内，公开验收报告，公示的期限不得少于20个工作日。</w:t>
      </w:r>
    </w:p>
    <w:bookmarkEnd w:id="1410"/>
    <w:bookmarkEnd w:id="1411"/>
    <w:bookmarkEnd w:id="1412"/>
    <w:p w14:paraId="6A3D411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本项目环境保护设施“三同时”验收一览表见表</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w:t>
      </w:r>
    </w:p>
    <w:p w14:paraId="4A2E4EF1">
      <w:pPr>
        <w:pStyle w:val="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1     </w:t>
      </w:r>
      <w:r>
        <w:rPr>
          <w:color w:val="000000" w:themeColor="text1"/>
          <w:highlight w:val="none"/>
          <w14:textFill>
            <w14:solidFill>
              <w14:schemeClr w14:val="tx1"/>
            </w14:solidFill>
          </w14:textFill>
        </w:rPr>
        <w:t xml:space="preserve">  竣工验收一览表</w:t>
      </w:r>
    </w:p>
    <w:tbl>
      <w:tblPr>
        <w:tblStyle w:val="20"/>
        <w:tblW w:w="545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856"/>
        <w:gridCol w:w="1515"/>
        <w:gridCol w:w="3458"/>
        <w:gridCol w:w="3238"/>
      </w:tblGrid>
      <w:tr w14:paraId="0FF748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24" w:hRule="atLeast"/>
          <w:jc w:val="center"/>
        </w:trPr>
        <w:tc>
          <w:tcPr>
            <w:tcW w:w="472" w:type="pct"/>
            <w:noWrap w:val="0"/>
            <w:vAlign w:val="center"/>
          </w:tcPr>
          <w:p w14:paraId="538A5BAE">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处理对象</w:t>
            </w:r>
          </w:p>
        </w:tc>
        <w:tc>
          <w:tcPr>
            <w:tcW w:w="835" w:type="pct"/>
            <w:noWrap w:val="0"/>
            <w:vAlign w:val="center"/>
          </w:tcPr>
          <w:p w14:paraId="63B7DB12">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验收内容</w:t>
            </w:r>
          </w:p>
        </w:tc>
        <w:tc>
          <w:tcPr>
            <w:tcW w:w="1906" w:type="pct"/>
            <w:tcBorders>
              <w:bottom w:val="single" w:color="000000" w:sz="12" w:space="0"/>
            </w:tcBorders>
            <w:noWrap w:val="0"/>
            <w:vAlign w:val="center"/>
          </w:tcPr>
          <w:p w14:paraId="56755E11">
            <w:pPr>
              <w:pStyle w:val="26"/>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污染防治措施</w:t>
            </w:r>
          </w:p>
        </w:tc>
        <w:tc>
          <w:tcPr>
            <w:tcW w:w="1785" w:type="pct"/>
            <w:noWrap w:val="0"/>
            <w:vAlign w:val="center"/>
          </w:tcPr>
          <w:p w14:paraId="3995E666">
            <w:pPr>
              <w:pStyle w:val="26"/>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验收标准</w:t>
            </w:r>
          </w:p>
        </w:tc>
      </w:tr>
      <w:tr w14:paraId="4D6F12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17" w:hRule="atLeast"/>
          <w:jc w:val="center"/>
        </w:trPr>
        <w:tc>
          <w:tcPr>
            <w:tcW w:w="472" w:type="pct"/>
            <w:vMerge w:val="restart"/>
            <w:tcBorders>
              <w:top w:val="single" w:color="000000" w:sz="12" w:space="0"/>
            </w:tcBorders>
            <w:noWrap w:val="0"/>
            <w:vAlign w:val="center"/>
          </w:tcPr>
          <w:p w14:paraId="083B43C4">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废气处理</w:t>
            </w:r>
          </w:p>
        </w:tc>
        <w:tc>
          <w:tcPr>
            <w:tcW w:w="835" w:type="pct"/>
            <w:tcBorders>
              <w:top w:val="single" w:color="000000" w:sz="12" w:space="0"/>
            </w:tcBorders>
            <w:noWrap w:val="0"/>
            <w:vAlign w:val="center"/>
          </w:tcPr>
          <w:p w14:paraId="02ED04A7">
            <w:pPr>
              <w:pStyle w:val="26"/>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w:t>
            </w:r>
            <w:r>
              <w:rPr>
                <w:rFonts w:hint="eastAsia"/>
                <w:color w:val="000000" w:themeColor="text1"/>
                <w:highlight w:val="none"/>
                <w14:textFill>
                  <w14:solidFill>
                    <w14:schemeClr w14:val="tx1"/>
                  </w14:solidFill>
                </w14:textFill>
              </w:rPr>
              <w:t>废气</w:t>
            </w:r>
          </w:p>
        </w:tc>
        <w:tc>
          <w:tcPr>
            <w:tcW w:w="1906" w:type="pct"/>
            <w:tcBorders>
              <w:top w:val="single" w:color="000000" w:sz="12" w:space="0"/>
            </w:tcBorders>
            <w:noWrap w:val="0"/>
            <w:vAlign w:val="center"/>
          </w:tcPr>
          <w:p w14:paraId="39244BA2">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水喷淋+碱喷淋+除雾器+二级活性炭</w:t>
            </w:r>
            <w:r>
              <w:rPr>
                <w:rFonts w:hint="eastAsia"/>
                <w:color w:val="000000" w:themeColor="text1"/>
                <w:highlight w:val="none"/>
                <w:lang w:val="en-US" w:eastAsia="zh-CN"/>
                <w14:textFill>
                  <w14:solidFill>
                    <w14:schemeClr w14:val="tx1"/>
                  </w14:solidFill>
                </w14:textFill>
              </w:rPr>
              <w:t>处理</w:t>
            </w:r>
            <w:r>
              <w:rPr>
                <w:rFonts w:hint="eastAsia"/>
                <w:color w:val="000000" w:themeColor="text1"/>
                <w:highlight w:val="none"/>
                <w14:textFill>
                  <w14:solidFill>
                    <w14:schemeClr w14:val="tx1"/>
                  </w14:solidFill>
                </w14:textFill>
              </w:rPr>
              <w:t>后经1根</w:t>
            </w:r>
            <w:r>
              <w:rPr>
                <w:rFonts w:hint="eastAsia"/>
                <w:color w:val="000000" w:themeColor="text1"/>
                <w:highlight w:val="none"/>
                <w:lang w:val="en-US" w:eastAsia="zh-CN"/>
                <w14:textFill>
                  <w14:solidFill>
                    <w14:schemeClr w14:val="tx1"/>
                  </w14:solidFill>
                </w14:textFill>
              </w:rPr>
              <w:t>内径为0.4m高度为</w:t>
            </w:r>
            <w:r>
              <w:rPr>
                <w:rFonts w:hint="eastAsia"/>
                <w:color w:val="000000" w:themeColor="text1"/>
                <w:highlight w:val="none"/>
                <w14:textFill>
                  <w14:solidFill>
                    <w14:schemeClr w14:val="tx1"/>
                  </w14:solidFill>
                </w14:textFill>
              </w:rPr>
              <w:t>15m的排气筒排放</w:t>
            </w:r>
          </w:p>
        </w:tc>
        <w:tc>
          <w:tcPr>
            <w:tcW w:w="1785" w:type="pct"/>
            <w:tcBorders>
              <w:top w:val="single" w:color="000000" w:sz="12" w:space="0"/>
            </w:tcBorders>
            <w:noWrap w:val="0"/>
            <w:vAlign w:val="center"/>
          </w:tcPr>
          <w:p w14:paraId="6DC3B550">
            <w:pPr>
              <w:pStyle w:val="26"/>
              <w:jc w:val="both"/>
              <w:rPr>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r>
              <w:rPr>
                <w:rFonts w:hint="eastAsia" w:cs="Times New Roman"/>
                <w:color w:val="000000" w:themeColor="text1"/>
                <w:highlight w:val="none"/>
                <w:lang w:val="en-US" w:eastAsia="zh-CN"/>
                <w14:textFill>
                  <w14:solidFill>
                    <w14:schemeClr w14:val="tx1"/>
                  </w14:solidFill>
                </w14:textFill>
              </w:rPr>
              <w:t>硫酸雾、氟化物、非甲烷总烃满足</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《大气污染物综合排放标准》（</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GB16297-1996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中二级排放标准</w:t>
            </w:r>
          </w:p>
        </w:tc>
      </w:tr>
      <w:tr w14:paraId="7249F0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472" w:type="pct"/>
            <w:vMerge w:val="continue"/>
            <w:noWrap w:val="0"/>
            <w:vAlign w:val="center"/>
          </w:tcPr>
          <w:p w14:paraId="2F8BCE72">
            <w:pPr>
              <w:pStyle w:val="26"/>
              <w:rPr>
                <w:color w:val="000000" w:themeColor="text1"/>
                <w:highlight w:val="none"/>
                <w14:textFill>
                  <w14:solidFill>
                    <w14:schemeClr w14:val="tx1"/>
                  </w14:solidFill>
                </w14:textFill>
              </w:rPr>
            </w:pPr>
          </w:p>
        </w:tc>
        <w:tc>
          <w:tcPr>
            <w:tcW w:w="835" w:type="pct"/>
            <w:noWrap w:val="0"/>
            <w:vAlign w:val="center"/>
          </w:tcPr>
          <w:p w14:paraId="5C009B61">
            <w:pPr>
              <w:pStyle w:val="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无组织</w:t>
            </w:r>
            <w:r>
              <w:rPr>
                <w:rFonts w:hint="eastAsia"/>
                <w:color w:val="000000" w:themeColor="text1"/>
                <w:highlight w:val="none"/>
                <w14:textFill>
                  <w14:solidFill>
                    <w14:schemeClr w14:val="tx1"/>
                  </w14:solidFill>
                </w14:textFill>
              </w:rPr>
              <w:t>废气</w:t>
            </w:r>
          </w:p>
        </w:tc>
        <w:tc>
          <w:tcPr>
            <w:tcW w:w="1906" w:type="pct"/>
            <w:noWrap w:val="0"/>
            <w:vAlign w:val="center"/>
          </w:tcPr>
          <w:p w14:paraId="66F8232C">
            <w:pPr>
              <w:pStyle w:val="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加强车间通风</w:t>
            </w:r>
          </w:p>
        </w:tc>
        <w:tc>
          <w:tcPr>
            <w:tcW w:w="1785" w:type="pct"/>
            <w:noWrap w:val="0"/>
            <w:vAlign w:val="center"/>
          </w:tcPr>
          <w:p w14:paraId="045A9123">
            <w:pPr>
              <w:pStyle w:val="26"/>
              <w:jc w:val="both"/>
              <w:rPr>
                <w:rFonts w:hint="default"/>
                <w:color w:val="000000" w:themeColor="text1"/>
                <w:highlight w:val="none"/>
                <w:lang w:val="en-US"/>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颗粒物、</w:t>
            </w:r>
            <w:r>
              <w:rPr>
                <w:rFonts w:hint="eastAsia" w:cs="Times New Roman"/>
                <w:color w:val="000000" w:themeColor="text1"/>
                <w:highlight w:val="none"/>
                <w:lang w:val="en-US" w:eastAsia="zh-CN"/>
                <w14:textFill>
                  <w14:solidFill>
                    <w14:schemeClr w14:val="tx1"/>
                  </w14:solidFill>
                </w14:textFill>
              </w:rPr>
              <w:t>硫酸雾、氟化物、非甲烷总烃</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满足《大气污染物综合排放标准》（</w:t>
            </w:r>
            <w:r>
              <w:rPr>
                <w:rFonts w:hint="default" w:ascii="Times New Roman" w:hAnsi="Times New Roman" w:eastAsia="宋体" w:cs="Times New Roman"/>
                <w:color w:val="000000" w:themeColor="text1"/>
                <w:highlight w:val="none"/>
                <w:lang w:val="en-US" w:eastAsia="zh-CN"/>
                <w14:textFill>
                  <w14:solidFill>
                    <w14:schemeClr w14:val="tx1"/>
                  </w14:solidFill>
                </w14:textFill>
              </w:rPr>
              <w:t>GB16297-1996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中</w:t>
            </w:r>
            <w:r>
              <w:rPr>
                <w:rFonts w:hint="eastAsia" w:cs="Times New Roman"/>
                <w:color w:val="000000" w:themeColor="text1"/>
                <w:highlight w:val="none"/>
                <w:lang w:val="en-US" w:eastAsia="zh-CN"/>
                <w14:textFill>
                  <w14:solidFill>
                    <w14:schemeClr w14:val="tx1"/>
                  </w14:solidFill>
                </w14:textFill>
              </w:rPr>
              <w:t>无组织排放限值</w:t>
            </w:r>
          </w:p>
        </w:tc>
      </w:tr>
      <w:tr w14:paraId="790181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472" w:type="pct"/>
            <w:noWrap w:val="0"/>
            <w:vAlign w:val="center"/>
          </w:tcPr>
          <w:p w14:paraId="4A3E513A">
            <w:pPr>
              <w:pStyle w:val="26"/>
              <w:rPr>
                <w:rFonts w:hint="eastAsia"/>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噪声</w:t>
            </w:r>
          </w:p>
        </w:tc>
        <w:tc>
          <w:tcPr>
            <w:tcW w:w="835" w:type="pct"/>
            <w:noWrap w:val="0"/>
            <w:vAlign w:val="center"/>
          </w:tcPr>
          <w:p w14:paraId="1426F112">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厂界噪声</w:t>
            </w:r>
          </w:p>
        </w:tc>
        <w:tc>
          <w:tcPr>
            <w:tcW w:w="1906" w:type="pct"/>
            <w:noWrap w:val="0"/>
            <w:vAlign w:val="center"/>
          </w:tcPr>
          <w:p w14:paraId="6B73594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基础减震、厂房隔音</w:t>
            </w:r>
          </w:p>
        </w:tc>
        <w:tc>
          <w:tcPr>
            <w:tcW w:w="1785" w:type="pct"/>
            <w:noWrap w:val="0"/>
            <w:vAlign w:val="center"/>
          </w:tcPr>
          <w:p w14:paraId="225F4689">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《工业企业厂界环境噪声排放标准》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GB12348-2008）中的</w:t>
            </w:r>
            <w:r>
              <w:rPr>
                <w:rFonts w:hint="eastAsia"/>
                <w:color w:val="000000" w:themeColor="text1"/>
                <w:highlight w:val="none"/>
                <w14:textFill>
                  <w14:solidFill>
                    <w14:schemeClr w14:val="tx1"/>
                  </w14:solidFill>
                </w14:textFill>
              </w:rPr>
              <w:t>3类标准</w:t>
            </w:r>
          </w:p>
        </w:tc>
      </w:tr>
      <w:tr w14:paraId="506E7AC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472" w:type="pct"/>
            <w:vMerge w:val="restart"/>
            <w:noWrap w:val="0"/>
            <w:vAlign w:val="center"/>
          </w:tcPr>
          <w:p w14:paraId="3231AA20">
            <w:pPr>
              <w:pStyle w:val="26"/>
              <w:rPr>
                <w:rFonts w:hint="eastAsia"/>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固体废物</w:t>
            </w:r>
          </w:p>
        </w:tc>
        <w:tc>
          <w:tcPr>
            <w:tcW w:w="835" w:type="pct"/>
            <w:noWrap w:val="0"/>
            <w:vAlign w:val="center"/>
          </w:tcPr>
          <w:p w14:paraId="4671D590">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危险废物</w:t>
            </w:r>
          </w:p>
        </w:tc>
        <w:tc>
          <w:tcPr>
            <w:tcW w:w="1906" w:type="pct"/>
            <w:noWrap w:val="0"/>
            <w:vAlign w:val="center"/>
          </w:tcPr>
          <w:p w14:paraId="5C348B07">
            <w:pPr>
              <w:pStyle w:val="26"/>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1座</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0m</w:t>
            </w:r>
            <w:r>
              <w:rPr>
                <w:rFonts w:hint="eastAsia"/>
                <w:color w:val="000000" w:themeColor="text1"/>
                <w:highlight w:val="none"/>
                <w:vertAlign w:val="superscript"/>
                <w14:textFill>
                  <w14:solidFill>
                    <w14:schemeClr w14:val="tx1"/>
                  </w14:solidFill>
                </w14:textFill>
              </w:rPr>
              <w:t>2</w:t>
            </w:r>
            <w:r>
              <w:rPr>
                <w:rFonts w:hint="eastAsia"/>
                <w:color w:val="000000" w:themeColor="text1"/>
                <w:highlight w:val="none"/>
                <w14:textFill>
                  <w14:solidFill>
                    <w14:schemeClr w14:val="tx1"/>
                  </w14:solidFill>
                </w14:textFill>
              </w:rPr>
              <w:t>危险废物暂存库暂存，定期交由资质单位处置</w:t>
            </w:r>
          </w:p>
        </w:tc>
        <w:tc>
          <w:tcPr>
            <w:tcW w:w="1785" w:type="pct"/>
            <w:noWrap w:val="0"/>
            <w:vAlign w:val="center"/>
          </w:tcPr>
          <w:p w14:paraId="0DC0B258">
            <w:pPr>
              <w:pStyle w:val="26"/>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《危险废物贮存污染控制标准》（GB18597-2023）</w:t>
            </w:r>
          </w:p>
        </w:tc>
      </w:tr>
      <w:tr w14:paraId="5B0799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472" w:type="pct"/>
            <w:vMerge w:val="continue"/>
            <w:noWrap w:val="0"/>
            <w:vAlign w:val="center"/>
          </w:tcPr>
          <w:p w14:paraId="116A3B08">
            <w:pPr>
              <w:pStyle w:val="26"/>
              <w:rPr>
                <w:rFonts w:hint="eastAsia"/>
                <w:color w:val="000000" w:themeColor="text1"/>
                <w:highlight w:val="none"/>
                <w14:textFill>
                  <w14:solidFill>
                    <w14:schemeClr w14:val="tx1"/>
                  </w14:solidFill>
                </w14:textFill>
              </w:rPr>
            </w:pPr>
          </w:p>
        </w:tc>
        <w:tc>
          <w:tcPr>
            <w:tcW w:w="835" w:type="pct"/>
            <w:noWrap w:val="0"/>
            <w:vAlign w:val="center"/>
          </w:tcPr>
          <w:p w14:paraId="494EB83C">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一般固废</w:t>
            </w:r>
          </w:p>
        </w:tc>
        <w:tc>
          <w:tcPr>
            <w:tcW w:w="1906" w:type="pct"/>
            <w:noWrap w:val="0"/>
            <w:vAlign w:val="center"/>
          </w:tcPr>
          <w:p w14:paraId="7043EE76">
            <w:pPr>
              <w:pStyle w:val="26"/>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集中收集</w:t>
            </w:r>
            <w:r>
              <w:rPr>
                <w:rFonts w:hint="eastAsia"/>
                <w:color w:val="000000" w:themeColor="text1"/>
                <w:highlight w:val="none"/>
                <w:lang w:eastAsia="zh-CN"/>
                <w14:textFill>
                  <w14:solidFill>
                    <w14:schemeClr w14:val="tx1"/>
                  </w14:solidFill>
                </w14:textFill>
              </w:rPr>
              <w:t>后</w:t>
            </w:r>
            <w:r>
              <w:rPr>
                <w:rFonts w:hint="eastAsia"/>
                <w:color w:val="000000" w:themeColor="text1"/>
                <w:highlight w:val="none"/>
                <w14:textFill>
                  <w14:solidFill>
                    <w14:schemeClr w14:val="tx1"/>
                  </w14:solidFill>
                </w14:textFill>
              </w:rPr>
              <w:t>定期</w:t>
            </w:r>
            <w:r>
              <w:rPr>
                <w:color w:val="000000" w:themeColor="text1"/>
                <w:highlight w:val="none"/>
                <w14:textFill>
                  <w14:solidFill>
                    <w14:schemeClr w14:val="tx1"/>
                  </w14:solidFill>
                </w14:textFill>
              </w:rPr>
              <w:t>出售</w:t>
            </w:r>
            <w:r>
              <w:rPr>
                <w:rFonts w:hint="eastAsia"/>
                <w:color w:val="000000" w:themeColor="text1"/>
                <w:highlight w:val="none"/>
                <w14:textFill>
                  <w14:solidFill>
                    <w14:schemeClr w14:val="tx1"/>
                  </w14:solidFill>
                </w14:textFill>
              </w:rPr>
              <w:t>于综合利用</w:t>
            </w:r>
          </w:p>
        </w:tc>
        <w:tc>
          <w:tcPr>
            <w:tcW w:w="1785" w:type="pct"/>
            <w:noWrap w:val="0"/>
            <w:vAlign w:val="center"/>
          </w:tcPr>
          <w:p w14:paraId="2EF98801">
            <w:pPr>
              <w:pStyle w:val="26"/>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合理处置</w:t>
            </w:r>
          </w:p>
        </w:tc>
      </w:tr>
      <w:tr w14:paraId="03E69B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472" w:type="pct"/>
            <w:noWrap w:val="0"/>
            <w:vAlign w:val="center"/>
          </w:tcPr>
          <w:p w14:paraId="7D080CF7">
            <w:pPr>
              <w:pStyle w:val="2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环境风险</w:t>
            </w:r>
          </w:p>
        </w:tc>
        <w:tc>
          <w:tcPr>
            <w:tcW w:w="2741" w:type="pct"/>
            <w:gridSpan w:val="2"/>
            <w:noWrap w:val="0"/>
            <w:vAlign w:val="center"/>
          </w:tcPr>
          <w:p w14:paraId="2C531006">
            <w:pPr>
              <w:pStyle w:val="26"/>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生产车间</w:t>
            </w:r>
            <w:r>
              <w:rPr>
                <w:color w:val="000000" w:themeColor="text1"/>
                <w:highlight w:val="none"/>
                <w14:textFill>
                  <w14:solidFill>
                    <w14:schemeClr w14:val="tx1"/>
                  </w14:solidFill>
                </w14:textFill>
              </w:rPr>
              <w:t>、危废暂存库</w:t>
            </w:r>
          </w:p>
        </w:tc>
        <w:tc>
          <w:tcPr>
            <w:tcW w:w="1785" w:type="pct"/>
            <w:noWrap w:val="0"/>
            <w:vAlign w:val="center"/>
          </w:tcPr>
          <w:p w14:paraId="5DAEF244">
            <w:pPr>
              <w:pStyle w:val="2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重点防渗</w:t>
            </w:r>
          </w:p>
        </w:tc>
      </w:tr>
    </w:tbl>
    <w:p w14:paraId="60F5DE08">
      <w:pPr>
        <w:pStyle w:val="3"/>
        <w:rPr>
          <w:rFonts w:hint="eastAsia" w:eastAsia="宋体"/>
          <w:color w:val="000000" w:themeColor="text1"/>
          <w:highlight w:val="none"/>
          <w14:textFill>
            <w14:solidFill>
              <w14:schemeClr w14:val="tx1"/>
            </w14:solidFill>
          </w14:textFill>
        </w:rPr>
      </w:pPr>
      <w:bookmarkStart w:id="1413" w:name="_Toc6262"/>
      <w:bookmarkStart w:id="1414" w:name="_Toc4166"/>
      <w:bookmarkStart w:id="1415" w:name="_Toc11781"/>
      <w:bookmarkStart w:id="1416" w:name="_Toc30165"/>
      <w:bookmarkStart w:id="1417" w:name="_Toc8964"/>
      <w:bookmarkStart w:id="1418" w:name="_Toc8386"/>
      <w:bookmarkStart w:id="1419" w:name="_Toc26563"/>
      <w:bookmarkStart w:id="1420" w:name="_Toc16683"/>
      <w:bookmarkStart w:id="1421" w:name="_Toc13148"/>
      <w:bookmarkStart w:id="1422" w:name="_Toc17641"/>
      <w:bookmarkStart w:id="1423" w:name="_Toc22734"/>
      <w:bookmarkStart w:id="1424" w:name="_Toc17497"/>
      <w:bookmarkStart w:id="1425" w:name="_Toc17108"/>
      <w:bookmarkStart w:id="1426" w:name="_Toc25190"/>
      <w:bookmarkStart w:id="1427" w:name="_Toc17078"/>
      <w:bookmarkStart w:id="1428" w:name="_Toc6901"/>
      <w:bookmarkStart w:id="1429" w:name="_Toc10634"/>
      <w:bookmarkStart w:id="1430" w:name="_Toc21402"/>
      <w:bookmarkStart w:id="1431" w:name="_Toc11126"/>
      <w:bookmarkStart w:id="1432" w:name="_Toc3810"/>
      <w:bookmarkStart w:id="1433" w:name="_Toc789"/>
      <w:bookmarkStart w:id="1434" w:name="_Toc5430"/>
      <w:bookmarkStart w:id="1435" w:name="_Toc22975"/>
      <w:bookmarkStart w:id="1436" w:name="_Toc27673"/>
      <w:bookmarkStart w:id="1437" w:name="_Toc22871"/>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5 </w:t>
      </w:r>
      <w:r>
        <w:rPr>
          <w:color w:val="000000" w:themeColor="text1"/>
          <w:highlight w:val="none"/>
          <w14:textFill>
            <w14:solidFill>
              <w14:schemeClr w14:val="tx1"/>
            </w14:solidFill>
          </w14:textFill>
        </w:rPr>
        <w:t>排污许可</w:t>
      </w:r>
      <w:bookmarkEnd w:id="1413"/>
      <w:bookmarkEnd w:id="1414"/>
      <w:bookmarkEnd w:id="1415"/>
      <w:bookmarkEnd w:id="1416"/>
      <w:bookmarkEnd w:id="1417"/>
      <w:bookmarkEnd w:id="1418"/>
      <w:r>
        <w:rPr>
          <w:rFonts w:hint="eastAsia"/>
          <w:color w:val="000000" w:themeColor="text1"/>
          <w:highlight w:val="none"/>
          <w14:textFill>
            <w14:solidFill>
              <w14:schemeClr w14:val="tx1"/>
            </w14:solidFill>
          </w14:textFill>
        </w:rPr>
        <w:t>衔接</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14:paraId="58480854">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2016年11月，国务院办公厅发布了《控制污染物排放许可制实施方案》，方案指出：“环境影响评价制度是建设项目的环境准入门槛，排污许可制是企事业单位生产运营期排污的法律依据，必须做好充分衔接，实现从污染预防到污染治理和排放控制的全过程监管。新建项目必须在发生实际排污行为之前申领排污许可证，环境影响评价文件及批复中与污染物排放相关的主要内容应当纳入排污许可证，其排污许可证执行情况应作为环境影响后评价的重要依据。”</w:t>
      </w:r>
    </w:p>
    <w:p w14:paraId="4EA0163C">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排污许可制是企事业单位生产运营期排污的法律依据，是确保环境影响评价提出的污染防治设施和措施落实落地的重要保障。建设单位在报批本项目环境影响报告书时，应当</w:t>
      </w:r>
      <w:r>
        <w:rPr>
          <w:rFonts w:hint="eastAsia"/>
          <w:color w:val="000000" w:themeColor="text1"/>
          <w:highlight w:val="none"/>
          <w:lang w:eastAsia="zh-CN"/>
          <w14:textFill>
            <w14:solidFill>
              <w14:schemeClr w14:val="tx1"/>
            </w14:solidFill>
          </w14:textFill>
        </w:rPr>
        <w:t>登录</w:t>
      </w:r>
      <w:r>
        <w:rPr>
          <w:color w:val="000000" w:themeColor="text1"/>
          <w:highlight w:val="none"/>
          <w14:textFill>
            <w14:solidFill>
              <w14:schemeClr w14:val="tx1"/>
            </w14:solidFill>
          </w14:textFill>
        </w:rPr>
        <w:t>建设项目环评审批信息申报系统，在线填报相关信息并对信息的真实性、准确性和完整性负责。</w:t>
      </w:r>
    </w:p>
    <w:p w14:paraId="23DC3812">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因此，本项目在报批环评报告书后，应</w:t>
      </w:r>
      <w:r>
        <w:rPr>
          <w:rFonts w:hint="eastAsia"/>
          <w:color w:val="000000" w:themeColor="text1"/>
          <w:highlight w:val="none"/>
          <w14:textFill>
            <w14:solidFill>
              <w14:schemeClr w14:val="tx1"/>
            </w14:solidFill>
          </w14:textFill>
        </w:rPr>
        <w:t>按照相关要求</w:t>
      </w:r>
      <w:r>
        <w:rPr>
          <w:color w:val="000000" w:themeColor="text1"/>
          <w:highlight w:val="none"/>
          <w14:textFill>
            <w14:solidFill>
              <w14:schemeClr w14:val="tx1"/>
            </w14:solidFill>
          </w14:textFill>
        </w:rPr>
        <w:t>尽快申领排污许可证，作为本项目合法运行的前提。</w:t>
      </w:r>
    </w:p>
    <w:p w14:paraId="7E5668F5">
      <w:pPr>
        <w:rPr>
          <w:color w:val="000000" w:themeColor="text1"/>
          <w:highlight w:val="none"/>
          <w14:textFill>
            <w14:solidFill>
              <w14:schemeClr w14:val="tx1"/>
            </w14:solidFill>
          </w14:textFill>
        </w:rPr>
      </w:pPr>
    </w:p>
    <w:p w14:paraId="0EDB7AA3">
      <w:pPr>
        <w:pStyle w:val="27"/>
        <w:rPr>
          <w:color w:val="000000" w:themeColor="text1"/>
          <w:highlight w:val="none"/>
          <w14:textFill>
            <w14:solidFill>
              <w14:schemeClr w14:val="tx1"/>
            </w14:solidFill>
          </w14:textFill>
        </w:rPr>
      </w:pPr>
    </w:p>
    <w:p w14:paraId="4772C297">
      <w:pPr>
        <w:bidi w:val="0"/>
        <w:rPr>
          <w:color w:val="000000" w:themeColor="text1"/>
          <w:highlight w:val="none"/>
          <w14:textFill>
            <w14:solidFill>
              <w14:schemeClr w14:val="tx1"/>
            </w14:solidFill>
          </w14:textFill>
        </w:rPr>
      </w:pPr>
    </w:p>
    <w:p w14:paraId="7F52019E">
      <w:pPr>
        <w:bidi w:val="0"/>
        <w:rPr>
          <w:color w:val="000000" w:themeColor="text1"/>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484CF5B">
      <w:pPr>
        <w:pStyle w:val="2"/>
        <w:rPr>
          <w:color w:val="000000" w:themeColor="text1"/>
          <w:highlight w:val="none"/>
          <w14:textFill>
            <w14:solidFill>
              <w14:schemeClr w14:val="tx1"/>
            </w14:solidFill>
          </w14:textFill>
        </w:rPr>
      </w:pPr>
      <w:bookmarkStart w:id="1438" w:name="_Toc4616"/>
      <w:bookmarkStart w:id="1439" w:name="_Toc20245"/>
      <w:bookmarkStart w:id="1440" w:name="_Toc23082"/>
      <w:bookmarkStart w:id="1441" w:name="_Toc22662"/>
      <w:bookmarkStart w:id="1442" w:name="_Toc31606"/>
      <w:bookmarkStart w:id="1443" w:name="_Toc24135"/>
      <w:bookmarkStart w:id="1444" w:name="_Toc15275"/>
      <w:bookmarkStart w:id="1445" w:name="_Toc2100"/>
      <w:bookmarkStart w:id="1446" w:name="_Toc4837"/>
      <w:bookmarkStart w:id="1447" w:name="_Toc9824"/>
      <w:bookmarkStart w:id="1448" w:name="_Toc13175"/>
      <w:bookmarkStart w:id="1449" w:name="_Toc3982"/>
      <w:bookmarkStart w:id="1450" w:name="_Toc15379"/>
      <w:bookmarkStart w:id="1451" w:name="_Toc24301"/>
      <w:bookmarkStart w:id="1452" w:name="_Toc3394"/>
      <w:bookmarkStart w:id="1453" w:name="_Toc13655"/>
      <w:r>
        <w:rPr>
          <w:rFonts w:hint="eastAsia"/>
          <w:color w:val="000000" w:themeColor="text1"/>
          <w:highlight w:val="none"/>
          <w:lang w:val="en-US" w:eastAsia="zh-CN"/>
          <w14:textFill>
            <w14:solidFill>
              <w14:schemeClr w14:val="tx1"/>
            </w14:solidFill>
          </w14:textFill>
        </w:rPr>
        <w:t xml:space="preserve">9 </w:t>
      </w:r>
      <w:r>
        <w:rPr>
          <w:color w:val="000000" w:themeColor="text1"/>
          <w:highlight w:val="none"/>
          <w14:textFill>
            <w14:solidFill>
              <w14:schemeClr w14:val="tx1"/>
            </w14:solidFill>
          </w14:textFill>
        </w:rPr>
        <w:t>结论与建议</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14:paraId="622CAC59">
      <w:pPr>
        <w:pStyle w:val="3"/>
        <w:rPr>
          <w:rFonts w:hint="eastAsia"/>
          <w:color w:val="000000" w:themeColor="text1"/>
          <w:highlight w:val="none"/>
          <w14:textFill>
            <w14:solidFill>
              <w14:schemeClr w14:val="tx1"/>
            </w14:solidFill>
          </w14:textFill>
        </w:rPr>
      </w:pPr>
      <w:bookmarkStart w:id="1454" w:name="_bookmark131"/>
      <w:bookmarkEnd w:id="1454"/>
      <w:bookmarkStart w:id="1455" w:name="_Toc7419"/>
      <w:bookmarkStart w:id="1456" w:name="_Toc20753"/>
      <w:bookmarkStart w:id="1457" w:name="_Toc19088"/>
      <w:bookmarkStart w:id="1458" w:name="_Toc18263"/>
      <w:bookmarkStart w:id="1459" w:name="_Toc25521"/>
      <w:bookmarkStart w:id="1460" w:name="_Toc31110"/>
      <w:bookmarkStart w:id="1461" w:name="_Toc21156"/>
      <w:bookmarkStart w:id="1462" w:name="_Toc277"/>
      <w:bookmarkStart w:id="1463" w:name="_Toc10207"/>
      <w:bookmarkStart w:id="1464" w:name="_Toc29062"/>
      <w:bookmarkStart w:id="1465" w:name="_Toc21397"/>
      <w:bookmarkStart w:id="1466" w:name="_Toc4793"/>
      <w:bookmarkStart w:id="1467" w:name="_Toc2638"/>
      <w:bookmarkStart w:id="1468" w:name="_Toc16079"/>
      <w:bookmarkStart w:id="1469" w:name="_Toc180"/>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.1结论</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14:paraId="7763D2C7">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t>项目概况</w:t>
      </w:r>
    </w:p>
    <w:p w14:paraId="7BE4AD4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恒泰晋昇生产速凝剂及硫酸铝外加剂建设项目</w:t>
      </w:r>
      <w:r>
        <w:rPr>
          <w:color w:val="000000" w:themeColor="text1"/>
          <w:highlight w:val="none"/>
          <w14:textFill>
            <w14:solidFill>
              <w14:schemeClr w14:val="tx1"/>
            </w14:solidFill>
          </w14:textFill>
        </w:rPr>
        <w:t>位于</w:t>
      </w:r>
      <w:r>
        <w:rPr>
          <w:rFonts w:hint="eastAsia"/>
          <w:color w:val="000000" w:themeColor="text1"/>
          <w:highlight w:val="none"/>
          <w:lang w:val="en-US" w:eastAsia="zh-CN"/>
          <w14:textFill>
            <w14:solidFill>
              <w14:schemeClr w14:val="tx1"/>
            </w14:solidFill>
          </w14:textFill>
        </w:rPr>
        <w:t>昌吉国家高新技术产业开发区建材区</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租赁</w:t>
      </w:r>
      <w:r>
        <w:rPr>
          <w:rFonts w:hint="eastAsia"/>
          <w:color w:val="000000" w:themeColor="text1"/>
          <w:highlight w:val="none"/>
          <w14:textFill>
            <w14:solidFill>
              <w14:schemeClr w14:val="tx1"/>
            </w14:solidFill>
          </w14:textFill>
        </w:rPr>
        <w:t>新疆恒泰新型建材有限公司现有厂房</w:t>
      </w:r>
      <w:r>
        <w:rPr>
          <w:rFonts w:hint="eastAsia"/>
          <w:color w:val="000000" w:themeColor="text1"/>
          <w:highlight w:val="none"/>
          <w:lang w:val="en-US" w:eastAsia="zh-CN"/>
          <w14:textFill>
            <w14:solidFill>
              <w14:schemeClr w14:val="tx1"/>
            </w14:solidFill>
          </w14:textFill>
        </w:rPr>
        <w:t>进行建设，</w:t>
      </w:r>
      <w:r>
        <w:rPr>
          <w:color w:val="000000" w:themeColor="text1"/>
          <w:highlight w:val="none"/>
          <w14:textFill>
            <w14:solidFill>
              <w14:schemeClr w14:val="tx1"/>
            </w14:solidFill>
          </w14:textFill>
        </w:rPr>
        <w:t>总占地面积</w:t>
      </w:r>
      <w:r>
        <w:rPr>
          <w:rFonts w:hint="eastAsia"/>
          <w:color w:val="000000" w:themeColor="text1"/>
          <w:highlight w:val="none"/>
          <w14:textFill>
            <w14:solidFill>
              <w14:schemeClr w14:val="tx1"/>
            </w14:solidFill>
          </w14:textFill>
        </w:rPr>
        <w:t>3590.87</w:t>
      </w:r>
      <w:r>
        <w:rPr>
          <w:color w:val="000000" w:themeColor="text1"/>
          <w:highlight w:val="none"/>
          <w14:textFill>
            <w14:solidFill>
              <w14:schemeClr w14:val="tx1"/>
            </w14:solidFill>
          </w14:textFill>
        </w:rPr>
        <w:t>平方米</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建设性质</w:t>
      </w:r>
      <w:r>
        <w:rPr>
          <w:rFonts w:hint="eastAsia"/>
          <w:color w:val="000000" w:themeColor="text1"/>
          <w:highlight w:val="none"/>
          <w14:textFill>
            <w14:solidFill>
              <w14:schemeClr w14:val="tx1"/>
            </w14:solidFill>
          </w14:textFill>
        </w:rPr>
        <w:t>为</w:t>
      </w:r>
      <w:r>
        <w:rPr>
          <w:color w:val="000000" w:themeColor="text1"/>
          <w:highlight w:val="none"/>
          <w14:textFill>
            <w14:solidFill>
              <w14:schemeClr w14:val="tx1"/>
            </w14:solidFill>
          </w14:textFill>
        </w:rPr>
        <w:t>新建</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项目总投资</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00万元，</w:t>
      </w:r>
      <w:r>
        <w:rPr>
          <w:color w:val="000000" w:themeColor="text1"/>
          <w:highlight w:val="none"/>
          <w14:textFill>
            <w14:solidFill>
              <w14:schemeClr w14:val="tx1"/>
            </w14:solidFill>
          </w14:textFill>
        </w:rPr>
        <w:t>其中环保投资</w:t>
      </w:r>
      <w:r>
        <w:rPr>
          <w:rFonts w:hint="eastAsia"/>
          <w:color w:val="000000" w:themeColor="text1"/>
          <w:highlight w:val="none"/>
          <w:lang w:val="en-US" w:eastAsia="zh-CN"/>
          <w14:textFill>
            <w14:solidFill>
              <w14:schemeClr w14:val="tx1"/>
            </w14:solidFill>
          </w14:textFill>
        </w:rPr>
        <w:t>37</w:t>
      </w:r>
      <w:r>
        <w:rPr>
          <w:color w:val="000000" w:themeColor="text1"/>
          <w:highlight w:val="none"/>
          <w14:textFill>
            <w14:solidFill>
              <w14:schemeClr w14:val="tx1"/>
            </w14:solidFill>
          </w14:textFill>
        </w:rPr>
        <w:t>万元，占总投资的</w:t>
      </w:r>
      <w:r>
        <w:rPr>
          <w:rFonts w:hint="eastAsia"/>
          <w:color w:val="000000" w:themeColor="text1"/>
          <w:highlight w:val="none"/>
          <w:lang w:val="en-US" w:eastAsia="zh-CN"/>
          <w14:textFill>
            <w14:solidFill>
              <w14:schemeClr w14:val="tx1"/>
            </w14:solidFill>
          </w14:textFill>
        </w:rPr>
        <w:t>12.33</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。项目主要建设内容为：新建1条速凝剂生产线，新建1条硫酸铝生产线，新建1条减水剂生产线，搬迁原有的3条减水剂生产线至新</w:t>
      </w:r>
      <w:r>
        <w:rPr>
          <w:rFonts w:hint="eastAsia"/>
          <w:color w:val="000000" w:themeColor="text1"/>
          <w:highlight w:val="none"/>
          <w:lang w:val="en-US" w:eastAsia="zh-CN"/>
          <w14:textFill>
            <w14:solidFill>
              <w14:schemeClr w14:val="tx1"/>
            </w14:solidFill>
          </w14:textFill>
        </w:rPr>
        <w:t>厂</w:t>
      </w:r>
      <w:r>
        <w:rPr>
          <w:rFonts w:hint="eastAsia"/>
          <w:color w:val="000000" w:themeColor="text1"/>
          <w:highlight w:val="none"/>
          <w14:textFill>
            <w14:solidFill>
              <w14:schemeClr w14:val="tx1"/>
            </w14:solidFill>
          </w14:textFill>
        </w:rPr>
        <w:t>房，新购置设备，项目建成后可形成年产2万吨减水剂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2万吨硫酸铝、2万吨速凝剂。</w:t>
      </w:r>
    </w:p>
    <w:p w14:paraId="18F4B44C">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.1.2</w:t>
      </w:r>
      <w:r>
        <w:rPr>
          <w:color w:val="000000" w:themeColor="text1"/>
          <w:highlight w:val="none"/>
          <w14:textFill>
            <w14:solidFill>
              <w14:schemeClr w14:val="tx1"/>
            </w14:solidFill>
          </w14:textFill>
        </w:rPr>
        <w:t>环境质量现状</w:t>
      </w:r>
    </w:p>
    <w:p w14:paraId="54D390F6">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.1.2.1</w:t>
      </w:r>
      <w:r>
        <w:rPr>
          <w:color w:val="000000" w:themeColor="text1"/>
          <w:highlight w:val="none"/>
          <w14:textFill>
            <w14:solidFill>
              <w14:schemeClr w14:val="tx1"/>
            </w14:solidFill>
          </w14:textFill>
        </w:rPr>
        <w:t>环境空气质量现状</w:t>
      </w:r>
    </w:p>
    <w:p w14:paraId="21540799">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现状环境调查与监测结果表明，评价区环境空气PM</w:t>
      </w:r>
      <w:r>
        <w:rPr>
          <w:color w:val="000000" w:themeColor="text1"/>
          <w:highlight w:val="none"/>
          <w:vertAlign w:val="subscript"/>
          <w14:textFill>
            <w14:solidFill>
              <w14:schemeClr w14:val="tx1"/>
            </w14:solidFill>
          </w14:textFill>
        </w:rPr>
        <w:t>10</w:t>
      </w:r>
      <w:r>
        <w:rPr>
          <w:color w:val="000000" w:themeColor="text1"/>
          <w:highlight w:val="none"/>
          <w14:textFill>
            <w14:solidFill>
              <w14:schemeClr w14:val="tx1"/>
            </w14:solidFill>
          </w14:textFill>
        </w:rPr>
        <w:t>、PM</w:t>
      </w:r>
      <w:r>
        <w:rPr>
          <w:color w:val="000000" w:themeColor="text1"/>
          <w:highlight w:val="none"/>
          <w:vertAlign w:val="subscript"/>
          <w14:textFill>
            <w14:solidFill>
              <w14:schemeClr w14:val="tx1"/>
            </w14:solidFill>
          </w14:textFill>
        </w:rPr>
        <w:t>2.5</w:t>
      </w:r>
      <w:r>
        <w:rPr>
          <w:color w:val="000000" w:themeColor="text1"/>
          <w:highlight w:val="none"/>
          <w14:textFill>
            <w14:solidFill>
              <w14:schemeClr w14:val="tx1"/>
            </w14:solidFill>
          </w14:textFill>
        </w:rPr>
        <w:t>年均质量浓度不能够满足标准要求，项目区属于不达标区，根据补充现状监测结果，根据监测结果，环境空气现状补充监测因子TSP</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氟化物</w:t>
      </w:r>
      <w:r>
        <w:rPr>
          <w:color w:val="000000" w:themeColor="text1"/>
          <w:highlight w:val="none"/>
          <w14:textFill>
            <w14:solidFill>
              <w14:schemeClr w14:val="tx1"/>
            </w14:solidFill>
          </w14:textFill>
        </w:rPr>
        <w:t>符合《环境空气质量标准》（GB3095-20</w:t>
      </w:r>
      <w:r>
        <w:rPr>
          <w:rFonts w:hint="eastAsia"/>
          <w:color w:val="000000" w:themeColor="text1"/>
          <w:highlight w:val="none"/>
          <w:lang w:val="en-US" w:eastAsia="zh-CN"/>
          <w14:textFill>
            <w14:solidFill>
              <w14:schemeClr w14:val="tx1"/>
            </w14:solidFill>
          </w14:textFill>
        </w:rPr>
        <w:t>26</w:t>
      </w:r>
      <w:r>
        <w:rPr>
          <w:color w:val="000000" w:themeColor="text1"/>
          <w:highlight w:val="none"/>
          <w14:textFill>
            <w14:solidFill>
              <w14:schemeClr w14:val="tx1"/>
            </w14:solidFill>
          </w14:textFill>
        </w:rPr>
        <w:t>）标准</w:t>
      </w:r>
      <w:r>
        <w:rPr>
          <w:rFonts w:hint="eastAsia"/>
          <w:color w:val="000000" w:themeColor="text1"/>
          <w:highlight w:val="none"/>
          <w:lang w:val="en-US" w:eastAsia="zh-CN"/>
          <w14:textFill>
            <w14:solidFill>
              <w14:schemeClr w14:val="tx1"/>
            </w14:solidFill>
          </w14:textFill>
        </w:rPr>
        <w:t>限值</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硫酸雾</w:t>
      </w:r>
      <w:r>
        <w:rPr>
          <w:color w:val="000000" w:themeColor="text1"/>
          <w:highlight w:val="none"/>
          <w14:textFill>
            <w14:solidFill>
              <w14:schemeClr w14:val="tx1"/>
            </w14:solidFill>
          </w14:textFill>
        </w:rPr>
        <w:t>符合《环境影响评价技术导则-大气环境》（HJ2.2-2018）附录D的参考浓度限值标准。</w:t>
      </w:r>
    </w:p>
    <w:p w14:paraId="3334A115">
      <w:pPr>
        <w:pStyle w:val="5"/>
        <w:ind w:left="113"/>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.1.2.2</w:t>
      </w:r>
      <w:r>
        <w:rPr>
          <w:color w:val="000000" w:themeColor="text1"/>
          <w:highlight w:val="none"/>
          <w14:textFill>
            <w14:solidFill>
              <w14:schemeClr w14:val="tx1"/>
            </w14:solidFill>
          </w14:textFill>
        </w:rPr>
        <w:t>地下水环境质量现状</w:t>
      </w:r>
    </w:p>
    <w:p w14:paraId="7AF9D40E">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建设项目评价区域范围内地下水各项监测指标均符合《地下水质量标准》（GB</w:t>
      </w:r>
      <w:r>
        <w:rPr>
          <w:rFonts w:hint="eastAsia"/>
          <w:color w:val="000000" w:themeColor="text1"/>
          <w:highlight w:val="none"/>
          <w:lang w:val="en-US" w:eastAsia="zh-CN"/>
          <w14:textFill>
            <w14:solidFill>
              <w14:schemeClr w14:val="tx1"/>
            </w14:solidFill>
          </w14:textFill>
        </w:rPr>
        <w:t>/T</w:t>
      </w:r>
      <w:r>
        <w:rPr>
          <w:color w:val="000000" w:themeColor="text1"/>
          <w:highlight w:val="none"/>
          <w14:textFill>
            <w14:solidFill>
              <w14:schemeClr w14:val="tx1"/>
            </w14:solidFill>
          </w14:textFill>
        </w:rPr>
        <w:t>14848-2017）Ⅲ类标准。</w:t>
      </w:r>
    </w:p>
    <w:p w14:paraId="51679DD0">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.1.2.3</w:t>
      </w:r>
      <w:r>
        <w:rPr>
          <w:color w:val="000000" w:themeColor="text1"/>
          <w:highlight w:val="none"/>
          <w14:textFill>
            <w14:solidFill>
              <w14:schemeClr w14:val="tx1"/>
            </w14:solidFill>
          </w14:textFill>
        </w:rPr>
        <w:t>声环境质量现状</w:t>
      </w:r>
    </w:p>
    <w:p w14:paraId="3B112102">
      <w:pP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项目所在区域现状</w:t>
      </w:r>
      <w:r>
        <w:rPr>
          <w:rFonts w:hint="eastAsia"/>
          <w:color w:val="000000" w:themeColor="text1"/>
          <w:highlight w:val="none"/>
          <w14:textFill>
            <w14:solidFill>
              <w14:schemeClr w14:val="tx1"/>
            </w14:solidFill>
          </w14:textFill>
        </w:rPr>
        <w:t>声环境质量各监测点监测值</w:t>
      </w:r>
      <w:r>
        <w:rPr>
          <w:color w:val="000000" w:themeColor="text1"/>
          <w:highlight w:val="none"/>
          <w14:textFill>
            <w14:solidFill>
              <w14:schemeClr w14:val="tx1"/>
            </w14:solidFill>
          </w14:textFill>
        </w:rPr>
        <w:t>均</w:t>
      </w:r>
      <w:r>
        <w:rPr>
          <w:rFonts w:hint="eastAsia"/>
          <w:color w:val="000000" w:themeColor="text1"/>
          <w:highlight w:val="none"/>
          <w14:textFill>
            <w14:solidFill>
              <w14:schemeClr w14:val="tx1"/>
            </w14:solidFill>
          </w14:textFill>
        </w:rPr>
        <w:t>能</w:t>
      </w:r>
      <w:r>
        <w:rPr>
          <w:color w:val="000000" w:themeColor="text1"/>
          <w:highlight w:val="none"/>
          <w14:textFill>
            <w14:solidFill>
              <w14:schemeClr w14:val="tx1"/>
            </w14:solidFill>
          </w14:textFill>
        </w:rPr>
        <w:t>达到《声环境质量标准》（GB3096-2008）中的</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类标准要求，项目区域声环境质量良好</w:t>
      </w:r>
      <w:r>
        <w:rPr>
          <w:rFonts w:hint="eastAsia"/>
          <w:color w:val="000000" w:themeColor="text1"/>
          <w:highlight w:val="none"/>
          <w14:textFill>
            <w14:solidFill>
              <w14:schemeClr w14:val="tx1"/>
            </w14:solidFill>
          </w14:textFill>
        </w:rPr>
        <w:t>。</w:t>
      </w:r>
    </w:p>
    <w:p w14:paraId="664AAFC0">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.1.2.4</w:t>
      </w:r>
      <w:r>
        <w:rPr>
          <w:color w:val="000000" w:themeColor="text1"/>
          <w:highlight w:val="none"/>
          <w14:textFill>
            <w14:solidFill>
              <w14:schemeClr w14:val="tx1"/>
            </w14:solidFill>
          </w14:textFill>
        </w:rPr>
        <w:t>土壤环境质量现状</w:t>
      </w:r>
    </w:p>
    <w:p w14:paraId="5ABB0F0D">
      <w:pPr>
        <w:bidi w:val="0"/>
        <w:rPr>
          <w:color w:val="000000" w:themeColor="text1"/>
          <w:highlight w:val="none"/>
          <w14:textFill>
            <w14:solidFill>
              <w14:schemeClr w14:val="tx1"/>
            </w14:solidFill>
          </w14:textFill>
        </w:rPr>
      </w:pPr>
      <w:bookmarkStart w:id="1470" w:name="_Toc10226"/>
      <w:bookmarkStart w:id="1471" w:name="_Toc29179"/>
      <w:r>
        <w:rPr>
          <w:rFonts w:hint="eastAsia"/>
          <w:color w:val="000000" w:themeColor="text1"/>
          <w:highlight w:val="none"/>
          <w14:textFill>
            <w14:solidFill>
              <w14:schemeClr w14:val="tx1"/>
            </w14:solidFill>
          </w14:textFill>
        </w:rPr>
        <w:t>项目区内</w:t>
      </w:r>
      <w:r>
        <w:rPr>
          <w:rFonts w:hint="eastAsia"/>
          <w:color w:val="000000" w:themeColor="text1"/>
          <w:highlight w:val="none"/>
          <w:lang w:eastAsia="zh-CN"/>
          <w14:textFill>
            <w14:solidFill>
              <w14:schemeClr w14:val="tx1"/>
            </w14:solidFill>
          </w14:textFill>
        </w:rPr>
        <w:t>外</w:t>
      </w:r>
      <w:r>
        <w:rPr>
          <w:rFonts w:hint="eastAsia"/>
          <w:color w:val="000000" w:themeColor="text1"/>
          <w:highlight w:val="none"/>
          <w14:textFill>
            <w14:solidFill>
              <w14:schemeClr w14:val="tx1"/>
            </w14:solidFill>
          </w14:textFill>
        </w:rPr>
        <w:t>土壤监测点指标符合《土壤环境质量 建设用地土壤污染风险管控标准（试行）》</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GB36600-2018</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第二类用地筛选值</w:t>
      </w:r>
      <w:r>
        <w:rPr>
          <w:color w:val="000000" w:themeColor="text1"/>
          <w:highlight w:val="none"/>
          <w14:textFill>
            <w14:solidFill>
              <w14:schemeClr w14:val="tx1"/>
            </w14:solidFill>
          </w14:textFill>
        </w:rPr>
        <w:t>。</w:t>
      </w:r>
    </w:p>
    <w:p w14:paraId="1798EAB1">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t>主要环境影响分析结论</w:t>
      </w:r>
      <w:bookmarkEnd w:id="1470"/>
      <w:bookmarkEnd w:id="1471"/>
    </w:p>
    <w:p w14:paraId="1C34DD6F">
      <w:pPr>
        <w:pStyle w:val="5"/>
        <w:ind w:left="113"/>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.1.3.1大气环境</w:t>
      </w:r>
      <w:r>
        <w:rPr>
          <w:color w:val="000000" w:themeColor="text1"/>
          <w:highlight w:val="none"/>
          <w14:textFill>
            <w14:solidFill>
              <w14:schemeClr w14:val="tx1"/>
            </w14:solidFill>
          </w14:textFill>
        </w:rPr>
        <w:t>影响分析结论</w:t>
      </w:r>
    </w:p>
    <w:p w14:paraId="34E67297">
      <w:pP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w:t>
      </w:r>
      <w:r>
        <w:rPr>
          <w:rFonts w:hint="eastAsia"/>
          <w:color w:val="000000" w:themeColor="text1"/>
          <w:highlight w:val="none"/>
          <w14:textFill>
            <w14:solidFill>
              <w14:schemeClr w14:val="tx1"/>
            </w14:solidFill>
          </w14:textFill>
        </w:rPr>
        <w:t>废气采用水喷淋+碱喷淋+除雾器+二级活性炭处理后经过1根</w:t>
      </w:r>
      <w:r>
        <w:rPr>
          <w:rFonts w:hint="eastAsia"/>
          <w:color w:val="000000" w:themeColor="text1"/>
          <w:highlight w:val="none"/>
          <w:lang w:val="en-US" w:eastAsia="zh-CN"/>
          <w14:textFill>
            <w14:solidFill>
              <w14:schemeClr w14:val="tx1"/>
            </w14:solidFill>
          </w14:textFill>
        </w:rPr>
        <w:t>内径为0.4m高度为</w:t>
      </w:r>
      <w:r>
        <w:rPr>
          <w:rFonts w:hint="eastAsia"/>
          <w:color w:val="000000" w:themeColor="text1"/>
          <w:highlight w:val="none"/>
          <w14:textFill>
            <w14:solidFill>
              <w14:schemeClr w14:val="tx1"/>
            </w14:solidFill>
          </w14:textFill>
        </w:rPr>
        <w:t>15m的排气筒排放，</w:t>
      </w:r>
      <w:r>
        <w:rPr>
          <w:color w:val="000000" w:themeColor="text1"/>
          <w:highlight w:val="none"/>
          <w14:textFill>
            <w14:solidFill>
              <w14:schemeClr w14:val="tx1"/>
            </w14:solidFill>
          </w14:textFill>
        </w:rPr>
        <w:t>废气经上述措施处理后</w:t>
      </w:r>
      <w:r>
        <w:rPr>
          <w:rFonts w:hint="eastAsia"/>
          <w:color w:val="000000" w:themeColor="text1"/>
          <w:highlight w:val="none"/>
          <w14:textFill>
            <w14:solidFill>
              <w14:schemeClr w14:val="tx1"/>
            </w14:solidFill>
          </w14:textFill>
        </w:rPr>
        <w:t>可以满足达标排放的要求，对周边大气环境影响较小。</w:t>
      </w:r>
    </w:p>
    <w:p w14:paraId="6FCE7822">
      <w:pPr>
        <w:pStyle w:val="5"/>
        <w:ind w:left="113"/>
        <w:rPr>
          <w:rFonts w:hint="eastAsia" w:eastAsia="黑体"/>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.1.3.2</w:t>
      </w:r>
      <w:r>
        <w:rPr>
          <w:color w:val="000000" w:themeColor="text1"/>
          <w:highlight w:val="none"/>
          <w14:textFill>
            <w14:solidFill>
              <w14:schemeClr w14:val="tx1"/>
            </w14:solidFill>
          </w14:textFill>
        </w:rPr>
        <w:t>水环境影响分析</w:t>
      </w:r>
      <w:r>
        <w:rPr>
          <w:rFonts w:hint="eastAsia"/>
          <w:color w:val="000000" w:themeColor="text1"/>
          <w:highlight w:val="none"/>
          <w:lang w:val="en-US"/>
          <w14:textFill>
            <w14:solidFill>
              <w14:schemeClr w14:val="tx1"/>
            </w14:solidFill>
          </w14:textFill>
        </w:rPr>
        <w:t>结论</w:t>
      </w:r>
    </w:p>
    <w:p w14:paraId="6403D0B2">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在正常工况下不会对地下水环境造成影响；在通过运用解析法对非正常工况下防渗层破裂情景下模拟及预测对区域地下水环境的影响，结果显示：若不采取防渗措施，一旦发生泄漏，将会对项目附近区域地下水造成一定影响</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针对可能出现的事故情景，报告制定了相应的监测方案和应急措施。在相关保护措施实施后，该项目对地下水环境的影响是可以接受的。</w:t>
      </w:r>
    </w:p>
    <w:p w14:paraId="68FB4872">
      <w:pPr>
        <w:pStyle w:val="5"/>
        <w:ind w:left="113"/>
        <w:rPr>
          <w:rFonts w:eastAsia="黑体"/>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.1.3.3</w:t>
      </w:r>
      <w:r>
        <w:rPr>
          <w:color w:val="000000" w:themeColor="text1"/>
          <w:highlight w:val="none"/>
          <w14:textFill>
            <w14:solidFill>
              <w14:schemeClr w14:val="tx1"/>
            </w14:solidFill>
          </w14:textFill>
        </w:rPr>
        <w:t>声环境影响</w:t>
      </w:r>
      <w:r>
        <w:rPr>
          <w:rFonts w:hint="eastAsia"/>
          <w:color w:val="000000" w:themeColor="text1"/>
          <w:highlight w:val="none"/>
          <w:lang w:val="en-US"/>
          <w14:textFill>
            <w14:solidFill>
              <w14:schemeClr w14:val="tx1"/>
            </w14:solidFill>
          </w14:textFill>
        </w:rPr>
        <w:t>分析结论</w:t>
      </w:r>
    </w:p>
    <w:p w14:paraId="67F6BDA7">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项目噪声主要为各机械设备运行噪声，为减轻噪声对周围环境产生的不利影响，在设计和设备采购</w:t>
      </w:r>
      <w:r>
        <w:rPr>
          <w:rFonts w:hint="eastAsia"/>
          <w:color w:val="000000" w:themeColor="text1"/>
          <w:highlight w:val="none"/>
          <w:lang w:eastAsia="zh-CN"/>
          <w14:textFill>
            <w14:solidFill>
              <w14:schemeClr w14:val="tx1"/>
            </w14:solidFill>
          </w14:textFill>
        </w:rPr>
        <w:t>阶段</w:t>
      </w:r>
      <w:r>
        <w:rPr>
          <w:color w:val="000000" w:themeColor="text1"/>
          <w:highlight w:val="none"/>
          <w14:textFill>
            <w14:solidFill>
              <w14:schemeClr w14:val="tx1"/>
            </w14:solidFill>
          </w14:textFill>
        </w:rPr>
        <w:t>，优先选用低噪声设备，从源头上控制噪声源强。</w:t>
      </w:r>
      <w:r>
        <w:rPr>
          <w:rFonts w:hint="eastAsia"/>
          <w:color w:val="000000" w:themeColor="text1"/>
          <w:highlight w:val="none"/>
          <w14:textFill>
            <w14:solidFill>
              <w14:schemeClr w14:val="tx1"/>
            </w14:solidFill>
          </w14:textFill>
        </w:rPr>
        <w:t>通过</w:t>
      </w:r>
      <w:r>
        <w:rPr>
          <w:rFonts w:hint="eastAsia" w:ascii="宋体" w:hAnsi="宋体" w:cs="宋体"/>
          <w:color w:val="000000" w:themeColor="text1"/>
          <w:kern w:val="0"/>
          <w:highlight w:val="none"/>
          <w:lang w:bidi="ar"/>
          <w14:textFill>
            <w14:solidFill>
              <w14:schemeClr w14:val="tx1"/>
            </w14:solidFill>
          </w14:textFill>
        </w:rPr>
        <w:t>合理布局采用</w:t>
      </w:r>
      <w:r>
        <w:rPr>
          <w:color w:val="000000" w:themeColor="text1"/>
          <w:kern w:val="0"/>
          <w:highlight w:val="none"/>
          <w:lang w:bidi="ar"/>
          <w14:textFill>
            <w14:solidFill>
              <w14:schemeClr w14:val="tx1"/>
            </w14:solidFill>
          </w14:textFill>
        </w:rPr>
        <w:t>“</w:t>
      </w:r>
      <w:r>
        <w:rPr>
          <w:rFonts w:hint="eastAsia" w:ascii="宋体" w:hAnsi="宋体" w:cs="宋体"/>
          <w:color w:val="000000" w:themeColor="text1"/>
          <w:kern w:val="0"/>
          <w:highlight w:val="none"/>
          <w:lang w:bidi="ar"/>
          <w14:textFill>
            <w14:solidFill>
              <w14:schemeClr w14:val="tx1"/>
            </w14:solidFill>
          </w14:textFill>
        </w:rPr>
        <w:t>闹静分开</w:t>
      </w:r>
      <w:r>
        <w:rPr>
          <w:color w:val="000000" w:themeColor="text1"/>
          <w:kern w:val="0"/>
          <w:highlight w:val="none"/>
          <w:lang w:bidi="ar"/>
          <w14:textFill>
            <w14:solidFill>
              <w14:schemeClr w14:val="tx1"/>
            </w14:solidFill>
          </w14:textFill>
        </w:rPr>
        <w:t>”</w:t>
      </w:r>
      <w:r>
        <w:rPr>
          <w:rFonts w:hint="eastAsia" w:ascii="宋体" w:hAnsi="宋体" w:cs="宋体"/>
          <w:color w:val="000000" w:themeColor="text1"/>
          <w:kern w:val="0"/>
          <w:highlight w:val="none"/>
          <w:lang w:bidi="ar"/>
          <w14:textFill>
            <w14:solidFill>
              <w14:schemeClr w14:val="tx1"/>
            </w14:solidFill>
          </w14:textFill>
        </w:rPr>
        <w:t>和合理布局的设施原则，尽量将高噪声源远离噪声敏感区域或厂界，在车间、厂区周围建设一定高度的隔声屏障，如围墙，减少对车间外或厂区外声环境的影响，种植一定宽度的乔木、灌木林，亦有利于减少噪声污染。项目优先选用低噪声设备，噪声设备置于密封室内，采取</w:t>
      </w:r>
      <w:r>
        <w:rPr>
          <w:rFonts w:hint="eastAsia" w:ascii="宋体" w:hAnsi="宋体" w:cs="宋体"/>
          <w:color w:val="000000" w:themeColor="text1"/>
          <w:kern w:val="0"/>
          <w:highlight w:val="none"/>
          <w:lang w:eastAsia="zh-CN" w:bidi="ar"/>
          <w14:textFill>
            <w14:solidFill>
              <w14:schemeClr w14:val="tx1"/>
            </w14:solidFill>
          </w14:textFill>
        </w:rPr>
        <w:t>减振措施</w:t>
      </w:r>
      <w:r>
        <w:rPr>
          <w:rFonts w:hint="eastAsia" w:ascii="宋体" w:hAnsi="宋体" w:cs="宋体"/>
          <w:color w:val="000000" w:themeColor="text1"/>
          <w:kern w:val="0"/>
          <w:highlight w:val="none"/>
          <w:lang w:bidi="ar"/>
          <w14:textFill>
            <w14:solidFill>
              <w14:schemeClr w14:val="tx1"/>
            </w14:solidFill>
          </w14:textFill>
        </w:rPr>
        <w:t>、安装隔声门窗等。所用风机均置于室内，通过对风机加装隔声罩、消声器，再加上厂房隔声。</w:t>
      </w:r>
      <w:r>
        <w:rPr>
          <w:color w:val="000000" w:themeColor="text1"/>
          <w:highlight w:val="none"/>
          <w14:textFill>
            <w14:solidFill>
              <w14:schemeClr w14:val="tx1"/>
            </w14:solidFill>
          </w14:textFill>
        </w:rPr>
        <w:t>同时加强设备的日常维护保养，使其处于良好的工况，避免设备因不正常运转产生的高噪声现象。在采取以上措施后，厂界四周噪声可满足《工业企业厂界环境噪声排放标准》（GB12348-2008）中</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类区标准的要求，噪声防治措施是可行的。</w:t>
      </w:r>
    </w:p>
    <w:p w14:paraId="589D87C4">
      <w:pPr>
        <w:pStyle w:val="5"/>
        <w:ind w:left="113"/>
        <w:rPr>
          <w:rFonts w:eastAsia="黑体"/>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.1.3.4</w:t>
      </w:r>
      <w:r>
        <w:rPr>
          <w:color w:val="000000" w:themeColor="text1"/>
          <w:highlight w:val="none"/>
          <w14:textFill>
            <w14:solidFill>
              <w14:schemeClr w14:val="tx1"/>
            </w14:solidFill>
          </w14:textFill>
        </w:rPr>
        <w:t>固体废物</w:t>
      </w:r>
      <w:r>
        <w:rPr>
          <w:rFonts w:hint="eastAsia"/>
          <w:color w:val="000000" w:themeColor="text1"/>
          <w:highlight w:val="none"/>
          <w:lang w:val="en-US"/>
          <w14:textFill>
            <w14:solidFill>
              <w14:schemeClr w14:val="tx1"/>
            </w14:solidFill>
          </w14:textFill>
        </w:rPr>
        <w:t>环境影响分析结论</w:t>
      </w:r>
    </w:p>
    <w:p w14:paraId="68517FC6">
      <w:pPr>
        <w:rPr>
          <w:color w:val="000000" w:themeColor="text1"/>
          <w:highlight w:val="none"/>
          <w14:textFill>
            <w14:solidFill>
              <w14:schemeClr w14:val="tx1"/>
            </w14:solidFill>
          </w14:textFill>
        </w:rPr>
      </w:pPr>
      <w:bookmarkStart w:id="1472" w:name="_bookmark132"/>
      <w:bookmarkEnd w:id="1472"/>
      <w:bookmarkStart w:id="1473" w:name="_bookmark133"/>
      <w:bookmarkEnd w:id="1473"/>
      <w:bookmarkStart w:id="1474" w:name="_Toc16779"/>
      <w:bookmarkStart w:id="1475" w:name="_Toc23659"/>
      <w:r>
        <w:rPr>
          <w:rFonts w:hint="eastAsia"/>
          <w:color w:val="000000" w:themeColor="text1"/>
          <w:highlight w:val="none"/>
          <w14:textFill>
            <w14:solidFill>
              <w14:schemeClr w14:val="tx1"/>
            </w14:solidFill>
          </w14:textFill>
        </w:rPr>
        <w:t>项目产生的固体废物主要包括工业固废（包括危险废物、一般固体废物）、生活垃圾。</w:t>
      </w:r>
    </w:p>
    <w:p w14:paraId="68A1EB54">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各类危险废物收集后分区暂存于危废</w:t>
      </w:r>
      <w:r>
        <w:rPr>
          <w:rFonts w:hint="eastAsia"/>
          <w:color w:val="000000" w:themeColor="text1"/>
          <w:highlight w:val="none"/>
          <w:lang w:val="en-US" w:eastAsia="zh-CN"/>
          <w14:textFill>
            <w14:solidFill>
              <w14:schemeClr w14:val="tx1"/>
            </w14:solidFill>
          </w14:textFill>
        </w:rPr>
        <w:t>贮存</w:t>
      </w:r>
      <w:r>
        <w:rPr>
          <w:rFonts w:hint="eastAsia"/>
          <w:color w:val="000000" w:themeColor="text1"/>
          <w:highlight w:val="none"/>
          <w14:textFill>
            <w14:solidFill>
              <w14:schemeClr w14:val="tx1"/>
            </w14:solidFill>
          </w14:textFill>
        </w:rPr>
        <w:t>库内，同时建立危险废物转移计划及管理台账，定期外委有资质单位妥善处理；一般固体废物可集中外售处置；企业做好固体废物收集、贮存、运输和处置等工作对环境影响不大。</w:t>
      </w:r>
    </w:p>
    <w:p w14:paraId="61E082ED">
      <w:pPr>
        <w:pStyle w:val="5"/>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lang w:val="en-US"/>
          <w14:textFill>
            <w14:solidFill>
              <w14:schemeClr w14:val="tx1"/>
            </w14:solidFill>
          </w14:textFill>
        </w:rPr>
        <w:t>.1.3.5</w:t>
      </w:r>
      <w:r>
        <w:rPr>
          <w:color w:val="000000" w:themeColor="text1"/>
          <w:highlight w:val="none"/>
          <w:lang w:val="en-US"/>
          <w14:textFill>
            <w14:solidFill>
              <w14:schemeClr w14:val="tx1"/>
            </w14:solidFill>
          </w14:textFill>
        </w:rPr>
        <w:t>环境风险防治</w:t>
      </w:r>
      <w:r>
        <w:rPr>
          <w:rFonts w:hint="eastAsia"/>
          <w:color w:val="000000" w:themeColor="text1"/>
          <w:highlight w:val="none"/>
          <w:lang w:val="en-US"/>
          <w14:textFill>
            <w14:solidFill>
              <w14:schemeClr w14:val="tx1"/>
            </w14:solidFill>
          </w14:textFill>
        </w:rPr>
        <w:t>结论</w:t>
      </w:r>
    </w:p>
    <w:p w14:paraId="405306E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为杜绝生产装置发生环境风险事故时污水、消防水等携带物料进入排水系统排至厂外，本项目应建立环境风险事故三级防范措施。一级防控措施将污染物控制在</w:t>
      </w:r>
      <w:r>
        <w:rPr>
          <w:rFonts w:hint="eastAsia"/>
          <w:color w:val="000000" w:themeColor="text1"/>
          <w:highlight w:val="none"/>
          <w:lang w:val="en-US" w:eastAsia="zh-CN"/>
          <w14:textFill>
            <w14:solidFill>
              <w14:schemeClr w14:val="tx1"/>
            </w14:solidFill>
          </w14:textFill>
        </w:rPr>
        <w:t>生产</w:t>
      </w:r>
      <w:r>
        <w:rPr>
          <w:rFonts w:hint="eastAsia"/>
          <w:color w:val="000000" w:themeColor="text1"/>
          <w:highlight w:val="none"/>
          <w14:textFill>
            <w14:solidFill>
              <w14:schemeClr w14:val="tx1"/>
            </w14:solidFill>
          </w14:textFill>
        </w:rPr>
        <w:t>区；二级防控将污染物控制在排水系统事故缓冲池；三级防控将污染物控制在厂内。本工程工艺装置发生风险事故，通过污水管线排入事故应急池，事故应急池的容积应做防渗防腐处理。在建设单位落实好本报告书提出的风险</w:t>
      </w:r>
      <w:r>
        <w:rPr>
          <w:rFonts w:hint="eastAsia"/>
          <w:color w:val="000000" w:themeColor="text1"/>
          <w:highlight w:val="none"/>
          <w:lang w:eastAsia="zh-CN"/>
          <w14:textFill>
            <w14:solidFill>
              <w14:schemeClr w14:val="tx1"/>
            </w14:solidFill>
          </w14:textFill>
        </w:rPr>
        <w:t>防范措施</w:t>
      </w:r>
      <w:r>
        <w:rPr>
          <w:rFonts w:hint="eastAsia"/>
          <w:color w:val="000000" w:themeColor="text1"/>
          <w:highlight w:val="none"/>
          <w14:textFill>
            <w14:solidFill>
              <w14:schemeClr w14:val="tx1"/>
            </w14:solidFill>
          </w14:textFill>
        </w:rPr>
        <w:t>的要求后，本项目的环境</w:t>
      </w:r>
      <w:r>
        <w:rPr>
          <w:rFonts w:hint="eastAsia"/>
          <w:color w:val="000000" w:themeColor="text1"/>
          <w:highlight w:val="none"/>
          <w:lang w:eastAsia="zh-CN"/>
          <w14:textFill>
            <w14:solidFill>
              <w14:schemeClr w14:val="tx1"/>
            </w14:solidFill>
          </w14:textFill>
        </w:rPr>
        <w:t>风险</w:t>
      </w:r>
      <w:r>
        <w:rPr>
          <w:rFonts w:hint="eastAsia"/>
          <w:color w:val="000000" w:themeColor="text1"/>
          <w:highlight w:val="none"/>
          <w14:textFill>
            <w14:solidFill>
              <w14:schemeClr w14:val="tx1"/>
            </w14:solidFill>
          </w14:textFill>
        </w:rPr>
        <w:t>可控。</w:t>
      </w:r>
    </w:p>
    <w:p w14:paraId="35AED86C">
      <w:pPr>
        <w:pStyle w:val="4"/>
        <w:rPr>
          <w:color w:val="000000" w:themeColor="text1"/>
          <w:highlight w:val="none"/>
          <w14:textFill>
            <w14:solidFill>
              <w14:schemeClr w14:val="tx1"/>
            </w14:solidFill>
          </w14:textFill>
        </w:rPr>
      </w:pPr>
      <w:bookmarkStart w:id="1476" w:name="_Toc5322"/>
      <w:bookmarkStart w:id="1477" w:name="_Toc17883"/>
      <w:bookmarkStart w:id="1478" w:name="_Toc8850"/>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t>环境管理与监测计划</w:t>
      </w:r>
      <w:bookmarkEnd w:id="1476"/>
      <w:bookmarkEnd w:id="1477"/>
      <w:bookmarkEnd w:id="1478"/>
    </w:p>
    <w:p w14:paraId="3FEC223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建设单位设置专职环保机构并建立相应的环境管理体系，落实排污口规范化工作，按照规定申请排污许可证。建设项目竣工后，建设单位应进行自主验收。竣工环保验收通过后，方可正式投产运行。</w:t>
      </w:r>
    </w:p>
    <w:p w14:paraId="1D438D99">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根据本项目特点，工程运营期应按照本次评价提出的建议环境监测计划、国家发布的最新监测要求以及环境保护主管部门的要求落实环境监测计划。</w:t>
      </w:r>
    </w:p>
    <w:p w14:paraId="48F86D4C">
      <w:pPr>
        <w:pStyle w:val="4"/>
        <w:rPr>
          <w:color w:val="000000" w:themeColor="text1"/>
          <w:highlight w:val="none"/>
          <w14:textFill>
            <w14:solidFill>
              <w14:schemeClr w14:val="tx1"/>
            </w14:solidFill>
          </w14:textFill>
        </w:rPr>
      </w:pPr>
      <w:bookmarkStart w:id="1479" w:name="_Toc23405"/>
      <w:bookmarkStart w:id="1480" w:name="_Toc10632"/>
      <w:bookmarkStart w:id="1481" w:name="_Toc31374"/>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t>公众参与</w:t>
      </w:r>
      <w:bookmarkEnd w:id="1479"/>
      <w:bookmarkEnd w:id="1480"/>
      <w:bookmarkEnd w:id="1481"/>
      <w:r>
        <w:rPr>
          <w:color w:val="000000" w:themeColor="text1"/>
          <w:highlight w:val="none"/>
          <w14:textFill>
            <w14:solidFill>
              <w14:schemeClr w14:val="tx1"/>
            </w14:solidFill>
          </w14:textFill>
        </w:rPr>
        <w:t xml:space="preserve"> </w:t>
      </w:r>
    </w:p>
    <w:p w14:paraId="4444F6CC">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根据《环境影响评价公众参与办法》（部令第4号）的要求，建设单位对本项目</w:t>
      </w:r>
      <w:r>
        <w:rPr>
          <w:rFonts w:hint="eastAsia"/>
          <w:color w:val="000000" w:themeColor="text1"/>
          <w:highlight w:val="none"/>
          <w:lang w:val="en-US" w:eastAsia="zh-CN"/>
          <w14:textFill>
            <w14:solidFill>
              <w14:schemeClr w14:val="tx1"/>
            </w14:solidFill>
          </w14:textFill>
        </w:rPr>
        <w:t>于</w:t>
      </w:r>
      <w:r>
        <w:rPr>
          <w:rFonts w:ascii="Times New Roman" w:hAnsi="宋体" w:cs="Times New Roman"/>
          <w:color w:val="000000" w:themeColor="text1"/>
          <w:sz w:val="24"/>
          <w:highlight w:val="none"/>
          <w14:textFill>
            <w14:solidFill>
              <w14:schemeClr w14:val="tx1"/>
            </w14:solidFill>
          </w14:textFill>
        </w:rPr>
        <w:t>20</w:t>
      </w:r>
      <w:r>
        <w:rPr>
          <w:rFonts w:hint="eastAsia" w:hAnsi="宋体" w:cs="Times New Roman"/>
          <w:color w:val="000000" w:themeColor="text1"/>
          <w:sz w:val="24"/>
          <w:highlight w:val="none"/>
          <w:lang w:val="en-US" w:eastAsia="zh-CN"/>
          <w14:textFill>
            <w14:solidFill>
              <w14:schemeClr w14:val="tx1"/>
            </w14:solidFill>
          </w14:textFill>
        </w:rPr>
        <w:t>26</w:t>
      </w:r>
      <w:r>
        <w:rPr>
          <w:rFonts w:ascii="Times New Roman" w:hAnsi="宋体" w:cs="Times New Roman"/>
          <w:color w:val="000000" w:themeColor="text1"/>
          <w:sz w:val="24"/>
          <w:highlight w:val="none"/>
          <w14:textFill>
            <w14:solidFill>
              <w14:schemeClr w14:val="tx1"/>
            </w14:solidFill>
          </w14:textFill>
        </w:rPr>
        <w:t>年</w:t>
      </w:r>
      <w:r>
        <w:rPr>
          <w:rFonts w:hint="eastAsia" w:hAnsi="宋体" w:cs="Times New Roman"/>
          <w:color w:val="000000" w:themeColor="text1"/>
          <w:sz w:val="24"/>
          <w:highlight w:val="none"/>
          <w:lang w:val="en-US" w:eastAsia="zh-CN"/>
          <w14:textFill>
            <w14:solidFill>
              <w14:schemeClr w14:val="tx1"/>
            </w14:solidFill>
          </w14:textFill>
        </w:rPr>
        <w:t>4</w:t>
      </w:r>
      <w:r>
        <w:rPr>
          <w:rFonts w:ascii="Times New Roman" w:hAnsi="宋体" w:cs="Times New Roman"/>
          <w:color w:val="000000" w:themeColor="text1"/>
          <w:sz w:val="24"/>
          <w:highlight w:val="none"/>
          <w14:textFill>
            <w14:solidFill>
              <w14:schemeClr w14:val="tx1"/>
            </w14:solidFill>
          </w14:textFill>
        </w:rPr>
        <w:t>月</w:t>
      </w:r>
      <w:r>
        <w:rPr>
          <w:rFonts w:hint="eastAsia" w:hAnsi="宋体" w:cs="Times New Roman"/>
          <w:color w:val="000000" w:themeColor="text1"/>
          <w:sz w:val="24"/>
          <w:highlight w:val="none"/>
          <w:lang w:val="en-US" w:eastAsia="zh-CN"/>
          <w14:textFill>
            <w14:solidFill>
              <w14:schemeClr w14:val="tx1"/>
            </w14:solidFill>
          </w14:textFill>
        </w:rPr>
        <w:t>9</w:t>
      </w:r>
      <w:r>
        <w:rPr>
          <w:rFonts w:ascii="Times New Roman" w:hAnsi="宋体" w:cs="Times New Roman"/>
          <w:color w:val="000000" w:themeColor="text1"/>
          <w:sz w:val="24"/>
          <w:highlight w:val="none"/>
          <w14:textFill>
            <w14:solidFill>
              <w14:schemeClr w14:val="tx1"/>
            </w14:solidFill>
          </w14:textFill>
        </w:rPr>
        <w:t>日</w:t>
      </w:r>
      <w:r>
        <w:rPr>
          <w:rFonts w:hint="eastAsia" w:ascii="Times New Roman" w:hAnsi="宋体" w:cs="Times New Roman"/>
          <w:color w:val="000000" w:themeColor="text1"/>
          <w:sz w:val="24"/>
          <w:highlight w:val="none"/>
          <w:lang w:val="en-US" w:eastAsia="zh-CN"/>
          <w14:textFill>
            <w14:solidFill>
              <w14:schemeClr w14:val="tx1"/>
            </w14:solidFill>
          </w14:textFill>
        </w:rPr>
        <w:t>在</w:t>
      </w:r>
      <w:r>
        <w:rPr>
          <w:rFonts w:hint="eastAsia" w:hAnsi="宋体" w:cs="Times New Roman"/>
          <w:color w:val="000000" w:themeColor="text1"/>
          <w:sz w:val="24"/>
          <w:highlight w:val="none"/>
          <w:lang w:val="en-US" w:eastAsia="zh-CN"/>
          <w14:textFill>
            <w14:solidFill>
              <w14:schemeClr w14:val="tx1"/>
            </w14:solidFill>
          </w14:textFill>
        </w:rPr>
        <w:t>全国建设项目环境信息公示平台</w:t>
      </w:r>
      <w:r>
        <w:rPr>
          <w:rFonts w:hint="default" w:ascii="Times New Roman" w:hAnsi="宋体" w:cs="Times New Roman"/>
          <w:color w:val="000000" w:themeColor="text1"/>
          <w:sz w:val="24"/>
          <w:highlight w:val="none"/>
          <w14:textFill>
            <w14:solidFill>
              <w14:schemeClr w14:val="tx1"/>
            </w14:solidFill>
          </w14:textFill>
        </w:rPr>
        <w:t>网站上进行了第一次</w:t>
      </w:r>
      <w:r>
        <w:rPr>
          <w:rFonts w:hint="eastAsia" w:ascii="Times New Roman" w:hAnsi="宋体" w:cs="Times New Roman"/>
          <w:color w:val="000000" w:themeColor="text1"/>
          <w:sz w:val="24"/>
          <w:highlight w:val="none"/>
          <w:lang w:val="en-US" w:eastAsia="zh-CN"/>
          <w14:textFill>
            <w14:solidFill>
              <w14:schemeClr w14:val="tx1"/>
            </w14:solidFill>
          </w14:textFill>
        </w:rPr>
        <w:t>网络公示，</w:t>
      </w:r>
      <w:r>
        <w:rPr>
          <w:rFonts w:hint="default" w:ascii="Times New Roman" w:hAnsi="Times New Roman" w:cs="Times New Roman"/>
          <w:color w:val="000000" w:themeColor="text1"/>
          <w:sz w:val="24"/>
          <w:highlight w:val="none"/>
          <w14:textFill>
            <w14:solidFill>
              <w14:schemeClr w14:val="tx1"/>
            </w14:solidFill>
          </w14:textFill>
        </w:rPr>
        <w:t>20</w:t>
      </w:r>
      <w:r>
        <w:rPr>
          <w:rFonts w:hint="default" w:ascii="Times New Roman" w:hAnsi="Times New Roman" w:cs="Times New Roman"/>
          <w:color w:val="000000" w:themeColor="text1"/>
          <w:sz w:val="24"/>
          <w:highlight w:val="none"/>
          <w:lang w:val="en-US" w:eastAsia="zh-CN"/>
          <w14:textFill>
            <w14:solidFill>
              <w14:schemeClr w14:val="tx1"/>
            </w14:solidFill>
          </w14:textFill>
        </w:rPr>
        <w:t>2</w:t>
      </w:r>
      <w:r>
        <w:rPr>
          <w:rFonts w:hint="eastAsia" w:cs="Times New Roman"/>
          <w:color w:val="000000" w:themeColor="text1"/>
          <w:sz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highlight w:val="none"/>
          <w14:textFill>
            <w14:solidFill>
              <w14:schemeClr w14:val="tx1"/>
            </w14:solidFill>
          </w14:textFill>
        </w:rPr>
        <w:t>年</w:t>
      </w:r>
      <w:r>
        <w:rPr>
          <w:rFonts w:hint="eastAsia" w:cs="Times New Roman"/>
          <w:color w:val="000000" w:themeColor="text1"/>
          <w:sz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highlight w:val="none"/>
          <w14:textFill>
            <w14:solidFill>
              <w14:schemeClr w14:val="tx1"/>
            </w14:solidFill>
          </w14:textFill>
        </w:rPr>
        <w:t>月</w:t>
      </w:r>
      <w:r>
        <w:rPr>
          <w:rFonts w:hint="eastAsia" w:cs="Times New Roman"/>
          <w:color w:val="000000" w:themeColor="text1"/>
          <w:sz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highlight w:val="none"/>
          <w14:textFill>
            <w14:solidFill>
              <w14:schemeClr w14:val="tx1"/>
            </w14:solidFill>
          </w14:textFill>
        </w:rPr>
        <w:t>日在</w:t>
      </w:r>
      <w:r>
        <w:rPr>
          <w:rFonts w:hint="eastAsia" w:hAnsi="宋体" w:cs="Times New Roman"/>
          <w:color w:val="000000" w:themeColor="text1"/>
          <w:sz w:val="24"/>
          <w:highlight w:val="none"/>
          <w:lang w:val="en-US" w:eastAsia="zh-CN"/>
          <w14:textFill>
            <w14:solidFill>
              <w14:schemeClr w14:val="tx1"/>
            </w14:solidFill>
          </w14:textFill>
        </w:rPr>
        <w:t>全国建设项目环境信息公示平台</w:t>
      </w:r>
      <w:r>
        <w:rPr>
          <w:rFonts w:hint="default" w:ascii="Times New Roman" w:hAnsi="宋体" w:cs="Times New Roman"/>
          <w:color w:val="000000" w:themeColor="text1"/>
          <w:sz w:val="24"/>
          <w:highlight w:val="none"/>
          <w14:textFill>
            <w14:solidFill>
              <w14:schemeClr w14:val="tx1"/>
            </w14:solidFill>
          </w14:textFill>
        </w:rPr>
        <w:t>网站</w:t>
      </w:r>
      <w:r>
        <w:rPr>
          <w:rFonts w:hint="default" w:ascii="Times New Roman" w:hAnsi="Times New Roman" w:cs="Times New Roman"/>
          <w:color w:val="000000" w:themeColor="text1"/>
          <w:sz w:val="24"/>
          <w:highlight w:val="none"/>
          <w14:textFill>
            <w14:solidFill>
              <w14:schemeClr w14:val="tx1"/>
            </w14:solidFill>
          </w14:textFill>
        </w:rPr>
        <w:t>上开展环境影响评价信息公告</w:t>
      </w:r>
      <w:r>
        <w:rPr>
          <w:color w:val="000000" w:themeColor="text1"/>
          <w:highlight w:val="none"/>
          <w14:textFill>
            <w14:solidFill>
              <w14:schemeClr w14:val="tx1"/>
            </w14:solidFill>
          </w14:textFill>
        </w:rPr>
        <w:t>进行了</w:t>
      </w:r>
      <w:r>
        <w:rPr>
          <w:rFonts w:hint="default" w:ascii="Times New Roman" w:hAnsi="宋体" w:cs="Times New Roman"/>
          <w:color w:val="000000" w:themeColor="text1"/>
          <w:sz w:val="24"/>
          <w:highlight w:val="none"/>
          <w14:textFill>
            <w14:solidFill>
              <w14:schemeClr w14:val="tx1"/>
            </w14:solidFill>
          </w14:textFill>
        </w:rPr>
        <w:t>第</w:t>
      </w:r>
      <w:r>
        <w:rPr>
          <w:rFonts w:hint="eastAsia" w:ascii="Times New Roman" w:hAnsi="宋体" w:cs="Times New Roman"/>
          <w:color w:val="000000" w:themeColor="text1"/>
          <w:sz w:val="24"/>
          <w:highlight w:val="none"/>
          <w:lang w:val="en-US" w:eastAsia="zh-CN"/>
          <w14:textFill>
            <w14:solidFill>
              <w14:schemeClr w14:val="tx1"/>
            </w14:solidFill>
          </w14:textFill>
        </w:rPr>
        <w:t>二</w:t>
      </w:r>
      <w:r>
        <w:rPr>
          <w:rFonts w:hint="default" w:ascii="Times New Roman" w:hAnsi="宋体" w:cs="Times New Roman"/>
          <w:color w:val="000000" w:themeColor="text1"/>
          <w:sz w:val="24"/>
          <w:highlight w:val="none"/>
          <w14:textFill>
            <w14:solidFill>
              <w14:schemeClr w14:val="tx1"/>
            </w14:solidFill>
          </w14:textFill>
        </w:rPr>
        <w:t>次</w:t>
      </w:r>
      <w:r>
        <w:rPr>
          <w:rFonts w:hint="eastAsia" w:ascii="Times New Roman" w:hAnsi="宋体" w:cs="Times New Roman"/>
          <w:color w:val="000000" w:themeColor="text1"/>
          <w:sz w:val="24"/>
          <w:highlight w:val="none"/>
          <w:lang w:val="en-US" w:eastAsia="zh-CN"/>
          <w14:textFill>
            <w14:solidFill>
              <w14:schemeClr w14:val="tx1"/>
            </w14:solidFill>
          </w14:textFill>
        </w:rPr>
        <w:t>网络公示，</w:t>
      </w:r>
      <w:r>
        <w:rPr>
          <w:rFonts w:hint="default" w:ascii="Times New Roman" w:hAnsi="宋体" w:cs="Times New Roman"/>
          <w:color w:val="000000" w:themeColor="text1"/>
          <w:sz w:val="24"/>
          <w:highlight w:val="none"/>
          <w14:textFill>
            <w14:solidFill>
              <w14:schemeClr w14:val="tx1"/>
            </w14:solidFill>
          </w14:textFill>
        </w:rPr>
        <w:t>于20</w:t>
      </w:r>
      <w:r>
        <w:rPr>
          <w:rFonts w:hint="eastAsia" w:hAnsi="宋体" w:cs="Times New Roman"/>
          <w:color w:val="000000" w:themeColor="text1"/>
          <w:sz w:val="24"/>
          <w:highlight w:val="none"/>
          <w:lang w:val="en-US" w:eastAsia="zh-CN"/>
          <w14:textFill>
            <w14:solidFill>
              <w14:schemeClr w14:val="tx1"/>
            </w14:solidFill>
          </w14:textFill>
        </w:rPr>
        <w:t>26</w:t>
      </w:r>
      <w:r>
        <w:rPr>
          <w:rFonts w:hint="default" w:ascii="Times New Roman" w:hAnsi="宋体" w:cs="Times New Roman"/>
          <w:color w:val="000000" w:themeColor="text1"/>
          <w:sz w:val="24"/>
          <w:highlight w:val="none"/>
          <w14:textFill>
            <w14:solidFill>
              <w14:schemeClr w14:val="tx1"/>
            </w14:solidFill>
          </w14:textFill>
        </w:rPr>
        <w:t>年</w:t>
      </w:r>
      <w:r>
        <w:rPr>
          <w:rFonts w:hint="eastAsia" w:hAnsi="宋体" w:cs="Times New Roman"/>
          <w:color w:val="000000" w:themeColor="text1"/>
          <w:sz w:val="24"/>
          <w:highlight w:val="none"/>
          <w:lang w:val="en-US" w:eastAsia="zh-CN"/>
          <w14:textFill>
            <w14:solidFill>
              <w14:schemeClr w14:val="tx1"/>
            </w14:solidFill>
          </w14:textFill>
        </w:rPr>
        <w:t>5</w:t>
      </w:r>
      <w:r>
        <w:rPr>
          <w:rFonts w:hint="default" w:ascii="Times New Roman" w:hAnsi="宋体" w:cs="Times New Roman"/>
          <w:color w:val="000000" w:themeColor="text1"/>
          <w:sz w:val="24"/>
          <w:highlight w:val="none"/>
          <w14:textFill>
            <w14:solidFill>
              <w14:schemeClr w14:val="tx1"/>
            </w14:solidFill>
          </w14:textFill>
        </w:rPr>
        <w:t>月</w:t>
      </w:r>
      <w:r>
        <w:rPr>
          <w:rFonts w:hint="eastAsia" w:hAnsi="宋体" w:cs="Times New Roman"/>
          <w:color w:val="000000" w:themeColor="text1"/>
          <w:sz w:val="24"/>
          <w:highlight w:val="none"/>
          <w:lang w:val="en-US" w:eastAsia="zh-CN"/>
          <w14:textFill>
            <w14:solidFill>
              <w14:schemeClr w14:val="tx1"/>
            </w14:solidFill>
          </w14:textFill>
        </w:rPr>
        <w:t>11</w:t>
      </w:r>
      <w:r>
        <w:rPr>
          <w:rFonts w:hint="default" w:ascii="Times New Roman" w:hAnsi="宋体" w:cs="Times New Roman"/>
          <w:color w:val="000000" w:themeColor="text1"/>
          <w:sz w:val="24"/>
          <w:highlight w:val="none"/>
          <w14:textFill>
            <w14:solidFill>
              <w14:schemeClr w14:val="tx1"/>
            </w14:solidFill>
          </w14:textFill>
        </w:rPr>
        <w:t>日及</w:t>
      </w:r>
      <w:r>
        <w:rPr>
          <w:rFonts w:hint="eastAsia" w:hAnsi="宋体" w:cs="Times New Roman"/>
          <w:color w:val="000000" w:themeColor="text1"/>
          <w:sz w:val="24"/>
          <w:highlight w:val="none"/>
          <w:lang w:val="en-US" w:eastAsia="zh-CN"/>
          <w14:textFill>
            <w14:solidFill>
              <w14:schemeClr w14:val="tx1"/>
            </w14:solidFill>
          </w14:textFill>
        </w:rPr>
        <w:t>2026</w:t>
      </w:r>
      <w:r>
        <w:rPr>
          <w:rFonts w:hint="default" w:ascii="Times New Roman" w:hAnsi="宋体" w:cs="Times New Roman"/>
          <w:color w:val="000000" w:themeColor="text1"/>
          <w:sz w:val="24"/>
          <w:highlight w:val="none"/>
          <w14:textFill>
            <w14:solidFill>
              <w14:schemeClr w14:val="tx1"/>
            </w14:solidFill>
          </w14:textFill>
        </w:rPr>
        <w:t>年</w:t>
      </w:r>
      <w:r>
        <w:rPr>
          <w:rFonts w:hint="eastAsia" w:hAnsi="宋体" w:cs="Times New Roman"/>
          <w:color w:val="000000" w:themeColor="text1"/>
          <w:sz w:val="24"/>
          <w:highlight w:val="none"/>
          <w:lang w:val="en-US" w:eastAsia="zh-CN"/>
          <w14:textFill>
            <w14:solidFill>
              <w14:schemeClr w14:val="tx1"/>
            </w14:solidFill>
          </w14:textFill>
        </w:rPr>
        <w:t>5</w:t>
      </w:r>
      <w:r>
        <w:rPr>
          <w:rFonts w:hint="default" w:ascii="Times New Roman" w:hAnsi="宋体" w:cs="Times New Roman"/>
          <w:color w:val="000000" w:themeColor="text1"/>
          <w:sz w:val="24"/>
          <w:highlight w:val="none"/>
          <w14:textFill>
            <w14:solidFill>
              <w14:schemeClr w14:val="tx1"/>
            </w14:solidFill>
          </w14:textFill>
        </w:rPr>
        <w:t>月</w:t>
      </w:r>
      <w:r>
        <w:rPr>
          <w:rFonts w:hint="eastAsia" w:hAnsi="宋体" w:cs="Times New Roman"/>
          <w:color w:val="000000" w:themeColor="text1"/>
          <w:sz w:val="24"/>
          <w:highlight w:val="none"/>
          <w:lang w:val="en-US" w:eastAsia="zh-CN"/>
          <w14:textFill>
            <w14:solidFill>
              <w14:schemeClr w14:val="tx1"/>
            </w14:solidFill>
          </w14:textFill>
        </w:rPr>
        <w:t>13</w:t>
      </w:r>
      <w:r>
        <w:rPr>
          <w:rFonts w:hint="default" w:ascii="Times New Roman" w:hAnsi="宋体" w:cs="Times New Roman"/>
          <w:color w:val="000000" w:themeColor="text1"/>
          <w:sz w:val="24"/>
          <w:highlight w:val="none"/>
          <w14:textFill>
            <w14:solidFill>
              <w14:schemeClr w14:val="tx1"/>
            </w14:solidFill>
          </w14:textFill>
        </w:rPr>
        <w:t>日，在所在地的</w:t>
      </w:r>
      <w:r>
        <w:rPr>
          <w:rFonts w:hint="eastAsia" w:hAnsi="宋体" w:cs="Times New Roman"/>
          <w:color w:val="000000" w:themeColor="text1"/>
          <w:sz w:val="24"/>
          <w:highlight w:val="none"/>
          <w:lang w:eastAsia="zh-CN"/>
          <w14:textFill>
            <w14:solidFill>
              <w14:schemeClr w14:val="tx1"/>
            </w14:solidFill>
          </w14:textFill>
        </w:rPr>
        <w:t>主流报纸</w:t>
      </w:r>
      <w:r>
        <w:rPr>
          <w:rFonts w:hint="eastAsia" w:hAnsi="宋体" w:cs="Times New Roman"/>
          <w:color w:val="000000" w:themeColor="text1"/>
          <w:sz w:val="24"/>
          <w:highlight w:val="none"/>
          <w:lang w:val="en-US" w:eastAsia="zh-CN"/>
          <w14:textFill>
            <w14:solidFill>
              <w14:schemeClr w14:val="tx1"/>
            </w14:solidFill>
          </w14:textFill>
        </w:rPr>
        <w:t>环球时报</w:t>
      </w:r>
      <w:r>
        <w:rPr>
          <w:rFonts w:hint="default" w:ascii="Times New Roman" w:hAnsi="宋体" w:cs="Times New Roman"/>
          <w:color w:val="000000" w:themeColor="text1"/>
          <w:sz w:val="24"/>
          <w:highlight w:val="none"/>
          <w14:textFill>
            <w14:solidFill>
              <w14:schemeClr w14:val="tx1"/>
            </w14:solidFill>
          </w14:textFill>
        </w:rPr>
        <w:t>对项目的环境影响评价信息进行了两次公告</w:t>
      </w:r>
      <w:r>
        <w:rPr>
          <w:rFonts w:hint="eastAsia" w:ascii="Times New Roman" w:hAnsi="宋体"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20</w:t>
      </w:r>
      <w:r>
        <w:rPr>
          <w:rFonts w:hint="default" w:ascii="Times New Roman" w:hAnsi="Times New Roman" w:cs="Times New Roman"/>
          <w:color w:val="000000" w:themeColor="text1"/>
          <w:sz w:val="24"/>
          <w:highlight w:val="none"/>
          <w:lang w:val="en-US" w:eastAsia="zh-CN"/>
          <w14:textFill>
            <w14:solidFill>
              <w14:schemeClr w14:val="tx1"/>
            </w14:solidFill>
          </w14:textFill>
        </w:rPr>
        <w:t>2</w:t>
      </w:r>
      <w:r>
        <w:rPr>
          <w:rFonts w:hint="eastAsia" w:cs="Times New Roman"/>
          <w:color w:val="000000" w:themeColor="text1"/>
          <w:sz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highlight w:val="none"/>
          <w14:textFill>
            <w14:solidFill>
              <w14:schemeClr w14:val="tx1"/>
            </w14:solidFill>
          </w14:textFill>
        </w:rPr>
        <w:t>年</w:t>
      </w:r>
      <w:r>
        <w:rPr>
          <w:rFonts w:hint="eastAsia" w:cs="Times New Roman"/>
          <w:color w:val="000000" w:themeColor="text1"/>
          <w:sz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highlight w:val="none"/>
          <w14:textFill>
            <w14:solidFill>
              <w14:schemeClr w14:val="tx1"/>
            </w14:solidFill>
          </w14:textFill>
        </w:rPr>
        <w:t>月</w:t>
      </w:r>
      <w:r>
        <w:rPr>
          <w:rFonts w:hint="eastAsia" w:cs="Times New Roman"/>
          <w:color w:val="000000" w:themeColor="text1"/>
          <w:sz w:val="24"/>
          <w:highlight w:val="none"/>
          <w:lang w:val="en-US" w:eastAsia="zh-CN"/>
          <w14:textFill>
            <w14:solidFill>
              <w14:schemeClr w14:val="tx1"/>
            </w14:solidFill>
          </w14:textFill>
        </w:rPr>
        <w:t>25</w:t>
      </w:r>
      <w:r>
        <w:rPr>
          <w:rFonts w:hint="default" w:ascii="Times New Roman" w:hAnsi="Times New Roman" w:cs="Times New Roman"/>
          <w:color w:val="000000" w:themeColor="text1"/>
          <w:sz w:val="24"/>
          <w:highlight w:val="none"/>
          <w14:textFill>
            <w14:solidFill>
              <w14:schemeClr w14:val="tx1"/>
            </w14:solidFill>
          </w14:textFill>
        </w:rPr>
        <w:t>日在</w:t>
      </w:r>
      <w:r>
        <w:rPr>
          <w:rFonts w:hint="eastAsia" w:hAnsi="宋体" w:cs="Times New Roman"/>
          <w:color w:val="000000" w:themeColor="text1"/>
          <w:sz w:val="24"/>
          <w:highlight w:val="none"/>
          <w:lang w:val="en-US" w:eastAsia="zh-CN"/>
          <w14:textFill>
            <w14:solidFill>
              <w14:schemeClr w14:val="tx1"/>
            </w14:solidFill>
          </w14:textFill>
        </w:rPr>
        <w:t>全国建设项目环境信息公示平台</w:t>
      </w:r>
      <w:r>
        <w:rPr>
          <w:rFonts w:hint="default" w:ascii="Times New Roman" w:hAnsi="宋体" w:cs="Times New Roman"/>
          <w:color w:val="000000" w:themeColor="text1"/>
          <w:sz w:val="24"/>
          <w:highlight w:val="none"/>
          <w14:textFill>
            <w14:solidFill>
              <w14:schemeClr w14:val="tx1"/>
            </w14:solidFill>
          </w14:textFill>
        </w:rPr>
        <w:t>网站</w:t>
      </w:r>
      <w:r>
        <w:rPr>
          <w:rFonts w:hint="default" w:ascii="Times New Roman" w:hAnsi="Times New Roman" w:cs="Times New Roman"/>
          <w:color w:val="000000" w:themeColor="text1"/>
          <w:sz w:val="24"/>
          <w:highlight w:val="none"/>
          <w14:textFill>
            <w14:solidFill>
              <w14:schemeClr w14:val="tx1"/>
            </w14:solidFill>
          </w14:textFill>
        </w:rPr>
        <w:t>上开展环境影响评价</w:t>
      </w:r>
      <w:r>
        <w:rPr>
          <w:rFonts w:hint="eastAsia" w:ascii="Times New Roman" w:hAnsi="Times New Roman" w:cs="Times New Roman"/>
          <w:color w:val="000000" w:themeColor="text1"/>
          <w:sz w:val="24"/>
          <w:highlight w:val="none"/>
          <w:lang w:val="en-US" w:eastAsia="zh-CN"/>
          <w14:textFill>
            <w14:solidFill>
              <w14:schemeClr w14:val="tx1"/>
            </w14:solidFill>
          </w14:textFill>
        </w:rPr>
        <w:t>拟报批信息公示</w:t>
      </w:r>
      <w:r>
        <w:rPr>
          <w:rFonts w:hint="eastAsia" w:ascii="Times New Roman" w:hAnsi="宋体" w:cs="Times New Roman"/>
          <w:color w:val="000000" w:themeColor="text1"/>
          <w:sz w:val="24"/>
          <w:highlight w:val="none"/>
          <w:lang w:val="en-US" w:eastAsia="zh-CN"/>
          <w14:textFill>
            <w14:solidFill>
              <w14:schemeClr w14:val="tx1"/>
            </w14:solidFill>
          </w14:textFill>
        </w:rPr>
        <w:t>，</w:t>
      </w:r>
      <w:r>
        <w:rPr>
          <w:color w:val="000000" w:themeColor="text1"/>
          <w:highlight w:val="none"/>
          <w14:textFill>
            <w14:solidFill>
              <w14:schemeClr w14:val="tx1"/>
            </w14:solidFill>
          </w14:textFill>
        </w:rPr>
        <w:t>三次网上公示、两次报纸公示，公示期间无反对意见。公众参与方式、程序和调查对象均符合《环境影响评价公众参与办法》的有关规定。</w:t>
      </w:r>
    </w:p>
    <w:p w14:paraId="5D118D60">
      <w:pPr>
        <w:pStyle w:val="4"/>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.1.6结论</w:t>
      </w:r>
      <w:bookmarkEnd w:id="1474"/>
      <w:bookmarkEnd w:id="1475"/>
    </w:p>
    <w:p w14:paraId="7FA402E2">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本项目的建设符合国家产业政策；选址符合相关法律法规、技术规范要求；本项目环评期间，进行了网络公示</w:t>
      </w:r>
      <w:r>
        <w:rPr>
          <w:rFonts w:hint="eastAsia"/>
          <w:color w:val="000000" w:themeColor="text1"/>
          <w:highlight w:val="none"/>
          <w14:textFill>
            <w14:solidFill>
              <w14:schemeClr w14:val="tx1"/>
            </w14:solidFill>
          </w14:textFill>
        </w:rPr>
        <w:t>、报纸公示</w:t>
      </w:r>
      <w:r>
        <w:rPr>
          <w:color w:val="000000" w:themeColor="text1"/>
          <w:highlight w:val="none"/>
          <w14:textFill>
            <w14:solidFill>
              <w14:schemeClr w14:val="tx1"/>
            </w14:solidFill>
          </w14:textFill>
        </w:rPr>
        <w:t>，公示期间并未收到任何意见。建设项目生产符合清洁生产要求，采用的环境保护措施、环境风险防范及应急处置措施可行，总体上对评价区域环境影响较小，环境风险在可接受范围内</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本报告认为，</w:t>
      </w:r>
      <w:r>
        <w:rPr>
          <w:rFonts w:hint="eastAsia"/>
          <w:color w:val="000000" w:themeColor="text1"/>
          <w:highlight w:val="none"/>
          <w14:textFill>
            <w14:solidFill>
              <w14:schemeClr w14:val="tx1"/>
            </w14:solidFill>
          </w14:textFill>
        </w:rPr>
        <w:t>在落实本报告提出的各项</w:t>
      </w:r>
      <w:r>
        <w:rPr>
          <w:color w:val="000000" w:themeColor="text1"/>
          <w:highlight w:val="none"/>
          <w14:textFill>
            <w14:solidFill>
              <w14:schemeClr w14:val="tx1"/>
            </w14:solidFill>
          </w14:textFill>
        </w:rPr>
        <w:t>污染防治措施和环境风险防范措施</w:t>
      </w:r>
      <w:r>
        <w:rPr>
          <w:rFonts w:hint="eastAsia"/>
          <w:color w:val="000000" w:themeColor="text1"/>
          <w:highlight w:val="none"/>
          <w14:textFill>
            <w14:solidFill>
              <w14:schemeClr w14:val="tx1"/>
            </w14:solidFill>
          </w14:textFill>
        </w:rPr>
        <w:t>后，</w:t>
      </w:r>
      <w:r>
        <w:rPr>
          <w:color w:val="000000" w:themeColor="text1"/>
          <w:highlight w:val="none"/>
          <w14:textFill>
            <w14:solidFill>
              <w14:schemeClr w14:val="tx1"/>
            </w14:solidFill>
          </w14:textFill>
        </w:rPr>
        <w:t>从环境影响</w:t>
      </w:r>
      <w:r>
        <w:rPr>
          <w:rFonts w:hint="eastAsia"/>
          <w:color w:val="000000" w:themeColor="text1"/>
          <w:highlight w:val="none"/>
          <w14:textFill>
            <w14:solidFill>
              <w14:schemeClr w14:val="tx1"/>
            </w14:solidFill>
          </w14:textFill>
        </w:rPr>
        <w:t>角度</w:t>
      </w:r>
      <w:r>
        <w:rPr>
          <w:color w:val="000000" w:themeColor="text1"/>
          <w:highlight w:val="none"/>
          <w14:textFill>
            <w14:solidFill>
              <w14:schemeClr w14:val="tx1"/>
            </w14:solidFill>
          </w14:textFill>
        </w:rPr>
        <w:t>，本项目建设是可行的。</w:t>
      </w:r>
    </w:p>
    <w:p w14:paraId="706C6120">
      <w:pPr>
        <w:pStyle w:val="3"/>
        <w:tabs>
          <w:tab w:val="left" w:pos="0"/>
        </w:tabs>
        <w:rPr>
          <w:color w:val="000000" w:themeColor="text1"/>
          <w:highlight w:val="none"/>
          <w14:textFill>
            <w14:solidFill>
              <w14:schemeClr w14:val="tx1"/>
            </w14:solidFill>
          </w14:textFill>
        </w:rPr>
      </w:pPr>
      <w:bookmarkStart w:id="1482" w:name="_Toc13257"/>
      <w:bookmarkStart w:id="1483" w:name="_Toc23545"/>
      <w:bookmarkStart w:id="1484" w:name="_Toc29408"/>
      <w:bookmarkStart w:id="1485" w:name="_Toc3153"/>
      <w:bookmarkStart w:id="1486" w:name="_Toc24596"/>
      <w:bookmarkStart w:id="1487" w:name="_Toc24441"/>
      <w:bookmarkStart w:id="1488" w:name="_Toc18544"/>
      <w:bookmarkStart w:id="1489" w:name="_Toc11721"/>
      <w:bookmarkStart w:id="1490" w:name="_Toc12394"/>
      <w:bookmarkStart w:id="1491" w:name="_Toc11357"/>
      <w:bookmarkStart w:id="1492" w:name="_Toc2515"/>
      <w:bookmarkStart w:id="1493" w:name="_Toc32329"/>
      <w:bookmarkStart w:id="1494" w:name="_Toc19041"/>
      <w:bookmarkStart w:id="1495" w:name="_Toc30185"/>
      <w:bookmarkStart w:id="1496" w:name="_Toc6596"/>
      <w:bookmarkStart w:id="1497" w:name="_Toc27781"/>
      <w:bookmarkStart w:id="1498" w:name="_Toc28127"/>
      <w:bookmarkStart w:id="1499" w:name="_Toc21784"/>
      <w:bookmarkStart w:id="1500" w:name="_Toc21484"/>
      <w:bookmarkStart w:id="1501" w:name="_Toc1573"/>
      <w:bookmarkStart w:id="1502" w:name="_Toc7138"/>
      <w:bookmarkStart w:id="1503" w:name="_Toc14260"/>
      <w:bookmarkStart w:id="1504" w:name="_Toc9187"/>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2建议</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14:paraId="20672844">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（1）在企业生产过程中加强环境管理，加强职工职业素质培训，严格执行生产操作规程，防范环境风险事故的发生。</w:t>
      </w:r>
    </w:p>
    <w:p w14:paraId="53CBF899">
      <w:pPr>
        <w:bidi w:val="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建议企业持续加强全员环境意识教育，完善环保岗位相关管理制度，细化环保岗位管理职责。</w:t>
      </w:r>
    </w:p>
    <w:p w14:paraId="25B2C57C">
      <w:pPr>
        <w:pStyle w:val="27"/>
        <w:rPr>
          <w:rFonts w:hint="default"/>
          <w:color w:val="000000" w:themeColor="text1"/>
          <w:highlight w:val="none"/>
          <w:lang w:val="en-US" w:eastAsia="zh-CN"/>
          <w14:textFill>
            <w14:solidFill>
              <w14:schemeClr w14:val="tx1"/>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egoe UI Emoji">
    <w:panose1 w:val="020B0502040204020203"/>
    <w:charset w:val="00"/>
    <w:family w:val="auto"/>
    <w:pitch w:val="default"/>
    <w:sig w:usb0="00000001" w:usb1="02000000" w:usb2="08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CE120">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B1DC66">
                          <w:pPr>
                            <w:pStyle w:val="1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48B1DC66">
                    <w:pPr>
                      <w:pStyle w:val="14"/>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099F9D"/>
    <w:multiLevelType w:val="singleLevel"/>
    <w:tmpl w:val="87099F9D"/>
    <w:lvl w:ilvl="0" w:tentative="0">
      <w:start w:val="2"/>
      <w:numFmt w:val="decimal"/>
      <w:suff w:val="nothing"/>
      <w:lvlText w:val="（%1）"/>
      <w:lvlJc w:val="left"/>
    </w:lvl>
  </w:abstractNum>
  <w:abstractNum w:abstractNumId="1">
    <w:nsid w:val="447B86EA"/>
    <w:multiLevelType w:val="singleLevel"/>
    <w:tmpl w:val="447B86EA"/>
    <w:lvl w:ilvl="0" w:tentative="0">
      <w:start w:val="4"/>
      <w:numFmt w:val="decimal"/>
      <w:suff w:val="nothing"/>
      <w:lvlText w:val="%1）"/>
      <w:lvlJc w:val="left"/>
    </w:lvl>
  </w:abstractNum>
  <w:abstractNum w:abstractNumId="2">
    <w:nsid w:val="45D0AF74"/>
    <w:multiLevelType w:val="singleLevel"/>
    <w:tmpl w:val="45D0AF74"/>
    <w:lvl w:ilvl="0" w:tentative="0">
      <w:start w:val="1"/>
      <w:numFmt w:val="bullet"/>
      <w:pStyle w:val="10"/>
      <w:lvlText w:val=""/>
      <w:lvlJc w:val="left"/>
      <w:pPr>
        <w:tabs>
          <w:tab w:val="left" w:pos="2040"/>
        </w:tabs>
        <w:ind w:left="2040" w:hanging="360"/>
      </w:pPr>
      <w:rPr>
        <w:rFonts w:hint="default" w:ascii="Wingdings" w:hAnsi="Wingdings"/>
      </w:rPr>
    </w:lvl>
  </w:abstractNum>
  <w:abstractNum w:abstractNumId="3">
    <w:nsid w:val="5AC4B140"/>
    <w:multiLevelType w:val="singleLevel"/>
    <w:tmpl w:val="5AC4B140"/>
    <w:lvl w:ilvl="0" w:tentative="0">
      <w:start w:val="2"/>
      <w:numFmt w:val="decimal"/>
      <w:suff w:val="nothing"/>
      <w:lvlText w:val="（%1）"/>
      <w:lvlJc w:val="left"/>
    </w:lvl>
  </w:abstractNum>
  <w:abstractNum w:abstractNumId="4">
    <w:nsid w:val="77DF3822"/>
    <w:multiLevelType w:val="singleLevel"/>
    <w:tmpl w:val="77DF3822"/>
    <w:lvl w:ilvl="0" w:tentative="0">
      <w:start w:val="1"/>
      <w:numFmt w:val="decimal"/>
      <w:suff w:val="nothing"/>
      <w:lvlText w:val="（%1）"/>
      <w:lvlJc w:val="left"/>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F27CB"/>
    <w:rsid w:val="00812414"/>
    <w:rsid w:val="00C34DAD"/>
    <w:rsid w:val="01057174"/>
    <w:rsid w:val="01551736"/>
    <w:rsid w:val="01F85D14"/>
    <w:rsid w:val="024E06A7"/>
    <w:rsid w:val="02DA2D0F"/>
    <w:rsid w:val="04BA3DF1"/>
    <w:rsid w:val="054F783A"/>
    <w:rsid w:val="05913963"/>
    <w:rsid w:val="05D35B70"/>
    <w:rsid w:val="077216DE"/>
    <w:rsid w:val="07911761"/>
    <w:rsid w:val="086230FE"/>
    <w:rsid w:val="089028BC"/>
    <w:rsid w:val="08CC6344"/>
    <w:rsid w:val="08E73603"/>
    <w:rsid w:val="08EC36B0"/>
    <w:rsid w:val="09756E61"/>
    <w:rsid w:val="097B65E7"/>
    <w:rsid w:val="09976DD7"/>
    <w:rsid w:val="0A892BC4"/>
    <w:rsid w:val="0B320948"/>
    <w:rsid w:val="0BB30DED"/>
    <w:rsid w:val="0BEF1EC1"/>
    <w:rsid w:val="0C4C3E70"/>
    <w:rsid w:val="0C6C62F9"/>
    <w:rsid w:val="0CA5180B"/>
    <w:rsid w:val="0CE84A2D"/>
    <w:rsid w:val="0D062899"/>
    <w:rsid w:val="0D4A4EA3"/>
    <w:rsid w:val="0EF425D6"/>
    <w:rsid w:val="10321608"/>
    <w:rsid w:val="1057106E"/>
    <w:rsid w:val="108C28CB"/>
    <w:rsid w:val="11535CDA"/>
    <w:rsid w:val="11560438"/>
    <w:rsid w:val="117713BC"/>
    <w:rsid w:val="11F0177A"/>
    <w:rsid w:val="12557C19"/>
    <w:rsid w:val="135E06FF"/>
    <w:rsid w:val="141649B0"/>
    <w:rsid w:val="14D62EA9"/>
    <w:rsid w:val="14F0383F"/>
    <w:rsid w:val="155D0ED5"/>
    <w:rsid w:val="1587109B"/>
    <w:rsid w:val="15880820"/>
    <w:rsid w:val="15D01075"/>
    <w:rsid w:val="17B542F1"/>
    <w:rsid w:val="17CC34D4"/>
    <w:rsid w:val="182C1A0B"/>
    <w:rsid w:val="18544907"/>
    <w:rsid w:val="189F33C8"/>
    <w:rsid w:val="194B52F9"/>
    <w:rsid w:val="1A0C7662"/>
    <w:rsid w:val="1ACB2925"/>
    <w:rsid w:val="1AE5601C"/>
    <w:rsid w:val="1B560DFA"/>
    <w:rsid w:val="1C202C5C"/>
    <w:rsid w:val="1C746B04"/>
    <w:rsid w:val="1C913B5A"/>
    <w:rsid w:val="1CF55E97"/>
    <w:rsid w:val="1D4E496C"/>
    <w:rsid w:val="1D6330F4"/>
    <w:rsid w:val="1E2F3DB2"/>
    <w:rsid w:val="1FB27BF6"/>
    <w:rsid w:val="1FCB46CB"/>
    <w:rsid w:val="207A4269"/>
    <w:rsid w:val="208A696D"/>
    <w:rsid w:val="20BD316F"/>
    <w:rsid w:val="21303D0D"/>
    <w:rsid w:val="219C4B33"/>
    <w:rsid w:val="219E183D"/>
    <w:rsid w:val="22034BB2"/>
    <w:rsid w:val="222E0C1F"/>
    <w:rsid w:val="230264D7"/>
    <w:rsid w:val="24003A9F"/>
    <w:rsid w:val="245C2C9F"/>
    <w:rsid w:val="250255F5"/>
    <w:rsid w:val="25DF629D"/>
    <w:rsid w:val="261A071C"/>
    <w:rsid w:val="26223CB9"/>
    <w:rsid w:val="29404944"/>
    <w:rsid w:val="29425BBC"/>
    <w:rsid w:val="29921FDB"/>
    <w:rsid w:val="29BE6679"/>
    <w:rsid w:val="2A9F6AE3"/>
    <w:rsid w:val="2AC32BE8"/>
    <w:rsid w:val="2BA47406"/>
    <w:rsid w:val="2CC008D3"/>
    <w:rsid w:val="2D267CFB"/>
    <w:rsid w:val="2D2C11AD"/>
    <w:rsid w:val="2D3C541C"/>
    <w:rsid w:val="2E4427DA"/>
    <w:rsid w:val="2F1D4533"/>
    <w:rsid w:val="2F2D326E"/>
    <w:rsid w:val="2F631386"/>
    <w:rsid w:val="2F6E3407"/>
    <w:rsid w:val="2FA01121"/>
    <w:rsid w:val="30045BF1"/>
    <w:rsid w:val="308C2216"/>
    <w:rsid w:val="30CB71E3"/>
    <w:rsid w:val="314F14A2"/>
    <w:rsid w:val="31771119"/>
    <w:rsid w:val="3192160B"/>
    <w:rsid w:val="323F143B"/>
    <w:rsid w:val="32510D8E"/>
    <w:rsid w:val="33F82251"/>
    <w:rsid w:val="34595637"/>
    <w:rsid w:val="35140713"/>
    <w:rsid w:val="38105B84"/>
    <w:rsid w:val="385D465E"/>
    <w:rsid w:val="3A696251"/>
    <w:rsid w:val="3ACA06D3"/>
    <w:rsid w:val="3ACB6463"/>
    <w:rsid w:val="3AEB1C5F"/>
    <w:rsid w:val="3B3140E6"/>
    <w:rsid w:val="3B51486C"/>
    <w:rsid w:val="3B7B35B3"/>
    <w:rsid w:val="3BC05874"/>
    <w:rsid w:val="3BCD2991"/>
    <w:rsid w:val="3CCB5752"/>
    <w:rsid w:val="3D3A6A96"/>
    <w:rsid w:val="3DD84CED"/>
    <w:rsid w:val="3DDE275E"/>
    <w:rsid w:val="3E36537D"/>
    <w:rsid w:val="3E8F2632"/>
    <w:rsid w:val="3F253D28"/>
    <w:rsid w:val="406E36E7"/>
    <w:rsid w:val="41285F8B"/>
    <w:rsid w:val="413B0C02"/>
    <w:rsid w:val="41AA2E44"/>
    <w:rsid w:val="428963FA"/>
    <w:rsid w:val="43453904"/>
    <w:rsid w:val="43B92ECB"/>
    <w:rsid w:val="44654E01"/>
    <w:rsid w:val="44EC0BAC"/>
    <w:rsid w:val="44FE7E06"/>
    <w:rsid w:val="4669643F"/>
    <w:rsid w:val="46C01FE0"/>
    <w:rsid w:val="46D15F2D"/>
    <w:rsid w:val="47F30839"/>
    <w:rsid w:val="4880045B"/>
    <w:rsid w:val="49773C28"/>
    <w:rsid w:val="49B6261E"/>
    <w:rsid w:val="49D21D17"/>
    <w:rsid w:val="4A080708"/>
    <w:rsid w:val="4AA31D6C"/>
    <w:rsid w:val="4AFA4FDB"/>
    <w:rsid w:val="4B3F354E"/>
    <w:rsid w:val="4D2103EA"/>
    <w:rsid w:val="4D51573E"/>
    <w:rsid w:val="4E10402F"/>
    <w:rsid w:val="4E9A544D"/>
    <w:rsid w:val="4ECC04FA"/>
    <w:rsid w:val="4ECD70F9"/>
    <w:rsid w:val="4EF61477"/>
    <w:rsid w:val="4F515E33"/>
    <w:rsid w:val="51986815"/>
    <w:rsid w:val="519C2D96"/>
    <w:rsid w:val="51A60847"/>
    <w:rsid w:val="51A73F45"/>
    <w:rsid w:val="520D7F5D"/>
    <w:rsid w:val="524B14E7"/>
    <w:rsid w:val="530A124B"/>
    <w:rsid w:val="54145D3E"/>
    <w:rsid w:val="544E7E14"/>
    <w:rsid w:val="54BF40B9"/>
    <w:rsid w:val="55EC6123"/>
    <w:rsid w:val="56AD3EC1"/>
    <w:rsid w:val="56AE7ED9"/>
    <w:rsid w:val="57D9375F"/>
    <w:rsid w:val="584C69FE"/>
    <w:rsid w:val="58726012"/>
    <w:rsid w:val="587B2965"/>
    <w:rsid w:val="58B32187"/>
    <w:rsid w:val="58B62188"/>
    <w:rsid w:val="58EE3776"/>
    <w:rsid w:val="596C2A61"/>
    <w:rsid w:val="5A0954B3"/>
    <w:rsid w:val="5A117165"/>
    <w:rsid w:val="5AB32912"/>
    <w:rsid w:val="5AEE605F"/>
    <w:rsid w:val="5B8B1AB5"/>
    <w:rsid w:val="5C7063FA"/>
    <w:rsid w:val="5F1A6ABC"/>
    <w:rsid w:val="5F2E3793"/>
    <w:rsid w:val="5F617B3A"/>
    <w:rsid w:val="600D43CE"/>
    <w:rsid w:val="61A618BC"/>
    <w:rsid w:val="62923F6F"/>
    <w:rsid w:val="62B86D17"/>
    <w:rsid w:val="62DD6082"/>
    <w:rsid w:val="62E0626E"/>
    <w:rsid w:val="638259C1"/>
    <w:rsid w:val="63917771"/>
    <w:rsid w:val="63B473A7"/>
    <w:rsid w:val="63C60FC0"/>
    <w:rsid w:val="63ED479F"/>
    <w:rsid w:val="6429577B"/>
    <w:rsid w:val="64906847"/>
    <w:rsid w:val="65D133D6"/>
    <w:rsid w:val="65D77DE1"/>
    <w:rsid w:val="671B4C4C"/>
    <w:rsid w:val="67B11C5B"/>
    <w:rsid w:val="688B666D"/>
    <w:rsid w:val="696114FA"/>
    <w:rsid w:val="6ACF10A2"/>
    <w:rsid w:val="6BE21912"/>
    <w:rsid w:val="6C057DF6"/>
    <w:rsid w:val="6CD5260D"/>
    <w:rsid w:val="6D1B431D"/>
    <w:rsid w:val="6DBB76BC"/>
    <w:rsid w:val="6E5153A5"/>
    <w:rsid w:val="6E5D08E3"/>
    <w:rsid w:val="6ECD414C"/>
    <w:rsid w:val="6F013D03"/>
    <w:rsid w:val="6F282B2F"/>
    <w:rsid w:val="6FAD4535"/>
    <w:rsid w:val="6FAD4AA2"/>
    <w:rsid w:val="70387990"/>
    <w:rsid w:val="711E06A4"/>
    <w:rsid w:val="71751A1C"/>
    <w:rsid w:val="71EF202A"/>
    <w:rsid w:val="730D09BA"/>
    <w:rsid w:val="731D3250"/>
    <w:rsid w:val="733F6D84"/>
    <w:rsid w:val="73D37023"/>
    <w:rsid w:val="743E6FA8"/>
    <w:rsid w:val="7489015C"/>
    <w:rsid w:val="749D6353"/>
    <w:rsid w:val="74D55507"/>
    <w:rsid w:val="76C84476"/>
    <w:rsid w:val="77652B32"/>
    <w:rsid w:val="77DF669D"/>
    <w:rsid w:val="7828122B"/>
    <w:rsid w:val="79B25811"/>
    <w:rsid w:val="7B960416"/>
    <w:rsid w:val="7BC63DFB"/>
    <w:rsid w:val="7BE47DE5"/>
    <w:rsid w:val="7C66113B"/>
    <w:rsid w:val="7C8F7AE6"/>
    <w:rsid w:val="7CEB7ED0"/>
    <w:rsid w:val="7E5A6A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wordWrap/>
      <w:overflowPunct w:val="0"/>
      <w:spacing w:line="360" w:lineRule="auto"/>
      <w:ind w:firstLine="4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29"/>
    <w:qFormat/>
    <w:uiPriority w:val="0"/>
    <w:pPr>
      <w:keepNext/>
      <w:keepLines/>
      <w:spacing w:before="120" w:beforeLines="0" w:beforeAutospacing="0" w:after="120" w:afterLines="0" w:afterAutospacing="0" w:line="360" w:lineRule="auto"/>
      <w:ind w:firstLine="0" w:firstLineChars="0"/>
      <w:outlineLvl w:val="0"/>
    </w:pPr>
    <w:rPr>
      <w:b/>
      <w:bCs/>
      <w:kern w:val="44"/>
      <w:sz w:val="32"/>
      <w:szCs w:val="32"/>
    </w:rPr>
  </w:style>
  <w:style w:type="paragraph" w:styleId="3">
    <w:name w:val="heading 2"/>
    <w:basedOn w:val="1"/>
    <w:next w:val="1"/>
    <w:unhideWhenUsed/>
    <w:qFormat/>
    <w:uiPriority w:val="0"/>
    <w:pPr>
      <w:keepNext w:val="0"/>
      <w:keepLines w:val="0"/>
      <w:widowControl/>
      <w:spacing w:before="120" w:beforeLines="0" w:beforeAutospacing="0" w:after="120" w:afterLines="0" w:afterAutospacing="0" w:line="360" w:lineRule="auto"/>
      <w:ind w:firstLine="0" w:firstLineChars="0"/>
      <w:outlineLvl w:val="1"/>
    </w:pPr>
    <w:rPr>
      <w:b/>
      <w:bCs/>
      <w:sz w:val="30"/>
      <w:szCs w:val="30"/>
    </w:rPr>
  </w:style>
  <w:style w:type="paragraph" w:styleId="4">
    <w:name w:val="heading 3"/>
    <w:basedOn w:val="1"/>
    <w:next w:val="1"/>
    <w:link w:val="40"/>
    <w:unhideWhenUsed/>
    <w:qFormat/>
    <w:uiPriority w:val="0"/>
    <w:pPr>
      <w:keepNext w:val="0"/>
      <w:keepLines w:val="0"/>
      <w:spacing w:before="120" w:beforeLines="0" w:beforeAutospacing="0" w:after="120" w:afterLines="0" w:afterAutospacing="0" w:line="360" w:lineRule="auto"/>
      <w:ind w:firstLine="0" w:firstLineChars="0"/>
      <w:outlineLvl w:val="2"/>
    </w:pPr>
    <w:rPr>
      <w:rFonts w:ascii="Times New Roman" w:hAnsi="Times New Roman" w:eastAsia="宋体"/>
      <w:b/>
      <w:bCs/>
      <w:sz w:val="28"/>
      <w:szCs w:val="28"/>
    </w:rPr>
  </w:style>
  <w:style w:type="paragraph" w:styleId="5">
    <w:name w:val="heading 4"/>
    <w:basedOn w:val="1"/>
    <w:next w:val="1"/>
    <w:link w:val="39"/>
    <w:unhideWhenUsed/>
    <w:qFormat/>
    <w:uiPriority w:val="0"/>
    <w:pPr>
      <w:keepNext w:val="0"/>
      <w:keepLines w:val="0"/>
      <w:spacing w:beforeLines="0" w:beforeAutospacing="0" w:afterLines="0" w:afterAutospacing="0" w:line="360" w:lineRule="auto"/>
      <w:ind w:firstLine="0" w:firstLineChars="0"/>
      <w:outlineLvl w:val="3"/>
    </w:pPr>
    <w:rPr>
      <w:rFonts w:ascii="Times New Roman" w:hAnsi="Times New Roman" w:eastAsia="宋体"/>
      <w:b/>
      <w:bCs/>
    </w:rPr>
  </w:style>
  <w:style w:type="paragraph" w:styleId="6">
    <w:name w:val="heading 5"/>
    <w:basedOn w:val="1"/>
    <w:next w:val="1"/>
    <w:qFormat/>
    <w:uiPriority w:val="1"/>
    <w:pPr>
      <w:ind w:left="0" w:firstLine="0" w:firstLineChars="0"/>
      <w:jc w:val="left"/>
      <w:outlineLvl w:val="4"/>
    </w:pPr>
    <w:rPr>
      <w:rFonts w:eastAsia="宋体"/>
      <w:b/>
      <w:bCs/>
      <w:sz w:val="24"/>
      <w:szCs w:val="24"/>
      <w:lang w:val="zh-CN" w:bidi="zh-CN"/>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index 6"/>
    <w:basedOn w:val="1"/>
    <w:next w:val="1"/>
    <w:qFormat/>
    <w:uiPriority w:val="0"/>
    <w:pPr>
      <w:spacing w:line="600" w:lineRule="exact"/>
      <w:ind w:left="2100" w:firstLine="480"/>
    </w:pPr>
    <w:rPr>
      <w:rFonts w:ascii="仿宋_GB2312" w:eastAsia="仿宋_GB2312"/>
      <w:sz w:val="28"/>
      <w:szCs w:val="20"/>
    </w:rPr>
  </w:style>
  <w:style w:type="paragraph" w:styleId="9">
    <w:name w:val="Body Text"/>
    <w:basedOn w:val="1"/>
    <w:next w:val="10"/>
    <w:unhideWhenUsed/>
    <w:qFormat/>
    <w:uiPriority w:val="99"/>
    <w:pPr>
      <w:spacing w:after="120"/>
    </w:pPr>
  </w:style>
  <w:style w:type="paragraph" w:styleId="10">
    <w:name w:val="List Bullet 5"/>
    <w:basedOn w:val="1"/>
    <w:qFormat/>
    <w:uiPriority w:val="0"/>
    <w:pPr>
      <w:numPr>
        <w:ilvl w:val="0"/>
        <w:numId w:val="1"/>
      </w:numPr>
    </w:pPr>
  </w:style>
  <w:style w:type="paragraph" w:styleId="11">
    <w:name w:val="Body Text Indent"/>
    <w:basedOn w:val="1"/>
    <w:next w:val="12"/>
    <w:qFormat/>
    <w:uiPriority w:val="0"/>
    <w:pPr>
      <w:spacing w:after="120"/>
      <w:ind w:left="420" w:leftChars="200"/>
    </w:pPr>
    <w:rPr>
      <w:rFonts w:ascii="Times New Roman" w:hAnsi="Times New Roman" w:eastAsia="宋体" w:cs="Times New Roman"/>
    </w:rPr>
  </w:style>
  <w:style w:type="paragraph" w:styleId="12">
    <w:name w:val="Body Text First Indent 2"/>
    <w:basedOn w:val="11"/>
    <w:next w:val="13"/>
    <w:qFormat/>
    <w:uiPriority w:val="0"/>
    <w:pPr>
      <w:ind w:firstLine="420"/>
    </w:pPr>
    <w:rPr>
      <w:rFonts w:ascii="Times New Roman" w:hAnsi="Times New Roman" w:eastAsia="宋体" w:cs="Times New Roman"/>
    </w:rPr>
  </w:style>
  <w:style w:type="paragraph" w:styleId="13">
    <w:name w:val="Body Text First Indent"/>
    <w:basedOn w:val="9"/>
    <w:next w:val="11"/>
    <w:qFormat/>
    <w:uiPriority w:val="0"/>
    <w:pPr>
      <w:widowControl/>
      <w:ind w:firstLine="420" w:firstLineChars="100"/>
      <w:jc w:val="left"/>
    </w:pPr>
    <w:rPr>
      <w:rFonts w:eastAsia="方正仿宋_GB2312"/>
      <w:szCs w:val="20"/>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oc 1"/>
    <w:basedOn w:val="1"/>
    <w:next w:val="1"/>
    <w:qFormat/>
    <w:uiPriority w:val="0"/>
    <w:pPr>
      <w:ind w:firstLine="0" w:firstLineChars="0"/>
    </w:pPr>
    <w:rPr>
      <w:rFonts w:ascii="Times New Roman" w:hAnsi="Times New Roman" w:eastAsia="宋体"/>
      <w:b/>
    </w:rPr>
  </w:style>
  <w:style w:type="paragraph" w:styleId="17">
    <w:name w:val="List"/>
    <w:basedOn w:val="1"/>
    <w:next w:val="1"/>
    <w:unhideWhenUsed/>
    <w:qFormat/>
    <w:uiPriority w:val="0"/>
    <w:pPr>
      <w:adjustRightInd w:val="0"/>
      <w:spacing w:line="360" w:lineRule="auto"/>
      <w:ind w:left="-2" w:leftChars="-1" w:right="-108" w:rightChars="-45" w:firstLine="420" w:firstLineChars="200"/>
      <w:jc w:val="left"/>
    </w:pPr>
    <w:rPr>
      <w:rFonts w:ascii="黑体" w:eastAsia="黑体" w:cs="Times New Roman"/>
      <w:kern w:val="0"/>
      <w:sz w:val="20"/>
      <w:szCs w:val="20"/>
    </w:rPr>
  </w:style>
  <w:style w:type="paragraph" w:styleId="18">
    <w:name w:val="toc 2"/>
    <w:basedOn w:val="1"/>
    <w:next w:val="1"/>
    <w:qFormat/>
    <w:uiPriority w:val="0"/>
    <w:pPr>
      <w:ind w:left="0" w:leftChars="0"/>
    </w:pPr>
    <w:rPr>
      <w:rFonts w:ascii="Times New Roman" w:hAnsi="Times New Roman" w:eastAsia="宋体"/>
    </w:rPr>
  </w:style>
  <w:style w:type="paragraph" w:styleId="19">
    <w:name w:val="Normal (Web)"/>
    <w:basedOn w:val="1"/>
    <w:qFormat/>
    <w:uiPriority w:val="0"/>
    <w:pPr>
      <w:spacing w:before="0" w:beforeAutospacing="1" w:after="0" w:afterAutospacing="1"/>
      <w:ind w:left="0" w:right="0"/>
      <w:jc w:val="left"/>
    </w:pPr>
    <w:rPr>
      <w:kern w:val="0"/>
      <w:sz w:val="24"/>
      <w:lang w:val="en-US" w:eastAsia="zh-CN" w:bidi="ar"/>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qFormat/>
    <w:uiPriority w:val="0"/>
    <w:rPr>
      <w:color w:val="0000FF"/>
      <w:u w:val="single"/>
    </w:rPr>
  </w:style>
  <w:style w:type="paragraph" w:customStyle="1" w:styleId="25">
    <w:name w:val="表头"/>
    <w:basedOn w:val="26"/>
    <w:next w:val="1"/>
    <w:link w:val="32"/>
    <w:qFormat/>
    <w:uiPriority w:val="0"/>
    <w:pPr>
      <w:ind w:left="0" w:leftChars="0" w:right="0" w:rightChars="0" w:firstLine="0" w:firstLineChars="0"/>
      <w:jc w:val="center"/>
    </w:pPr>
    <w:rPr>
      <w:rFonts w:ascii="Times New Roman" w:hAnsi="Times New Roman" w:eastAsia="宋体"/>
      <w:b/>
      <w:bCs/>
      <w:szCs w:val="21"/>
    </w:rPr>
  </w:style>
  <w:style w:type="paragraph" w:customStyle="1" w:styleId="26">
    <w:name w:val="表格"/>
    <w:basedOn w:val="17"/>
    <w:next w:val="1"/>
    <w:qFormat/>
    <w:uiPriority w:val="0"/>
    <w:pPr>
      <w:wordWrap/>
      <w:spacing w:line="240" w:lineRule="auto"/>
      <w:ind w:left="0" w:leftChars="0" w:right="0" w:rightChars="0" w:firstLine="0" w:firstLineChars="0"/>
      <w:jc w:val="center"/>
    </w:pPr>
    <w:rPr>
      <w:rFonts w:ascii="Times New Roman" w:hAnsi="Times New Roman" w:eastAsia="宋体"/>
      <w:sz w:val="21"/>
      <w:szCs w:val="21"/>
    </w:rPr>
  </w:style>
  <w:style w:type="paragraph" w:customStyle="1" w:styleId="27">
    <w:name w:val="样式 首行缩进:  2 字符1"/>
    <w:basedOn w:val="1"/>
    <w:qFormat/>
    <w:uiPriority w:val="0"/>
    <w:pPr>
      <w:adjustRightInd w:val="0"/>
      <w:snapToGrid w:val="0"/>
      <w:spacing w:line="360" w:lineRule="auto"/>
      <w:ind w:firstLine="480" w:firstLineChars="200"/>
    </w:pPr>
    <w:rPr>
      <w:rFonts w:cs="宋体"/>
      <w:sz w:val="24"/>
      <w:lang w:val="en-US" w:eastAsia="zh-CN"/>
    </w:rPr>
  </w:style>
  <w:style w:type="character" w:customStyle="1" w:styleId="28">
    <w:name w:val="标题 3 Char"/>
    <w:link w:val="4"/>
    <w:qFormat/>
    <w:uiPriority w:val="0"/>
    <w:rPr>
      <w:rFonts w:ascii="Times New Roman" w:hAnsi="Times New Roman" w:eastAsia="宋体"/>
      <w:b/>
      <w:bCs/>
      <w:sz w:val="28"/>
      <w:szCs w:val="28"/>
    </w:rPr>
  </w:style>
  <w:style w:type="character" w:customStyle="1" w:styleId="29">
    <w:name w:val="标题 1 Char"/>
    <w:link w:val="2"/>
    <w:qFormat/>
    <w:uiPriority w:val="0"/>
    <w:rPr>
      <w:b/>
      <w:bCs/>
      <w:kern w:val="44"/>
      <w:sz w:val="32"/>
      <w:szCs w:val="32"/>
    </w:rPr>
  </w:style>
  <w:style w:type="paragraph" w:customStyle="1" w:styleId="30">
    <w:name w:val="图号"/>
    <w:basedOn w:val="1"/>
    <w:qFormat/>
    <w:uiPriority w:val="0"/>
    <w:pPr>
      <w:spacing w:after="120" w:line="240" w:lineRule="auto"/>
      <w:ind w:firstLine="0" w:firstLineChars="0"/>
      <w:jc w:val="center"/>
    </w:pPr>
    <w:rPr>
      <w:rFonts w:hint="eastAsia"/>
      <w:b/>
      <w:bCs/>
      <w:sz w:val="21"/>
      <w:szCs w:val="21"/>
    </w:rPr>
  </w:style>
  <w:style w:type="character" w:customStyle="1" w:styleId="31">
    <w:name w:val="标题 4 Char"/>
    <w:link w:val="5"/>
    <w:qFormat/>
    <w:uiPriority w:val="0"/>
    <w:rPr>
      <w:rFonts w:ascii="Times New Roman" w:hAnsi="Times New Roman" w:eastAsia="宋体"/>
      <w:b/>
      <w:bCs/>
      <w:sz w:val="24"/>
    </w:rPr>
  </w:style>
  <w:style w:type="character" w:customStyle="1" w:styleId="32">
    <w:name w:val="表头 Char"/>
    <w:link w:val="25"/>
    <w:qFormat/>
    <w:uiPriority w:val="0"/>
    <w:rPr>
      <w:rFonts w:ascii="Times New Roman" w:hAnsi="Times New Roman" w:eastAsia="宋体"/>
      <w:b/>
      <w:bCs/>
      <w:szCs w:val="21"/>
    </w:rPr>
  </w:style>
  <w:style w:type="paragraph" w:customStyle="1" w:styleId="33">
    <w:name w:val="环评正文"/>
    <w:qFormat/>
    <w:uiPriority w:val="0"/>
    <w:rPr>
      <w:rFonts w:ascii="Times New Roman" w:hAnsi="Times New Roman" w:eastAsia="宋体" w:cs="Times New Roman"/>
      <w:sz w:val="24"/>
    </w:rPr>
  </w:style>
  <w:style w:type="paragraph" w:customStyle="1" w:styleId="34">
    <w:name w:val="表格内容"/>
    <w:next w:val="1"/>
    <w:qFormat/>
    <w:uiPriority w:val="0"/>
    <w:pPr>
      <w:jc w:val="center"/>
    </w:pPr>
    <w:rPr>
      <w:rFonts w:ascii="Times New Roman" w:hAnsi="Times New Roman" w:eastAsia="宋体" w:cs="Times New Roman"/>
      <w:kern w:val="2"/>
      <w:sz w:val="21"/>
      <w:szCs w:val="24"/>
      <w:lang w:val="zh-TW" w:eastAsia="zh-TW" w:bidi="ar-SA"/>
    </w:rPr>
  </w:style>
  <w:style w:type="paragraph" w:customStyle="1" w:styleId="35">
    <w:name w:val="Default"/>
    <w:basedOn w:val="36"/>
    <w:next w:val="12"/>
    <w:semiHidden/>
    <w:qFormat/>
    <w:uiPriority w:val="0"/>
    <w:pPr>
      <w:widowControl w:val="0"/>
      <w:autoSpaceDE w:val="0"/>
      <w:autoSpaceDN w:val="0"/>
      <w:adjustRightInd w:val="0"/>
    </w:pPr>
    <w:rPr>
      <w:rFonts w:ascii="仿宋_GB2312" w:eastAsia="仿宋_GB2312" w:cs="仿宋_GB2312"/>
      <w:color w:val="000000"/>
      <w:sz w:val="24"/>
      <w:szCs w:val="24"/>
      <w:lang w:val="en-US" w:eastAsia="zh-CN" w:bidi="ar-SA"/>
    </w:rPr>
  </w:style>
  <w:style w:type="paragraph" w:customStyle="1" w:styleId="36">
    <w:name w:val="纯文本1"/>
    <w:basedOn w:val="1"/>
    <w:qFormat/>
    <w:uiPriority w:val="0"/>
    <w:pPr>
      <w:adjustRightInd w:val="0"/>
      <w:textAlignment w:val="baseline"/>
    </w:pPr>
    <w:rPr>
      <w:rFonts w:ascii="宋体" w:hAnsi="Courier New"/>
      <w:szCs w:val="20"/>
    </w:rPr>
  </w:style>
  <w:style w:type="character" w:customStyle="1" w:styleId="37">
    <w:name w:val="font21"/>
    <w:basedOn w:val="22"/>
    <w:qFormat/>
    <w:uiPriority w:val="0"/>
    <w:rPr>
      <w:rFonts w:ascii="宋体" w:hAnsi="宋体" w:eastAsia="宋体" w:cs="宋体"/>
      <w:color w:val="000000"/>
      <w:sz w:val="22"/>
      <w:szCs w:val="22"/>
      <w:u w:val="none"/>
    </w:rPr>
  </w:style>
  <w:style w:type="character" w:customStyle="1" w:styleId="38">
    <w:name w:val="font31"/>
    <w:basedOn w:val="22"/>
    <w:qFormat/>
    <w:uiPriority w:val="0"/>
    <w:rPr>
      <w:rFonts w:ascii="Calibri" w:hAnsi="Calibri" w:cs="Calibri"/>
      <w:color w:val="000000"/>
      <w:sz w:val="22"/>
      <w:szCs w:val="22"/>
      <w:u w:val="none"/>
    </w:rPr>
  </w:style>
  <w:style w:type="character" w:customStyle="1" w:styleId="39">
    <w:name w:val="标题 4 字符"/>
    <w:link w:val="5"/>
    <w:qFormat/>
    <w:uiPriority w:val="1"/>
    <w:rPr>
      <w:rFonts w:ascii="Times New Roman" w:hAnsi="Times New Roman" w:eastAsia="宋体" w:cs="Times New Roman"/>
      <w:b/>
      <w:bCs/>
      <w:sz w:val="24"/>
      <w:szCs w:val="24"/>
      <w:lang w:val="zh-CN" w:bidi="zh-CN"/>
    </w:rPr>
  </w:style>
  <w:style w:type="character" w:customStyle="1" w:styleId="40">
    <w:name w:val="标题 3 字符"/>
    <w:link w:val="4"/>
    <w:qFormat/>
    <w:uiPriority w:val="0"/>
    <w:rPr>
      <w:rFonts w:ascii="Times New Roman" w:hAnsi="Times New Roman" w:eastAsia="宋体"/>
      <w:b/>
      <w:bCs/>
      <w:sz w:val="28"/>
      <w:szCs w:val="28"/>
    </w:rPr>
  </w:style>
  <w:style w:type="character" w:customStyle="1" w:styleId="41">
    <w:name w:val="font11"/>
    <w:basedOn w:val="22"/>
    <w:qFormat/>
    <w:uiPriority w:val="0"/>
    <w:rPr>
      <w:rFonts w:hint="default" w:ascii="Times New Roman" w:hAnsi="Times New Roman" w:cs="Times New Roman"/>
      <w:color w:val="000000"/>
      <w:sz w:val="21"/>
      <w:szCs w:val="21"/>
      <w:u w:val="none"/>
    </w:rPr>
  </w:style>
  <w:style w:type="character" w:customStyle="1" w:styleId="42">
    <w:name w:val="font41"/>
    <w:basedOn w:val="22"/>
    <w:qFormat/>
    <w:uiPriority w:val="0"/>
    <w:rPr>
      <w:rFonts w:hint="eastAsia" w:ascii="宋体" w:hAnsi="宋体" w:eastAsia="宋体" w:cs="宋体"/>
      <w:b/>
      <w:bCs/>
      <w:color w:val="000000"/>
      <w:sz w:val="24"/>
      <w:szCs w:val="24"/>
      <w:u w:val="none"/>
    </w:rPr>
  </w:style>
  <w:style w:type="character" w:customStyle="1" w:styleId="43">
    <w:name w:val="font51"/>
    <w:basedOn w:val="22"/>
    <w:qFormat/>
    <w:uiPriority w:val="0"/>
    <w:rPr>
      <w:rFonts w:hint="default" w:ascii="Times New Roman" w:hAnsi="Times New Roman" w:cs="Times New Roman"/>
      <w:b/>
      <w:bCs/>
      <w:color w:val="000000"/>
      <w:sz w:val="21"/>
      <w:szCs w:val="21"/>
      <w:u w:val="none"/>
      <w:vertAlign w:val="superscript"/>
    </w:rPr>
  </w:style>
  <w:style w:type="character" w:customStyle="1" w:styleId="44">
    <w:name w:val="font61"/>
    <w:basedOn w:val="22"/>
    <w:qFormat/>
    <w:uiPriority w:val="0"/>
    <w:rPr>
      <w:rFonts w:hint="default" w:ascii="Times New Roman" w:hAnsi="Times New Roman" w:cs="Times New Roman"/>
      <w:color w:val="000000"/>
      <w:sz w:val="21"/>
      <w:szCs w:val="21"/>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1" Type="http://schemas.openxmlformats.org/officeDocument/2006/relationships/fontTable" Target="fontTable.xml"/><Relationship Id="rId70" Type="http://schemas.openxmlformats.org/officeDocument/2006/relationships/customXml" Target="../customXml/item2.xml"/><Relationship Id="rId7" Type="http://schemas.openxmlformats.org/officeDocument/2006/relationships/image" Target="media/image1.emf"/><Relationship Id="rId69" Type="http://schemas.openxmlformats.org/officeDocument/2006/relationships/numbering" Target="numbering.xml"/><Relationship Id="rId68" Type="http://schemas.openxmlformats.org/officeDocument/2006/relationships/customXml" Target="../customXml/item1.xml"/><Relationship Id="rId67" Type="http://schemas.openxmlformats.org/officeDocument/2006/relationships/image" Target="media/image44.png"/><Relationship Id="rId66" Type="http://schemas.openxmlformats.org/officeDocument/2006/relationships/image" Target="media/image43.png"/><Relationship Id="rId65" Type="http://schemas.openxmlformats.org/officeDocument/2006/relationships/image" Target="media/image42.png"/><Relationship Id="rId64" Type="http://schemas.openxmlformats.org/officeDocument/2006/relationships/image" Target="media/image41.jpeg"/><Relationship Id="rId63" Type="http://schemas.openxmlformats.org/officeDocument/2006/relationships/image" Target="media/image40.png"/><Relationship Id="rId62" Type="http://schemas.openxmlformats.org/officeDocument/2006/relationships/image" Target="media/image39.png"/><Relationship Id="rId61" Type="http://schemas.openxmlformats.org/officeDocument/2006/relationships/image" Target="media/image38.png"/><Relationship Id="rId60" Type="http://schemas.openxmlformats.org/officeDocument/2006/relationships/image" Target="media/image37.png"/><Relationship Id="rId6" Type="http://schemas.openxmlformats.org/officeDocument/2006/relationships/theme" Target="theme/theme1.xml"/><Relationship Id="rId59" Type="http://schemas.openxmlformats.org/officeDocument/2006/relationships/image" Target="media/image36.png"/><Relationship Id="rId58" Type="http://schemas.openxmlformats.org/officeDocument/2006/relationships/image" Target="media/image35.wmf"/><Relationship Id="rId57" Type="http://schemas.openxmlformats.org/officeDocument/2006/relationships/oleObject" Target="embeddings/oleObject17.bin"/><Relationship Id="rId56" Type="http://schemas.openxmlformats.org/officeDocument/2006/relationships/image" Target="media/image34.png"/><Relationship Id="rId55" Type="http://schemas.openxmlformats.org/officeDocument/2006/relationships/image" Target="media/image33.png"/><Relationship Id="rId54" Type="http://schemas.openxmlformats.org/officeDocument/2006/relationships/image" Target="media/image32.wmf"/><Relationship Id="rId53" Type="http://schemas.openxmlformats.org/officeDocument/2006/relationships/oleObject" Target="embeddings/oleObject16.bin"/><Relationship Id="rId52" Type="http://schemas.openxmlformats.org/officeDocument/2006/relationships/oleObject" Target="embeddings/oleObject15.bin"/><Relationship Id="rId51" Type="http://schemas.openxmlformats.org/officeDocument/2006/relationships/image" Target="media/image31.wmf"/><Relationship Id="rId50" Type="http://schemas.openxmlformats.org/officeDocument/2006/relationships/oleObject" Target="embeddings/oleObject14.bin"/><Relationship Id="rId5" Type="http://schemas.openxmlformats.org/officeDocument/2006/relationships/footer" Target="footer1.xml"/><Relationship Id="rId49" Type="http://schemas.openxmlformats.org/officeDocument/2006/relationships/image" Target="media/image30.wmf"/><Relationship Id="rId48" Type="http://schemas.openxmlformats.org/officeDocument/2006/relationships/oleObject" Target="embeddings/oleObject13.bin"/><Relationship Id="rId47" Type="http://schemas.openxmlformats.org/officeDocument/2006/relationships/image" Target="media/image29.wmf"/><Relationship Id="rId46" Type="http://schemas.openxmlformats.org/officeDocument/2006/relationships/oleObject" Target="embeddings/oleObject12.bin"/><Relationship Id="rId45" Type="http://schemas.openxmlformats.org/officeDocument/2006/relationships/image" Target="media/image28.wmf"/><Relationship Id="rId44" Type="http://schemas.openxmlformats.org/officeDocument/2006/relationships/oleObject" Target="embeddings/oleObject11.bin"/><Relationship Id="rId43" Type="http://schemas.openxmlformats.org/officeDocument/2006/relationships/image" Target="media/image27.wmf"/><Relationship Id="rId42" Type="http://schemas.openxmlformats.org/officeDocument/2006/relationships/oleObject" Target="embeddings/oleObject10.bin"/><Relationship Id="rId41" Type="http://schemas.openxmlformats.org/officeDocument/2006/relationships/image" Target="media/image26.wmf"/><Relationship Id="rId40" Type="http://schemas.openxmlformats.org/officeDocument/2006/relationships/oleObject" Target="embeddings/oleObject9.bin"/><Relationship Id="rId4" Type="http://schemas.openxmlformats.org/officeDocument/2006/relationships/endnotes" Target="endnotes.xml"/><Relationship Id="rId39" Type="http://schemas.openxmlformats.org/officeDocument/2006/relationships/image" Target="media/image25.wmf"/><Relationship Id="rId38" Type="http://schemas.openxmlformats.org/officeDocument/2006/relationships/oleObject" Target="embeddings/oleObject8.bin"/><Relationship Id="rId37" Type="http://schemas.openxmlformats.org/officeDocument/2006/relationships/image" Target="media/image24.wmf"/><Relationship Id="rId36" Type="http://schemas.openxmlformats.org/officeDocument/2006/relationships/oleObject" Target="embeddings/oleObject7.bin"/><Relationship Id="rId35" Type="http://schemas.openxmlformats.org/officeDocument/2006/relationships/image" Target="media/image23.wmf"/><Relationship Id="rId34" Type="http://schemas.openxmlformats.org/officeDocument/2006/relationships/oleObject" Target="embeddings/oleObject6.bin"/><Relationship Id="rId33" Type="http://schemas.openxmlformats.org/officeDocument/2006/relationships/image" Target="media/image22.wmf"/><Relationship Id="rId32" Type="http://schemas.openxmlformats.org/officeDocument/2006/relationships/oleObject" Target="embeddings/oleObject5.bin"/><Relationship Id="rId31" Type="http://schemas.openxmlformats.org/officeDocument/2006/relationships/image" Target="media/image21.png"/><Relationship Id="rId30" Type="http://schemas.openxmlformats.org/officeDocument/2006/relationships/image" Target="media/image20.wmf"/><Relationship Id="rId3" Type="http://schemas.openxmlformats.org/officeDocument/2006/relationships/footnotes" Target="footnotes.xml"/><Relationship Id="rId29" Type="http://schemas.openxmlformats.org/officeDocument/2006/relationships/oleObject" Target="embeddings/oleObject4.bin"/><Relationship Id="rId28" Type="http://schemas.openxmlformats.org/officeDocument/2006/relationships/image" Target="media/image19.wmf"/><Relationship Id="rId27" Type="http://schemas.openxmlformats.org/officeDocument/2006/relationships/oleObject" Target="embeddings/oleObject3.bin"/><Relationship Id="rId26" Type="http://schemas.openxmlformats.org/officeDocument/2006/relationships/image" Target="media/image18.wmf"/><Relationship Id="rId25" Type="http://schemas.openxmlformats.org/officeDocument/2006/relationships/oleObject" Target="embeddings/oleObject2.bin"/><Relationship Id="rId24" Type="http://schemas.openxmlformats.org/officeDocument/2006/relationships/image" Target="media/image17.wmf"/><Relationship Id="rId23" Type="http://schemas.openxmlformats.org/officeDocument/2006/relationships/oleObject" Target="embeddings/oleObject1.bin"/><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NTE3NDAwMTE1Njg2IiwKCSJHcm91cElkIiA6ICIxOTMyNDg3MTYiLAoJIkltYWdlIiA6ICIiLAoJIlRoZW1lIiA6ICIiLAoJIlR5cGUiIDogImZsb3ciLAoJIlVzZXJJZCIgOiAiIiwKCSJWZXJzaW9uIiA6ICIiCn0K"/>
    </extobj>
    <extobj name="ECB019B1-382A-4266-B25C-5B523AA43C14-2">
      <extobjdata type="ECB019B1-382A-4266-B25C-5B523AA43C14" data="ewoJIkZpbGVJZCIgOiAiNTE3Njc5Mjc2OTUxIiwKCSJHcm91cElkIiA6ICIxOTMyNDg3MTYiLAoJIkltYWdlIiA6ICIiLAoJIlRoZW1lIiA6ICIiLAoJIlR5cGUiIDogImZsb3ciLAoJIlVzZXJJZCIgOiAiIiwKCSJWZXJzaW9uIiA6ICIiCn0K"/>
    </extobj>
    <extobj name="E657119C-6982-421D-8BA7-E74DEB70A7D9-3">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5UQWxNa01sTWpKemFHOTNSM0pwWkNVeU1pVXpRWFJ5ZFdVbE1rTWxNakp5YVdOb1ZHVjRkQ1V5TWlVelFYUnlkV1VsTWtNbE1qSm9aV2xuYUhRbE1qSWxNMEV4TlRBd0pUSkRKVEl5YkdsdVpVcDFiWEJ6SlRJeUpUTkJkSEoxWlNVM1JDVXlReVV5TW1Wc1pXMWxiblJ6SlRJeUpUTkJKVGRDSlRJeWFrdHhjMmh6U0hwdVNqWTRNRFk0TVNVeU1pVXpRU1UzUWlVeU1tbGtKVEl5SlROQkpUSXlha3R4YzJoelNIcHVTalk0TURZNE1TVXlNaVV5UXlVeU1tNWhiV1VsTWpJbE0wRWxNakp5YjNWdVpGSmxZM1JoYm1kc1pTVXlNaVV5UXlVeU1uUnBkR3hsSlRJeUpUTkJKVEl5SlVVMUpUbERKVGcySlVVNEpVRTNKVGt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XR1UTBsWVpGVktZVmc1TXpJNU16Y2xNaklsTjBRbE1rTWxOMElsTWpKdVlXMWxKVEl5SlROQkpUSXlKVVUxSlRrd0pUaEVKVVUzSlVFM0pVSXdKVEl5SlRKREpUSXlkSGx3WlNVeU1pVXpRU1V5TW5OMGNtbHVaeVV5TWlVeVF5VXlNblpoYkhWbEpUSXlKVE5CSlRJeUpUSXlKVEpESlRJeVkyRjBaV2R2Y25rbE1qSWxNMEVsTWpKa1pXWmhkV3gwSlRJeUpUSkRKVEl5YVdRbE1qSWxNMEVsTWpKelNFVjFWWEJ1UjJ4bk1USTBOakl6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lNVeVF5VXlNbVp2Ym5SR1lXMXBiSGtsTWpJbE0wRWxNaklsUlRVbFFVVWxPRUlsUlRRbFFrUWxPVE1sTWpJbE4wUWxNa01sTWpKMFpYaDBRbXh2WTJzbE1qSWxNMEVsTlVJbE4wSWxNakp3YjNOcGRHbHZiaVV5TWlVelFTVTNRaVV5TW5nbE1qSWxNMEV4TUNVeVF5VXlNbmtsTWpJbE0wRXdKVEpESlRJeWR5VXlNaVV6UVNVeU1uY3RNakFsTWpJbE1rTWxNakpvSlRJeUpUTkJKVEl5YUNVeU1pVTNSQ1V5UXlVeU1uUmxlSFFsTWpJbE0wRWxNaklsUlRjbFFrRWxRVVlsUlRZbFFqQWxRalFsUlRVbE9EZ2xRallsUlRVbFFUUWxPRGN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Rha3QyVjFCR1RHaDVOekV4TnpRMkpUSXlKVE5CSlRkQ0pUSXlhV1FsTWpJbE0wRWxNako0YWt0MlYxQkdUR2g1TnpFeE56UTJ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WlhoVGVGQlRabkpCYWpneE16Y3pNQ1V5TWlVM1JDVXlReVUzUWlVeU1tNWhiV1VsTWpJbE0wRWxNaklsUlRVbE9UQWxPRVFsUlRjbFFUY2xRakFsTWpJbE1rTWxNakowZVhCbEpUSXlKVE5CSlRJeWMzUnlhVzVuSlRJeUpUSkRKVEl5ZG1Gc2RXVWxNaklsTTBFbE1qSWxNaklsTWtNbE1qSmpZWFJsWjI5eWVTVXlNaVV6UVNVeU1tUmxabUYxYkhRbE1qSWxNa01sTWpKcFpDVXlNaVV6UVNVeU1tWlhjWEZJVDJsYVpFOHhNREkzTlRr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VbE1rTWxNakptYjI1MFJtRnRhV3g1SlRJeUpUTkJKVEl5SlVVMUpVRkZKVGhDSlVVMEpVSkVKVGt6SlRJeUpUZEVKVEpESlRJeWRHVjRkRUpzYjJOckpUSXlKVE5CSlRWQ0pUZENKVEl5Y0c5emFYUnBiMjRsTWpJbE0wRWxOMElsTWpKNEpUSXlKVE5CTVRBbE1rTWxNako1SlRJeUpUTkJNQ1V5UXlVeU1uY2xNaklsTTBFbE1qSjNMVEl3SlRJeUpUSkRKVEl5YUNVeU1pVXpRU1V5TW1nbE1qSWxOMFFsTWtNbE1qSjBaWGgwSlRJeUpUTkJKVEl5SlVVMUpUZzNKVGhHSlVVMkpVSXdKVUkwSlVVMUpUZzVKVGd5SlVVM0pUazBKVGxHSlVVMEpVSkJKVUUzSlVVM0pUazBKVUU0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ZMWhZVmxodFNIUktjRFkwTmpjeU5pVXlNaVV6UVNVM1FpVXlNbWxrSlRJeUpUTkJKVEl5WTFoWVZsaHRTSFJLY0RZME5qY3lOaVV5TWlVeVF5VXlNbTVoYldVbE1qSWxNMEVsTWpKeWIzVnVaRkpsWTNSaGJtZHNaU1V5TWlVeVF5VXlNblJwZEd4bEpUSXlKVE5CSlRJeUpVVTFKVGxESlRnMkpVVTRKVUUzSlRr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01amQwWjJkR1p0YmxNM09UZ3lPVGtsTWpJbE4wUWxNa01sTjBJbE1qSnVZVzFsSlRJeUpUTkJKVEl5SlVVMUpUa3dKVGhFSlVVM0pVRTNKVUl3SlRJeUpUSkRKVEl5ZEhsd1pTVXlNaVV6UVNVeU1uTjBjbWx1WnlVeU1pVXlReVV5TW5aaGJIVmxKVEl5SlROQkpUSXlKVEl5SlRKREpUSXlZMkYwWldkdmNua2xNaklsTTBFbE1qSmtaV1poZFd4MEpUSXlKVEpESlRJeWFXUWxNaklsTTBFbE1qSnpiVUpHZG1Gd1lXTk5Nek0wTnpFMk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abTl1ZEVaaGJXbHNlU1V5TWlVelFTVXlNaVZGTlNWQlJTVTRRaVZGTkNWQ1JDVTVNeVV5TWlVM1JDVXlReVV5TW5SbGVIUkNiRzlqYXlVeU1pVXpRU1UxUWlVM1FpVXlNbkJ2YzJsMGFXOXVKVEl5SlROQkpUZENKVEl5ZUNVeU1pVXpRVEV3SlRKREpUSXllU1V5TWlVelFUQWxNa01sTWpKM0pUSXlKVE5CSlRJeWR5MHlNQ1V5TWlVeVF5VXlNbWdsTWpJbE0wRWxNakpvSlRJeUpUZEVKVEpESlRJeWRHVjRkQ1V5TWlVelFTVXlNaVZGT1NVNE1DVTVSaVZGTlNVNE55VTVSQ1ZGTlNVNE9TVTRNaVZGTnlVNU5DVTVSaVZGTkNWQ1FTVkJOeVZGTnlVNU5DVkJPQ1ZGTmlWQ01DVkNO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bFRibEJOWVdGRWRuZzBNVEU1TURFbE1qSWxNMEVsTjBJbE1qSnBaQ1V5TWlVelFTVXlNa2xUYmxCTllXRkVkbmcwTVRFNU1ERWxNaklsTWtNbE1qSnVZVzFsSlRJeUpUTkJKVEl5Y205MWJtUlNaV04wWVc1bmJHVWxNaklsTWtNbE1qSjBhWFJzWlNVeU1pVXpRU1V5TWlWRk5TVTVReVU0TmlWRk9DVkJOeVU1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6ZFZwWWNFdFRVMWR2TVRjME9EWTRKVEl5SlRkRUpUSkRKVGRDSlRJeWJtRnRaU1V5TWlVelFTVXlNaVZGTlNVNU1DVTRSQ1ZGTnlWQk55VkNNQ1V5TWlVeVF5VXlNblI1Y0dVbE1qSWxNMEVsTWpKemRISnBibWNsTWpJbE1rTWxNakoyWVd4MVpTVXlNaVV6UVNVeU1pVXlNaVV5UXlVeU1tTmhkR1ZuYjNKNUpUSXlKVE5CSlRJeVpHVm1ZWFZzZENVeU1pVXlReVV5TW1sa0pUSXlKVE5CSlRJeVRuVlhTbkpLUTFKQ1RUWXdPVFF6TU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VbE1rTWxNakptYjI1MFJtRnRhV3g1SlRJeUpUTkJKVEl5SlVVMUpVRkZKVGhDSlVVMEpVSkVKVGt6SlRJeUpUZEVKVEpESlRJeWRHVjRkRUpzYjJOckpUSXlKVE5CSlRWQ0pUZENKVEl5Y0c5emFYUnBiMjRsTWpJbE0wRWxOMElsTWpKNEpUSXlKVE5CTVRBbE1rTWxNako1SlRJeUpUTkJNQ1V5UXlVeU1uY2xNaklsTTBFbE1qSjNMVEl3SlRJeUpUSkRKVEl5YUNVeU1pVXpRU1V5TW1nbE1qSWxOMFFsTWtNbE1qSjBaWGgwSlRJeUpUTkJKVEl5SlVVM0pVRXhKVUZDSlVVNUpUZzFKVUk0SlVVNUpUa3pKVGxFSlVVM0pUazBKVGxHSlVVMEpVSkJKVUUzSlVVM0pUazBKVUU0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XV1ZzYW14bVYzQnljREU1TkRBME1pVXlNaVV6UVNVM1FpVXlNbWxrSlRJeUpUTkJKVEl5V1dWc2FteG1WM0J5Y0RFNU5EQTBNaVV5TWlVeVF5VXlNbTVoYldVbE1qSWxNMEVsTWpKeWIzVnVaRkpsWTNSaGJtZHNaU1V5TWlVeVF5VXlNblJwZEd4bEpUSXlKVE5CSlRJeUpVVTFKVGxESlRnMkpVVTRKVUUzSlRr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OaVRHWkxlV2hSVWtNd05UZzRNellsTWpJbE4wUWxNa01sTjBJbE1qSnVZVzFsSlRJeUpUTkJKVEl5SlVVMUpUa3dKVGhFSlVVM0pVRTNKVUl3SlRJeUpUSkRKVEl5ZEhsd1pTVXlNaVV6UVNVeU1uTjBjbWx1WnlVeU1pVXlReVV5TW5aaGJIVmxKVEl5SlROQkpUSXlKVEl5SlRKREpUSXlZMkYwWldkdmNua2xNaklsTTBFbE1qSmtaV1poZFd4MEpUSXlKVEpESlRJeWFXUWxNaklsTTBFbE1qSkZiRkJ0U1VGb2NHRlRNRE0xTnpZM0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lNVeVF5VXlNbVp2Ym5SR1lXMXBiSGtsTWpJbE0wRWxNaklsUlRVbFFVVWxPRUlsUlRRbFFrUWxPVE1sTWpJbE4wUWxNa01sTWpKMFpYaDBRbXh2WTJzbE1qSWxNMEVsTlVJbE4wSWxNakp3YjNOcGRHbHZiaVV5TWlVelFTVTNRaVV5TW5nbE1qSWxNMEV4TUNVeVF5VXlNbmtsTWpJbE0wRXdKVEpESlRJeWR5VXlNaVV6UVNVeU1uY3RNakFsTWpJbE1rTWxNakpvSlRJeUpUTkJKVEl5YUNVeU1pVTNSQ1V5UXlVeU1uUmxlSFFsTWpJbE0wRWxNaklsUlRjbFFURWxRVUlsUlRrbE9EVWxRamdsUlRrbE9UTWxPVVFsUlRVbE9EWWxRamNsUlRVbE9FUWxRalFsUlRjbE9UUWxRVGdsUlRZbFFqQ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9kbWh3YlUxWlNISjZOelk1TkRRNUpUSXlKVE5CSlRkQ0pUSXlhV1FsTWpJbE0wRWxNakpPZG1od2JVMVpTSEo2TnpZNU5EUTV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G5wVlNYcGxSbUZaZGpRek9EWTROQ1V5TWlVM1JDVXlReVUzUWlVeU1tNWhiV1VsTWpJbE0wRWxNaklsUlRVbE9UQWxPRVFsUlRjbFFUY2xRakFsTWpJbE1rTWxNakowZVhCbEpUSXlKVE5CSlRJeWMzUnlhVzVuSlRJeUpUSkRKVEl5ZG1Gc2RXVWxNaklsTTBFbE1qSWxNaklsTWtNbE1qSmpZWFJsWjI5eWVTVXlNaVV6UVNVeU1tUmxabUYxYkhRbE1qSWxNa01sTWpKcFpDVXlNaVV6UVNVeU1rTnlabWRUYmtOSGQzSXdPRGt5TXpB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VWxNa01sTWpKbWIyNTBSbUZ0YVd4NUpUSXlKVE5CSlRJeUpVVTFKVUZGSlRoQ0pVVTBKVUpFSlRrekpUSXlKVGRFSlRKREpUSXlkR1Y0ZEVKc2IyTnJKVEl5SlROQkpUVkNKVGRDSlRJeWNHOXphWFJwYjI0bE1qSWxNMEVsTjBJbE1qSjRKVEl5SlROQk1UQWxNa01sTWpKNUpUSXlKVE5CTUNVeVF5VXlNbmNsTWpJbE0wRWxNakozTFRJd0pUSXlKVEpESlRJeWFDVXlNaVV6UVNVeU1tZ2xNaklsTjBRbE1rTWxNakowWlhoMEpUSXlKVE5CSlRJeUpVVTFKVGsySlVJM0pVVTJKVUkzSlRoQ0pVVTFKVUV4SlRrMEpVVTNKVGswSlVFNEpVVTJKVUl3SlVJM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2tSNFpYSjNVbTV6V2pJeU9EazNPU1V5TWlVelFTVTNRaVV5TW1sa0pUSXlKVE5CSlRJeWNrUjRaWEozVW01eldqSXlPRGszT1NVeU1pVXlReVV5TW01aGJXVWxNaklsTTBFbE1qSnliM1Z1WkZKbFkzUmhibWRzWlNVeU1pVXlReVV5TW5ScGRHeGxKVEl5SlROQkpUSXlKVVUxSlRsREpUZzJKVVU0SlVFM0pUa3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cDRja0pKZGtoMFdHVTBNVFV6TWpZbE1qSWxOMFFsTWtNbE4wSWxNakp1WVcxbEpUSXlKVE5CSlRJeUpVVTFKVGt3SlRoRUpVVTNKVUUzSlVJd0pUSXlKVEpESlRJeWRIbHdaU1V5TWlVelFTVXlNbk4wY21sdVp5VXlNaVV5UXlVeU1uWmhiSFZsSlRJeUpUTkJKVEl5SlRJeUpUSkRKVEl5WTJGMFpXZHZjbmtsTWpJbE0wRWxNakprWldaaGRXeDBKVEl5SlRKREpUSXlhV1FsTWpJbE0wRWxNakpGUkVaSmNIcHhSR3g1T1Rrek1EUTN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abTl1ZEVaaGJXbHNlU1V5TWlVelFTVXlNaVZGTlNWQlJTVTRRaVZGTkNWQ1JDVTVNeVV5TWlVM1JDVXlReVV5TW5SbGVIUkNiRzlqYXlVeU1pVXpRU1UxUWlVM1FpVXlNbkJ2YzJsMGFXOXVKVEl5SlROQkpUZENKVEl5ZUNVeU1pVXpRVEV3SlRKREpUSXllU1V5TWlVelFUQWxNa01sTWpKM0pUSXlKVE5CSlRJeWR5MHlNQ1V5TWlVeVF5VXlNbWdsTWpJbE0wRWxNakpvSlRJeUpUZEVKVEpESlRJeWRHVjRkQ1V5TWlVelFTVXlNaVZGTlNWQlJTVTVSU1ZGT1NWQlFTVTRReVZGTlNWQlJTVkJOQ1ZGTnlVNU5DVkJPQ1ZGTmlWQ01DVkNO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aG1jMDV3Y0VGc1JtRTJOamszTkRZbE1qSWxNMEVsTjBJbE1qSnBaQ1V5TWlVelFTVXlNa2htYzA1d2NFRnNSbUUyTmprM05EWWxNaklsTWtNbE1qSnVZVzFsSlRJeUpUTkJKVEl5Y205MWJtUlNaV04wWVc1bmJHVWxNaklsTWtNbE1qSjBhWFJzWlNVeU1pVXpRU1V5TWlWRk5TVTVReVU0TmlWRk9DVkJOeVU1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owUVU1NmRsRlBUSEpCTnpBeE9Ea3lKVEl5SlRkRUpUSkRKVGRDSlRJeWJtRnRaU1V5TWlVelFTVXlNaVZGTlNVNU1DVTRSQ1ZGTnlWQk55VkNNQ1V5TWlVeVF5VXlNblI1Y0dVbE1qSWxNMEVsTWpKemRISnBibWNsTWpJbE1rTWxNakoyWVd4MVpTVXlNaVV6UVNVeU1pVXlNaVV5UXlVeU1tTmhkR1ZuYjNKNUpUSXlKVE5CSlRJeVpHVm1ZWFZzZENVeU1pVXlReVV5TW1sa0pUSXlKVE5CSlRJeVIzQnNaRVZGY25aaFVESTRNRGszTW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TVXlReVV5TW1admJuUkdZVzFwYkhrbE1qSWxNMEVsTWpJbFJUVWxRVVVsT0VJbFJUUWxRa1FsT1RNbE1qSWxOMFFsTWtNbE1qSjBaWGgwUW14dlkyc2xNaklsTTBFbE5VSWxOMElsTWpKd2IzTnBkR2x2YmlVeU1pVXpRU1UzUWlVeU1uZ2xNaklsTTBFeE1DVXlReVV5TW5rbE1qSWxNMEV3SlRKREpUSXlkeVV5TWlVelFTVXlNbmN0TWpBbE1qSWxNa01sTWpKb0pUSXlKVE5CSlRJeWFDVXlNaVUzUkNVeVF5VXlNblJsZUhRbE1qSWxNMEVsTWpJbFJUY2xPVFFsT1VZbFJUWWxRalFsUWtJbFJUY2xPVFFsUVRnbFJUWWxRakFsUWp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pUjFKWlVVbEtlbkoxTWpZNU5Ua3hKVEl5SlROQkpUZENKVEl5YVdRbE1qSWxNMEVsTWpKaVIxSlpVVWxLZW5KMU1qWTVOVGt4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WVEyNUxaVkoxUzAxeU5qQTNOelEySlRJeUpUZEVKVEpESlRkQ0pUSXlibUZ0WlNVeU1pVXpRU1V5TWlWRk5TVTVNQ1U0UkNWRk55VkJOeVZDTUNVeU1pVXlReVV5TW5SNWNHVWxNaklsTTBFbE1qSnpkSEpwYm1jbE1qSWxNa01sTWpKMllXeDFaU1V5TWlVelFTVXlNaVV5TWlVeVF5VXlNbU5oZEdWbmIzSjVKVEl5SlROQkpUSXlaR1ZtWVhWc2RDVXlNaVV5UXlVeU1tbGtKVEl5SlROQkpUSXlUR2RWYm1wMmFXVndTRE16TURVNE1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FKVEpESlRJeVptOXVkRVpoYldsc2VTVXlNaVV6UVNVeU1pVkZOU1ZCUlNVNFFpVkZOQ1ZDUkNVNU15VXlNaVUzUkNVeVF5VXlNblJsZUhSQ2JHOWpheVV5TWlVelFTVTFRaVUzUWlVeU1uQnZjMmwwYVc5dUpUSXlKVE5CSlRkQ0pUSXllQ1V5TWlVelFUQWxNa01sTWpKNUpUSXlKVE5CTUNVeVF5VXlNbmNsTWpJbE0wRWxNakozSlRJeUpUSkRKVEl5YUNVeU1pVXpRU1V5TW1nbE1qSWxOMFFsTWtNbE1qSjBaWGgwSlRJeUpUTkJKVEl5SlVVMkpUazJKVUl3SlVVNUpVSXlKVGxE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FXR0ZZZFhod1RYQnZOakE1TkRRMkpUSXlKVGRFSlRKREpUZENKVEl5Ym1GdFpTVXlNaVV6UVNVeU1pVkZOU1U1TUNVNFJDVkZOeVZCTnlWQ01DVXlNaVV5UXlVeU1uUjVjR1VsTWpJbE0wRWxNakp6ZEhKcGJtY2xNaklsTWtNbE1qSjJZV3gxWlNVeU1pVXpRU1V5TWlVeU1pVXlReVV5TW1OaGRHVm5iM0o1SlRJeUpUTkJKVEl5WkdWbVlYVnNkQ1V5TWlVeVF5VXlNbWxrSlRJeUpUTkJKVEl5YUV0MFFuaG9hMWxIU2pnNE9EVTNN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U1V5UXlVeU1tWnZiblJHWVcxcGJIa2xNaklsTTBFbE1qSWxSVFVsUVVVbE9FSWxSVFFsUWtRbE9UTWxNaklsTjBRbE1rTWxNakowWlhoMFFteHZZMnNsTWpJbE0wRWxOVUlsTjBJbE1qSndiM05wZEdsdmJpVXlNaVV6UVNVM1FpVXlNbmdsTWpJbE0wRXdKVEpESlRJeWVTVXlNaVV6UVRBbE1rTWxNakozSlRJeUpUTkJKVEl5ZHlVeU1pVXlReVV5TW1nbE1qSWxNMEVsTWpKb0pUSXlKVGRFSlRKREpUSXlkR1Y0ZENVeU1pVXpRU1V5TWpFMU5UWXlMal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Fha2xoVGtsdWVIVmxNekE1TXpjNUpUSXlKVE5CSlRkQ0pUSXlhV1FsTWpJbE0wRWxNakoxYWtsaFRrbHVlSFZsTXpBNU16YzV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rYjI1V2QxaE9VVXQzTnpjMk9UUXhKVEl5SlRkRUpUSkRKVGRDSlRJeWJtRnRaU1V5TWlVelFTVXlNaVZGTlNVNU1DVTRSQ1ZGTnlWQk55VkNNQ1V5TWlVeVF5VXlNblI1Y0dVbE1qSWxNMEVsTWpKemRISnBibWNsTWpJbE1rTWxNakoyWVd4MVpTVXlNaVV6UVNVeU1pVXlNaVV5UXlVeU1tTmhkR1ZuYjNKNUpUSXlKVE5CSlRJeVpHVm1ZWFZzZENVeU1pVXlReVV5TW1sa0pUSXlKVE5CSlRJeVZtZDVjMGRZVTB4NllUUXhNVGt6TU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abTl1ZEVaaGJXbHNlU1V5TWlVelFTVXlNaVZGTlNWQlJTVTRRaVZGTkNWQ1JDVTVNeVV5TWlVM1JDVXlReVV5TW5SbGVIUkNiRzlqYXlVeU1pVXpRU1UxUWlVM1FpVXlNbkJ2YzJsMGFXOXVKVEl5SlROQkpUZENKVEl5ZUNVeU1pVXpRVEFsTWtNbE1qSjVKVEl5SlROQk1DVXlReVV5TW5jbE1qSWxNMEVsTWpKM0pUSXlKVEpESlRJeWFDVXlNaVV6UVNVeU1tZ2xNaklsTjBRbE1rTWxNakowWlhoMEpUSXlKVE5CSlRJeU1USTBNRE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RSa2hRWldGMVRFWjVNREF5TkRRNUpUSXlKVE5CSlRkQ0pUSXlhV1FsTWpJbE0wRWxNakpEUmtoUVpXRjFURVo1TURBeU5EUTV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YU2twelpXaHpVMHhLTmprM05UTTJKVEl5SlRkRUpUSkRKVGRDSlRJeWJtRnRaU1V5TWlVelFTVXlNaVZGTlNVNU1DVTRSQ1ZGTnlWQk55VkNNQ1V5TWlVeVF5VXlNblI1Y0dVbE1qSWxNMEVsTWpKemRISnBibWNsTWpJbE1rTWxNakoyWVd4MVpTVXlNaVV6UVNVeU1pVXlNaVV5UXlVeU1tTmhkR1ZuYjNKNUpUSXlKVE5CSlRJeVpHVm1ZWFZzZENVeU1pVXlReVV5TW1sa0pUSXlKVE5CSlRJeWEyUjRhSFZoZEZGSWNqRTJOekk1TW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abTl1ZEVaaGJXbHNlU1V5TWlVelFTVXlNaVZGTlNWQlJTVTRRaVZGTkNWQ1JDVTVNeVV5TWlVM1JDVXlReVV5TW5SbGVIUkNiRzlqYXlVeU1pVXpRU1UxUWlVM1FpVXlNbkJ2YzJsMGFXOXVKVEl5SlROQkpUZENKVEl5ZUNVeU1pVXpRVEFsTWtNbE1qSjVKVEl5SlROQk1DVXlReVV5TW5jbE1qSWxNMEVsTWpKM0pUSXlKVEpESlRJeWFDVXlNaVV6UVNVeU1tZ2xNaklsTjBRbE1rTWxNakowWlhoMEpUSXlKVE5CSlRJeU5EY3dN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scDFhMHBXYzFSRmRuY3dNVFE1TnpVbE1qSWxNMEVsTjBJbE1qSnBaQ1V5TWlVelFTVXlNbHAxYTBwV2MxUkZkbmN3TVRRNU56V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GhsUlZCRlRtUlBjVUUzT1RNNE5qQWxNaklsTjBRbE1rTWxOMElsTWpKdVlXMWxKVEl5SlROQkpUSXlKVVUxSlRrd0pUaEVKVVUzSlVFM0pVSXdKVEl5SlRKREpUSXlkSGx3WlNVeU1pVXpRU1V5TW5OMGNtbHVaeVV5TWlVeVF5VXlNblpoYkhWbEpUSXlKVE5CSlRJeUpUSXlKVEpESlRJeVkyRjBaV2R2Y25rbE1qSWxNMEVsTWpKa1pXWmhkV3gwSlRJeUpUSkRKVEl5YVdRbE1qSWxNMEVsTWpKalptVnNZV1pDU0dSaE9EUTBNamM1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U1V5UXlVeU1tWnZiblJHWVcxcGJIa2xNaklsTTBFbE1qSWxSVFVsUVVVbE9FSWxSVFFsUWtRbE9UTWxNaklsTjBRbE1rTWxNakowWlhoMFFteHZZMnNsTWpJbE0wRWxOVUlsTjBJbE1qSndiM05wZEdsdmJpVXlNaVV6UVNVM1FpVXlNbmdsTWpJbE0wRXdKVEpESlRJeWVTVXlNaVV6UVRBbE1rTWxNakozSlRJeUpUTkJKVEl5ZHlVeU1pVXlReVV5TW1nbE1qSWxNMEVsTWpKb0pUSXlKVGRFSlRKREpUSXlkR1Y0ZENVeU1pVXpRU1V5TWpFeU56Zz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ZHbHJVbkoyYVdwdFNqTXdOVEk1TlNVeU1pVXpRU1UzUWlVeU1tbGtKVEl5SlROQkpUSXlWR2xyVW5KMmFXcHRTak13TlRJNU5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lbHBFV0ZaS1NtaEdValU0TURFME1DVXlNaVUzUkNVeVF5VTNRaVV5TW01aGJXVWxNaklsTTBFbE1qSWxSVFVsT1RBbE9FUWxSVGNsUVRjbFFqQWxNaklsTWtNbE1qSjBlWEJsSlRJeUpUTkJKVEl5YzNSeWFXNW5KVEl5SlRKREpUSXlkbUZzZFdVbE1qSWxNMEVsTWpJbE1qSWxNa01sTWpKallYUmxaMjl5ZVNVeU1pVXpRU1V5TW1SbFptRjFiSFFsTWpJbE1rTWxNakpwWkNVeU1pVXpRU1V5TW5OeVdWWmtiV0ZzWWtJeU5UZ3lOVEV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U1V5UXlVeU1tWnZiblJHWVcxcGJIa2xNaklsTTBFbE1qSWxSVFVsUVVVbE9FSWxSVFFsUWtRbE9UTWxNaklsTjBRbE1rTWxNakowWlhoMFFteHZZMnNsTWpJbE0wRWxOVUlsTjBJbE1qSndiM05wZEdsdmJpVXlNaVV6UVNVM1FpVXlNbmdsTWpJbE0wRXdKVEpESlRJeWVTVXlNaVV6UVRBbE1rTWxNakozSlRJeUpUTkJKVEl5ZHlVeU1pVXlReVV5TW1nbE1qSWxNMEVsTWpKb0pUSXlKVGRFSlRKREpUSXlkR1Y0ZENVeU1pVXpRU1V5TWpRek1q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0bWNuRlBabFI2WW1Zd01UVTRORGNsTWpJbE4wUWxNa01sTjBJbE1qSnVZVzFsSlRJeUpUTkJKVEl5SlVVMUpUa3dKVGhFSlVVM0pVRTNKVUl3SlRJeUpUSkRKVEl5ZEhsd1pTVXlNaVV6UVNVeU1uTjBjbWx1WnlVeU1pVXlReVV5TW5aaGJIVmxKVEl5SlROQkpUSXlKVEl5SlRKREpUSXlZMkYwWldkdmNua2xNaklsTTBFbE1qSmtaV1poZFd4MEpUSXlKVEpESlRJeWFXUWxNaklsTTBFbE1qSm1lbmhrWlZWbFJVUjNNakU1TURVM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lNVeVF5VXlNbVp2Ym5SR1lXMXBiSGtsTWpJbE0wRWxNaklsUlRVbFFVVWxPRUlsUlRRbFFrUWxPVE1sTWpJbE4wUWxNa01sTWpKMFpYaDBRbXh2WTJzbE1qSWxNMEVsTlVJbE4wSWxNakp3YjNOcGRHbHZiaVV5TWlVelFTVTNRaVV5TW5nbE1qSWxNMEV3SlRKREpUSXllU1V5TWlVelFUQWxNa01sTWpKM0pUSXlKVE5CSlRJeWR5VXlNaVV5UXlVeU1tZ2xNaklsTTBFbE1qSm9KVEl5SlRkRUpUSkRKVEl5ZEdWNGRDVXlNaVV6UVNVeU1qTTRPRGd3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JrVkpSSGxYZVU5MVdqVXpORGczT1NVeU1pVTNSQ1V5UXlVM1FpVXlNbTVoYldVbE1qSWxNMEVsTWpJbFJUVWxPVEFsT0VRbFJUY2xRVGNsUWpBbE1qSWxNa01sTWpKMGVYQmxKVEl5SlROQkpUSXljM1J5YVc1bkpUSXlKVEpESlRJeWRtRnNkV1VsTWpJbE0wRWxNaklsTWpJbE1rTWxNakpqWVhSbFoyOXllU1V5TWlVelFTVXlNbVJsWm1GMWJIUWxNaklsTWtNbE1qSnBaQ1V5TWlVelFTVXlNbVJTUkdaYWNVbElWMWN6TVRjME5ET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TVXlReVV5TW1admJuUkdZVzFwYkhrbE1qSWxNMEVsTWpJbFJUVWxRVVVsT0VJbFJUUWxRa1FsT1RNbE1qSWxOMFFsTWtNbE1qSjBaWGgwUW14dlkyc2xNaklsTTBFbE5VSWxOMElsTWpKd2IzTnBkR2x2YmlVeU1pVXpRU1UzUWlVeU1uZ2xNaklsTTBFd0pUSkRKVEl5ZVNVeU1pVXpRVEFsTWtNbE1qSjNKVEl5SlROQkpUSXlkeVV5TWlVeVF5VXlNbWdsTWpJbE0wRWxNakpvSlRJeUpUZEVKVEpESlRJeWRHVjRkQ1V5TWlVelFTVXlNakkwTU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k5sWlVWV1NYUlFURzB4TURneE5URWxNaklsTTBFbE4wSWxNakpwWkNVeU1pVXpRU1V5TW5ObFpVVldTWFJRVEcweE1EZ3hOVEV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CSFVFVnRabk5hZEd3NE1qa3pOVFVsTWpJbE4wUWxNa01sTjBJbE1qSnVZVzFsSlRJeUpUTkJKVEl5SlVVMUpUa3dKVGhFSlVVM0pVRTNKVUl3SlRJeUpUSkRKVEl5ZEhsd1pTVXlNaVV6UVNVeU1uTjBjbWx1WnlVeU1pVXlReVV5TW5aaGJIVmxKVEl5SlROQkpUSXlKVEl5SlRKREpUSXlZMkYwWldkdmNua2xNaklsTTBFbE1qSmtaV1poZFd4MEpUSXlKVEpESlRJeWFXUWxNaklsTTBFbE1qSm5hMEpsUTB0TVkxVkJNVFF4T0RRN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abTl1ZEVaaGJXbHNlU1V5TWlVelFTVXlNaVZGTlNWQlJTVTRRaVZGTkNWQ1JDVTVNeVV5TWlVM1JDVXlReVV5TW5SbGVIUkNiRzlqYXlVeU1pVXpRU1UxUWlVM1FpVXlNbkJ2YzJsMGFXOXVKVEl5SlROQkpUZENKVEl5ZUNVeU1pVXpRVEFsTWtNbE1qSjVKVEl5SlROQk1DVXlReVV5TW5jbE1qSWxNMEVsTWpKM0pUSXlKVEpESlRJeWFDVXlNaVV6UVNVeU1tZ2xNaklsTjBRbE1rTWxNakowWlhoMEpUSXlKVE5CSlRJeU1qRTJ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psVnlRVU5GY1hsWlJEYzBNVFkxT1NVeU1pVXpRU1UzUWlVeU1tbGtKVEl5SlROQkpUSXlabFZ5UVVORmNYbFpSRGMwTVRZMU9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UbHBTYlZONlZsZG5lamsyTWpNek1DVXlNaVUzUkNVeVF5VTNRaVV5TW01aGJXVWxNaklsTTBFbE1qSWxSVFVsT1RBbE9FUWxSVGNsUVRjbFFqQWxNaklsTWtNbE1qSjBlWEJsSlRJeUpUTkJKVEl5YzNSeWFXNW5KVEl5SlRKREpUSXlkbUZzZFdVbE1qSWxNMEVsTWpJbE1qSWxNa01sTWpKallYUmxaMjl5ZVNVeU1pVXpRU1V5TW1SbFptRjFiSFFsTWpJbE1rTWxNakpwWkNVeU1pVXpRU1V5TW5aaFVrWlRUazU1VWtZM01UZ3pORGt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1iMjUwUm1GdGFXeDVKVEl5SlROQkpUSXlKVVUxSlVGRkpUaENKVVUwSlVKRUpUa3pKVEl5SlRkRUpUSkRKVEl5ZEdWNGRFSnNiMk5ySlRJeUpUTkJKVFZDSlRkQ0pUSXljRzl6YVhScGIyNGxNaklsTTBFbE4wSWxNako0SlRJeUpUTkJNQ1V5UXlVeU1ua2xNaklsTTBFd0pUSkRKVEl5ZHlVeU1pVXpRU1V5TW5jbE1qSWxNa01sTWpKb0pUSXlKVE5CSlRJeWFDVXlNaVUzUkNVeVF5VXlNblJsZUhRbE1qSWxNMEVsTWpJeU1U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zVtY0hka1dXbFFTMWN4TmpZd09EZ2xNaklsTjBRbE1rTWxOMElsTWpKdVlXMWxKVEl5SlROQkpUSXlKVVUxSlRrd0pUaEVKVVUzSlVFM0pVSXdKVEl5SlRKREpUSXlkSGx3WlNVeU1pVXpRU1V5TW5OMGNtbHVaeVV5TWlVeVF5VXlNblpoYkhWbEpUSXlKVE5CSlRJeUpUSXlKVEpESlRJeVkyRjBaV2R2Y25rbE1qSWxNMEVsTWpKa1pXWmhkV3gwSlRJeUpUSkRKVEl5YVdRbE1qSWxNMEVsTWpKR1lYUkJVRkJNV1dGR016UTFPVFEx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1iMjUwUm1GdGFXeDVKVEl5SlROQkpUSXlKVVUxSlVGRkpUaENKVVUwSlVKRUpUa3pKVEl5SlRkRUpUSkRKVEl5ZEdWNGRFSnNiMk5ySlRJeUpUTkJKVFZDSlRkQ0pUSXljRzl6YVhScGIyNGxNaklsTTBFbE4wSWxNako0SlRJeUpUTkJNQ1V5UXlVeU1ua2xNaklsTTBFd0pUSkRKVEl5ZHlVeU1pVXpRU1V5TW5jbE1qSWxNa01sTWpKb0pUSXlKVE5CSlRJeWFDVXlNaVUzUkNVeVF5VXlNblJsZUhRbE1qSWxNMEVsTWpJMU1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SamRYWk5UbFJIWldZMU1qQXhNVElsTWpJbE0wRWxOMElsTWpKcFpDVXlNaVV6UVNVeU1rUmpkWFpOVGxSSFpXWTFNakF4TVRJ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VlRRMmw1UTI1dGFGUTJNemN3TnpBbE1qSWxOMFFsTWtNbE4wSWxNakp1WVcxbEpUSXlKVE5CSlRJeUpVVTFKVGt3SlRoRUpVVTNKVUUzSlVJd0pUSXlKVEpESlRJeWRIbHdaU1V5TWlVelFTVXlNbk4wY21sdVp5VXlNaVV5UXlVeU1uWmhiSFZsSlRJeUpUTkJKVEl5SlRJeUpUSkRKVEl5WTJGMFpXZHZjbmtsTWpJbE0wRWxNakprWldaaGRXeDBKVEl5SlRKREpUSXlhV1FsTWpJbE0wRWxNakpQZEdGU1prZFNlWE4xTURZNE1UUTV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VWxNa01sTWpKbWIyNTBSbUZ0YVd4NUpUSXlKVE5CSlRJeUpVVTFKVUZGSlRoQ0pVVTBKVUpFSlRrekpUSXlKVGRFSlRKREpUSXlkR1Y0ZEVKc2IyTnJKVEl5SlROQkpUVkNKVGRDSlRJeWNHOXphWFJwYjI0bE1qSWxNMEVsTjBJbE1qSjRKVEl5SlROQk1DVXlReVV5TW5rbE1qSWxNMEV3SlRKREpUSXlkeVV5TWlVelFTVXlNbmNsTWpJbE1rTWxNakpvSlRJeUpUTkJKVEl5YUNVeU1pVTNSQ1V5UXlVeU1uUmxlSFFsTWpJbE0wRWxNakkxTkR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LUTAxeVdtOXBRVU5DTXpBNE5EQTBKVEl5SlROQkpUZENKVEl5YVdRbE1qSWxNMEVsTWpKS1EwMXlXbTlwUVVOQ016QTROREEwSlRJeUpUSkRKVEl5Ym1GdFpTVXlNaVV6UVNVeU1uSnZkVzVrVW1WamRHRnVaMnhsSlRJeUpUSkRKVEl5ZEdsMGJHVWxNaklsTTBFbE1qSWxSVFVsT1VNbE9EWWxSVGdsUVRjbE9U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VXUnlVMFJzWVhKMFZUWTNOems0TXlVeU1pVTNSQ1V5UXlVM1FpVXlNbTVoYldVbE1qSWxNMEVsTWpJbFJUVWxPVEFsT0VRbFJUY2xRVGNsUWpBbE1qSWxNa01sTWpKMGVYQmxKVEl5SlROQkpUSXljM1J5YVc1bkpUSXlKVEpESlRJeWRtRnNkV1VsTWpJbE0wRWxNaklsTWpJbE1rTWxNakpqWVhSbFoyOXllU1V5TWlVelFTVXlNbVJsWm1GMWJIUWxNaklsTWtNbE1qSnBaQ1V5TWlVelFTVXlNa3B1UlZoMmFHOUxiVXN3TXpnNE56U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U1V5UXlVeU1tWnZiblJHWVcxcGJIa2xNaklsTTBFbE1qSWxSVFVsUVVVbE9FSWxSVFFsUWtRbE9UTWxNaklsTjBRbE1rTWxNakowWlhoMFFteHZZMnNsTWpJbE0wRWxOVUlsTjBJbE1qSndiM05wZEdsdmJpVXlNaVV6UVNVM1FpVXlNbmdsTWpJbE0wRXhNQ1V5UXlVeU1ua2xNaklsTTBFd0pUSkRKVEl5ZHlVeU1pVXpRU1V5TW5jdE1qQWxNaklsTWtNbE1qSm9KVEl5SlROQkpUSXlhQ1V5TWlVM1JDVXlReVV5TW5SbGVIUWxNaklsTTBFbE1qSWxSVFFsUWtFbFFUY2xSVFVsT1RNbE9ERWxSVFVsUWpnbFFUWWxSVFVsT0RjbFFrR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bFFYVlRaRkpIVTJKU05qTTNPRGMxSlRJeUpUTkJKVGRDSlRJeWFXUWxNaklsTTBFbE1qSmxRWFZUWkZKSFUySlNOak0zT0RjMUpUSXlKVEpESlRJeWJtRnRaU1V5TWlVelFTVXlNbkp2ZFc1a1VtVmpkR0Z1WjJ4bEpUSXlKVEpESlRJeWRHbDBiR1VsTWpJbE0wRWxNaklsUlRVbE9VTWxPRFlsUlRnbFFUY2xPVE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aR2RQY0ZOa1NsWmpTRGcyTURjMk9DVXlNaVUzUkNVeVF5VTNRaVV5TW01aGJXVWxNaklsTTBFbE1qSWxSVFVsT1RBbE9FUWxSVGNsUVRjbFFqQWxNaklsTWtNbE1qSjBlWEJsSlRJeUpUTkJKVEl5YzNSeWFXNW5KVEl5SlRKREpUSXlkbUZzZFdVbE1qSWxNMEVsTWpJbE1qSWxNa01sTWpKallYUmxaMjl5ZVNVeU1pVXpRU1V5TW1SbFptRjFiSFFsTWpJbE1rTWxNakpwWkNVeU1pVXpRU1V5TWtkWmIzQk9UVk4xU1ZjM05UUTNOekV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abTl1ZEVaaGJXbHNlU1V5TWlVelFTVXlNaVZGTlNWQlJTVTRRaVZGTkNWQ1JDVTVNeVV5TWlVM1JDVXlReVV5TW5SbGVIUkNiRzlqYXlVeU1pVXpRU1UxUWlVM1FpVXlNbkJ2YzJsMGFXOXVKVEl5SlROQkpUZENKVEl5ZUNVeU1pVXpRVEV3SlRKREpUSXllU1V5TWlVelFUQWxNa01sTWpKM0pUSXlKVE5CSlRJeWR5MHlNQ1V5TWlVeVF5VXlNbWdsTWpJbE0wRWxNakpvSlRJeUpUZEVKVEpESlRJeWRHVjRkQ1V5TWlVelFTVXlNaVZGTkNWQ1FTVkJOeVZGTlNVNU15VTRNU1ZGTlNWQ09DVkJOaVZGTlNVNE55VkNR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TnJkV3B2VWtkMlZrbzVOekExTVRZbE1qSWxNMEVsTjBJbE1qSnBaQ1V5TWlVelFTVXlNbU5yZFdwdlVrZDJWa281TnpBMU1UWWxNaklsTWtNbE1qSnVZVzFsSlRJeUpUTkJKVEl5Y205MWJtUlNaV04wWVc1bmJHVWxNaklsTWtNbE1qSjBhWFJzWlNVeU1pVXpRU1V5TWlWRk5TVTVReVU0TmlWRk9DVkJOeVU1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MYVd0T1pHaEtWMWxaTURVek5qTTNKVEl5SlRkRUpUSkRKVGRDSlRJeWJtRnRaU1V5TWlVelFTVXlNaVZGTlNVNU1DVTRSQ1ZGTnlWQk55VkNNQ1V5TWlVeVF5VXlNblI1Y0dVbE1qSWxNMEVsTWpKemRISnBibWNsTWpJbE1rTWxNakoyWVd4MVpTVXlNaVV6UVNVeU1pVXlNaVV5UXlVeU1tTmhkR1ZuYjNKNUpUSXlKVE5CSlRJeVpHVm1ZWFZzZENVeU1pVXlReVV5TW1sa0pUSXlKVE5CSlRJeWNXbG1RbEZTYVVoQlVUUXhPRGszTn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UpUSkRKVEl5Wm05dWRFWmhiV2xzZVNVeU1pVXpRU1V5TWlWRk5TVkJSU1U0UWlWRk5DVkNSQ1U1TXlVeU1pVTNSQ1V5UXlVeU1uUmxlSFJDYkc5amF5VXlNaVV6UVNVMVFpVTNRaVV5TW5CdmMybDBhVzl1SlRJeUpUTkJKVGRDSlRJeWVDVXlNaVV6UVRFd0pUSkRKVEl5ZVNVeU1pVXpRVEFsTWtNbE1qSjNKVEl5SlROQkpUSXlkeTB5TUNVeU1pVXlReVV5TW1nbE1qSWxNMEVsTWpKb0pUSXlKVGRFSlRKREpUSXlkR1Y0ZENVeU1pVXpRU1V5TWlWRk5DVkNRU1ZCTnlWRk5TVTVNeVU0TVNWRk5TVkNPQ1ZCTmlWRk5TVTROeVZDUV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QwdGtaR1JCVjJGa1lUYzJOVE0yTVNVeU1pVTNSQ1V5UXlVM1FpVXlNbTVoYldVbE1qSWxNMEVsTWpJbFJUVWxPVEFsT0VRbFJUY2xRVGNsUWpBbE1qSWxNa01sTWpKMGVYQmxKVEl5SlROQkpUSXljM1J5YVc1bkpUSXlKVEpESlRJeWRtRnNkV1VsTWpJbE0wRWxNaklsTWpJbE1rTWxNakpqWVhSbFoyOXllU1V5TWlVelFTVXlNbVJsWm1GMWJIUWxNaklsTWtNbE1qSnBaQ1V5TWlVelFTVXlNa1ZZYkVoQ1NHdFpla0UwTXpreU56a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TVXlReVV5TW1admJuUkdZVzFwYkhrbE1qSWxNMEVsTWpJbFJUVWxRVVVsT0VJbFJUUWxRa1FsT1RNbE1qSWxOMFFsTWtNbE1qSjBaWGgwUW14dlkyc2xNaklsTTBFbE5VSWxOMElsTWpKd2IzTnBkR2x2YmlVeU1pVXpRU1UzUWlVeU1uZ2xNaklsTTBFd0pUSkRKVEl5ZVNVeU1pVXpRVEFsTWtNbE1qSjNKVEl5SlROQkpUSXlkeVV5TWlVeVF5VXlNbWdsTWpJbE0wRWxNakpvSlRJeUpUZEVKVEpESlRJeWRHVjRkQ1V5TWlVelFTVXlNakV5TkRB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VZKVllsbHlXVmwzYmpjMU1UYzNPU1V5TWlVelFTVTNRaVV5TW1sa0pUSXlKVE5CSlRJeVVWSlZZbGx5V1ZsM2JqYzFNVGMzT1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QyeHRRM2hpYmxWbFpqQXlPVEUxTlNVeU1pVTNSQ1V5UXlVM1FpVXlNbTVoYldVbE1qSWxNMEVsTWpJbFJUVWxPVEFsT0VRbFJUY2xRVGNsUWpBbE1qSWxNa01sTWpKMGVYQmxKVEl5SlROQkpUSXljM1J5YVc1bkpUSXlKVEpESlRJeWRtRnNkV1VsTWpJbE0wRWxNaklsTWpJbE1rTWxNakpqWVhSbFoyOXllU1V5TWlVelFTVXlNbVJsWm1GMWJIUWxNaklsTWtNbE1qSnBaQ1V5TWlVelFTVXlNbGhwVG05Q2RYQnVWVzQyTlRreU56a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TVXlReVV5TW1admJuUkdZVzFwYkhrbE1qSWxNMEVsTWpJbFJUVWxRVVVsT0VJbFJUUWxRa1FsT1RNbE1qSWxOMFFsTWtNbE1qSjBaWGgwUW14dlkyc2xNaklsTTBFbE5VSWxOMElsTWpKd2IzTnBkR2x2YmlVeU1pVXpRU1UzUWlVeU1uZ2xNaklsTTBFd0pUSkRKVEl5ZVNVeU1pVXpRVEFsTWtNbE1qSjNKVEl5SlROQkpUSXlkeVV5TWlVeVF5VXlNbWdsTWpJbE0wRWxNakpvSlRJeUpUZEVKVEpESlRJeWRHVjRkQ1V5TWlVelFTVXlNamM0TUR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3UzJKc2RVVlBRWEJPT1RnNE56TTRKVEl5SlROQkpUZENKVEl5YVdRbE1qSWxNMEVsTWpKd1MySnNkVVZQUVhCT09UZzROek00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TlNXUnFhMHgxVG1weU56ZzBORFE1SlRJeUpUZEVKVEpESlRkQ0pUSXlibUZ0WlNVeU1pVXpRU1V5TWlWRk5TVTVNQ1U0UkNWRk55VkJOeVZDTUNVeU1pVXlReVV5TW5SNWNHVWxNaklsTTBFbE1qSnpkSEpwYm1jbE1qSWxNa01sTWpKMllXeDFaU1V5TWlVelFTVXlNaVV5TWlVeVF5VXlNbU5oZEdWbmIzSjVKVEl5SlROQkpUSXlaR1ZtWVhWc2RDVXlNaVV5UXlVeU1tbGtKVEl5SlROQkpUSXlVMmxGU0ZaQmNHbE9VekUzTURVNU5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TVXlReVV5TW1admJuUkdZVzFwYkhrbE1qSWxNMEVsTWpJbFJUVWxRVVVsT0VJbFJUUWxRa1FsT1RNbE1qSWxOMFFsTWtNbE1qSjBaWGgwUW14dlkyc2xNaklsTTBFbE5VSWxOMElsTWpKd2IzTnBkR2x2YmlVeU1pVXpRU1UzUWlVeU1uZ2xNaklsTTBFd0pUSkRKVEl5ZVNVeU1pVXpRVEFsTWtNbE1qSjNKVEl5SlROQkpUSXlkeVV5TWlVeVF5VXlNbWdsTWpJbE0wRWxNakpvSlRJeUpUZEVKVEpESlRJeWRHVjRkQ1V5TWlVelFTVXlNakV6TURB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cGMzTnZiR2Q2ZVVOWE5EVTVNemcwSlRJeUpUZEVKVEpESlRkQ0pUSXlibUZ0WlNVeU1pVXpRU1V5TWlWRk5TVTVNQ1U0UkNWRk55VkJOeVZDTUNVeU1pVXlReVV5TW5SNWNHVWxNaklsTTBFbE1qSnpkSEpwYm1jbE1qSWxNa01sTWpKMllXeDFaU1V5TWlVelFTVXlNaVV5TWlVeVF5VXlNbU5oZEdWbmIzSjVKVEl5SlROQkpUSXlaR1ZtWVhWc2RDVXlNaVV5UXlVeU1tbGtKVEl5SlROQkpUSXlSa3RMZG1GeldHeFhSVFE0TmpFM01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UpUSkRKVEl5Wm05dWRFWmhiV2xzZVNVeU1pVXpRU1V5TWlWRk5TVkJSU1U0UWlWRk5DVkNSQ1U1TXlVeU1pVTNSQ1V5UXlVeU1uUmxlSFJDYkc5amF5VXlNaVV6UVNVMVFpVTNRaVV5TW5CdmMybDBhVzl1SlRJeUpUTkJKVGRDSlRJeWVDVXlNaVV6UVRBbE1rTWxNako1SlRJeUpUTkJNQ1V5UXlVeU1uY2xNaklsTTBFbE1qSjNKVEl5SlRKREpUSXlhQ1V5TWlVelFTVXlNbWdsTWpJbE4wUWxNa01sTWpKMFpYaDBKVEl5SlROQkpUSXlNekV3TU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WxPUjFOYVVFdDNXbEF3T1RZMU9ESWxNaklsTTBFbE4wSWxNakpwWkNVeU1pVXpRU1V5TW1sT1IxTmFVRXQzV2xBd09UWTFPREl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05VWNFWm5hSFZ4YkdjeE5qWTFNak1sTWpJbE4wUWxNa01sTjBJbE1qSnVZVzFsSlRJeUpUTkJKVEl5SlVVMUpUa3dKVGhFSlVVM0pVRTNKVUl3SlRJeUpUSkRKVEl5ZEhsd1pTVXlNaVV6UVNVeU1uTjBjbWx1WnlVeU1pVXlReVV5TW5aaGJIVmxKVEl5SlROQkpUSXlKVEl5SlRKREpUSXlZMkYwWldkdmNua2xNaklsTTBFbE1qSmtaV1poZFd4MEpUSXlKVEpESlRJeWFXUWxNaklsTTBFbE1qSmpjMlpyUlZKb2FrNU9OVFkyT1RRe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xSlRKREpUSXlabTl1ZEVaaGJXbHNlU1V5TWlVelFTVXlNaVZGTlNWQlJTVTRRaVZGTkNWQ1JDVTVNeVV5TWlVM1JDVXlReVV5TW5SbGVIUkNiRzlqYXlVeU1pVXpRU1UxUWlVM1FpVXlNbkJ2YzJsMGFXOXVKVEl5SlROQkpUZENKVEl5ZUNVeU1pVXpRVEFsTWtNbE1qSjVKVEl5SlROQk1DVXlReVV5TW5jbE1qSWxNMEVsTWpKM0pUSXlKVEpESlRJeWFDVXlNaVV6UVNVeU1tZ2xNaklsTjBRbE1rTWxNakowWlhoMEpUSXlKVE5CSlRJeU5U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TGRFRkNZbEJSZFVKUE56TXlNelUzSlRJeUpUTkJKVGRDSlRJeWFXUWxNaklsTTBFbE1qSkxkRUZDWWxCUmRVSlBOek15TXpVM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NVbWRDUzJ4VVZrNWpPRGsyTmpjMEpUSXlKVGRFSlRKREpUZENKVEl5Ym1GdFpTVXlNaVV6UVNVeU1pVkZOU1U1TUNVNFJDVkZOeVZCTnlWQ01DVXlNaVV5UXlVeU1uUjVjR1VsTWpJbE0wRWxNakp6ZEhKcGJtY2xNaklsTWtNbE1qSjJZV3gxWlNVeU1pVXpRU1V5TWlVeU1pVXlReVV5TW1OaGRHVm5iM0o1SlRJeUpUTkJKVEl5WkdWbVlYVnNkQ1V5TWlVeVF5VXlNbWxrSlRJeUpUTkJKVEl5YTA5UVFsZHZZV1pKYmpJM056Y3hP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FKVEpESlRJeVptOXVkRVpoYldsc2VTVXlNaVV6UVNVeU1pVkZOU1ZCUlNVNFFpVkZOQ1ZDUkNVNU15VXlNaVUzUkNVeVF5VXlNblJsZUhSQ2JHOWpheVV5TWlVelFTVTFRaVUzUWlVeU1uQnZjMmwwYVc5dUpUSXlKVE5CSlRkQ0pUSXllQ1V5TWlVelFUQWxNa01sTWpKNUpUSXlKVE5CTUNVeVF5VXlNbmNsTWpJbE0wRWxNakozSlRJeUpUSkRKVEl5YUNVeU1pVXpRU1V5TW1nbE1qSWxOMFFsTWtNbE1qSjBaWGgwSlRJeUpUTkJKVEl5TVRJME5U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FYxYldsRGVWQm5aWFk1TkRBeE1qY2xNaklsTjBRbE1rTWxOMElsTWpKdVlXMWxKVEl5SlROQkpUSXlKVVUxSlRrd0pUaEVKVVUzSlVFM0pVSXdKVEl5SlRKREpUSXlkSGx3WlNVeU1pVXpRU1V5TW5OMGNtbHVaeVV5TWlVeVF5VXlNblpoYkhWbEpUSXlKVE5CSlRJeUpUSXlKVEpESlRJeVkyRjBaV2R2Y25rbE1qSWxNMEVsTWpKa1pXWmhkV3gwSlRJeUpUSkRKVEl5YVdRbE1qSWxNMEVsTWpKaWVucGtiVk5IZUdwUE1qSTRPRFUx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U1V5UXlVeU1tWnZiblJHWVcxcGJIa2xNaklsTTBFbE1qSWxSVFVsUVVVbE9FSWxSVFFsUWtRbE9UTWxNaklsTjBRbE1rTWxNakowWlhoMFFteHZZMnNsTWpJbE0wRWxOVUlsTjBJbE1qSndiM05wZEdsdmJpVXlNaVV6UVNVM1FpVXlNbmdsTWpJbE0wRXdKVEpESlRJeWVTVXlNaVV6UVRBbE1rTWxNakozSlRJeUpUTkJKVEl5ZHlVeU1pVXlReVV5TW1nbE1qSWxNMEVsTWpKb0pUSXlKVGRFSlRKREpUSXlkR1Y0ZENVeU1pVXpRU1V5TWpRek1q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WR0ZFVsV1puTkZTMGM0TkRBMU9EQWxNaklsTjBRbE1rTWxOMElsTWpKdVlXMWxKVEl5SlROQkpUSXlKVVUxSlRrd0pUaEVKVVUzSlVFM0pVSXdKVEl5SlRKREpUSXlkSGx3WlNVeU1pVXpRU1V5TW5OMGNtbHVaeVV5TWlVeVF5VXlNblpoYkhWbEpUSXlKVE5CSlRJeUpUSXlKVEpESlRJeVkyRjBaV2R2Y25rbE1qSWxNMEVsTWpKa1pXWmhkV3gwSlRJeUpUSkRKVEl5YVdRbE1qSWxNMEVsTWpKQ1prbG9kSFpRUWxGaU5qVXpOREF5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1iMjUwUm1GdGFXeDVKVEl5SlROQkpUSXlKVVUxSlVGRkpUaENKVVUwSlVKRUpUa3pKVEl5SlRkRUpUSkRKVEl5ZEdWNGRFSnNiMk5ySlRJeUpUTkJKVFZDSlRkQ0pUSXljRzl6YVhScGIyNGxNaklsTTBFbE4wSWxNako0SlRJeUpUTkJNQ1V5UXlVeU1ua2xNaklsTTBFd0pUSkRKVEl5ZHlVeU1pVXpRU1V5TW5jbE1qSWxNa01sTWpKb0pUSXlKVE5CSlRJeWFDVXlNaVUzUkNVeVF5VXlNblJsZUhRbE1qSWxNMEVsTWpJeU5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WxSUGJWQjZUbTVWVnprMk1UZzJPQ1V5TWlVM1JDVXlReVUzUWlVeU1tNWhiV1VsTWpJbE0wRWxNaklsUlRVbE9UQWxPRVFsUlRjbFFUY2xRakFsTWpJbE1rTWxNakowZVhCbEpUSXlKVE5CSlRJeWMzUnlhVzVuSlRJeUpUSkRKVEl5ZG1Gc2RXVWxNaklsTTBFbE1qSWxNaklsTWtNbE1qSmpZWFJsWjI5eWVTVXlNaVV6UVNVeU1tUmxabUYxYkhRbE1qSWxNa01sTWpKcFpDVXlNaVV6UVNVeU1rbHBRVlJNYmtGcWFVOHpPVEV4TUR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lNVeVF5VXlNbVp2Ym5SR1lXMXBiSGtsTWpJbE0wRWxNaklsUlRVbFFVVWxPRUlsUlRRbFFrUWxPVE1sTWpJbE4wUWxNa01sTWpKMFpYaDBRbXh2WTJzbE1qSWxNMEVsTlVJbE4wSWxNakp3YjNOcGRHbHZiaVV5TWlVelFTVTNRaVV5TW5nbE1qSWxNMEV3SlRKREpUSXllU1V5TWlVelFUQWxNa01sTWpKM0pUSXlKVE5CSlRJeWR5VXlNaVV5UXlVeU1tZ2xNaklsTTBFbE1qSm9KVEl5SlRkRUpUSkRKVEl5ZEdWNGRDVXlNaVV6UVNVeU1q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aWGxKUlhwblYwTjZUall3TlRJMU55VXlNaVUzUkNVeVF5VTNRaVV5TW01aGJXVWxNaklsTTBFbE1qSWxSVFVsT1RBbE9FUWxSVGNsUVRjbFFqQWxNaklsTWtNbE1qSjBlWEJsSlRJeUpUTkJKVEl5YzNSeWFXNW5KVEl5SlRKREpUSXlkbUZzZFdVbE1qSWxNMEVsTWpJbE1qSWxNa01sTWpKallYUmxaMjl5ZVNVeU1pVXpRU1V5TW1SbFptRjFiSFFsTWpJbE1rTWxNakpwWkNVeU1pVXpRU1V5TW5GcWIzaFhjRVZXWVhjeE56UXlOek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U1V5UXlVeU1tWnZiblJHWVcxcGJIa2xNaklsTTBFbE1qSWxSVFVsUVVVbE9FSWxSVFFsUWtRbE9UTWxNaklsTjBRbE1rTWxNakowWlhoMFFteHZZMnNsTWpJbE0wRWxOVUlsTjBJbE1qSndiM05wZEdsdmJpVXlNaVV6UVNVM1FpVXlNbmdsTWpJbE0wRXdKVEpESlRJeWVTVXlNaVV6UVRBbE1rTWxNakozSlRJeUpUTkJKVEl5ZHlVeU1pVXlReVV5TW1nbE1qSWxNMEVsTWpKb0pUSXlKVGRFSlRKREpUSXlkR1Y0ZENVeU1pVXpRU1V5TWpFd09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4blpXaFRSRTVTUWxFd09URTJNVGtsTWpJbE0wRWxOMElsTWpKcFpDVXlNaVV6UVNVeU1reG5aV2hUUkU1U1FsRXdPVEUyTVRr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ZHVTbXB6ZW5wemFsSTVNelU1T0RBbE1qSWxOMFFsTWtNbE4wSWxNakp1WVcxbEpUSXlKVE5CSlRJeUpVVTFKVGt3SlRoRUpVVTNKVUUzSlVJd0pUSXlKVEpESlRJeWRIbHdaU1V5TWlVelFTVXlNbk4wY21sdVp5VXlNaVV5UXlVeU1uWmhiSFZsSlRJeUpUTkJKVEl5SlRJeUpUSkRKVEl5WTJGMFpXZHZjbmtsTWpJbE0wRWxNakprWldaaGRXeDBKVEl5SlRKREpUSXlhV1FsTWpJbE0wRWxNakpXWVVkdlJsZFVjV05QTURVd016Y3h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FKVEpESlRJeVptOXVkRVpoYldsc2VTVXlNaVV6UVNVeU1pVkZOU1ZCUlNVNFFpVkZOQ1ZDUkNVNU15VXlNaVUzUkNVeVF5VXlNblJsZUhSQ2JHOWpheVV5TWlVelFTVTFRaVUzUWlVeU1uQnZjMmwwYVc5dUpUSXlKVE5CSlRkQ0pUSXllQ1V5TWlVelFUQWxNa01sTWpKNUpUSXlKVE5CTUNVeVF5VXlNbmNsTWpJbE0wRWxNakozSlRJeUpUSkRKVEl5YUNVeU1pVXpRU1V5TW1nbE1qSWxOMFFsTWtNbE1qSjBaWGgwSlRJeUpUTkJKVEl5SlVVMkpVSXhKVUV4SlVVMkpVSXdKVUkwSlVVM0pVRkZKVUV4SlVVM0pVSkVKVGt4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TNwTVpXZHlaVWhxVURVM056ZzBNaVV5TWlVM1JDVXlReVUzUWlVeU1tNWhiV1VsTWpJbE0wRWxNaklsUlRVbE9UQWxPRVFsUlRjbFFUY2xRakFsTWpJbE1rTWxNakowZVhCbEpUSXlKVE5CSlRJeWMzUnlhVzVuSlRJeUpUSkRKVEl5ZG1Gc2RXVWxNaklsTTBFbE1qSWxNaklsTWtNbE1qSmpZWFJsWjI5eWVTVXlNaVV6UVNVeU1tUmxabUYxYkhRbE1qSWxNa01sTWpKcFpDVXlNaVV6UVNVeU1rbFBjRlJhYTJseWNuazFPREV4TWpF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lNVeVF5VXlNbVp2Ym5SR1lXMXBiSGtsTWpJbE0wRWxNaklsUlRVbFFVVWxPRUlsUlRRbFFrUWxPVE1sTWpJbE4wUWxNa01sTWpKMFpYaDBRbXh2WTJzbE1qSWxNMEVsTlVJbE4wSWxNakp3YjNOcGRHbHZiaVV5TWlVelFTVTNRaVV5TW5nbE1qSWxNMEV3SlRKREpUSXllU1V5TWlVelFUQWxNa01sTWpKM0pUSXlKVE5CSlRJeWR5VXlNaVV5UXlVeU1tZ2xNaklsTTBFbE1qSm9KVEl5SlRkRUpUSkRKVEl5ZEdWNGRDVXlNaVV6UVNVeU1qUXpN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SnpibU5vVFhOeFIzazVOREk0T1RRbE1qSWxNMEVsTjBJbE1qSnBaQ1V5TWlVelFTVXlNa0p6Ym1Ob1RYTnhSM2s1TkRJNE9UU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XRMWW5OUlVYQnpZV2t3T1RRNE1Ea2xNaklsTjBRbE1rTWxOMElsTWpKdVlXMWxKVEl5SlROQkpUSXlKVVUxSlRrd0pUaEVKVVUzSlVFM0pVSXdKVEl5SlRKREpUSXlkSGx3WlNVeU1pVXpRU1V5TW5OMGNtbHVaeVV5TWlVeVF5VXlNblpoYkhWbEpUSXlKVE5CSlRJeUpUSXlKVEpESlRJeVkyRjBaV2R2Y25rbE1qSWxNMEVsTWpKa1pXWmhkV3gwSlRJeUpUSkRKVEl5YVdRbE1qSWxNMEVsTWpKWWQwOVBiMVpyYzJOWk1UUXlOelF6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1iMjUwUm1GdGFXeDVKVEl5SlROQkpUSXlKVVUxSlVGRkpUaENKVVUwSlVKRUpUa3pKVEl5SlRkRUpUSkRKVEl5ZEdWNGRFSnNiMk5ySlRJeUpUTkJKVFZDSlRkQ0pUSXljRzl6YVhScGIyNGxNaklsTTBFbE4wSWxNako0SlRJeUpUTkJNQ1V5UXlVeU1ua2xNaklsTTBFd0pUSkRKVEl5ZHlVeU1pVXpRU1V5TW5jbE1qSWxNa01sTWpKb0pUSXlKVE5CSlRJeWFDVXlNaVUzUkNVeVF5VXlNblJsZUhRbE1qSWxNMEVsTWpJM09EQXd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VVbFZVR2xSUlZORlp6ZzROVGN3T1NVeU1pVXpRU1UzUWlVeU1tbGtKVEl5SlROQkpUSXlVVWxWVUdsUlJWTkZaemc0TlRjd09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jMlY1Vm5sS2FsaElURFF3T1RjMU15VXlNaVUzUkNVeVF5VTNRaVV5TW01aGJXVWxNaklsTTBFbE1qSWxSVFVsT1RBbE9FUWxSVGNsUVRjbFFqQWxNaklsTWtNbE1qSjBlWEJsSlRJeUpUTkJKVEl5YzNSeWFXNW5KVEl5SlRKREpUSXlkbUZzZFdVbE1qSWxNMEVsTWpJbE1qSWxNa01sTWpKallYUmxaMjl5ZVNVeU1pVXpRU1V5TW1SbFptRjFiSFFsTWpJbE1rTWxNakpwWkNVeU1pVXpRU1V5TW1oRWFWTlpVbEpyZG1JM05Ua3dPVGN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1iMjUwUm1GdGFXeDVKVEl5SlROQkpUSXlKVVUxSlVGRkpUaENKVVUwSlVKRUpUa3pKVEl5SlRkRUpUSkRKVEl5ZEdWNGRFSnNiMk5ySlRJeUpUTkJKVFZDSlRkQ0pUSXljRzl6YVhScGIyNGxNaklsTTBFbE4wSWxNako0SlRJeUpUTkJNQ1V5UXlVeU1ua2xNaklsTTBFd0pUSkRKVEl5ZHlVeU1pVXpRU1V5TW5jbE1qSWxNa01sTWpKb0pUSXlKVE5CSlRJeWFDVXlNaVUzUkNVeVF5VXlNblJsZUhRbE1qSWxNMEVsTWpJeE16QXdN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saDBZWFZ1WlZWSVZVUXpNelEyTVRNbE1qSWxNMEVsTjBJbE1qSnBaQ1V5TWlVelFTVXlNbGgwWVhWdVpWVklWVVF6TXpRMk1UT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HAxVEdSWVEyNVVWM00wTnpjM09UVWxNaklsTjBRbE1rTWxOMElsTWpKdVlXMWxKVEl5SlROQkpUSXlKVVUxSlRrd0pUaEVKVVUzSlVFM0pVSXdKVEl5SlRKREpUSXlkSGx3WlNVeU1pVXpRU1V5TW5OMGNtbHVaeVV5TWlVeVF5VXlNblpoYkhWbEpUSXlKVE5CSlRJeUpUSXlKVEpESlRJeVkyRjBaV2R2Y25rbE1qSWxNMEVsTWpKa1pXWmhkV3gwSlRJeUpUSkRKVEl5YVdRbE1qSWxNMEVsTWpKWWNuSm5aR1ZWVTNoMU1qSXdOVEl3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VsTWtNbE1qSm1iMjUwUm1GdGFXeDVKVEl5SlROQkpUSXlKVVUxSlVGRkpUaENKVVUwSlVKRUpUa3pKVEl5SlRkRUpUSkRKVEl5ZEdWNGRFSnNiMk5ySlRJeUpUTkJKVFZDSlRkQ0pUSXljRzl6YVhScGIyNGxNaklsTTBFbE4wSWxNako0SlRJeUpUTkJNQ1V5UXlVeU1ua2xNaklsTTBFd0pUSkRKVEl5ZHlVeU1pVXpRU1V5TW5jbE1qSWxNa01sTWpKb0pUSXlKVE5CSlRJeWFDVXlNaVUzUkNVeVF5VXlNblJsZUhRbE1qSWxNMEVsTWpJek9ERTBOaTQx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UpUSkRKVEl5WTI5dGJXVnVkSE1sTWpJbE0wRWxOVUlsTlVRbE1rTWxNakp3YkhWbmFXNXpKVEl5SlROQkpUZENKVGRFSlRKREpUSXlZV2xEYjI1MFlXbHVaWEp6SlRJeUpUTkJKVGRDSlRkRUpUSkRKVEl5YVc1elpYSjBVR0ZuWlU5d2RITWxNaklsTTBFbE4wSWxOMFFsTWtNbE1qSndiM04wVUdGNWJXVnVkQ1V5TWlVelFTVTNRaVUzUkNVeVF5VXlNblJvWlcxbEpUSXlKVE5CSlRkQ0pUSXljR0ZuWlNVeU1pVXpRU1UzUWlVeU1tSmhZMnRuY205MWJtUkRiMnh2Y2lVeU1pVXpRU1V5TW5SeVlXNXpjR0Z5Wlc1MEpUSXlKVGRFSlRkRUpUZEUiLAoJIkZpbGVJZCIgOiAiZTE1Yzk0NjUtMWY2ZC00ODgxLWIxZjktYTEwZDFkMjI1ZjY4Igp9Cg=="/>
    </extobj>
  </extobjs>
</s:customData>
</file>

<file path=customXml/item2.xml><?xml version="1.0" encoding="utf-8"?>
<contractReview xmlns="http://schemas.wps.cn/vas-ai-hub/contract-review">
  <reviewItems>
    <reviewItem>
      <errorID>512457ec-992c-45f3-9b85-d76cbff1bf62</errorID>
      <errorWord>   </errorWord>
      <group>L1_Format</group>
      <groupName>格式问题</groupName>
      <ability>L2_Whitespace</ability>
      <abilityName>空白字符</abilityName>
      <candidateList>
        <item/>
      </candidateList>
      <explain>文本间存在多余的空白字符。</explain>
      <paraID>3D85429B</paraID>
      <start>6</start>
      <end>9</end>
      <status>unmodified</status>
      <modifiedWord/>
      <trackRevisions>false</trackRevisions>
    </reviewItem>
    <reviewItem>
      <errorID>c41f1f6c-0f6a-4b7f-89b6-19d6f016b0a1</errorID>
      <errorWord> </errorWord>
      <group>L1_Format</group>
      <groupName>格式问题</groupName>
      <ability>L2_Whitespace</ability>
      <abilityName>空白字符</abilityName>
      <candidateList>
        <item/>
      </candidateList>
      <explain>文本间存在多余的空白字符。</explain>
      <paraID>6993F2A6</paraID>
      <start>158</start>
      <end>159</end>
      <status>unmodified</status>
      <modifiedWord/>
      <trackRevisions>false</trackRevisions>
    </reviewItem>
    <reviewItem>
      <errorID>bd8c088f-02fc-4365-a6ca-65462a232bf1</errorID>
      <errorWord> </errorWord>
      <group>L1_Format</group>
      <groupName>格式问题</groupName>
      <ability>L2_Whitespace</ability>
      <abilityName>空白字符</abilityName>
      <candidateList>
        <item/>
      </candidateList>
      <explain>文本间存在多余的空白字符。</explain>
      <paraID>1D165EFF</paraID>
      <start>63</start>
      <end>64</end>
      <status>unmodified</status>
      <modifiedWord/>
      <trackRevisions>false</trackRevisions>
    </reviewItem>
    <reviewItem>
      <errorID>7bfaa93b-8d7a-4c91-bc78-eb4a4c7e24ad</errorID>
      <errorWord> </errorWord>
      <group>L1_Format</group>
      <groupName>格式问题</groupName>
      <ability>L2_Whitespace</ability>
      <abilityName>空白字符</abilityName>
      <candidateList>
        <item/>
      </candidateList>
      <explain>文本间存在多余的空白字符。</explain>
      <paraID>12BD5D21</paraID>
      <start>12</start>
      <end>13</end>
      <status>unmodified</status>
      <modifiedWord/>
      <trackRevisions>false</trackRevisions>
    </reviewItem>
    <reviewItem>
      <errorID>85bee4b3-9ed8-4558-a73c-311b05c5f5f1</errorID>
      <errorWord> </errorWord>
      <group>L1_Format</group>
      <groupName>格式问题</groupName>
      <ability>L2_Whitespace</ability>
      <abilityName>空白字符</abilityName>
      <candidateList>
        <item/>
      </candidateList>
      <explain>文本间存在多余的空白字符。</explain>
      <paraID>3A616909</paraID>
      <start>168</start>
      <end>169</end>
      <status>unmodified</status>
      <modifiedWord/>
      <trackRevisions>false</trackRevisions>
    </reviewItem>
    <reviewItem>
      <errorID>ffaa774a-7df4-44b4-a78b-7d849b7e462d</errorID>
      <errorWord> </errorWord>
      <group>L1_Format</group>
      <groupName>格式问题</groupName>
      <ability>L2_Whitespace</ability>
      <abilityName>空白字符</abilityName>
      <candidateList>
        <item/>
      </candidateList>
      <explain>文本间存在多余的空白字符。</explain>
      <paraID>72B74958</paraID>
      <start>10</start>
      <end>11</end>
      <status>unmodified</status>
      <modifiedWord/>
      <trackRevisions>false</trackRevisions>
    </reviewItem>
    <reviewItem>
      <errorID>8856dc9d-155f-417a-9b51-fa1ac4ded2e0</errorID>
      <errorWord> </errorWord>
      <group>L1_Format</group>
      <groupName>格式问题</groupName>
      <ability>L2_Whitespace</ability>
      <abilityName>空白字符</abilityName>
      <candidateList>
        <item/>
      </candidateList>
      <explain>文本间存在多余的空白字符。</explain>
      <paraID>6C2ABE5F</paraID>
      <start>99</start>
      <end>100</end>
      <status>unmodified</status>
      <modifiedWord/>
      <trackRevisions>false</trackRevisions>
    </reviewItem>
    <reviewItem>
      <errorID>bd2d9274-5b1e-4388-9005-cb88548cb69c</errorID>
      <errorWord> </errorWord>
      <group>L1_Format</group>
      <groupName>格式问题</groupName>
      <ability>L2_Whitespace</ability>
      <abilityName>空白字符</abilityName>
      <candidateList>
        <item/>
      </candidateList>
      <explain>文本间存在多余的空白字符。</explain>
      <paraID>39B3E5F3</paraID>
      <start>11</start>
      <end>12</end>
      <status>unmodified</status>
      <modifiedWord/>
      <trackRevisions>false</trackRevisions>
    </reviewItem>
    <reviewItem>
      <errorID>908d423c-e8dc-4eaa-a695-3aa06e74ce62</errorID>
      <errorWord> </errorWord>
      <group>L1_Format</group>
      <groupName>格式问题</groupName>
      <ability>L2_Whitespace</ability>
      <abilityName>空白字符</abilityName>
      <candidateList>
        <item/>
      </candidateList>
      <explain>文本间存在多余的空白字符。</explain>
      <paraID>3A901D1B</paraID>
      <start>98</start>
      <end>99</end>
      <status>unmodified</status>
      <modifiedWord/>
      <trackRevisions>false</trackRevisions>
    </reviewItem>
    <reviewItem>
      <errorID>58151b5c-91ac-4205-a98d-8b9db23bb2d2</errorID>
      <errorWord> </errorWord>
      <group>L1_Format</group>
      <groupName>格式问题</groupName>
      <ability>L2_Whitespace</ability>
      <abilityName>空白字符</abilityName>
      <candidateList>
        <item/>
      </candidateList>
      <explain>文本间存在多余的空白字符。</explain>
      <paraID>4F2AE46B</paraID>
      <start>11</start>
      <end>12</end>
      <status>unmodified</status>
      <modifiedWord/>
      <trackRevisions>false</trackRevisions>
    </reviewItem>
    <reviewItem>
      <errorID>403a1972-427c-4f21-85bf-17d89b060bcc</errorID>
      <errorWord> </errorWord>
      <group>L1_Format</group>
      <groupName>格式问题</groupName>
      <ability>L2_Whitespace</ability>
      <abilityName>空白字符</abilityName>
      <candidateList>
        <item/>
      </candidateList>
      <explain>文本间存在多余的空白字符。</explain>
      <paraID>3A6534F7</paraID>
      <start>65</start>
      <end>66</end>
      <status>unmodified</status>
      <modifiedWord/>
      <trackRevisions>false</trackRevisions>
    </reviewItem>
    <reviewItem>
      <errorID>84e01155-5569-4d70-bbee-5af621d580b6</errorID>
      <errorWord> </errorWord>
      <group>L1_Format</group>
      <groupName>格式问题</groupName>
      <ability>L2_Whitespace</ability>
      <abilityName>空白字符</abilityName>
      <candidateList>
        <item/>
      </candidateList>
      <explain>文本间存在多余的空白字符。</explain>
      <paraID>6C592AF3</paraID>
      <start>11</start>
      <end>12</end>
      <status>unmodified</status>
      <modifiedWord/>
      <trackRevisions>false</trackRevisions>
    </reviewItem>
    <reviewItem>
      <errorID>2557452e-d5bb-4da5-a405-6d1c68fe39f8</errorID>
      <errorWord> </errorWord>
      <group>L1_Format</group>
      <groupName>格式问题</groupName>
      <ability>L2_Whitespace</ability>
      <abilityName>空白字符</abilityName>
      <candidateList>
        <item/>
      </candidateList>
      <explain>文本间存在多余的空白字符。</explain>
      <paraID>246D6A36</paraID>
      <start>11</start>
      <end>12</end>
      <status>unmodified</status>
      <modifiedWord/>
      <trackRevisions>false</trackRevisions>
    </reviewItem>
    <reviewItem>
      <errorID>2c862029-e901-4899-be36-8b1598e7ea93</errorID>
      <errorWord> </errorWord>
      <group>L1_Format</group>
      <groupName>格式问题</groupName>
      <ability>L2_Whitespace</ability>
      <abilityName>空白字符</abilityName>
      <candidateList>
        <item/>
      </candidateList>
      <explain>文本间存在多余的空白字符。</explain>
      <paraID>74F7F0BD</paraID>
      <start>31</start>
      <end>32</end>
      <status>unmodified</status>
      <modifiedWord/>
      <trackRevisions>false</trackRevisions>
    </reviewItem>
    <reviewItem>
      <errorID>c6c27446-64d9-40ad-927a-e580a2e51c96</errorID>
      <errorWord>    </errorWord>
      <group>L1_Format</group>
      <groupName>格式问题</groupName>
      <ability>L2_Whitespace</ability>
      <abilityName>空白字符</abilityName>
      <candidateList>
        <item/>
      </candidateList>
      <explain>文本间存在多余的空白字符。</explain>
      <paraID>2FFF5864</paraID>
      <start>8</start>
      <end>12</end>
      <status>unmodified</status>
      <modifiedWord/>
      <trackRevisions>false</trackRevisions>
    </reviewItem>
    <reviewItem>
      <errorID>f8d41733-3d04-4d56-b730-0b2642fa1fc4</errorID>
      <errorWord> </errorWord>
      <group>L1_Format</group>
      <groupName>格式问题</groupName>
      <ability>L2_Whitespace</ability>
      <abilityName>空白字符</abilityName>
      <candidateList>
        <item/>
      </candidateList>
      <explain>文本间存在多余的空白字符。</explain>
      <paraID>6494C255</paraID>
      <start>257</start>
      <end>258</end>
      <status>unmodified</status>
      <modifiedWord/>
      <trackRevisions>false</trackRevisions>
    </reviewItem>
    <reviewItem>
      <errorID>3ee770d4-2638-4f88-b69f-8a170c9988ba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1539D126</paraID>
      <start>527</start>
      <end>528</end>
      <status>unmodified</status>
      <modifiedWord/>
      <trackRevisions>false</trackRevisions>
    </reviewItem>
    <reviewItem>
      <errorID>1b503c15-e7b0-4b18-8e60-061aa78c5fd3</errorID>
      <errorWord>   </errorWord>
      <group>L1_Format</group>
      <groupName>格式问题</groupName>
      <ability>L2_Whitespace</ability>
      <abilityName>空白字符</abilityName>
      <candidateList>
        <item/>
      </candidateList>
      <explain>文本间存在多余的空白字符。</explain>
      <paraID>48EBCD7E</paraID>
      <start>8</start>
      <end>11</end>
      <status>unmodified</status>
      <modifiedWord/>
      <trackRevisions>false</trackRevisions>
    </reviewItem>
    <reviewItem>
      <errorID>aa864b57-d33c-4c90-85eb-295ff8bcaf40</errorID>
      <errorWord> </errorWord>
      <group>L1_Format</group>
      <groupName>格式问题</groupName>
      <ability>L2_Whitespace</ability>
      <abilityName>空白字符</abilityName>
      <candidateList>
        <item/>
      </candidateList>
      <explain>文本间存在多余的空白字符。</explain>
      <paraID>736A0B9C</paraID>
      <start>46</start>
      <end>47</end>
      <status>unmodified</status>
      <modifiedWord/>
      <trackRevisions>false</trackRevisions>
    </reviewItem>
    <reviewItem>
      <errorID>de5d25e6-aabf-4f13-897d-c554401e8dd2</errorID>
      <errorWord> </errorWord>
      <group>L1_Format</group>
      <groupName>格式问题</groupName>
      <ability>L2_Whitespace</ability>
      <abilityName>空白字符</abilityName>
      <candidateList>
        <item/>
      </candidateList>
      <explain>文本间存在多余的空白字符。</explain>
      <paraID>7E94A79A</paraID>
      <start>373</start>
      <end>374</end>
      <status>unmodified</status>
      <modifiedWord/>
      <trackRevisions>false</trackRevisions>
    </reviewItem>
    <reviewItem>
      <errorID>b968738b-fe45-42f2-9d51-479adfdb9c64</errorID>
      <errorWord> </errorWord>
      <group>L1_Format</group>
      <groupName>格式问题</groupName>
      <ability>L2_Whitespace</ability>
      <abilityName>空白字符</abilityName>
      <candidateList>
        <item/>
      </candidateList>
      <explain>文本间存在多余的空白字符。</explain>
      <paraID>1CA300BF</paraID>
      <start>500</start>
      <end>501</end>
      <status>unmodified</status>
      <modifiedWord/>
      <trackRevisions>false</trackRevisions>
    </reviewItem>
    <reviewItem>
      <errorID>c9c9b082-dc5b-419b-aa22-05a3511806a1</errorID>
      <errorWord> </errorWord>
      <group>L1_Format</group>
      <groupName>格式问题</groupName>
      <ability>L2_Whitespace</ability>
      <abilityName>空白字符</abilityName>
      <candidateList>
        <item/>
      </candidateList>
      <explain>文本间存在多余的空白字符。</explain>
      <paraID>6E53C9B7</paraID>
      <start>41</start>
      <end>42</end>
      <status>unmodified</status>
      <modifiedWord/>
      <trackRevisions>false</trackRevisions>
    </reviewItem>
    <reviewItem>
      <errorID>88711886-a0bb-474c-8c0e-bc362eaefac1</errorID>
      <errorWord> </errorWord>
      <group>L1_Format</group>
      <groupName>格式问题</groupName>
      <ability>L2_Whitespace</ability>
      <abilityName>空白字符</abilityName>
      <candidateList>
        <item/>
      </candidateList>
      <explain>文本间存在多余的空白字符。</explain>
      <paraID>6CD30ACB</paraID>
      <start>61</start>
      <end>62</end>
      <status>unmodified</status>
      <modifiedWord/>
      <trackRevisions>false</trackRevisions>
    </reviewItem>
    <reviewItem>
      <errorID>d0a0fb88-52ef-4140-a3be-10264ce8e4b4</errorID>
      <errorWord> </errorWord>
      <group>L1_Format</group>
      <groupName>格式问题</groupName>
      <ability>L2_Whitespace</ability>
      <abilityName>空白字符</abilityName>
      <candidateList>
        <item/>
      </candidateList>
      <explain>文本间存在多余的空白字符。</explain>
      <paraID>6CD30ACB</paraID>
      <start>69</start>
      <end>70</end>
      <status>unmodified</status>
      <modifiedWord/>
      <trackRevisions>false</trackRevisions>
    </reviewItem>
    <reviewItem>
      <errorID>d8bf78ab-27a0-40fa-9d1a-9d333d3d5460</errorID>
      <errorWord> </errorWord>
      <group>L1_Format</group>
      <groupName>格式问题</groupName>
      <ability>L2_Whitespace</ability>
      <abilityName>空白字符</abilityName>
      <candidateList>
        <item/>
      </candidateList>
      <explain>文本间存在多余的空白字符。</explain>
      <paraID> 6B554F8</paraID>
      <start>402</start>
      <end>403</end>
      <status>unmodified</status>
      <modifiedWord/>
      <trackRevisions>false</trackRevisions>
    </reviewItem>
    <reviewItem>
      <errorID>82ae154d-3c98-4324-9fca-401d43b873d4</errorID>
      <errorWord>   </errorWord>
      <group>L1_Format</group>
      <groupName>格式问题</groupName>
      <ability>L2_Whitespace</ability>
      <abilityName>空白字符</abilityName>
      <candidateList>
        <item/>
      </candidateList>
      <explain>文本间存在多余的空白字符。</explain>
      <paraID>70EDD6A3</paraID>
      <start>8</start>
      <end>11</end>
      <status>unmodified</status>
      <modifiedWord/>
      <trackRevisions>false</trackRevisions>
    </reviewItem>
    <reviewItem>
      <errorID>5da07680-74d7-437e-8de2-0fabd800b183</errorID>
      <errorWord>目</errorWord>
      <group>L1_Word</group>
      <groupName>字词问题</groupName>
      <ability>L2_Typo</ability>
      <abilityName>字词错误</abilityName>
      <candidateList>
        <item>目对</item>
      </candidateList>
      <explain/>
      <paraID> BB41A2D</paraID>
      <start>2</start>
      <end>3</end>
      <status>unmodified</status>
      <modifiedWord/>
      <trackRevisions>false</trackRevisions>
    </reviewItem>
    <reviewItem>
      <errorID>62c65ef4-629e-4111-a9d1-5b7bdb800631</errorID>
      <errorWord>  </errorWord>
      <group>L1_Format</group>
      <groupName>格式问题</groupName>
      <ability>L2_Whitespace</ability>
      <abilityName>空白字符</abilityName>
      <candidateList>
        <item/>
      </candidateList>
      <explain>文本间存在多余的空白字符。</explain>
      <paraID> 22BDC69</paraID>
      <start>8</start>
      <end>10</end>
      <status>unmodified</status>
      <modifiedWord/>
      <trackRevisions>false</trackRevisions>
    </reviewItem>
    <reviewItem>
      <errorID>4acce4cf-c8f2-433b-88f4-3d63c8e4a55c</errorID>
      <errorWord>与关</errorWord>
      <group>L1_Word</group>
      <groupName>字词问题</groupName>
      <ability>L2_Typo</ability>
      <abilityName>字词错误</abilityName>
      <candidateList>
        <item>有关</item>
      </candidateList>
      <explain>存在发音相近字词的误用。</explain>
      <paraID> 22BDC69</paraID>
      <start>12</start>
      <end>14</end>
      <status>unmodified</status>
      <modifiedWord/>
      <trackRevisions>false</trackRevisions>
    </reviewItem>
    <reviewItem>
      <errorID>8c4e47a3-7849-4177-9ed0-345254ce1536</errorID>
      <errorWord> </errorWord>
      <group>L1_Format</group>
      <groupName>格式问题</groupName>
      <ability>L2_Whitespace</ability>
      <abilityName>空白字符</abilityName>
      <candidateList>
        <item/>
      </candidateList>
      <explain>文本间存在多余的空白字符。</explain>
      <paraID> 6B99BA9</paraID>
      <start>6</start>
      <end>7</end>
      <status>unmodified</status>
      <modifiedWord/>
      <trackRevisions>false</trackRevisions>
    </reviewItem>
    <reviewItem>
      <errorID>71f807fc-62e6-4e52-bbd5-d8dd92cadee0</errorID>
      <errorWord> </errorWord>
      <group>L1_Format</group>
      <groupName>格式问题</groupName>
      <ability>L2_Whitespace</ability>
      <abilityName>空白字符</abilityName>
      <candidateList>
        <item/>
      </candidateList>
      <explain>文本间存在多余的空白字符。</explain>
      <paraID>7449D44E</paraID>
      <start>6</start>
      <end>7</end>
      <status>unmodified</status>
      <modifiedWord/>
      <trackRevisions>false</trackRevisions>
    </reviewItem>
    <reviewItem>
      <errorID>bde7aa18-de19-498d-b78e-06bc7b000dbe</errorID>
      <errorWord> </errorWord>
      <group>L1_Format</group>
      <groupName>格式问题</groupName>
      <ability>L2_Whitespace</ability>
      <abilityName>空白字符</abilityName>
      <candidateList>
        <item/>
      </candidateList>
      <explain>文本间存在多余的空白字符。</explain>
      <paraID>4372081E</paraID>
      <start>160</start>
      <end>161</end>
      <status>unmodified</status>
      <modifiedWord/>
      <trackRevisions>false</trackRevisions>
    </reviewItem>
    <reviewItem>
      <errorID>12a94f02-f737-4460-a585-4b8f76b75e2d</errorID>
      <errorWord> </errorWord>
      <group>L1_Format</group>
      <groupName>格式问题</groupName>
      <ability>L2_Whitespace</ability>
      <abilityName>空白字符</abilityName>
      <candidateList>
        <item/>
      </candidateList>
      <explain>文本间存在多余的空白字符。</explain>
      <paraID>7EEFF793</paraID>
      <start>107</start>
      <end>108</end>
      <status>unmodified</status>
      <modifiedWord/>
      <trackRevisions>false</trackRevisions>
    </reviewItem>
    <reviewItem>
      <errorID>4582bbdc-97f2-470f-b1ed-77a42143494c</errorID>
      <errorWord> </errorWord>
      <group>L1_Format</group>
      <groupName>格式问题</groupName>
      <ability>L2_Whitespace</ability>
      <abilityName>空白字符</abilityName>
      <candidateList>
        <item/>
      </candidateList>
      <explain>文本间存在多余的空白字符。</explain>
      <paraID>1F9F9D50</paraID>
      <start>13</start>
      <end>14</end>
      <status>unmodified</status>
      <modifiedWord/>
      <trackRevisions>false</trackRevisions>
    </reviewItem>
    <reviewItem>
      <errorID>7bda1497-e94f-4558-a60c-2a3c9014b51d</errorID>
      <errorWord> </errorWord>
      <group>L1_Format</group>
      <groupName>格式问题</groupName>
      <ability>L2_Whitespace</ability>
      <abilityName>空白字符</abilityName>
      <candidateList>
        <item/>
      </candidateList>
      <explain>文本间存在多余的空白字符。</explain>
      <paraID> 8CDB307</paraID>
      <start>28</start>
      <end>29</end>
      <status>unmodified</status>
      <modifiedWord/>
      <trackRevisions>false</trackRevisions>
    </reviewItem>
    <reviewItem>
      <errorID>4c803b30-8dc0-4631-a8c1-120203e77dbe</errorID>
      <errorWord>  </errorWord>
      <group>L1_Format</group>
      <groupName>格式问题</groupName>
      <ability>L2_Whitespace</ability>
      <abilityName>空白字符</abilityName>
      <candidateList>
        <item/>
      </candidateList>
      <explain>文本间存在多余的空白字符。</explain>
      <paraID>12859895</paraID>
      <start>18</start>
      <end>20</end>
      <status>unmodified</status>
      <modifiedWord/>
      <trackRevisions>false</trackRevisions>
    </reviewItem>
    <reviewItem>
      <errorID>3f9e855d-8420-4994-a48a-46f78066a962</errorID>
      <errorWord>  </errorWord>
      <group>L1_Format</group>
      <groupName>格式问题</groupName>
      <ability>L2_Whitespace</ability>
      <abilityName>空白字符</abilityName>
      <candidateList>
        <item/>
      </candidateList>
      <explain>文本间存在多余的空白字符。</explain>
      <paraID>664E1E38</paraID>
      <start>14</start>
      <end>16</end>
      <status>unmodified</status>
      <modifiedWord/>
      <trackRevisions>false</trackRevisions>
    </reviewItem>
    <reviewItem>
      <errorID>519dfd94-4209-4d18-b068-33702d86284c</errorID>
      <errorWord>  </errorWord>
      <group>L1_Format</group>
      <groupName>格式问题</groupName>
      <ability>L2_Whitespace</ability>
      <abilityName>空白字符</abilityName>
      <candidateList>
        <item/>
      </candidateList>
      <explain>文本间存在多余的空白字符。</explain>
      <paraID>49AB6F51</paraID>
      <start>14</start>
      <end>16</end>
      <status>unmodified</status>
      <modifiedWord/>
      <trackRevisions>false</trackRevisions>
    </reviewItem>
    <reviewItem>
      <errorID>33d58784-185f-4b1e-8802-583a3d15d6d4</errorID>
      <errorWord>  </errorWord>
      <group>L1_Format</group>
      <groupName>格式问题</groupName>
      <ability>L2_Whitespace</ability>
      <abilityName>空白字符</abilityName>
      <candidateList>
        <item/>
      </candidateList>
      <explain>文本间存在多余的空白字符。</explain>
      <paraID>72392251</paraID>
      <start>14</start>
      <end>16</end>
      <status>unmodified</status>
      <modifiedWord/>
      <trackRevisions>false</trackRevisions>
    </reviewItem>
    <reviewItem>
      <errorID>ff7456c2-57c8-41a7-a2d9-6dc5eeaad53e</errorID>
      <errorWord>  </errorWord>
      <group>L1_Format</group>
      <groupName>格式问题</groupName>
      <ability>L2_Whitespace</ability>
      <abilityName>空白字符</abilityName>
      <candidateList>
        <item/>
      </candidateList>
      <explain>文本间存在多余的空白字符。</explain>
      <paraID>62A8F360</paraID>
      <start>14</start>
      <end>16</end>
      <status>unmodified</status>
      <modifiedWord/>
      <trackRevisions>false</trackRevisions>
    </reviewItem>
    <reviewItem>
      <errorID>6aaf0e79-3faf-41cd-b704-982b1794727b</errorID>
      <errorWord>  </errorWord>
      <group>L1_Format</group>
      <groupName>格式问题</groupName>
      <ability>L2_Whitespace</ability>
      <abilityName>空白字符</abilityName>
      <candidateList>
        <item/>
      </candidateList>
      <explain>文本间存在多余的空白字符。</explain>
      <paraID>69202E47</paraID>
      <start>14</start>
      <end>16</end>
      <status>unmodified</status>
      <modifiedWord/>
      <trackRevisions>false</trackRevisions>
    </reviewItem>
    <reviewItem>
      <errorID>e89e51ac-c41a-4e30-a503-41aac411b595</errorID>
      <errorWord>  </errorWord>
      <group>L1_Format</group>
      <groupName>格式问题</groupName>
      <ability>L2_Whitespace</ability>
      <abilityName>空白字符</abilityName>
      <candidateList>
        <item/>
      </candidateList>
      <explain>文本间存在多余的空白字符。</explain>
      <paraID>72BA7523</paraID>
      <start>14</start>
      <end>16</end>
      <status>unmodified</status>
      <modifiedWord/>
      <trackRevisions>false</trackRevisions>
    </reviewItem>
    <reviewItem>
      <errorID>981b9179-2c73-4484-a8b1-f4aae84ddfca</errorID>
      <errorWord> </errorWord>
      <group>L1_Format</group>
      <groupName>格式问题</groupName>
      <ability>L2_Whitespace</ability>
      <abilityName>空白字符</abilityName>
      <candidateList>
        <item/>
      </candidateList>
      <explain>文本间存在多余的空白字符。</explain>
      <paraID> 559CCBD</paraID>
      <start>30</start>
      <end>31</end>
      <status>unmodified</status>
      <modifiedWord/>
      <trackRevisions>false</trackRevisions>
    </reviewItem>
    <reviewItem>
      <errorID>a5fb9cf8-191c-4335-a00f-dc6e2e72533c</errorID>
      <errorWord> </errorWord>
      <group>L1_Format</group>
      <groupName>格式问题</groupName>
      <ability>L2_Whitespace</ability>
      <abilityName>空白字符</abilityName>
      <candidateList>
        <item/>
      </candidateList>
      <explain>文本间存在多余的空白字符。</explain>
      <paraID>72E270D4</paraID>
      <start>29</start>
      <end>30</end>
      <status>unmodified</status>
      <modifiedWord/>
      <trackRevisions>false</trackRevisions>
    </reviewItem>
    <reviewItem>
      <errorID>3fd102a5-8d10-4dae-936a-8d927e485f85</errorID>
      <errorWord> </errorWord>
      <group>L1_Format</group>
      <groupName>格式问题</groupName>
      <ability>L2_Whitespace</ability>
      <abilityName>空白字符</abilityName>
      <candidateList>
        <item/>
      </candidateList>
      <explain>文本间存在多余的空白字符。</explain>
      <paraID>4B670F52</paraID>
      <start>44</start>
      <end>45</end>
      <status>unmodified</status>
      <modifiedWord/>
      <trackRevisions>false</trackRevisions>
    </reviewItem>
    <reviewItem>
      <errorID>10d2f021-6523-4a15-a48d-98016431eb5a</errorID>
      <errorWord> </errorWord>
      <group>L1_Format</group>
      <groupName>格式问题</groupName>
      <ability>L2_Whitespace</ability>
      <abilityName>空白字符</abilityName>
      <candidateList>
        <item/>
      </candidateList>
      <explain>文本间存在多余的空白字符。</explain>
      <paraID>338BA174</paraID>
      <start>47</start>
      <end>48</end>
      <status>unmodified</status>
      <modifiedWord/>
      <trackRevisions>false</trackRevisions>
    </reviewItem>
    <reviewItem>
      <errorID>6fed8aa7-7403-4538-8e7d-3d0afcb18fe7</errorID>
      <errorWord> </errorWord>
      <group>L1_Format</group>
      <groupName>格式问题</groupName>
      <ability>L2_Whitespace</ability>
      <abilityName>空白字符</abilityName>
      <candidateList>
        <item/>
      </candidateList>
      <explain>文本间存在多余的空白字符。</explain>
      <paraID>41C29A5D</paraID>
      <start>56</start>
      <end>57</end>
      <status>unmodified</status>
      <modifiedWord/>
      <trackRevisions>false</trackRevisions>
    </reviewItem>
    <reviewItem>
      <errorID>c5df33f1-a793-4ab2-a559-37d26a427f00</errorID>
      <errorWord> </errorWord>
      <group>L1_Format</group>
      <groupName>格式问题</groupName>
      <ability>L2_Whitespace</ability>
      <abilityName>空白字符</abilityName>
      <candidateList>
        <item/>
      </candidateList>
      <explain>文本间存在多余的空白字符。</explain>
      <paraID>273D6B74</paraID>
      <start>44</start>
      <end>45</end>
      <status>unmodified</status>
      <modifiedWord/>
      <trackRevisions>false</trackRevisions>
    </reviewItem>
    <reviewItem>
      <errorID>1bcf8184-f84f-4abf-ad3d-eb2d268eca0c</errorID>
      <errorWord> </errorWord>
      <group>L1_Format</group>
      <groupName>格式问题</groupName>
      <ability>L2_Whitespace</ability>
      <abilityName>空白字符</abilityName>
      <candidateList>
        <item/>
      </candidateList>
      <explain>文本间存在多余的空白字符。</explain>
      <paraID>3C73D115</paraID>
      <start>46</start>
      <end>47</end>
      <status>unmodified</status>
      <modifiedWord/>
      <trackRevisions>false</trackRevisions>
    </reviewItem>
    <reviewItem>
      <errorID>001d69f1-176d-4b8e-bdbb-53b1d7832ac6</errorID>
      <errorWord> </errorWord>
      <group>L1_Format</group>
      <groupName>格式问题</groupName>
      <ability>L2_Whitespace</ability>
      <abilityName>空白字符</abilityName>
      <candidateList>
        <item/>
      </candidateList>
      <explain>文本间存在多余的空白字符。</explain>
      <paraID>6955774E</paraID>
      <start>48</start>
      <end>49</end>
      <status>unmodified</status>
      <modifiedWord/>
      <trackRevisions>false</trackRevisions>
    </reviewItem>
    <reviewItem>
      <errorID>825818a5-3237-436f-a328-e5c5f5e3000e</errorID>
      <errorWord> </errorWord>
      <group>L1_Format</group>
      <groupName>格式问题</groupName>
      <ability>L2_Whitespace</ability>
      <abilityName>空白字符</abilityName>
      <candidateList>
        <item/>
      </candidateList>
      <explain>文本间存在多余的空白字符。</explain>
      <paraID>1CE8862C</paraID>
      <start>28</start>
      <end>29</end>
      <status>unmodified</status>
      <modifiedWord/>
      <trackRevisions>false</trackRevisions>
    </reviewItem>
    <reviewItem>
      <errorID>df67de3f-097c-4840-91eb-b8f58a33ed36</errorID>
      <errorWord> </errorWord>
      <group>L1_Format</group>
      <groupName>格式问题</groupName>
      <ability>L2_Whitespace</ability>
      <abilityName>空白字符</abilityName>
      <candidateList>
        <item/>
      </candidateList>
      <explain>文本间存在多余的空白字符。</explain>
      <paraID>7E385094</paraID>
      <start>7</start>
      <end>8</end>
      <status>unmodified</status>
      <modifiedWord/>
      <trackRevisions>false</trackRevisions>
    </reviewItem>
    <reviewItem>
      <errorID>16f0e241-64fd-4541-954f-bc241e1d77b1</errorID>
      <errorWord> </errorWord>
      <group>L1_Format</group>
      <groupName>格式问题</groupName>
      <ability>L2_Whitespace</ability>
      <abilityName>空白字符</abilityName>
      <candidateList>
        <item/>
      </candidateList>
      <explain>文本间存在多余的空白字符。</explain>
      <paraID>33C4FEF3</paraID>
      <start>41</start>
      <end>42</end>
      <status>unmodified</status>
      <modifiedWord/>
      <trackRevisions>false</trackRevisions>
    </reviewItem>
    <reviewItem>
      <errorID>8257b33d-4ee3-4d10-a124-87a13d7ef2dc</errorID>
      <errorWord> </errorWord>
      <group>L1_Format</group>
      <groupName>格式问题</groupName>
      <ability>L2_Whitespace</ability>
      <abilityName>空白字符</abilityName>
      <candidateList>
        <item/>
      </candidateList>
      <explain>文本间存在多余的空白字符。</explain>
      <paraID>47134246</paraID>
      <start>7</start>
      <end>8</end>
      <status>unmodified</status>
      <modifiedWord/>
      <trackRevisions>false</trackRevisions>
    </reviewItem>
    <reviewItem>
      <errorID>92245f75-6276-4046-82e9-0d98e6d63168</errorID>
      <errorWord> </errorWord>
      <group>L1_Format</group>
      <groupName>格式问题</groupName>
      <ability>L2_Whitespace</ability>
      <abilityName>空白字符</abilityName>
      <candidateList>
        <item/>
      </candidateList>
      <explain>文本间存在多余的空白字符。</explain>
      <paraID> 76E7287</paraID>
      <start>28</start>
      <end>29</end>
      <status>unmodified</status>
      <modifiedWord/>
      <trackRevisions>false</trackRevisions>
    </reviewItem>
    <reviewItem>
      <errorID>95f5f0f3-bb61-44ea-b6d5-a643023b2930</errorID>
      <errorWord> </errorWord>
      <group>L1_Format</group>
      <groupName>格式问题</groupName>
      <ability>L2_Whitespace</ability>
      <abilityName>空白字符</abilityName>
      <candidateList>
        <item/>
      </candidateList>
      <explain>文本间存在多余的空白字符。</explain>
      <paraID>1FDEA13A</paraID>
      <start>7</start>
      <end>8</end>
      <status>unmodified</status>
      <modifiedWord/>
      <trackRevisions>false</trackRevisions>
    </reviewItem>
    <reviewItem>
      <errorID>46ef3c6e-e12e-4cd4-9706-46505a976c2b</errorID>
      <errorWord> </errorWord>
      <group>L1_Format</group>
      <groupName>格式问题</groupName>
      <ability>L2_Whitespace</ability>
      <abilityName>空白字符</abilityName>
      <candidateList>
        <item/>
      </candidateList>
      <explain>文本间存在多余的空白字符。</explain>
      <paraID>70A40ABE</paraID>
      <start>88</start>
      <end>89</end>
      <status>unmodified</status>
      <modifiedWord/>
      <trackRevisions>false</trackRevisions>
    </reviewItem>
    <reviewItem>
      <errorID>0006739f-c7bb-4387-ae34-8af45a21c53a</errorID>
      <errorWord> </errorWord>
      <group>L1_Format</group>
      <groupName>格式问题</groupName>
      <ability>L2_Whitespace</ability>
      <abilityName>空白字符</abilityName>
      <candidateList>
        <item/>
      </candidateList>
      <explain>文本间存在多余的空白字符。</explain>
      <paraID>2B1976D9</paraID>
      <start>3</start>
      <end>4</end>
      <status>unmodified</status>
      <modifiedWord/>
      <trackRevisions>false</trackRevisions>
    </reviewItem>
    <reviewItem>
      <errorID>b29807c2-8d13-4fd9-b7f1-94dca98cb57c</errorID>
      <errorWord> </errorWord>
      <group>L1_Format</group>
      <groupName>格式问题</groupName>
      <ability>L2_Whitespace</ability>
      <abilityName>空白字符</abilityName>
      <candidateList>
        <item/>
      </candidateList>
      <explain>文本间存在多余的空白字符。</explain>
      <paraID>2B1976D9</paraID>
      <start>17</start>
      <end>18</end>
      <status>unmodified</status>
      <modifiedWord/>
      <trackRevisions>false</trackRevisions>
    </reviewItem>
    <reviewItem>
      <errorID>d8eea59c-c4a7-482b-8056-7a1e258b6f5b</errorID>
      <errorWord>     </errorWord>
      <group>L1_Format</group>
      <groupName>格式问题</groupName>
      <ability>L2_Whitespace</ability>
      <abilityName>空白字符</abilityName>
      <candidateList>
        <item/>
      </candidateList>
      <explain>文本间存在多余的空白字符。</explain>
      <paraID>2B561C68</paraID>
      <start>8</start>
      <end>13</end>
      <status>unmodified</status>
      <modifiedWord/>
      <trackRevisions>false</trackRevisions>
    </reviewItem>
    <reviewItem>
      <errorID>aea444a6-f6a6-4db5-8ffc-434fb5a17629</errorID>
      <errorWord>      </errorWord>
      <group>L1_Format</group>
      <groupName>格式问题</groupName>
      <ability>L2_Whitespace</ability>
      <abilityName>空白字符</abilityName>
      <candidateList>
        <item/>
      </candidateList>
      <explain>文本间存在多余的空白字符。</explain>
      <paraID> 68C3CD3</paraID>
      <start>8</start>
      <end>14</end>
      <status>unmodified</status>
      <modifiedWord/>
      <trackRevisions>false</trackRevisions>
    </reviewItem>
    <reviewItem>
      <errorID>a28559da-718a-4915-ab40-1c244aae0ebb</errorID>
      <errorWord>    </errorWord>
      <group>L1_Format</group>
      <groupName>格式问题</groupName>
      <ability>L2_Whitespace</ability>
      <abilityName>空白字符</abilityName>
      <candidateList>
        <item/>
      </candidateList>
      <explain>文本间存在多余的空白字符。</explain>
      <paraID>689D08CA</paraID>
      <start>8</start>
      <end>12</end>
      <status>unmodified</status>
      <modifiedWord/>
      <trackRevisions>false</trackRevisions>
    </reviewItem>
    <reviewItem>
      <errorID>4bdc07c3-7bfa-4673-8fa1-ef31c5e8718c</errorID>
      <errorWord> </errorWord>
      <group>L1_Format</group>
      <groupName>格式问题</groupName>
      <ability>L2_Whitespace</ability>
      <abilityName>空白字符</abilityName>
      <candidateList>
        <item/>
      </candidateList>
      <explain>文本间存在多余的空白字符。</explain>
      <paraID>2EA15C1B</paraID>
      <start>9</start>
      <end>10</end>
      <status>unmodified</status>
      <modifiedWord/>
      <trackRevisions>false</trackRevisions>
    </reviewItem>
    <reviewItem>
      <errorID>d4d28911-6916-45a7-b851-c01013d0cb00</errorID>
      <errorWord> </errorWord>
      <group>L1_Format</group>
      <groupName>格式问题</groupName>
      <ability>L2_Whitespace</ability>
      <abilityName>空白字符</abilityName>
      <candidateList>
        <item/>
      </candidateList>
      <explain>文本间存在多余的空白字符。</explain>
      <paraID>63F5AE33</paraID>
      <start>3</start>
      <end>4</end>
      <status>unmodified</status>
      <modifiedWord/>
      <trackRevisions>false</trackRevisions>
    </reviewItem>
    <reviewItem>
      <errorID>e52e6986-049b-43ad-96de-e6006f7b1597</errorID>
      <errorWord>      </errorWord>
      <group>L1_Format</group>
      <groupName>格式问题</groupName>
      <ability>L2_Whitespace</ability>
      <abilityName>空白字符</abilityName>
      <candidateList>
        <item/>
      </candidateList>
      <explain>文本间存在多余的空白字符。</explain>
      <paraID>43348B92</paraID>
      <start>8</start>
      <end>14</end>
      <status>unmodified</status>
      <modifiedWord/>
      <trackRevisions>false</trackRevisions>
    </reviewItem>
    <reviewItem>
      <errorID>e8f3ab39-c407-4602-99b0-7f787bdc4bbd</errorID>
      <errorWord>   </errorWord>
      <group>L1_Format</group>
      <groupName>格式问题</groupName>
      <ability>L2_Whitespace</ability>
      <abilityName>空白字符</abilityName>
      <candidateList>
        <item/>
      </candidateList>
      <explain>文本间存在多余的空白字符。</explain>
      <paraID>43348B92</paraID>
      <start>22</start>
      <end>25</end>
      <status>unmodified</status>
      <modifiedWord/>
      <trackRevisions>false</trackRevisions>
    </reviewItem>
    <reviewItem>
      <errorID>3bd7d4eb-e9b3-4a97-977c-f06d1c6f0aef</errorID>
      <errorWord>   </errorWord>
      <group>L1_Format</group>
      <groupName>格式问题</groupName>
      <ability>L2_Whitespace</ability>
      <abilityName>空白字符</abilityName>
      <candidateList>
        <item/>
      </candidateList>
      <explain>文本间存在多余的空白字符。</explain>
      <paraID>51846EB0</paraID>
      <start>8</start>
      <end>11</end>
      <status>unmodified</status>
      <modifiedWord/>
      <trackRevisions>false</trackRevisions>
    </reviewItem>
    <reviewItem>
      <errorID>f95845a1-5391-46c7-9620-93c20f750f4a</errorID>
      <errorWord>   </errorWord>
      <group>L1_Format</group>
      <groupName>格式问题</groupName>
      <ability>L2_Whitespace</ability>
      <abilityName>空白字符</abilityName>
      <candidateList>
        <item/>
      </candidateList>
      <explain>文本间存在多余的空白字符。</explain>
      <paraID>51846EB0</paraID>
      <start>18</start>
      <end>21</end>
      <status>unmodified</status>
      <modifiedWord/>
      <trackRevisions>false</trackRevisions>
    </reviewItem>
    <reviewItem>
      <errorID>433884db-0db4-4d94-9799-782aafd0998e</errorID>
      <errorWord> </errorWord>
      <group>L1_Format</group>
      <groupName>格式问题</groupName>
      <ability>L2_Whitespace</ability>
      <abilityName>空白字符</abilityName>
      <candidateList>
        <item/>
      </candidateList>
      <explain>文本间存在多余的空白字符。</explain>
      <paraID>3B60C056</paraID>
      <start>8</start>
      <end>9</end>
      <status>unmodified</status>
      <modifiedWord/>
      <trackRevisions>false</trackRevisions>
    </reviewItem>
    <reviewItem>
      <errorID>bc74cf99-c544-4b16-ae65-4e854f56bcbd</errorID>
      <errorWord> </errorWord>
      <group>L1_Format</group>
      <groupName>格式问题</groupName>
      <ability>L2_Whitespace</ability>
      <abilityName>空白字符</abilityName>
      <candidateList>
        <item/>
      </candidateList>
      <explain>文本间存在多余的空白字符。</explain>
      <paraID> EE1C6E5</paraID>
      <start>10</start>
      <end>11</end>
      <status>unmodified</status>
      <modifiedWord/>
      <trackRevisions>false</trackRevisions>
    </reviewItem>
    <reviewItem>
      <errorID>1831bc42-193d-4148-9f7c-b890b9b83a40</errorID>
      <errorWord>     </errorWord>
      <group>L1_Format</group>
      <groupName>格式问题</groupName>
      <ability>L2_Whitespace</ability>
      <abilityName>空白字符</abilityName>
      <candidateList>
        <item/>
      </candidateList>
      <explain>文本间存在多余的空白字符。</explain>
      <paraID>15FD18D8</paraID>
      <start>8</start>
      <end>13</end>
      <status>unmodified</status>
      <modifiedWord/>
      <trackRevisions>false</trackRevisions>
    </reviewItem>
    <reviewItem>
      <errorID>c170b393-9d56-4181-8b5c-2e264026cb02</errorID>
      <errorWord> </errorWord>
      <group>L1_Format</group>
      <groupName>格式问题</groupName>
      <ability>L2_Whitespace</ability>
      <abilityName>空白字符</abilityName>
      <candidateList>
        <item/>
      </candidateList>
      <explain>文本间存在多余的空白字符。</explain>
      <paraID> 971712C</paraID>
      <start>12</start>
      <end>13</end>
      <status>unmodified</status>
      <modifiedWord/>
      <trackRevisions>false</trackRevisions>
    </reviewItem>
    <reviewItem>
      <errorID>57f7b4e1-eb92-4c2b-a6fd-254eab75220e</errorID>
      <errorWord>          </errorWord>
      <group>L1_Format</group>
      <groupName>格式问题</groupName>
      <ability>L2_Whitespace</ability>
      <abilityName>空白字符</abilityName>
      <candidateList>
        <item/>
      </candidateList>
      <explain>文本间存在多余的空白字符。</explain>
      <paraID>3C35E549</paraID>
      <start>8</start>
      <end>18</end>
      <status>unmodified</status>
      <modifiedWord/>
      <trackRevisions>false</trackRevisions>
    </reviewItem>
    <reviewItem>
      <errorID>3a8070b5-36ee-449f-a158-1b4dbffc54c6</errorID>
      <errorWord>          </errorWord>
      <group>L1_Format</group>
      <groupName>格式问题</groupName>
      <ability>L2_Whitespace</ability>
      <abilityName>空白字符</abilityName>
      <candidateList>
        <item/>
      </candidateList>
      <explain>文本间存在多余的空白字符。</explain>
      <paraID>108594C6</paraID>
      <start>9</start>
      <end>19</end>
      <status>unmodified</status>
      <modifiedWord/>
      <trackRevisions>false</trackRevisions>
    </reviewItem>
    <reviewItem>
      <errorID>c4ad4dbc-9963-474c-a36d-694e35491f76</errorID>
      <errorWord> </errorWord>
      <group>L1_Format</group>
      <groupName>格式问题</groupName>
      <ability>L2_Whitespace</ability>
      <abilityName>空白字符</abilityName>
      <candidateList>
        <item/>
      </candidateList>
      <explain>文本间存在多余的空白字符。</explain>
      <paraID>7E7DDA94</paraID>
      <start>3</start>
      <end>4</end>
      <status>unmodified</status>
      <modifiedWord/>
      <trackRevisions>false</trackRevisions>
    </reviewItem>
    <reviewItem>
      <errorID>05e5b1fd-d6bd-426c-b196-97eea6ecc4eb</errorID>
      <errorWord> </errorWord>
      <group>L1_Format</group>
      <groupName>格式问题</groupName>
      <ability>L2_Whitespace</ability>
      <abilityName>空白字符</abilityName>
      <candidateList>
        <item/>
      </candidateList>
      <explain>文本间存在多余的空白字符。</explain>
      <paraID>361832DD</paraID>
      <start>5</start>
      <end>6</end>
      <status>unmodified</status>
      <modifiedWord/>
      <trackRevisions>false</trackRevisions>
    </reviewItem>
    <reviewItem>
      <errorID>08db6a47-48d5-4098-8997-ed672f56656f</errorID>
      <errorWord>Ci</errorWord>
      <group>L1_Knowledge</group>
      <groupName>知识性问题</groupName>
      <ability>L2_Unit</ability>
      <abilityName>计量单位</abilityName>
      <candidateList/>
      <explain>法定计量单位为Bq（贝可[勒尔]）。</explain>
      <paraID>277DD0DF</paraID>
      <start>6</start>
      <end>8</end>
      <status>unmodified</status>
      <modifiedWord/>
      <trackRevisions>false</trackRevisions>
    </reviewItem>
    <reviewItem>
      <errorID>0da51290-4d89-4eef-b6c9-2b2e51f2153d</errorID>
      <errorWord>         </errorWord>
      <group>L1_Format</group>
      <groupName>格式问题</groupName>
      <ability>L2_Whitespace</ability>
      <abilityName>空白字符</abilityName>
      <candidateList>
        <item/>
      </candidateList>
      <explain>文本间存在多余的空白字符。</explain>
      <paraID>2B32411F</paraID>
      <start>8</start>
      <end>17</end>
      <status>unmodified</status>
      <modifiedWord/>
      <trackRevisions>false</trackRevisions>
    </reviewItem>
    <reviewItem>
      <errorID>55935f7b-b896-45fd-89ee-e1d87165e374</errorID>
      <errorWord>     </errorWord>
      <group>L1_Format</group>
      <groupName>格式问题</groupName>
      <ability>L2_Whitespace</ability>
      <abilityName>空白字符</abilityName>
      <candidateList>
        <item/>
      </candidateList>
      <explain>文本间存在多余的空白字符。</explain>
      <paraID>1C1592A8</paraID>
      <start>8</start>
      <end>13</end>
      <status>unmodified</status>
      <modifiedWord/>
      <trackRevisions>false</trackRevisions>
    </reviewItem>
    <reviewItem>
      <errorID>5b3af165-e90f-4a97-818e-92732f929d08</errorID>
      <errorWord>     </errorWord>
      <group>L1_Format</group>
      <groupName>格式问题</groupName>
      <ability>L2_Whitespace</ability>
      <abilityName>空白字符</abilityName>
      <candidateList>
        <item/>
      </candidateList>
      <explain>文本间存在多余的空白字符。</explain>
      <paraID>311D2505</paraID>
      <start>8</start>
      <end>13</end>
      <status>unmodified</status>
      <modifiedWord/>
      <trackRevisions>false</trackRevisions>
    </reviewItem>
    <reviewItem>
      <errorID>7501bfe5-fa8d-4fc2-b904-d78bfe3b30d8</errorID>
      <errorWord>    </errorWord>
      <group>L1_Format</group>
      <groupName>格式问题</groupName>
      <ability>L2_Whitespace</ability>
      <abilityName>空白字符</abilityName>
      <candidateList>
        <item/>
      </candidateList>
      <explain>文本间存在多余的空白字符。</explain>
      <paraID>76FADC7F</paraID>
      <start>8</start>
      <end>12</end>
      <status>unmodified</status>
      <modifiedWord/>
      <trackRevisions>false</trackRevisions>
    </reviewItem>
    <reviewItem>
      <errorID>ef027f0a-cb95-4091-841b-3d7c748b1117</errorID>
      <errorWord> </errorWord>
      <group>L1_Format</group>
      <groupName>格式问题</groupName>
      <ability>L2_Whitespace</ability>
      <abilityName>空白字符</abilityName>
      <candidateList>
        <item/>
      </candidateList>
      <explain>文本间存在多余的空白字符。</explain>
      <paraID>76FADC7F</paraID>
      <start>29</start>
      <end>30</end>
      <status>unmodified</status>
      <modifiedWord/>
      <trackRevisions>false</trackRevisions>
    </reviewItem>
    <reviewItem>
      <errorID>a882a330-b10f-4b70-86de-b20e1b658538</errorID>
      <errorWord> </errorWord>
      <group>L1_Format</group>
      <groupName>格式问题</groupName>
      <ability>L2_Whitespace</ability>
      <abilityName>空白字符</abilityName>
      <candidateList>
        <item/>
      </candidateList>
      <explain>文本间存在多余的空白字符。</explain>
      <paraID> BFFC4AA</paraID>
      <start>67</start>
      <end>68</end>
      <status>unmodified</status>
      <modifiedWord/>
      <trackRevisions>false</trackRevisions>
    </reviewItem>
    <reviewItem>
      <errorID>4c473ee1-1eb8-4ed0-87de-cb12a105ebc6</errorID>
      <errorWord>        </errorWord>
      <group>L1_Format</group>
      <groupName>格式问题</groupName>
      <ability>L2_Whitespace</ability>
      <abilityName>空白字符</abilityName>
      <candidateList>
        <item/>
      </candidateList>
      <explain>文本间存在多余的空白字符。</explain>
      <paraID>39C8324A</paraID>
      <start>8</start>
      <end>16</end>
      <status>unmodified</status>
      <modifiedWord/>
      <trackRevisions>false</trackRevisions>
    </reviewItem>
    <reviewItem>
      <errorID>30bae31b-766e-43e7-8061-c7eb9a74f0f9</errorID>
      <errorWord>      </errorWord>
      <group>L1_Format</group>
      <groupName>格式问题</groupName>
      <ability>L2_Whitespace</ability>
      <abilityName>空白字符</abilityName>
      <candidateList>
        <item/>
      </candidateList>
      <explain>文本间存在多余的空白字符。</explain>
      <paraID>53411F1B</paraID>
      <start>8</start>
      <end>14</end>
      <status>unmodified</status>
      <modifiedWord/>
      <trackRevisions>false</trackRevisions>
    </reviewItem>
    <reviewItem>
      <errorID>2dc116d3-a3ab-4d24-8269-603cee77b693</errorID>
      <errorWord> </errorWord>
      <group>L1_Format</group>
      <groupName>格式问题</groupName>
      <ability>L2_Whitespace</ability>
      <abilityName>空白字符</abilityName>
      <candidateList>
        <item/>
      </candidateList>
      <explain>文本间存在多余的空白字符。</explain>
      <paraID>62BEFEEF</paraID>
      <start>118</start>
      <end>119</end>
      <status>unmodified</status>
      <modifiedWord/>
      <trackRevisions>false</trackRevisions>
    </reviewItem>
    <reviewItem>
      <errorID>cb07fd17-56cb-4272-9f4f-7a51a9e1899a</errorID>
      <errorWord> </errorWord>
      <group>L1_Format</group>
      <groupName>格式问题</groupName>
      <ability>L2_Whitespace</ability>
      <abilityName>空白字符</abilityName>
      <candidateList>
        <item/>
      </candidateList>
      <explain>文本间存在多余的空白字符。</explain>
      <paraID>4B0304D3</paraID>
      <start>30</start>
      <end>31</end>
      <status>unmodified</status>
      <modifiedWord/>
      <trackRevisions>false</trackRevisions>
    </reviewItem>
    <reviewItem>
      <errorID>3d69b0fb-cbee-4acf-a7ff-c784ef369050</errorID>
      <errorWord> </errorWord>
      <group>L1_Format</group>
      <groupName>格式问题</groupName>
      <ability>L2_Whitespace</ability>
      <abilityName>空白字符</abilityName>
      <candidateList>
        <item/>
      </candidateList>
      <explain>文本间存在多余的空白字符。</explain>
      <paraID>4F68992B</paraID>
      <start>14</start>
      <end>15</end>
      <status>unmodified</status>
      <modifiedWord/>
      <trackRevisions>false</trackRevisions>
    </reviewItem>
    <reviewItem>
      <errorID>03cbb46c-af93-4059-a2c8-1e95ed936801</errorID>
      <errorWord> </errorWord>
      <group>L1_Format</group>
      <groupName>格式问题</groupName>
      <ability>L2_Whitespace</ability>
      <abilityName>空白字符</abilityName>
      <candidateList>
        <item/>
      </candidateList>
      <explain>文本间存在多余的空白字符。</explain>
      <paraID>48928BA8</paraID>
      <start>12</start>
      <end>13</end>
      <status>unmodified</status>
      <modifiedWord/>
      <trackRevisions>false</trackRevisions>
    </reviewItem>
    <reviewItem>
      <errorID>863e1b73-584c-4d54-9d1f-601446ee506c</errorID>
      <errorWord> </errorWord>
      <group>L1_Format</group>
      <groupName>格式问题</groupName>
      <ability>L2_Whitespace</ability>
      <abilityName>空白字符</abilityName>
      <candidateList>
        <item/>
      </candidateList>
      <explain>文本间存在多余的空白字符。</explain>
      <paraID> C43473E</paraID>
      <start>16</start>
      <end>17</end>
      <status>unmodified</status>
      <modifiedWord/>
      <trackRevisions>false</trackRevisions>
    </reviewItem>
    <reviewItem>
      <errorID>dcf4838d-486f-4095-83fd-79bc9f99a9e6</errorID>
      <errorWord> </errorWord>
      <group>L1_Format</group>
      <groupName>格式问题</groupName>
      <ability>L2_Whitespace</ability>
      <abilityName>空白字符</abilityName>
      <candidateList>
        <item/>
      </candidateList>
      <explain>文本间存在多余的空白字符。</explain>
      <paraID>42D1BFE8</paraID>
      <start>28</start>
      <end>29</end>
      <status>unmodified</status>
      <modifiedWord/>
      <trackRevisions>false</trackRevisions>
    </reviewItem>
    <reviewItem>
      <errorID>3a7bce08-dfa3-4f6f-979b-c75d8863bbc9</errorID>
      <errorWord> </errorWord>
      <group>L1_Format</group>
      <groupName>格式问题</groupName>
      <ability>L2_Whitespace</ability>
      <abilityName>空白字符</abilityName>
      <candidateList>
        <item/>
      </candidateList>
      <explain>文本间存在多余的空白字符。</explain>
      <paraID>42BB0F9D</paraID>
      <start>29</start>
      <end>30</end>
      <status>unmodified</status>
      <modifiedWord/>
      <trackRevisions>false</trackRevisions>
    </reviewItem>
    <reviewItem>
      <errorID>d591e63c-407f-4ca8-a0f7-d2301056976d</errorID>
      <errorWord> </errorWord>
      <group>L1_Format</group>
      <groupName>格式问题</groupName>
      <ability>L2_Whitespace</ability>
      <abilityName>空白字符</abilityName>
      <candidateList>
        <item/>
      </candidateList>
      <explain>文本间存在多余的空白字符。</explain>
      <paraID>200070CE</paraID>
      <start>21</start>
      <end>22</end>
      <status>unmodified</status>
      <modifiedWord/>
      <trackRevisions>false</trackRevisions>
    </reviewItem>
    <reviewItem>
      <errorID>bc1bccb6-70db-4039-9e28-d3e8f24cabb4</errorID>
      <errorWord> </errorWord>
      <group>L1_Format</group>
      <groupName>格式问题</groupName>
      <ability>L2_Whitespace</ability>
      <abilityName>空白字符</abilityName>
      <candidateList>
        <item/>
      </candidateList>
      <explain>文本间存在多余的空白字符。</explain>
      <paraID>3C06FEB5</paraID>
      <start>72</start>
      <end>73</end>
      <status>unmodified</status>
      <modifiedWord/>
      <trackRevisions>false</trackRevisions>
    </reviewItem>
    <reviewItem>
      <errorID>8dd92eaa-e55e-4c51-bfa8-85a33b432f11</errorID>
      <errorWord> </errorWord>
      <group>L1_Format</group>
      <groupName>格式问题</groupName>
      <ability>L2_Whitespace</ability>
      <abilityName>空白字符</abilityName>
      <candidateList>
        <item/>
      </candidateList>
      <explain>文本间存在多余的空白字符。</explain>
      <paraID>768FB415</paraID>
      <start>5</start>
      <end>6</end>
      <status>unmodified</status>
      <modifiedWord/>
      <trackRevisions>false</trackRevisions>
    </reviewItem>
    <reviewItem>
      <errorID>5fbf88b3-80e9-48fa-8761-7f4ac6c8cc44</errorID>
      <errorWord> </errorWord>
      <group>L1_Format</group>
      <groupName>格式问题</groupName>
      <ability>L2_Whitespace</ability>
      <abilityName>空白字符</abilityName>
      <candidateList>
        <item/>
      </candidateList>
      <explain>文本间存在多余的空白字符。</explain>
      <paraID>2C58BD16</paraID>
      <start>5</start>
      <end>6</end>
      <status>unmodified</status>
      <modifiedWord/>
      <trackRevisions>false</trackRevisions>
    </reviewItem>
    <reviewItem>
      <errorID>10013e57-6632-4c66-843d-e0a8289865b7</errorID>
      <errorWord> </errorWord>
      <group>L1_Format</group>
      <groupName>格式问题</groupName>
      <ability>L2_Whitespace</ability>
      <abilityName>空白字符</abilityName>
      <candidateList>
        <item/>
      </candidateList>
      <explain>文本间存在多余的空白字符。</explain>
      <paraID> F39C378</paraID>
      <start>46</start>
      <end>47</end>
      <status>unmodified</status>
      <modifiedWord/>
      <trackRevisions>false</trackRevisions>
    </reviewItem>
    <reviewItem>
      <errorID>9ce32a23-7f7d-4a0f-936f-c788058379fd</errorID>
      <errorWord> </errorWord>
      <group>L1_Format</group>
      <groupName>格式问题</groupName>
      <ability>L2_Whitespace</ability>
      <abilityName>空白字符</abilityName>
      <candidateList>
        <item/>
      </candidateList>
      <explain>文本间存在多余的空白字符。</explain>
      <paraID>18CFE79C</paraID>
      <start>5</start>
      <end>6</end>
      <status>unmodified</status>
      <modifiedWord/>
      <trackRevisions>false</trackRevisions>
    </reviewItem>
    <reviewItem>
      <errorID>2a7daaf2-351f-4487-b354-5371f7ce17e5</errorID>
      <errorWord>     </errorWord>
      <group>L1_Format</group>
      <groupName>格式问题</groupName>
      <ability>L2_Whitespace</ability>
      <abilityName>空白字符</abilityName>
      <candidateList>
        <item/>
      </candidateList>
      <explain>文本间存在多余的空白字符。</explain>
      <paraID>3A310C18</paraID>
      <start>8</start>
      <end>13</end>
      <status>unmodified</status>
      <modifiedWord/>
      <trackRevisions>false</trackRevisions>
    </reviewItem>
    <reviewItem>
      <errorID>b7746870-81ac-46a1-abf7-3b45d2533a8b</errorID>
      <errorWord>            </errorWord>
      <group>L1_Format</group>
      <groupName>格式问题</groupName>
      <ability>L2_Whitespace</ability>
      <abilityName>空白字符</abilityName>
      <candidateList>
        <item/>
      </candidateList>
      <explain>文本间存在多余的空白字符。</explain>
      <paraID> A9284F6</paraID>
      <start>8</start>
      <end>20</end>
      <status>unmodified</status>
      <modifiedWord/>
      <trackRevisions>false</trackRevisions>
    </reviewItem>
    <reviewItem>
      <errorID>0319ac6b-8bed-444b-baed-305f43d474dd</errorID>
      <errorWord>IV</errorWord>
      <group>L1_Knowledge</group>
      <groupName>知识性问题</groupName>
      <ability>L2_Knowledge</ability>
      <abilityName>其他知识</abilityName>
      <candidateList>
        <item>Ⅳ</item>
      </candidateList>
      <explain>中文环境下罗马数字格式错误。</explain>
      <paraID>71C0BC3E</paraID>
      <start>2</start>
      <end>4</end>
      <status>unmodified</status>
      <modifiedWord/>
      <trackRevisions>false</trackRevisions>
    </reviewItem>
    <reviewItem>
      <errorID>6d77ea86-08c3-4848-a7b7-b64d0b082859</errorID>
      <errorWord> </errorWord>
      <group>L1_Format</group>
      <groupName>格式问题</groupName>
      <ability>L2_Whitespace</ability>
      <abilityName>空白字符</abilityName>
      <candidateList>
        <item/>
      </candidateList>
      <explain>文本间存在多余的空白字符。</explain>
      <paraID>4E479B12</paraID>
      <start>51</start>
      <end>52</end>
      <status>unmodified</status>
      <modifiedWord/>
      <trackRevisions>false</trackRevisions>
    </reviewItem>
    <reviewItem>
      <errorID>ea0afd46-dc90-416b-8e63-d43d83339f7c</errorID>
      <errorWord>        </errorWord>
      <group>L1_Format</group>
      <groupName>格式问题</groupName>
      <ability>L2_Whitespace</ability>
      <abilityName>空白字符</abilityName>
      <candidateList>
        <item/>
      </candidateList>
      <explain>文本间存在多余的空白字符。</explain>
      <paraID>19E8BA41</paraID>
      <start>8</start>
      <end>16</end>
      <status>unmodified</status>
      <modifiedWord/>
      <trackRevisions>false</trackRevisions>
    </reviewItem>
    <reviewItem>
      <errorID>c91ed395-d8f3-44c4-92e4-08e28d1c29ca</errorID>
      <errorWord>      </errorWord>
      <group>L1_Format</group>
      <groupName>格式问题</groupName>
      <ability>L2_Whitespace</ability>
      <abilityName>空白字符</abilityName>
      <candidateList>
        <item/>
      </candidateList>
      <explain>文本间存在多余的空白字符。</explain>
      <paraID>4CA06086</paraID>
      <start>8</start>
      <end>14</end>
      <status>unmodified</status>
      <modifiedWord/>
      <trackRevisions>false</trackRevisions>
    </reviewItem>
    <reviewItem>
      <errorID>b7f20081-e219-4700-b536-3a2503eae146</errorID>
      <errorWord>大</errorWord>
      <group>L1_Word</group>
      <groupName>字词问题</groupName>
      <ability>L2_Typo</ability>
      <abilityName>字词错误</abilityName>
      <candidateList>
        <item>的</item>
      </candidateList>
      <explain>“的”常用于连接修饰语与名词性中心语，表示属性、所属或描述。</explain>
      <paraID>6B221742</paraID>
      <start>0</start>
      <end>1</end>
      <status>unmodified</status>
      <modifiedWord/>
      <trackRevisions>false</trackRevisions>
    </reviewItem>
    <reviewItem>
      <errorID>f9a4fe0e-2706-434c-b19c-a68ad6022d02</errorID>
      <errorWord>大</errorWord>
      <group>L1_Word</group>
      <groupName>字词问题</groupName>
      <ability>L2_Typo</ability>
      <abilityName>字词错误</abilityName>
      <candidateList>
        <item>的</item>
      </candidateList>
      <explain>“的”常用于连接修饰语与名词性中心语，表示属性、所属或描述。</explain>
      <paraID>1456BC44</paraID>
      <start>0</start>
      <end>1</end>
      <status>unmodified</status>
      <modifiedWord/>
      <trackRevisions>false</trackRevisions>
    </reviewItem>
    <reviewItem>
      <errorID>7c93a3ea-4f7d-419b-a5ea-d5578efcb454</errorID>
      <errorWord>大</errorWord>
      <group>L1_Word</group>
      <groupName>字词问题</groupName>
      <ability>L2_Typo</ability>
      <abilityName>字词错误</abilityName>
      <candidateList>
        <item>的</item>
      </candidateList>
      <explain>“的”常用于连接修饰语与名词性中心语，表示属性、所属或描述。</explain>
      <paraID>16D43E11</paraID>
      <start>0</start>
      <end>1</end>
      <status>unmodified</status>
      <modifiedWord/>
      <trackRevisions>false</trackRevisions>
    </reviewItem>
    <reviewItem>
      <errorID>9cbb5dae-678d-4694-a9da-31fd1fadedab</errorID>
      <errorWord>          </errorWord>
      <group>L1_Format</group>
      <groupName>格式问题</groupName>
      <ability>L2_Whitespace</ability>
      <abilityName>空白字符</abilityName>
      <candidateList>
        <item/>
      </candidateList>
      <explain>文本间存在多余的空白字符。</explain>
      <paraID>3FC5CCA9</paraID>
      <start>8</start>
      <end>18</end>
      <status>unmodified</status>
      <modifiedWord/>
      <trackRevisions>false</trackRevisions>
    </reviewItem>
    <reviewItem>
      <errorID>7afe025e-6ae8-4388-8481-a41c30dbc034</errorID>
      <errorWord> </errorWord>
      <group>L1_Format</group>
      <groupName>格式问题</groupName>
      <ability>L2_Whitespace</ability>
      <abilityName>空白字符</abilityName>
      <candidateList>
        <item/>
      </candidateList>
      <explain>文本间存在多余的空白字符。</explain>
      <paraID>59761D77</paraID>
      <start>78</start>
      <end>79</end>
      <status>unmodified</status>
      <modifiedWord/>
      <trackRevisions>false</trackRevisions>
    </reviewItem>
    <reviewItem>
      <errorID>36f44be8-0b1a-47cd-881d-ffd1164ac4b6</errorID>
      <errorWord>   </errorWord>
      <group>L1_Format</group>
      <groupName>格式问题</groupName>
      <ability>L2_Whitespace</ability>
      <abilityName>空白字符</abilityName>
      <candidateList>
        <item/>
      </candidateList>
      <explain>文本间存在多余的空白字符。</explain>
      <paraID>5255BF01</paraID>
      <start>8</start>
      <end>11</end>
      <status>unmodified</status>
      <modifiedWord/>
      <trackRevisions>false</trackRevisions>
    </reviewItem>
    <reviewItem>
      <errorID>09627bc1-12e5-4a8f-9450-9e51e670ce34</errorID>
      <errorWord>    </errorWord>
      <group>L1_Format</group>
      <groupName>格式问题</groupName>
      <ability>L2_Whitespace</ability>
      <abilityName>空白字符</abilityName>
      <candidateList>
        <item/>
      </candidateList>
      <explain>文本间存在多余的空白字符。</explain>
      <paraID>11317A17</paraID>
      <start>8</start>
      <end>12</end>
      <status>unmodified</status>
      <modifiedWord/>
      <trackRevisions>false</trackRevisions>
    </reviewItem>
    <reviewItem>
      <errorID>b84710b4-bd29-4f53-ba80-a5c5e4e53705</errorID>
      <errorWord> </errorWord>
      <group>L1_Format</group>
      <groupName>格式问题</groupName>
      <ability>L2_Whitespace</ability>
      <abilityName>空白字符</abilityName>
      <candidateList>
        <item/>
      </candidateList>
      <explain>文本间存在多余的空白字符。</explain>
      <paraID> 428B864</paraID>
      <start>37</start>
      <end>38</end>
      <status>unmodified</status>
      <modifiedWord/>
      <trackRevisions>false</trackRevisions>
    </reviewItem>
    <reviewItem>
      <errorID>a6b95bfd-50ea-4be3-88a1-6a5f0f39fd4f</errorID>
      <errorWord> </errorWord>
      <group>L1_Format</group>
      <groupName>格式问题</groupName>
      <ability>L2_Whitespace</ability>
      <abilityName>空白字符</abilityName>
      <candidateList>
        <item/>
      </candidateList>
      <explain>文本间存在多余的空白字符。</explain>
      <paraID>426EFDE1</paraID>
      <start>22</start>
      <end>23</end>
      <status>unmodified</status>
      <modifiedWord/>
      <trackRevisions>false</trackRevisions>
    </reviewItem>
    <reviewItem>
      <errorID>1ac284b5-fd56-4907-ba71-c94c8cc114a7</errorID>
      <errorWord>      </errorWord>
      <group>L1_Format</group>
      <groupName>格式问题</groupName>
      <ability>L2_Whitespace</ability>
      <abilityName>空白字符</abilityName>
      <candidateList>
        <item/>
      </candidateList>
      <explain>文本间存在多余的空白字符。</explain>
      <paraID>32875ADB</paraID>
      <start>8</start>
      <end>14</end>
      <status>unmodified</status>
      <modifiedWord/>
      <trackRevisions>false</trackRevisions>
    </reviewItem>
    <reviewItem>
      <errorID>9565c161-c96d-4671-bfd4-d613923cfc16</errorID>
      <errorWord>    </errorWord>
      <group>L1_Format</group>
      <groupName>格式问题</groupName>
      <ability>L2_Whitespace</ability>
      <abilityName>空白字符</abilityName>
      <candidateList>
        <item/>
      </candidateList>
      <explain>文本间存在多余的空白字符。</explain>
      <paraID>72DCCA58</paraID>
      <start>8</start>
      <end>12</end>
      <status>unmodified</status>
      <modifiedWord/>
      <trackRevisions>false</trackRevisions>
    </reviewItem>
    <reviewItem>
      <errorID>5ee7eaea-e3cc-4330-aae8-b5b595fc2fbe</errorID>
      <errorWord>制等</errorWord>
      <group>L1_Word</group>
      <groupName>字词问题</groupName>
      <ability>L2_Typo</ability>
      <abilityName>字词错误</abilityName>
      <candidateList>
        <item>制作</item>
      </candidateList>
      <explain>〈动〉制造：～家具。</explain>
      <paraID> 1ACC44C</paraID>
      <start>79</start>
      <end>81</end>
      <status>unmodified</status>
      <modifiedWord/>
      <trackRevisions>false</trackRevisions>
    </reviewItem>
    <reviewItem>
      <errorID>31e89e2b-87ec-4691-8cb5-d995aeddfc87</errorID>
      <errorWord>      </errorWord>
      <group>L1_Format</group>
      <groupName>格式问题</groupName>
      <ability>L2_Whitespace</ability>
      <abilityName>空白字符</abilityName>
      <candidateList>
        <item/>
      </candidateList>
      <explain>文本间存在多余的空白字符。</explain>
      <paraID>1829C49B</paraID>
      <start>8</start>
      <end>14</end>
      <status>unmodified</status>
      <modifiedWord/>
      <trackRevisions>false</trackRevisions>
    </reviewItem>
    <reviewItem>
      <errorID>3cc2c955-9868-40ad-8a2f-669a3154727e</errorID>
      <errorWord>     </errorWord>
      <group>L1_Format</group>
      <groupName>格式问题</groupName>
      <ability>L2_Whitespace</ability>
      <abilityName>空白字符</abilityName>
      <candidateList>
        <item/>
      </candidateList>
      <explain>文本间存在多余的空白字符。</explain>
      <paraID>585C0A50</paraID>
      <start>8</start>
      <end>13</end>
      <status>unmodified</status>
      <modifiedWord/>
      <trackRevisions>false</trackRevisions>
    </reviewItem>
    <reviewItem>
      <errorID>6cf0bc76-a283-4ca0-9ed9-98a0e8e4d75a</errorID>
      <errorWord> </errorWord>
      <group>L1_Format</group>
      <groupName>格式问题</groupName>
      <ability>L2_Whitespace</ability>
      <abilityName>空白字符</abilityName>
      <candidateList>
        <item/>
      </candidateList>
      <explain>文本间存在多余的空白字符。</explain>
      <paraID>1445F34D</paraID>
      <start>1</start>
      <end>2</end>
      <status>unmodified</status>
      <modifiedWord/>
      <trackRevisions>false</trackRevisions>
    </reviewItem>
    <reviewItem>
      <errorID>34bd596e-9f23-43ae-aeba-ce5cd29f006d</errorID>
      <errorWord>     </errorWord>
      <group>L1_Format</group>
      <groupName>格式问题</groupName>
      <ability>L2_Whitespace</ability>
      <abilityName>空白字符</abilityName>
      <candidateList>
        <item/>
      </candidateList>
      <explain>文本间存在多余的空白字符。</explain>
      <paraID>11CC2747</paraID>
      <start>8</start>
      <end>13</end>
      <status>unmodified</status>
      <modifiedWord/>
      <trackRevisions>false</trackRevisions>
    </reviewItem>
    <reviewItem>
      <errorID>0a01fa3c-cf37-42c9-970f-0b9e857aca96</errorID>
      <errorWord> </errorWord>
      <group>L1_Format</group>
      <groupName>格式问题</groupName>
      <ability>L2_Whitespace</ability>
      <abilityName>空白字符</abilityName>
      <candidateList>
        <item/>
      </candidateList>
      <explain>文本间存在多余的空白字符。</explain>
      <paraID>2EBD056B</paraID>
      <start>1</start>
      <end>2</end>
      <status>unmodified</status>
      <modifiedWord/>
      <trackRevisions>false</trackRevisions>
    </reviewItem>
    <reviewItem>
      <errorID>4e0a5ab1-5e44-455f-9137-56457ece0018</errorID>
      <errorWord>     </errorWord>
      <group>L1_Format</group>
      <groupName>格式问题</groupName>
      <ability>L2_Whitespace</ability>
      <abilityName>空白字符</abilityName>
      <candidateList>
        <item/>
      </candidateList>
      <explain>文本间存在多余的空白字符。</explain>
      <paraID>169A9B3A</paraID>
      <start>8</start>
      <end>13</end>
      <status>unmodified</status>
      <modifiedWord/>
      <trackRevisions>false</trackRevisions>
    </reviewItem>
    <reviewItem>
      <errorID>87af3fda-aedc-46f6-895a-ab962434938e</errorID>
      <errorWord> </errorWord>
      <group>L1_Format</group>
      <groupName>格式问题</groupName>
      <ability>L2_Whitespace</ability>
      <abilityName>空白字符</abilityName>
      <candidateList>
        <item/>
      </candidateList>
      <explain>文本间存在多余的空白字符。</explain>
      <paraID> 55A053A</paraID>
      <start>1</start>
      <end>2</end>
      <status>unmodified</status>
      <modifiedWord/>
      <trackRevisions>false</trackRevisions>
    </reviewItem>
    <reviewItem>
      <errorID>2cc475ee-f1ef-4c90-a21e-57e8cd3f450d</errorID>
      <errorWord>布平面布置</errorWord>
      <group>L1_Knowledge</group>
      <groupName>知识性问题</groupName>
      <ability>L2_Term</ability>
      <abilityName>专业术语</abilityName>
      <candidateList>
        <item>总平面布置</item>
      </candidateList>
      <explain/>
      <paraID>54446276</paraID>
      <start>35</start>
      <end>40</end>
      <status>unmodified</status>
      <modifiedWord/>
      <trackRevisions>false</trackRevisions>
    </reviewItem>
    <reviewItem>
      <errorID>21855523-09d3-41f2-891a-e7de900bfcef</errorID>
      <errorWord>小</errorWord>
      <group>L1_Word</group>
      <groupName>字词问题</groupName>
      <ability>L2_Typo</ability>
      <abilityName>字词错误</abilityName>
      <candidateList>
        <item>少</item>
      </candidateList>
      <explain/>
      <paraID>2204629F</paraID>
      <start>43</start>
      <end>44</end>
      <status>unmodified</status>
      <modifiedWord/>
      <trackRevisions>false</trackRevisions>
    </reviewItem>
    <reviewItem>
      <errorID>119d041a-6067-4155-a71c-307da2cb8e73</errorID>
      <errorWord> </errorWord>
      <group>L1_Format</group>
      <groupName>格式问题</groupName>
      <ability>L2_Whitespace</ability>
      <abilityName>空白字符</abilityName>
      <candidateList>
        <item/>
      </candidateList>
      <explain>文本间存在多余的空白字符。</explain>
      <paraID>7F06C2C2</paraID>
      <start>13</start>
      <end>14</end>
      <status>unmodified</status>
      <modifiedWord/>
      <trackRevisions>false</trackRevisions>
    </reviewItem>
    <reviewItem>
      <errorID>58d873c9-d0f0-42ca-bbe5-c41aee63333a</errorID>
      <errorWord> </errorWord>
      <group>L1_Format</group>
      <groupName>格式问题</groupName>
      <ability>L2_Whitespace</ability>
      <abilityName>空白字符</abilityName>
      <candidateList>
        <item/>
      </candidateList>
      <explain>文本间存在多余的空白字符。</explain>
      <paraID>25233A9D</paraID>
      <start>79</start>
      <end>80</end>
      <status>unmodified</status>
      <modifiedWord/>
      <trackRevisions>false</trackRevisions>
    </reviewItem>
    <reviewItem>
      <errorID>ffc2de68-1cc0-44f0-bd57-629d081627e1</errorID>
      <errorWord>匀质性</errorWord>
      <group>L1_Word</group>
      <groupName>字词问题</groupName>
      <ability>L2_Typo</ability>
      <abilityName>字词错误</abilityName>
      <candidateList>
        <item>均质性</item>
      </candidateList>
      <explain/>
      <paraID>70A8EE8A</paraID>
      <start>251</start>
      <end>254</end>
      <status>unmodified</status>
      <modifiedWord/>
      <trackRevisions>false</trackRevisions>
    </reviewItem>
    <reviewItem>
      <errorID>be8d60ae-0eea-4bd5-85da-431ce6cf26cc</errorID>
      <errorWord>     </errorWord>
      <group>L1_Format</group>
      <groupName>格式问题</groupName>
      <ability>L2_Whitespace</ability>
      <abilityName>空白字符</abilityName>
      <candidateList>
        <item/>
      </candidateList>
      <explain>文本间存在多余的空白字符。</explain>
      <paraID>6029FF73</paraID>
      <start>6</start>
      <end>11</end>
      <status>unmodified</status>
      <modifiedWord/>
      <trackRevisions>false</trackRevisions>
    </reviewItem>
    <reviewItem>
      <errorID>17248b12-9019-4b6e-bd58-2e27193df025</errorID>
      <errorWord>    </errorWord>
      <group>L1_Format</group>
      <groupName>格式问题</groupName>
      <ability>L2_Whitespace</ability>
      <abilityName>空白字符</abilityName>
      <candidateList>
        <item/>
      </candidateList>
      <explain>文本间存在多余的空白字符。</explain>
      <paraID>13A69B85</paraID>
      <start>6</start>
      <end>10</end>
      <status>unmodified</status>
      <modifiedWord/>
      <trackRevisions>false</trackRevisions>
    </reviewItem>
    <reviewItem>
      <errorID>cfa2f0f8-5165-4f58-aec7-924f421653cb</errorID>
      <errorWord>    </errorWord>
      <group>L1_Format</group>
      <groupName>格式问题</groupName>
      <ability>L2_Whitespace</ability>
      <abilityName>空白字符</abilityName>
      <candidateList>
        <item/>
      </candidateList>
      <explain>文本间存在多余的空白字符。</explain>
      <paraID> 996B507</paraID>
      <start>6</start>
      <end>10</end>
      <status>unmodified</status>
      <modifiedWord/>
      <trackRevisions>false</trackRevisions>
    </reviewItem>
    <reviewItem>
      <errorID>3b6b4aef-ade5-4b8c-b8b2-aeb523b7dee4</errorID>
      <errorWord> </errorWord>
      <group>L1_Format</group>
      <groupName>格式问题</groupName>
      <ability>L2_Whitespace</ability>
      <abilityName>空白字符</abilityName>
      <candidateList>
        <item/>
      </candidateList>
      <explain>文本间存在多余的空白字符。</explain>
      <paraID> ABCCC9E</paraID>
      <start>16</start>
      <end>17</end>
      <status>unmodified</status>
      <modifiedWord/>
      <trackRevisions>false</trackRevisions>
    </reviewItem>
    <reviewItem>
      <errorID>b1878d43-8fc4-447d-bc4f-ae99e08fff51</errorID>
      <errorWord>      </errorWord>
      <group>L1_Format</group>
      <groupName>格式问题</groupName>
      <ability>L2_Whitespace</ability>
      <abilityName>空白字符</abilityName>
      <candidateList>
        <item/>
      </candidateList>
      <explain>文本间存在多余的空白字符。</explain>
      <paraID>49895E26</paraID>
      <start>8</start>
      <end>14</end>
      <status>unmodified</status>
      <modifiedWord/>
      <trackRevisions>false</trackRevisions>
    </reviewItem>
    <reviewItem>
      <errorID>38e0cb4c-f103-4931-aba5-359e93e7ee61</errorID>
      <errorWord>      </errorWord>
      <group>L1_Format</group>
      <groupName>格式问题</groupName>
      <ability>L2_Whitespace</ability>
      <abilityName>空白字符</abilityName>
      <candidateList>
        <item/>
      </candidateList>
      <explain>文本间存在多余的空白字符。</explain>
      <paraID>63DE4AE3</paraID>
      <start>8</start>
      <end>14</end>
      <status>unmodified</status>
      <modifiedWord/>
      <trackRevisions>false</trackRevisions>
    </reviewItem>
    <reviewItem>
      <errorID>0bfa2d5c-40b7-4ad1-9165-d5fc35aa015b</errorID>
      <errorWord>       </errorWord>
      <group>L1_Format</group>
      <groupName>格式问题</groupName>
      <ability>L2_Whitespace</ability>
      <abilityName>空白字符</abilityName>
      <candidateList>
        <item/>
      </candidateList>
      <explain>文本间存在多余的空白字符。</explain>
      <paraID>63DE4AE3</paraID>
      <start>21</start>
      <end>28</end>
      <status>unmodified</status>
      <modifiedWord/>
      <trackRevisions>false</trackRevisions>
    </reviewItem>
    <reviewItem>
      <errorID>8d8ee860-2e47-4f7b-9505-952ba1118bf3</errorID>
      <errorWord>      </errorWord>
      <group>L1_Format</group>
      <groupName>格式问题</groupName>
      <ability>L2_Whitespace</ability>
      <abilityName>空白字符</abilityName>
      <candidateList>
        <item/>
      </candidateList>
      <explain>文本间存在多余的空白字符。</explain>
      <paraID>1C3BA1EE</paraID>
      <start>6</start>
      <end>12</end>
      <status>unmodified</status>
      <modifiedWord/>
      <trackRevisions>false</trackRevisions>
    </reviewItem>
    <reviewItem>
      <errorID>e22723bf-93cb-41ae-9cd0-548657783b9c</errorID>
      <errorWord>      </errorWord>
      <group>L1_Format</group>
      <groupName>格式问题</groupName>
      <ability>L2_Whitespace</ability>
      <abilityName>空白字符</abilityName>
      <candidateList>
        <item/>
      </candidateList>
      <explain>文本间存在多余的空白字符。</explain>
      <paraID>1C3BA1EE</paraID>
      <start>18</start>
      <end>24</end>
      <status>unmodified</status>
      <modifiedWord/>
      <trackRevisions>false</trackRevisions>
    </reviewItem>
    <reviewItem>
      <errorID>d73397ed-ec5b-404d-860d-c349f9fef130</errorID>
      <errorWord>    </errorWord>
      <group>L1_Format</group>
      <groupName>格式问题</groupName>
      <ability>L2_Whitespace</ability>
      <abilityName>空白字符</abilityName>
      <candidateList>
        <item/>
      </candidateList>
      <explain>文本间存在多余的空白字符。</explain>
      <paraID>4FBBB668</paraID>
      <start>8</start>
      <end>12</end>
      <status>unmodified</status>
      <modifiedWord/>
      <trackRevisions>false</trackRevisions>
    </reviewItem>
    <reviewItem>
      <errorID>2c5b2d81-2359-48f0-a44c-23fb00ac37d1</errorID>
      <errorWord>    </errorWord>
      <group>L1_Format</group>
      <groupName>格式问题</groupName>
      <ability>L2_Whitespace</ability>
      <abilityName>空白字符</abilityName>
      <candidateList>
        <item/>
      </candidateList>
      <explain>文本间存在多余的空白字符。</explain>
      <paraID>29DFE46C</paraID>
      <start>8</start>
      <end>12</end>
      <status>unmodified</status>
      <modifiedWord/>
      <trackRevisions>false</trackRevisions>
    </reviewItem>
    <reviewItem>
      <errorID>815f9271-51e9-4c59-b677-513911a41e73</errorID>
      <errorWord>    </errorWord>
      <group>L1_Format</group>
      <groupName>格式问题</groupName>
      <ability>L2_Whitespace</ability>
      <abilityName>空白字符</abilityName>
      <candidateList>
        <item/>
      </candidateList>
      <explain>文本间存在多余的空白字符。</explain>
      <paraID>726BC0AA</paraID>
      <start>8</start>
      <end>12</end>
      <status>unmodified</status>
      <modifiedWord/>
      <trackRevisions>false</trackRevisions>
    </reviewItem>
    <reviewItem>
      <errorID>1b0ab6f4-ca0d-4d8d-b4aa-57dea66e0277</errorID>
      <errorWord>mmHg</errorWord>
      <group>L1_Knowledge</group>
      <groupName>知识性问题</groupName>
      <ability>L2_Unit</ability>
      <abilityName>计量单位</abilityName>
      <candidateList/>
      <explain>法定计量单位为Pa（帕[斯卡]）。</explain>
      <paraID>5FA14C62</paraID>
      <start>21</start>
      <end>25</end>
      <status>unmodified</status>
      <modifiedWord/>
      <trackRevisions>false</trackRevisions>
    </reviewItem>
    <reviewItem>
      <errorID>d8560125-ad7b-4969-a595-90305d38ce6a</errorID>
      <errorWord> </errorWord>
      <group>L1_Format</group>
      <groupName>格式问题</groupName>
      <ability>L2_Whitespace</ability>
      <abilityName>空白字符</abilityName>
      <candidateList>
        <item/>
      </candidateList>
      <explain>文本间存在多余的空白字符。</explain>
      <paraID>5FA14C62</paraID>
      <start>207</start>
      <end>208</end>
      <status>unmodified</status>
      <modifiedWord/>
      <trackRevisions>false</trackRevisions>
    </reviewItem>
    <reviewItem>
      <errorID>b250c914-24c1-4f4d-806c-4bb53fae976d</errorID>
      <errorWord>      </errorWord>
      <group>L1_Format</group>
      <groupName>格式问题</groupName>
      <ability>L2_Whitespace</ability>
      <abilityName>空白字符</abilityName>
      <candidateList>
        <item/>
      </candidateList>
      <explain>文本间存在多余的空白字符。</explain>
      <paraID>2AC847F1</paraID>
      <start>8</start>
      <end>14</end>
      <status>unmodified</status>
      <modifiedWord/>
      <trackRevisions>false</trackRevisions>
    </reviewItem>
    <reviewItem>
      <errorID>5c0c758b-1273-414b-85c0-48988f650829</errorID>
      <errorWord> </errorWord>
      <group>L1_Format</group>
      <groupName>格式问题</groupName>
      <ability>L2_Whitespace</ability>
      <abilityName>空白字符</abilityName>
      <candidateList>
        <item/>
      </candidateList>
      <explain>文本间存在多余的空白字符。</explain>
      <paraID>6C39353D</paraID>
      <start>169</start>
      <end>170</end>
      <status>unmodified</status>
      <modifiedWord/>
      <trackRevisions>false</trackRevisions>
    </reviewItem>
    <reviewItem>
      <errorID>2b709024-4883-47e1-9e2f-88e2cd73ea40</errorID>
      <errorWord> </errorWord>
      <group>L1_Format</group>
      <groupName>格式问题</groupName>
      <ability>L2_Whitespace</ability>
      <abilityName>空白字符</abilityName>
      <candidateList>
        <item/>
      </candidateList>
      <explain>文本间存在多余的空白字符。</explain>
      <paraID>1AABE4A2</paraID>
      <start>82</start>
      <end>83</end>
      <status>unmodified</status>
      <modifiedWord/>
      <trackRevisions>false</trackRevisions>
    </reviewItem>
    <reviewItem>
      <errorID>43dc1126-5862-4e32-9e6c-722a66847250</errorID>
      <errorWord>     </errorWord>
      <group>L1_Format</group>
      <groupName>格式问题</groupName>
      <ability>L2_Whitespace</ability>
      <abilityName>空白字符</abilityName>
      <candidateList>
        <item/>
      </candidateList>
      <explain>文本间存在多余的空白字符。</explain>
      <paraID>71B6348B</paraID>
      <start>8</start>
      <end>13</end>
      <status>unmodified</status>
      <modifiedWord/>
      <trackRevisions>false</trackRevisions>
    </reviewItem>
    <reviewItem>
      <errorID>3fd1e7c1-a49f-4f5c-acc5-108bf8b28ee1</errorID>
      <errorWord> </errorWord>
      <group>L1_Format</group>
      <groupName>格式问题</groupName>
      <ability>L2_Whitespace</ability>
      <abilityName>空白字符</abilityName>
      <candidateList>
        <item/>
      </candidateList>
      <explain>文本间存在多余的空白字符。</explain>
      <paraID>3AF83741</paraID>
      <start>13</start>
      <end>14</end>
      <status>unmodified</status>
      <modifiedWord/>
      <trackRevisions>false</trackRevisions>
    </reviewItem>
    <reviewItem>
      <errorID>b58b2dd5-2cc6-4cdb-b68f-a4c5b6c09511</errorID>
      <errorWord> </errorWord>
      <group>L1_Format</group>
      <groupName>格式问题</groupName>
      <ability>L2_Whitespace</ability>
      <abilityName>空白字符</abilityName>
      <candidateList>
        <item/>
      </candidateList>
      <explain>文本间存在多余的空白字符。</explain>
      <paraID>4F8666C5</paraID>
      <start>242</start>
      <end>243</end>
      <status>unmodified</status>
      <modifiedWord/>
      <trackRevisions>false</trackRevisions>
    </reviewItem>
    <reviewItem>
      <errorID>e481a46c-1ed2-45f4-a751-736c9b75f0bc</errorID>
      <errorWord> </errorWord>
      <group>L1_Format</group>
      <groupName>格式问题</groupName>
      <ability>L2_Whitespace</ability>
      <abilityName>空白字符</abilityName>
      <candidateList>
        <item/>
      </candidateList>
      <explain>文本间存在多余的空白字符。</explain>
      <paraID>65B542D6</paraID>
      <start>7</start>
      <end>8</end>
      <status>unmodified</status>
      <modifiedWord/>
      <trackRevisions>false</trackRevisions>
    </reviewItem>
    <reviewItem>
      <errorID>b30ba5ca-035c-4b3e-a978-2a30c7573493</errorID>
      <errorWord> </errorWord>
      <group>L1_Format</group>
      <groupName>格式问题</groupName>
      <ability>L2_Whitespace</ability>
      <abilityName>空白字符</abilityName>
      <candidateList>
        <item/>
      </candidateList>
      <explain>文本间存在多余的空白字符。</explain>
      <paraID>4294160A</paraID>
      <start>64</start>
      <end>65</end>
      <status>unmodified</status>
      <modifiedWord/>
      <trackRevisions>false</trackRevisions>
    </reviewItem>
    <reviewItem>
      <errorID>47dec891-4dc1-4245-9dfe-0780da5af14b</errorID>
      <errorWord> </errorWord>
      <group>L1_Format</group>
      <groupName>格式问题</groupName>
      <ability>L2_Whitespace</ability>
      <abilityName>空白字符</abilityName>
      <candidateList>
        <item/>
      </candidateList>
      <explain>文本间存在多余的空白字符。</explain>
      <paraID>3FB808D2</paraID>
      <start>21</start>
      <end>22</end>
      <status>unmodified</status>
      <modifiedWord/>
      <trackRevisions>false</trackRevisions>
    </reviewItem>
    <reviewItem>
      <errorID>d48110e2-36ac-410f-8698-8bc41086ae09</errorID>
      <errorWord> </errorWord>
      <group>L1_Format</group>
      <groupName>格式问题</groupName>
      <ability>L2_Whitespace</ability>
      <abilityName>空白字符</abilityName>
      <candidateList>
        <item/>
      </candidateList>
      <explain>文本间存在多余的空白字符。</explain>
      <paraID>4FC1444E</paraID>
      <start>24</start>
      <end>25</end>
      <status>unmodified</status>
      <modifiedWord/>
      <trackRevisions>false</trackRevisions>
    </reviewItem>
    <reviewItem>
      <errorID>6cba75a4-bf59-4eed-b710-2fc9143c6561</errorID>
      <errorWord> </errorWord>
      <group>L1_Format</group>
      <groupName>格式问题</groupName>
      <ability>L2_Whitespace</ability>
      <abilityName>空白字符</abilityName>
      <candidateList>
        <item/>
      </candidateList>
      <explain>文本间存在多余的空白字符。</explain>
      <paraID>208A3672</paraID>
      <start>17</start>
      <end>18</end>
      <status>unmodified</status>
      <modifiedWord/>
      <trackRevisions>false</trackRevisions>
    </reviewItem>
    <reviewItem>
      <errorID>10463276-ad56-438f-a3e7-c3184f250bf5</errorID>
      <errorWord> </errorWord>
      <group>L1_Format</group>
      <groupName>格式问题</groupName>
      <ability>L2_Whitespace</ability>
      <abilityName>空白字符</abilityName>
      <candidateList>
        <item/>
      </candidateList>
      <explain>文本间存在多余的空白字符。</explain>
      <paraID>2054F832</paraID>
      <start>35</start>
      <end>36</end>
      <status>unmodified</status>
      <modifiedWord/>
      <trackRevisions>false</trackRevisions>
    </reviewItem>
    <reviewItem>
      <errorID>d0c9e21b-1073-495b-b1dc-9737b16f521b</errorID>
      <errorWord> </errorWord>
      <group>L1_Format</group>
      <groupName>格式问题</groupName>
      <ability>L2_Whitespace</ability>
      <abilityName>空白字符</abilityName>
      <candidateList>
        <item/>
      </candidateList>
      <explain>文本间存在多余的空白字符。</explain>
      <paraID> C926F10</paraID>
      <start>163</start>
      <end>164</end>
      <status>unmodified</status>
      <modifiedWord/>
      <trackRevisions>false</trackRevisions>
    </reviewItem>
    <reviewItem>
      <errorID>f92987b1-b7dc-4ffa-b44b-af5213ebd4f3</errorID>
      <errorWord> </errorWord>
      <group>L1_Format</group>
      <groupName>格式问题</groupName>
      <ability>L2_Whitespace</ability>
      <abilityName>空白字符</abilityName>
      <candidateList>
        <item/>
      </candidateList>
      <explain>文本间存在多余的空白字符。</explain>
      <paraID>25ED334E</paraID>
      <start>7</start>
      <end>8</end>
      <status>unmodified</status>
      <modifiedWord/>
      <trackRevisions>false</trackRevisions>
    </reviewItem>
    <reviewItem>
      <errorID>d6fb9c00-8cab-4364-ba9c-310aafbbd4cf</errorID>
      <errorWord> </errorWord>
      <group>L1_Format</group>
      <groupName>格式问题</groupName>
      <ability>L2_Whitespace</ability>
      <abilityName>空白字符</abilityName>
      <candidateList>
        <item/>
      </candidateList>
      <explain>文本间存在多余的空白字符。</explain>
      <paraID>217AC08A</paraID>
      <start>86</start>
      <end>87</end>
      <status>unmodified</status>
      <modifiedWord/>
      <trackRevisions>false</trackRevisions>
    </reviewItem>
    <reviewItem>
      <errorID>69273a72-7582-47ab-b991-a4c91c99bcdd</errorID>
      <errorWord>      </errorWord>
      <group>L1_Format</group>
      <groupName>格式问题</groupName>
      <ability>L2_Whitespace</ability>
      <abilityName>空白字符</abilityName>
      <candidateList>
        <item/>
      </candidateList>
      <explain>文本间存在多余的空白字符。</explain>
      <paraID>5F323042</paraID>
      <start>8</start>
      <end>14</end>
      <status>unmodified</status>
      <modifiedWord/>
      <trackRevisions>false</trackRevisions>
    </reviewItem>
    <reviewItem>
      <errorID>3006013d-3c9c-435b-aad2-ad17b8506bda</errorID>
      <errorWord> </errorWord>
      <group>L1_Format</group>
      <groupName>格式问题</groupName>
      <ability>L2_Whitespace</ability>
      <abilityName>空白字符</abilityName>
      <candidateList>
        <item/>
      </candidateList>
      <explain>文本间存在多余的空白字符。</explain>
      <paraID>420880D7</paraID>
      <start>5</start>
      <end>6</end>
      <status>unmodified</status>
      <modifiedWord/>
      <trackRevisions>false</trackRevisions>
    </reviewItem>
    <reviewItem>
      <errorID>6227261b-78ad-46f2-8a73-662546a63aaa</errorID>
      <errorWord> </errorWord>
      <group>L1_Format</group>
      <groupName>格式问题</groupName>
      <ability>L2_Whitespace</ability>
      <abilityName>空白字符</abilityName>
      <candidateList>
        <item/>
      </candidateList>
      <explain>文本间存在多余的空白字符。</explain>
      <paraID>676F712E</paraID>
      <start>5</start>
      <end>6</end>
      <status>unmodified</status>
      <modifiedWord/>
      <trackRevisions>false</trackRevisions>
    </reviewItem>
    <reviewItem>
      <errorID>0a4281ed-42f7-48df-92df-70b2da179d05</errorID>
      <errorWord> </errorWord>
      <group>L1_Format</group>
      <groupName>格式问题</groupName>
      <ability>L2_Whitespace</ability>
      <abilityName>空白字符</abilityName>
      <candidateList>
        <item/>
      </candidateList>
      <explain>文本间存在多余的空白字符。</explain>
      <paraID>6E2FB2DE</paraID>
      <start>5</start>
      <end>6</end>
      <status>unmodified</status>
      <modifiedWord/>
      <trackRevisions>false</trackRevisions>
    </reviewItem>
    <reviewItem>
      <errorID>a32b7aac-5821-4d24-bb39-0a741d731a63</errorID>
      <errorWord> </errorWord>
      <group>L1_Format</group>
      <groupName>格式问题</groupName>
      <ability>L2_Whitespace</ability>
      <abilityName>空白字符</abilityName>
      <candidateList>
        <item/>
      </candidateList>
      <explain>文本间存在多余的空白字符。</explain>
      <paraID>18ECB8BC</paraID>
      <start>56</start>
      <end>57</end>
      <status>unmodified</status>
      <modifiedWord/>
      <trackRevisions>false</trackRevisions>
    </reviewItem>
    <reviewItem>
      <errorID>c0719fca-feb8-4418-a8f5-4e1bc7f972b7</errorID>
      <errorWord>      </errorWord>
      <group>L1_Format</group>
      <groupName>格式问题</groupName>
      <ability>L2_Whitespace</ability>
      <abilityName>空白字符</abilityName>
      <candidateList>
        <item/>
      </candidateList>
      <explain>文本间存在多余的空白字符。</explain>
      <paraID>3B3C9EB4</paraID>
      <start>8</start>
      <end>14</end>
      <status>unmodified</status>
      <modifiedWord/>
      <trackRevisions>false</trackRevisions>
    </reviewItem>
    <reviewItem>
      <errorID>881da13b-8a78-422a-94bd-97c33323a4e1</errorID>
      <errorWord>     </errorWord>
      <group>L1_Format</group>
      <groupName>格式问题</groupName>
      <ability>L2_Whitespace</ability>
      <abilityName>空白字符</abilityName>
      <candidateList>
        <item/>
      </candidateList>
      <explain>文本间存在多余的空白字符。</explain>
      <paraID>4831DF43</paraID>
      <start>8</start>
      <end>13</end>
      <status>unmodified</status>
      <modifiedWord/>
      <trackRevisions>false</trackRevisions>
    </reviewItem>
    <reviewItem>
      <errorID>1bbef1db-b2a2-48fc-bef5-daf5b265f070</errorID>
      <errorWord>        </errorWord>
      <group>L1_Format</group>
      <groupName>格式问题</groupName>
      <ability>L2_Whitespace</ability>
      <abilityName>空白字符</abilityName>
      <candidateList>
        <item/>
      </candidateList>
      <explain>文本间存在多余的空白字符。</explain>
      <paraID>5C064F34</paraID>
      <start>8</start>
      <end>16</end>
      <status>unmodified</status>
      <modifiedWord/>
      <trackRevisions>false</trackRevisions>
    </reviewItem>
    <reviewItem>
      <errorID>fa356635-1f05-4778-8612-37a8873dc743</errorID>
      <errorWord>     </errorWord>
      <group>L1_Format</group>
      <groupName>格式问题</groupName>
      <ability>L2_Whitespace</ability>
      <abilityName>空白字符</abilityName>
      <candidateList>
        <item/>
      </candidateList>
      <explain>文本间存在多余的空白字符。</explain>
      <paraID>22FFFA64</paraID>
      <start>8</start>
      <end>13</end>
      <status>unmodified</status>
      <modifiedWord/>
      <trackRevisions>false</trackRevisions>
    </reviewItem>
    <reviewItem>
      <errorID>8c42ee79-bffd-42fc-9006-2642c82e1ba2</errorID>
      <errorWord> </errorWord>
      <group>L1_Format</group>
      <groupName>格式问题</groupName>
      <ability>L2_Whitespace</ability>
      <abilityName>空白字符</abilityName>
      <candidateList>
        <item/>
      </candidateList>
      <explain>文本间存在多余的空白字符。</explain>
      <paraID>567806B8</paraID>
      <start>1</start>
      <end>2</end>
      <status>unmodified</status>
      <modifiedWord/>
      <trackRevisions>false</trackRevisions>
    </reviewItem>
    <reviewItem>
      <errorID>e32e2192-fea0-4add-b0a2-2db62add7ffa</errorID>
      <errorWord> </errorWord>
      <group>L1_Format</group>
      <groupName>格式问题</groupName>
      <ability>L2_Whitespace</ability>
      <abilityName>空白字符</abilityName>
      <candidateList>
        <item/>
      </candidateList>
      <explain>文本间存在多余的空白字符。</explain>
      <paraID>187CFBC2</paraID>
      <start>3</start>
      <end>4</end>
      <status>unmodified</status>
      <modifiedWord/>
      <trackRevisions>false</trackRevisions>
    </reviewItem>
    <reviewItem>
      <errorID>7f575771-3422-41f8-9eb3-72113707d52a</errorID>
      <errorWord> </errorWord>
      <group>L1_Format</group>
      <groupName>格式问题</groupName>
      <ability>L2_Whitespace</ability>
      <abilityName>空白字符</abilityName>
      <candidateList>
        <item/>
      </candidateList>
      <explain>文本间存在多余的空白字符。</explain>
      <paraID>68104F3C</paraID>
      <start>1</start>
      <end>2</end>
      <status>unmodified</status>
      <modifiedWord/>
      <trackRevisions>false</trackRevisions>
    </reviewItem>
    <reviewItem>
      <errorID>ae984a44-5b2b-4f71-a7c3-61f292ad12ea</errorID>
      <errorWord> </errorWord>
      <group>L1_Format</group>
      <groupName>格式问题</groupName>
      <ability>L2_Whitespace</ability>
      <abilityName>空白字符</abilityName>
      <candidateList>
        <item/>
      </candidateList>
      <explain>文本间存在多余的空白字符。</explain>
      <paraID>68104F3C</paraID>
      <start>6</start>
      <end>7</end>
      <status>unmodified</status>
      <modifiedWord/>
      <trackRevisions>false</trackRevisions>
    </reviewItem>
    <reviewItem>
      <errorID>6f687122-fee9-4459-acf1-236bbe340266</errorID>
      <errorWord> </errorWord>
      <group>L1_Format</group>
      <groupName>格式问题</groupName>
      <ability>L2_Whitespace</ability>
      <abilityName>空白字符</abilityName>
      <candidateList>
        <item/>
      </candidateList>
      <explain>文本间存在多余的空白字符。</explain>
      <paraID>691F22D4</paraID>
      <start>47</start>
      <end>48</end>
      <status>unmodified</status>
      <modifiedWord/>
      <trackRevisions>false</trackRevisions>
    </reviewItem>
    <reviewItem>
      <errorID>eab9089b-b32c-47f8-b6f4-82728c23aca0</errorID>
      <errorWord> </errorWord>
      <group>L1_Format</group>
      <groupName>格式问题</groupName>
      <ability>L2_Whitespace</ability>
      <abilityName>空白字符</abilityName>
      <candidateList>
        <item/>
      </candidateList>
      <explain>文本间存在多余的空白字符。</explain>
      <paraID>7538A68A</paraID>
      <start>262</start>
      <end>263</end>
      <status>unmodified</status>
      <modifiedWord/>
      <trackRevisions>false</trackRevisions>
    </reviewItem>
    <reviewItem>
      <errorID>3b6cc05e-358f-4b09-91e3-8fd403a78a76</errorID>
      <errorWord>              </errorWord>
      <group>L1_Format</group>
      <groupName>格式问题</groupName>
      <ability>L2_Whitespace</ability>
      <abilityName>空白字符</abilityName>
      <candidateList>
        <item/>
      </candidateList>
      <explain>文本间存在多余的空白字符。</explain>
      <paraID>45959044</paraID>
      <start>34</start>
      <end>48</end>
      <status>unmodified</status>
      <modifiedWord/>
      <trackRevisions>false</trackRevisions>
    </reviewItem>
    <reviewItem>
      <errorID>16f5da39-646b-4bf1-aa46-10e700df4610</errorID>
      <errorWord> </errorWord>
      <group>L1_Format</group>
      <groupName>格式问题</groupName>
      <ability>L2_Whitespace</ability>
      <abilityName>空白字符</abilityName>
      <candidateList>
        <item/>
      </candidateList>
      <explain>文本间存在多余的空白字符。</explain>
      <paraID>45959044</paraID>
      <start>51</start>
      <end>52</end>
      <status>unmodified</status>
      <modifiedWord/>
      <trackRevisions>false</trackRevisions>
    </reviewItem>
    <reviewItem>
      <errorID>5b64ac8e-a5a9-491b-bad1-52955e2d949b</errorID>
      <errorWord> </errorWord>
      <group>L1_Format</group>
      <groupName>格式问题</groupName>
      <ability>L2_Whitespace</ability>
      <abilityName>空白字符</abilityName>
      <candidateList>
        <item/>
      </candidateList>
      <explain>文本间存在多余的空白字符。</explain>
      <paraID>1C897C29</paraID>
      <start>34</start>
      <end>35</end>
      <status>unmodified</status>
      <modifiedWord/>
      <trackRevisions>false</trackRevisions>
    </reviewItem>
    <reviewItem>
      <errorID>9386f38f-da5c-4f6b-a11f-3ee236efca8a</errorID>
      <errorWord> </errorWord>
      <group>L1_Format</group>
      <groupName>格式问题</groupName>
      <ability>L2_Whitespace</ability>
      <abilityName>空白字符</abilityName>
      <candidateList>
        <item/>
      </candidateList>
      <explain>文本间存在多余的空白字符。</explain>
      <paraID>1B4EE762</paraID>
      <start>34</start>
      <end>35</end>
      <status>unmodified</status>
      <modifiedWord/>
      <trackRevisions>false</trackRevisions>
    </reviewItem>
    <reviewItem>
      <errorID>bf3908d0-4bf5-49d9-9d6f-a44573b9897d</errorID>
      <errorWord> </errorWord>
      <group>L1_Format</group>
      <groupName>格式问题</groupName>
      <ability>L2_Whitespace</ability>
      <abilityName>空白字符</abilityName>
      <candidateList>
        <item/>
      </candidateList>
      <explain>文本间存在多余的空白字符。</explain>
      <paraID>65CDD52F</paraID>
      <start>39</start>
      <end>40</end>
      <status>unmodified</status>
      <modifiedWord/>
      <trackRevisions>false</trackRevisions>
    </reviewItem>
    <reviewItem>
      <errorID>d3b79740-d736-412b-ba0a-584e9a97a86a</errorID>
      <errorWord> </errorWord>
      <group>L1_Format</group>
      <groupName>格式问题</groupName>
      <ability>L2_Whitespace</ability>
      <abilityName>空白字符</abilityName>
      <candidateList>
        <item/>
      </candidateList>
      <explain>文本间存在多余的空白字符。</explain>
      <paraID>771347E8</paraID>
      <start>40</start>
      <end>41</end>
      <status>unmodified</status>
      <modifiedWord/>
      <trackRevisions>false</trackRevisions>
    </reviewItem>
    <reviewItem>
      <errorID>ca022eda-3326-4e60-a9b9-21cd20296a8e</errorID>
      <errorWord> </errorWord>
      <group>L1_Format</group>
      <groupName>格式问题</groupName>
      <ability>L2_Whitespace</ability>
      <abilityName>空白字符</abilityName>
      <candidateList>
        <item/>
      </candidateList>
      <explain>文本间存在多余的空白字符。</explain>
      <paraID>43C4CF6A</paraID>
      <start>40</start>
      <end>41</end>
      <status>unmodified</status>
      <modifiedWord/>
      <trackRevisions>false</trackRevisions>
    </reviewItem>
    <reviewItem>
      <errorID>4332fc5e-8de5-4f4e-ae6a-31c3b85a2c88</errorID>
      <errorWord> </errorWord>
      <group>L1_Format</group>
      <groupName>格式问题</groupName>
      <ability>L2_Whitespace</ability>
      <abilityName>空白字符</abilityName>
      <candidateList>
        <item/>
      </candidateList>
      <explain>文本间存在多余的空白字符。</explain>
      <paraID>32CD7F25</paraID>
      <start>40</start>
      <end>41</end>
      <status>unmodified</status>
      <modifiedWord/>
      <trackRevisions>false</trackRevisions>
    </reviewItem>
    <reviewItem>
      <errorID>66e55d21-96f2-4382-9162-389304a998a7</errorID>
      <errorWord> </errorWord>
      <group>L1_Format</group>
      <groupName>格式问题</groupName>
      <ability>L2_Whitespace</ability>
      <abilityName>空白字符</abilityName>
      <candidateList>
        <item/>
      </candidateList>
      <explain>文本间存在多余的空白字符。</explain>
      <paraID>5861A0E5</paraID>
      <start>40</start>
      <end>41</end>
      <status>unmodified</status>
      <modifiedWord/>
      <trackRevisions>false</trackRevisions>
    </reviewItem>
    <reviewItem>
      <errorID>774654f4-41e3-4bb7-a460-79e9b4316e05</errorID>
      <errorWord>       </errorWord>
      <group>L1_Format</group>
      <groupName>格式问题</groupName>
      <ability>L2_Whitespace</ability>
      <abilityName>空白字符</abilityName>
      <candidateList>
        <item/>
      </candidateList>
      <explain>文本间存在多余的空白字符。</explain>
      <paraID>4E046935</paraID>
      <start>8</start>
      <end>15</end>
      <status>unmodified</status>
      <modifiedWord/>
      <trackRevisions>false</trackRevisions>
    </reviewItem>
    <reviewItem>
      <errorID>b62388d7-aabe-4bd9-b9e6-c93204f2403c</errorID>
      <errorWord> </errorWord>
      <group>L1_Format</group>
      <groupName>格式问题</groupName>
      <ability>L2_Whitespace</ability>
      <abilityName>空白字符</abilityName>
      <candidateList>
        <item/>
      </candidateList>
      <explain>文本间存在多余的空白字符。</explain>
      <paraID>591632DB</paraID>
      <start>12</start>
      <end>13</end>
      <status>unmodified</status>
      <modifiedWord/>
      <trackRevisions>false</trackRevisions>
    </reviewItem>
    <reviewItem>
      <errorID>a85931dc-44ce-437a-85ef-813221fa8297</errorID>
      <errorWord> </errorWord>
      <group>L1_Format</group>
      <groupName>格式问题</groupName>
      <ability>L2_Whitespace</ability>
      <abilityName>空白字符</abilityName>
      <candidateList>
        <item/>
      </candidateList>
      <explain>文本间存在多余的空白字符。</explain>
      <paraID>2FA08D30</paraID>
      <start>37</start>
      <end>38</end>
      <status>unmodified</status>
      <modifiedWord/>
      <trackRevisions>false</trackRevisions>
    </reviewItem>
    <reviewItem>
      <errorID>1f2a2f23-ce58-4811-9f17-41da2000dfe8</errorID>
      <errorWord> </errorWord>
      <group>L1_Format</group>
      <groupName>格式问题</groupName>
      <ability>L2_Whitespace</ability>
      <abilityName>空白字符</abilityName>
      <candidateList>
        <item/>
      </candidateList>
      <explain>文本间存在多余的空白字符。</explain>
      <paraID>7E8824A4</paraID>
      <start>29</start>
      <end>30</end>
      <status>unmodified</status>
      <modifiedWord/>
      <trackRevisions>false</trackRevisions>
    </reviewItem>
    <reviewItem>
      <errorID>7ece3e66-ea7d-4601-9ed4-d08905730fd3</errorID>
      <errorWord> </errorWord>
      <group>L1_Format</group>
      <groupName>格式问题</groupName>
      <ability>L2_Whitespace</ability>
      <abilityName>空白字符</abilityName>
      <candidateList>
        <item/>
      </candidateList>
      <explain>文本间存在多余的空白字符。</explain>
      <paraID>16C05651</paraID>
      <start>41</start>
      <end>42</end>
      <status>unmodified</status>
      <modifiedWord/>
      <trackRevisions>false</trackRevisions>
    </reviewItem>
    <reviewItem>
      <errorID>bd9b56d7-018b-4fa4-8f8f-f7ceb1a3dab0</errorID>
      <errorWord> </errorWord>
      <group>L1_Format</group>
      <groupName>格式问题</groupName>
      <ability>L2_Whitespace</ability>
      <abilityName>空白字符</abilityName>
      <candidateList>
        <item/>
      </candidateList>
      <explain>文本间存在多余的空白字符。</explain>
      <paraID> CADD3CB</paraID>
      <start>9</start>
      <end>10</end>
      <status>unmodified</status>
      <modifiedWord/>
      <trackRevisions>false</trackRevisions>
    </reviewItem>
    <reviewItem>
      <errorID>070d0815-9397-4b47-bce0-8312af3b528b</errorID>
      <errorWord> </errorWord>
      <group>L1_Format</group>
      <groupName>格式问题</groupName>
      <ability>L2_Whitespace</ability>
      <abilityName>空白字符</abilityName>
      <candidateList>
        <item/>
      </candidateList>
      <explain>文本间存在多余的空白字符。</explain>
      <paraID>297157CA</paraID>
      <start>66</start>
      <end>67</end>
      <status>unmodified</status>
      <modifiedWord/>
      <trackRevisions>false</trackRevisions>
    </reviewItem>
    <reviewItem>
      <errorID>ae6260cf-deca-4e2a-af09-4ac8eb774942</errorID>
      <errorWord> </errorWord>
      <group>L1_Format</group>
      <groupName>格式问题</groupName>
      <ability>L2_Whitespace</ability>
      <abilityName>空白字符</abilityName>
      <candidateList>
        <item/>
      </candidateList>
      <explain>文本间存在多余的空白字符。</explain>
      <paraID>216B9064</paraID>
      <start>7</start>
      <end>8</end>
      <status>unmodified</status>
      <modifiedWord/>
      <trackRevisions>false</trackRevisions>
    </reviewItem>
    <reviewItem>
      <errorID>46b00534-7446-4b7e-9b17-c506472b5893</errorID>
      <errorWord> </errorWord>
      <group>L1_Format</group>
      <groupName>格式问题</groupName>
      <ability>L2_Whitespace</ability>
      <abilityName>空白字符</abilityName>
      <candidateList>
        <item/>
      </candidateList>
      <explain>文本间存在多余的空白字符。</explain>
      <paraID>6A8F4040</paraID>
      <start>29</start>
      <end>30</end>
      <status>unmodified</status>
      <modifiedWord/>
      <trackRevisions>false</trackRevisions>
    </reviewItem>
    <reviewItem>
      <errorID>05388ed1-1528-4282-a4fb-9e9305859191</errorID>
      <errorWord>    </errorWord>
      <group>L1_Format</group>
      <groupName>格式问题</groupName>
      <ability>L2_Whitespace</ability>
      <abilityName>空白字符</abilityName>
      <candidateList>
        <item/>
      </candidateList>
      <explain>文本间存在多余的空白字符。</explain>
      <paraID>1C6C9EB5</paraID>
      <start>8</start>
      <end>12</end>
      <status>unmodified</status>
      <modifiedWord/>
      <trackRevisions>false</trackRevisions>
    </reviewItem>
    <reviewItem>
      <errorID>07464ffe-c7b5-4c54-8752-448e020370e7</errorID>
      <errorWord> </errorWord>
      <group>L1_Format</group>
      <groupName>格式问题</groupName>
      <ability>L2_Whitespace</ability>
      <abilityName>空白字符</abilityName>
      <candidateList>
        <item/>
      </candidateList>
      <explain>文本间存在多余的空白字符。</explain>
      <paraID>61BF9C25</paraID>
      <start>11</start>
      <end>12</end>
      <status>unmodified</status>
      <modifiedWord/>
      <trackRevisions>false</trackRevisions>
    </reviewItem>
    <reviewItem>
      <errorID>18bdc4e9-ccce-4341-96e9-67284dd78002</errorID>
      <errorWord> </errorWord>
      <group>L1_Format</group>
      <groupName>格式问题</groupName>
      <ability>L2_Whitespace</ability>
      <abilityName>空白字符</abilityName>
      <candidateList>
        <item/>
      </candidateList>
      <explain>文本间存在多余的空白字符。</explain>
      <paraID>6F396415</paraID>
      <start>55</start>
      <end>56</end>
      <status>unmodified</status>
      <modifiedWord/>
      <trackRevisions>false</trackRevisions>
    </reviewItem>
    <reviewItem>
      <errorID>11ea9428-3bce-4cbf-9099-98daa2965eab</errorID>
      <errorWord> </errorWord>
      <group>L1_Format</group>
      <groupName>格式问题</groupName>
      <ability>L2_Whitespace</ability>
      <abilityName>空白字符</abilityName>
      <candidateList>
        <item/>
      </candidateList>
      <explain>文本间存在多余的空白字符。</explain>
      <paraID>30A02BCB</paraID>
      <start>79</start>
      <end>80</end>
      <status>unmodified</status>
      <modifiedWord/>
      <trackRevisions>false</trackRevisions>
    </reviewItem>
    <reviewItem>
      <errorID>cbc86767-093b-4375-b2e9-3ec02400ca74</errorID>
      <errorWord> </errorWord>
      <group>L1_Format</group>
      <groupName>格式问题</groupName>
      <ability>L2_Whitespace</ability>
      <abilityName>空白字符</abilityName>
      <candidateList>
        <item/>
      </candidateList>
      <explain>文本间存在多余的空白字符。</explain>
      <paraID>6D751E4D</paraID>
      <start>11</start>
      <end>12</end>
      <status>unmodified</status>
      <modifiedWord/>
      <trackRevisions>false</trackRevisions>
    </reviewItem>
    <reviewItem>
      <errorID>24920e34-3e7a-4bf5-beed-a364396d4e5b</errorID>
      <errorWord> </errorWord>
      <group>L1_Format</group>
      <groupName>格式问题</groupName>
      <ability>L2_Whitespace</ability>
      <abilityName>空白字符</abilityName>
      <candidateList>
        <item/>
      </candidateList>
      <explain>文本间存在多余的空白字符。</explain>
      <paraID>6AD5A2C4</paraID>
      <start>56</start>
      <end>57</end>
      <status>unmodified</status>
      <modifiedWord/>
      <trackRevisions>false</trackRevisions>
    </reviewItem>
    <reviewItem>
      <errorID>4cf9948b-a3cf-4f31-a7da-0579cf0eea26</errorID>
      <errorWord> </errorWord>
      <group>L1_Format</group>
      <groupName>格式问题</groupName>
      <ability>L2_Whitespace</ability>
      <abilityName>空白字符</abilityName>
      <candidateList>
        <item/>
      </candidateList>
      <explain>文本间存在多余的空白字符。</explain>
      <paraID> D7BD00A</paraID>
      <start>83</start>
      <end>84</end>
      <status>unmodified</status>
      <modifiedWord/>
      <trackRevisions>false</trackRevisions>
    </reviewItem>
    <reviewItem>
      <errorID>ab9ae37a-5d65-4957-98ce-198724e97889</errorID>
      <errorWord>软启动装置</errorWord>
      <group>L1_Knowledge</group>
      <groupName>知识性问题</groupName>
      <ability>L2_Term</ability>
      <abilityName>专业术语</abilityName>
      <candidateList>
        <item>软起动装置</item>
      </candidateList>
      <explain/>
      <paraID>15DC8D2E</paraID>
      <start>35</start>
      <end>40</end>
      <status>unmodified</status>
      <modifiedWord/>
      <trackRevisions>false</trackRevisions>
    </reviewItem>
    <reviewItem>
      <errorID>495c0569-9e98-4979-87a1-9609f8da8cc9</errorID>
      <errorWord> </errorWord>
      <group>L1_Format</group>
      <groupName>格式问题</groupName>
      <ability>L2_Whitespace</ability>
      <abilityName>空白字符</abilityName>
      <candidateList>
        <item/>
      </candidateList>
      <explain>文本间存在多余的空白字符。</explain>
      <paraID>3ACEB620</paraID>
      <start>18</start>
      <end>19</end>
      <status>unmodified</status>
      <modifiedWord/>
      <trackRevisions>false</trackRevisions>
    </reviewItem>
    <reviewItem>
      <errorID>50e612bc-d173-410c-816e-a96412e254fb</errorID>
      <errorWord> </errorWord>
      <group>L1_Format</group>
      <groupName>格式问题</groupName>
      <ability>L2_Whitespace</ability>
      <abilityName>空白字符</abilityName>
      <candidateList>
        <item/>
      </candidateList>
      <explain>文本间存在多余的空白字符。</explain>
      <paraID>24AEC662</paraID>
      <start>124</start>
      <end>125</end>
      <status>unmodified</status>
      <modifiedWord/>
      <trackRevisions>false</trackRevisions>
    </reviewItem>
    <reviewItem>
      <errorID>b408c31d-197e-45be-a906-2e5bbca31b87</errorID>
      <errorWord> </errorWord>
      <group>L1_Format</group>
      <groupName>格式问题</groupName>
      <ability>L2_Whitespace</ability>
      <abilityName>空白字符</abilityName>
      <candidateList>
        <item/>
      </candidateList>
      <explain>文本间存在多余的空白字符。</explain>
      <paraID>241AD12A</paraID>
      <start>62</start>
      <end>63</end>
      <status>unmodified</status>
      <modifiedWord/>
      <trackRevisions>false</trackRevisions>
    </reviewItem>
    <reviewItem>
      <errorID>b27bd694-3fd6-4576-ae58-254a67f8c3fa</errorID>
      <errorWord> </errorWord>
      <group>L1_Format</group>
      <groupName>格式问题</groupName>
      <ability>L2_Whitespace</ability>
      <abilityName>空白字符</abilityName>
      <candidateList>
        <item/>
      </candidateList>
      <explain>文本间存在多余的空白字符。</explain>
      <paraID>78439175</paraID>
      <start>144</start>
      <end>145</end>
      <status>unmodified</status>
      <modifiedWord/>
      <trackRevisions>false</trackRevisions>
    </reviewItem>
    <reviewItem>
      <errorID>c88e9cf5-5f3a-4f27-b7da-bf388af0a762</errorID>
      <errorWord> </errorWord>
      <group>L1_Format</group>
      <groupName>格式问题</groupName>
      <ability>L2_Whitespace</ability>
      <abilityName>空白字符</abilityName>
      <candidateList>
        <item/>
      </candidateList>
      <explain>文本间存在多余的空白字符。</explain>
      <paraID>4CF29D90</paraID>
      <start>51</start>
      <end>52</end>
      <status>unmodified</status>
      <modifiedWord/>
      <trackRevisions>false</trackRevisions>
    </reviewItem>
    <reviewItem>
      <errorID>84756d31-ba18-40e2-bc94-cd44ab4e8ee4</errorID>
      <errorWord> </errorWord>
      <group>L1_Format</group>
      <groupName>格式问题</groupName>
      <ability>L2_Whitespace</ability>
      <abilityName>空白字符</abilityName>
      <candidateList>
        <item/>
      </candidateList>
      <explain>文本间存在多余的空白字符。</explain>
      <paraID>15C11D48</paraID>
      <start>54</start>
      <end>55</end>
      <status>unmodified</status>
      <modifiedWord/>
      <trackRevisions>false</trackRevisions>
    </reviewItem>
    <reviewItem>
      <errorID>685fe5dc-7e9d-44d3-95f8-099a9c297425</errorID>
      <errorWord> </errorWord>
      <group>L1_Format</group>
      <groupName>格式问题</groupName>
      <ability>L2_Whitespace</ability>
      <abilityName>空白字符</abilityName>
      <candidateList>
        <item/>
      </candidateList>
      <explain>文本间存在多余的空白字符。</explain>
      <paraID>6D3159D2</paraID>
      <start>347</start>
      <end>348</end>
      <status>unmodified</status>
      <modifiedWord/>
      <trackRevisions>false</trackRevisions>
    </reviewItem>
    <reviewItem>
      <errorID>1340f2c4-2e4d-4848-bce9-38ab57a32fe1</errorID>
      <errorWord> </errorWord>
      <group>L1_Format</group>
      <groupName>格式问题</groupName>
      <ability>L2_Whitespace</ability>
      <abilityName>空白字符</abilityName>
      <candidateList>
        <item/>
      </candidateList>
      <explain>文本间存在多余的空白字符。</explain>
      <paraID>626915A1</paraID>
      <start>9</start>
      <end>10</end>
      <status>unmodified</status>
      <modifiedWord/>
      <trackRevisions>false</trackRevisions>
    </reviewItem>
    <reviewItem>
      <errorID>d4b14a7e-10be-4649-8c55-87afcc869cbe</errorID>
      <errorWord> </errorWord>
      <group>L1_Format</group>
      <groupName>格式问题</groupName>
      <ability>L2_Whitespace</ability>
      <abilityName>空白字符</abilityName>
      <candidateList>
        <item/>
      </candidateList>
      <explain>文本间存在多余的空白字符。</explain>
      <paraID> BDA5448</paraID>
      <start>130</start>
      <end>131</end>
      <status>unmodified</status>
      <modifiedWord/>
      <trackRevisions>false</trackRevisions>
    </reviewItem>
    <reviewItem>
      <errorID>57c9ce4d-1e0e-4031-99c2-6f691bd5fdf9</errorID>
      <errorWord> </errorWord>
      <group>L1_Format</group>
      <groupName>格式问题</groupName>
      <ability>L2_Whitespace</ability>
      <abilityName>空白字符</abilityName>
      <candidateList>
        <item/>
      </candidateList>
      <explain>文本间存在多余的空白字符。</explain>
      <paraID>33D64883</paraID>
      <start>9</start>
      <end>10</end>
      <status>unmodified</status>
      <modifiedWord/>
      <trackRevisions>false</trackRevisions>
    </reviewItem>
    <reviewItem>
      <errorID>508b9157-4aae-4c16-88ba-cc2526bfd8d5</errorID>
      <errorWord> </errorWord>
      <group>L1_Format</group>
      <groupName>格式问题</groupName>
      <ability>L2_Whitespace</ability>
      <abilityName>空白字符</abilityName>
      <candidateList>
        <item/>
      </candidateList>
      <explain>文本间存在多余的空白字符。</explain>
      <paraID> 1DBE1E2</paraID>
      <start>213</start>
      <end>214</end>
      <status>unmodified</status>
      <modifiedWord/>
      <trackRevisions>false</trackRevisions>
    </reviewItem>
    <reviewItem>
      <errorID>dd1d0894-fa74-4c6c-bc29-5f2fce24d290</errorID>
      <errorWord> </errorWord>
      <group>L1_Format</group>
      <groupName>格式问题</groupName>
      <ability>L2_Whitespace</ability>
      <abilityName>空白字符</abilityName>
      <candidateList>
        <item/>
      </candidateList>
      <explain>文本间存在多余的空白字符。</explain>
      <paraID>28941329</paraID>
      <start>15</start>
      <end>16</end>
      <status>unmodified</status>
      <modifiedWord/>
      <trackRevisions>false</trackRevisions>
    </reviewItem>
    <reviewItem>
      <errorID>fd5e653c-1ed9-4cf4-b496-254d3f7d3093</errorID>
      <errorWord>整合</errorWord>
      <group>L1_Word</group>
      <groupName>字词问题</groupName>
      <ability>L2_Typo</ability>
      <abilityName>字词错误</abilityName>
      <candidateList>
        <item>整个</item>
      </candidateList>
      <explain/>
      <paraID>318A2E37</paraID>
      <start>66</start>
      <end>68</end>
      <status>unmodified</status>
      <modifiedWord/>
      <trackRevisions>false</trackRevisions>
    </reviewItem>
    <reviewItem>
      <errorID>4cad33a7-fbc1-4230-8809-66198368f13a</errorID>
      <errorWord> </errorWord>
      <group>L1_Format</group>
      <groupName>格式问题</groupName>
      <ability>L2_Whitespace</ability>
      <abilityName>空白字符</abilityName>
      <candidateList>
        <item/>
      </candidateList>
      <explain>文本间存在多余的空白字符。</explain>
      <paraID>7C96A4B9</paraID>
      <start>15</start>
      <end>16</end>
      <status>unmodified</status>
      <modifiedWord/>
      <trackRevisions>false</trackRevisions>
    </reviewItem>
    <reviewItem>
      <errorID>94336edd-b123-42c9-ae70-4f76635defea</errorID>
      <errorWord> </errorWord>
      <group>L1_Format</group>
      <groupName>格式问题</groupName>
      <ability>L2_Whitespace</ability>
      <abilityName>空白字符</abilityName>
      <candidateList>
        <item/>
      </candidateList>
      <explain>文本间存在多余的空白字符。</explain>
      <paraID>4F0A0AF8</paraID>
      <start>14</start>
      <end>15</end>
      <status>unmodified</status>
      <modifiedWord/>
      <trackRevisions>false</trackRevisions>
    </reviewItem>
    <reviewItem>
      <errorID>4f0a6673-abd3-443c-b674-66abc739ecce</errorID>
      <errorWord> </errorWord>
      <group>L1_Format</group>
      <groupName>格式问题</groupName>
      <ability>L2_Whitespace</ability>
      <abilityName>空白字符</abilityName>
      <candidateList>
        <item/>
      </candidateList>
      <explain>文本间存在多余的空白字符。</explain>
      <paraID>675B4E1B</paraID>
      <start>231</start>
      <end>232</end>
      <status>unmodified</status>
      <modifiedWord/>
      <trackRevisions>false</trackRevisions>
    </reviewItem>
    <reviewItem>
      <errorID>6f630aa5-0e88-43e0-a02c-ebc22eccbcda</errorID>
      <errorWord> </errorWord>
      <group>L1_Format</group>
      <groupName>格式问题</groupName>
      <ability>L2_Whitespace</ability>
      <abilityName>空白字符</abilityName>
      <candidateList>
        <item/>
      </candidateList>
      <explain>文本间存在多余的空白字符。</explain>
      <paraID>250C85B5</paraID>
      <start>12</start>
      <end>13</end>
      <status>unmodified</status>
      <modifiedWord/>
      <trackRevisions>false</trackRevisions>
    </reviewItem>
    <reviewItem>
      <errorID>d695c186-3600-478a-ab55-8beab57442d2</errorID>
      <errorWord> </errorWord>
      <group>L1_Format</group>
      <groupName>格式问题</groupName>
      <ability>L2_Whitespace</ability>
      <abilityName>空白字符</abilityName>
      <candidateList>
        <item/>
      </candidateList>
      <explain>文本间存在多余的空白字符。</explain>
      <paraID>55BDDAAA</paraID>
      <start>7</start>
      <end>8</end>
      <status>unmodified</status>
      <modifiedWord/>
      <trackRevisions>false</trackRevisions>
    </reviewItem>
    <reviewItem>
      <errorID>9a4ad747-c780-4c3d-82b1-efd0759a2d5a</errorID>
      <errorWord> </errorWord>
      <group>L1_Format</group>
      <groupName>格式问题</groupName>
      <ability>L2_Whitespace</ability>
      <abilityName>空白字符</abilityName>
      <candidateList>
        <item/>
      </candidateList>
      <explain>文本间存在多余的空白字符。</explain>
      <paraID>23A68ED6</paraID>
      <start>7</start>
      <end>8</end>
      <status>unmodified</status>
      <modifiedWord/>
      <trackRevisions>false</trackRevisions>
    </reviewItem>
    <reviewItem>
      <errorID>3f121e24-f46f-4b02-953a-1bb5ffa8e5ad</errorID>
      <errorWord> </errorWord>
      <group>L1_Format</group>
      <groupName>格式问题</groupName>
      <ability>L2_Whitespace</ability>
      <abilityName>空白字符</abilityName>
      <candidateList>
        <item/>
      </candidateList>
      <explain>文本间存在多余的空白字符。</explain>
      <paraID>25921438</paraID>
      <start>64</start>
      <end>65</end>
      <status>unmodified</status>
      <modifiedWord/>
      <trackRevisions>false</trackRevisions>
    </reviewItem>
    <reviewItem>
      <errorID>bff03f90-c8fd-4584-beb0-9c94d2436744</errorID>
      <errorWord> </errorWord>
      <group>L1_Format</group>
      <groupName>格式问题</groupName>
      <ability>L2_Whitespace</ability>
      <abilityName>空白字符</abilityName>
      <candidateList>
        <item/>
      </candidateList>
      <explain>文本间存在多余的空白字符。</explain>
      <paraID>4A699AF4</paraID>
      <start>8</start>
      <end>9</end>
      <status>unmodified</status>
      <modifiedWord/>
      <trackRevisions>false</trackRevisions>
    </reviewItem>
    <reviewItem>
      <errorID>f6bb647a-0616-40c8-adda-94afba355044</errorID>
      <errorWord> </errorWord>
      <group>L1_Format</group>
      <groupName>格式问题</groupName>
      <ability>L2_Whitespace</ability>
      <abilityName>空白字符</abilityName>
      <candidateList>
        <item/>
      </candidateList>
      <explain>文本间存在多余的空白字符。</explain>
      <paraID>53D2F5B3</paraID>
      <start>234</start>
      <end>235</end>
      <status>unmodified</status>
      <modifiedWord/>
      <trackRevisions>false</trackRevisions>
    </reviewItem>
    <reviewItem>
      <errorID>a6d1d85c-5fe8-45b8-bd4e-a235f58c24bd</errorID>
      <errorWord> </errorWord>
      <group>L1_Format</group>
      <groupName>格式问题</groupName>
      <ability>L2_Whitespace</ability>
      <abilityName>空白字符</abilityName>
      <candidateList>
        <item/>
      </candidateList>
      <explain>文本间存在多余的空白字符。</explain>
      <paraID>5F1746ED</paraID>
      <start>8</start>
      <end>9</end>
      <status>unmodified</status>
      <modifiedWord/>
      <trackRevisions>false</trackRevisions>
    </reviewItem>
    <reviewItem>
      <errorID>58a2dc51-6aaf-41d8-8658-3175d63af147</errorID>
      <errorWord> </errorWord>
      <group>L1_Format</group>
      <groupName>格式问题</groupName>
      <ability>L2_Whitespace</ability>
      <abilityName>空白字符</abilityName>
      <candidateList>
        <item/>
      </candidateList>
      <explain>文本间存在多余的空白字符。</explain>
      <paraID> F9FBE80</paraID>
      <start>284</start>
      <end>285</end>
      <status>unmodified</status>
      <modifiedWord/>
      <trackRevisions>false</trackRevisions>
    </reviewItem>
    <reviewItem>
      <errorID>17590b95-dd31-41ed-986a-184343bc2102</errorID>
      <errorWord> </errorWord>
      <group>L1_Format</group>
      <groupName>格式问题</groupName>
      <ability>L2_Whitespace</ability>
      <abilityName>空白字符</abilityName>
      <candidateList>
        <item/>
      </candidateList>
      <explain>文本间存在多余的空白字符。</explain>
      <paraID>18146A8F</paraID>
      <start>222</start>
      <end>223</end>
      <status>unmodified</status>
      <modifiedWord/>
      <trackRevisions>false</trackRevisions>
    </reviewItem>
    <reviewItem>
      <errorID>e467aeb9-9241-4184-9966-fc145a39ba42</errorID>
      <errorWord> </errorWord>
      <group>L1_Format</group>
      <groupName>格式问题</groupName>
      <ability>L2_Whitespace</ability>
      <abilityName>空白字符</abilityName>
      <candidateList>
        <item/>
      </candidateList>
      <explain>文本间存在多余的空白字符。</explain>
      <paraID> 3EAD06A</paraID>
      <start>53</start>
      <end>54</end>
      <status>unmodified</status>
      <modifiedWord/>
      <trackRevisions>false</trackRevisions>
    </reviewItem>
    <reviewItem>
      <errorID>4039f8a5-252c-41d6-a2ee-c3f9c2eab35f</errorID>
      <errorWord> </errorWord>
      <group>L1_Format</group>
      <groupName>格式问题</groupName>
      <ability>L2_Whitespace</ability>
      <abilityName>空白字符</abilityName>
      <candidateList>
        <item/>
      </candidateList>
      <explain>文本间存在多余的空白字符。</explain>
      <paraID>3616E097</paraID>
      <start>20</start>
      <end>21</end>
      <status>unmodified</status>
      <modifiedWord/>
      <trackRevisions>false</trackRevisions>
    </reviewItem>
    <reviewItem>
      <errorID>d825c414-32c7-448b-99a6-f6bdc2e53211</errorID>
      <errorWord> </errorWord>
      <group>L1_Format</group>
      <groupName>格式问题</groupName>
      <ability>L2_Whitespace</ability>
      <abilityName>空白字符</abilityName>
      <candidateList>
        <item/>
      </candidateList>
      <explain>文本间存在多余的空白字符。</explain>
      <paraID>3D89E018</paraID>
      <start>50</start>
      <end>51</end>
      <status>unmodified</status>
      <modifiedWord/>
      <trackRevisions>false</trackRevisions>
    </reviewItem>
    <reviewItem>
      <errorID>a0f0eea3-e489-4a0a-92e7-5cceeb3bddcf</errorID>
      <errorWord> </errorWord>
      <group>L1_Format</group>
      <groupName>格式问题</groupName>
      <ability>L2_Whitespace</ability>
      <abilityName>空白字符</abilityName>
      <candidateList>
        <item/>
      </candidateList>
      <explain>文本间存在多余的空白字符。</explain>
      <paraID>33123505</paraID>
      <start>44</start>
      <end>45</end>
      <status>unmodified</status>
      <modifiedWord/>
      <trackRevisions>false</trackRevisions>
    </reviewItem>
    <reviewItem>
      <errorID>faf0078c-163e-42b5-9e2a-968e8167e96b</errorID>
      <errorWord> </errorWord>
      <group>L1_Format</group>
      <groupName>格式问题</groupName>
      <ability>L2_Whitespace</ability>
      <abilityName>空白字符</abilityName>
      <candidateList>
        <item/>
      </candidateList>
      <explain>文本间存在多余的空白字符。</explain>
      <paraID>215084CD</paraID>
      <start>55</start>
      <end>56</end>
      <status>unmodified</status>
      <modifiedWord/>
      <trackRevisions>false</trackRevisions>
    </reviewItem>
    <reviewItem>
      <errorID>4111d9ca-bc98-4b07-aceb-14668fb90a4b</errorID>
      <errorWord> </errorWord>
      <group>L1_Format</group>
      <groupName>格式问题</groupName>
      <ability>L2_Whitespace</ability>
      <abilityName>空白字符</abilityName>
      <candidateList>
        <item/>
      </candidateList>
      <explain>文本间存在多余的空白字符。</explain>
      <paraID>4C80F1FE</paraID>
      <start>30</start>
      <end>31</end>
      <status>unmodified</status>
      <modifiedWord/>
      <trackRevisions>false</trackRevisions>
    </reviewItem>
    <reviewItem>
      <errorID>051de90f-798f-4334-b533-41abab04b764</errorID>
      <errorWord> </errorWord>
      <group>L1_Format</group>
      <groupName>格式问题</groupName>
      <ability>L2_Whitespace</ability>
      <abilityName>空白字符</abilityName>
      <candidateList>
        <item/>
      </candidateList>
      <explain>文本间存在多余的空白字符。</explain>
      <paraID> D8410D5</paraID>
      <start>11</start>
      <end>12</end>
      <status>unmodified</status>
      <modifiedWord/>
      <trackRevisions>false</trackRevisions>
    </reviewItem>
    <reviewItem>
      <errorID>8d0eabc0-ab5b-4226-941b-83002aac5162</errorID>
      <errorWord> </errorWord>
      <group>L1_Format</group>
      <groupName>格式问题</groupName>
      <ability>L2_Whitespace</ability>
      <abilityName>空白字符</abilityName>
      <candidateList>
        <item/>
      </candidateList>
      <explain>文本间存在多余的空白字符。</explain>
      <paraID>3BDE9DAD</paraID>
      <start>112</start>
      <end>113</end>
      <status>unmodified</status>
      <modifiedWord/>
      <trackRevisions>false</trackRevisions>
    </reviewItem>
    <reviewItem>
      <errorID>59f30aba-7773-42e7-a49c-482f38dfdaff</errorID>
      <errorWord> </errorWord>
      <group>L1_Format</group>
      <groupName>格式问题</groupName>
      <ability>L2_Whitespace</ability>
      <abilityName>空白字符</abilityName>
      <candidateList>
        <item/>
      </candidateList>
      <explain>文本间存在多余的空白字符。</explain>
      <paraID>70BDCD4F</paraID>
      <start>140</start>
      <end>141</end>
      <status>unmodified</status>
      <modifiedWord/>
      <trackRevisions>false</trackRevisions>
    </reviewItem>
    <reviewItem>
      <errorID>a18a2c75-bb77-4a09-a058-6a4e8672ee43</errorID>
      <errorWord> </errorWord>
      <group>L1_Format</group>
      <groupName>格式问题</groupName>
      <ability>L2_Whitespace</ability>
      <abilityName>空白字符</abilityName>
      <candidateList>
        <item/>
      </candidateList>
      <explain>文本间存在多余的空白字符。</explain>
      <paraID>63E38A1F</paraID>
      <start>12</start>
      <end>13</end>
      <status>unmodified</status>
      <modifiedWord/>
      <trackRevisions>false</trackRevisions>
    </reviewItem>
    <reviewItem>
      <errorID>60d238e5-cbb1-4660-ba3a-86d170055424</errorID>
      <errorWord> </errorWord>
      <group>L1_Format</group>
      <groupName>格式问题</groupName>
      <ability>L2_Whitespace</ability>
      <abilityName>空白字符</abilityName>
      <candidateList>
        <item/>
      </candidateList>
      <explain>文本间存在多余的空白字符。</explain>
      <paraID>76DE853F</paraID>
      <start>12</start>
      <end>13</end>
      <status>unmodified</status>
      <modifiedWord/>
      <trackRevisions>false</trackRevisions>
    </reviewItem>
    <reviewItem>
      <errorID>f89709af-f108-467e-861c-121a6c7afa7e</errorID>
      <errorWord> </errorWord>
      <group>L1_Format</group>
      <groupName>格式问题</groupName>
      <ability>L2_Whitespace</ability>
      <abilityName>空白字符</abilityName>
      <candidateList>
        <item/>
      </candidateList>
      <explain>文本间存在多余的空白字符。</explain>
      <paraID>29C231D2</paraID>
      <start>185</start>
      <end>186</end>
      <status>unmodified</status>
      <modifiedWord/>
      <trackRevisions>false</trackRevisions>
    </reviewItem>
    <reviewItem>
      <errorID>117fb08d-3b2a-4663-af7b-3665fd8eeb5f</errorID>
      <errorWord>烦琐</errorWord>
      <group>L1_Word</group>
      <groupName>字词问题</groupName>
      <ability>L2_Typo</ability>
      <abilityName>字词错误</abilityName>
      <candidateList>
        <item>繁琐</item>
      </candidateList>
      <explain>同“烦琐”。</explain>
      <paraID>3022CA29</paraID>
      <start>95</start>
      <end>97</end>
      <status>unmodified</status>
      <modifiedWord/>
      <trackRevisions>false</trackRevisions>
    </reviewItem>
    <reviewItem>
      <errorID>46bb43fa-ef13-41fd-a7d6-9935fa58eee8</errorID>
      <errorWord>'</errorWord>
      <group>L1_Format</group>
      <groupName>格式问题</groupName>
      <ability>L2_HalfPunc_CN</ability>
      <abilityName>全半角问题</abilityName>
      <candidateList/>
      <explain>文本全半角错误。</explain>
      <paraID>66EA021F</paraID>
      <start>67</start>
      <end>68</end>
      <status>unmodified</status>
      <modifiedWord/>
      <trackRevisions>false</trackRevisions>
    </reviewItem>
    <reviewItem>
      <errorID>e1c84efa-a323-4f03-8643-c5f8c4f066bf</errorID>
      <errorWord> </errorWord>
      <group>L1_Format</group>
      <groupName>格式问题</groupName>
      <ability>L2_Whitespace</ability>
      <abilityName>空白字符</abilityName>
      <candidateList>
        <item/>
      </candidateList>
      <explain>文本间存在多余的空白字符。</explain>
      <paraID>66EA021F</paraID>
      <start>85</start>
      <end>86</end>
      <status>unmodified</status>
      <modifiedWord/>
      <trackRevisions>false</trackRevisions>
    </reviewItem>
    <reviewItem>
      <errorID>b1a25ccf-8631-440a-ab7f-4a9e1375a2cf</errorID>
      <errorWord> </errorWord>
      <group>L1_Format</group>
      <groupName>格式问题</groupName>
      <ability>L2_Whitespace</ability>
      <abilityName>空白字符</abilityName>
      <candidateList>
        <item/>
      </candidateList>
      <explain>文本间存在多余的空白字符。</explain>
      <paraID>66EA021F</paraID>
      <start>378</start>
      <end>379</end>
      <status>unmodified</status>
      <modifiedWord/>
      <trackRevisions>false</trackRevisions>
    </reviewItem>
    <reviewItem>
      <errorID>aebb2e5a-b44d-4d8f-a407-500d70474f01</errorID>
      <errorWord> </errorWord>
      <group>L1_Format</group>
      <groupName>格式问题</groupName>
      <ability>L2_Whitespace</ability>
      <abilityName>空白字符</abilityName>
      <candidateList>
        <item/>
      </candidateList>
      <explain>文本间存在多余的空白字符。</explain>
      <paraID>2F27FA9A</paraID>
      <start>5</start>
      <end>6</end>
      <status>unmodified</status>
      <modifiedWord/>
      <trackRevisions>false</trackRevisions>
    </reviewItem>
    <reviewItem>
      <errorID>8e55b026-d237-4b70-b75c-a71a2fb77aa1</errorID>
      <errorWord> </errorWord>
      <group>L1_Format</group>
      <groupName>格式问题</groupName>
      <ability>L2_Whitespace</ability>
      <abilityName>空白字符</abilityName>
      <candidateList>
        <item/>
      </candidateList>
      <explain>文本间存在多余的空白字符。</explain>
      <paraID>2F27FA9A</paraID>
      <start>10</start>
      <end>11</end>
      <status>unmodified</status>
      <modifiedWord/>
      <trackRevisions>false</trackRevisions>
    </reviewItem>
    <reviewItem>
      <errorID>ed85489a-c3a1-4550-8e83-69d2cb0e0158</errorID>
      <errorWord> </errorWord>
      <group>L1_Format</group>
      <groupName>格式问题</groupName>
      <ability>L2_Whitespace</ability>
      <abilityName>空白字符</abilityName>
      <candidateList>
        <item/>
      </candidateList>
      <explain>文本间存在多余的空白字符。</explain>
      <paraID>7F81154E</paraID>
      <start>109</start>
      <end>110</end>
      <status>unmodified</status>
      <modifiedWord/>
      <trackRevisions>false</trackRevisions>
    </reviewItem>
    <reviewItem>
      <errorID>75a70cf0-982f-413f-8af6-b30caedbbba9</errorID>
      <errorWord> </errorWord>
      <group>L1_Format</group>
      <groupName>格式问题</groupName>
      <ability>L2_Whitespace</ability>
      <abilityName>空白字符</abilityName>
      <candidateList>
        <item/>
      </candidateList>
      <explain>文本间存在多余的空白字符。</explain>
      <paraID>7B83E506</paraID>
      <start>12</start>
      <end>13</end>
      <status>unmodified</status>
      <modifiedWord/>
      <trackRevisions>false</trackRevisions>
    </reviewItem>
    <reviewItem>
      <errorID>158d37d5-2317-450b-bc8d-ccbb5864ab32</errorID>
      <errorWord> </errorWord>
      <group>L1_Format</group>
      <groupName>格式问题</groupName>
      <ability>L2_Whitespace</ability>
      <abilityName>空白字符</abilityName>
      <candidateList>
        <item/>
      </candidateList>
      <explain>文本间存在多余的空白字符。</explain>
      <paraID>2022F9A0</paraID>
      <start>45</start>
      <end>46</end>
      <status>unmodified</status>
      <modifiedWord/>
      <trackRevisions>false</trackRevisions>
    </reviewItem>
    <reviewItem>
      <errorID>2fe48052-4314-456e-9b9e-c63f95b86557</errorID>
      <errorWord> </errorWord>
      <group>L1_Format</group>
      <groupName>格式问题</groupName>
      <ability>L2_Whitespace</ability>
      <abilityName>空白字符</abilityName>
      <candidateList>
        <item/>
      </candidateList>
      <explain>文本间存在多余的空白字符。</explain>
      <paraID> F7ADD19</paraID>
      <start>50</start>
      <end>51</end>
      <status>unmodified</status>
      <modifiedWord/>
      <trackRevisions>false</trackRevisions>
    </reviewItem>
    <reviewItem>
      <errorID>511a5fe4-3092-403a-9189-e6f144b66089</errorID>
      <errorWord> </errorWord>
      <group>L1_Format</group>
      <groupName>格式问题</groupName>
      <ability>L2_Whitespace</ability>
      <abilityName>空白字符</abilityName>
      <candidateList>
        <item/>
      </candidateList>
      <explain>文本间存在多余的空白字符。</explain>
      <paraID>  F51006</paraID>
      <start>12</start>
      <end>13</end>
      <status>unmodified</status>
      <modifiedWord/>
      <trackRevisions>false</trackRevisions>
    </reviewItem>
    <reviewItem>
      <errorID>04ce2de2-8e2e-472d-9a28-0cb10cf9aed9</errorID>
      <errorWord> </errorWord>
      <group>L1_Format</group>
      <groupName>格式问题</groupName>
      <ability>L2_Whitespace</ability>
      <abilityName>空白字符</abilityName>
      <candidateList>
        <item/>
      </candidateList>
      <explain>文本间存在多余的空白字符。</explain>
      <paraID>4EC93C96</paraID>
      <start>40</start>
      <end>41</end>
      <status>unmodified</status>
      <modifiedWord/>
      <trackRevisions>false</trackRevisions>
    </reviewItem>
    <reviewItem>
      <errorID>447211ab-4048-413c-9647-efc27213b345</errorID>
      <errorWord> </errorWord>
      <group>L1_Format</group>
      <groupName>格式问题</groupName>
      <ability>L2_Whitespace</ability>
      <abilityName>空白字符</abilityName>
      <candidateList>
        <item/>
      </candidateList>
      <explain>文本间存在多余的空白字符。</explain>
      <paraID>43D553B2</paraID>
      <start>5</start>
      <end>6</end>
      <status>unmodified</status>
      <modifiedWord/>
      <trackRevisions>false</trackRevisions>
    </reviewItem>
    <reviewItem>
      <errorID>272d1287-0216-44f4-97ab-2d8a3d648d08</errorID>
      <errorWord> </errorWord>
      <group>L1_Format</group>
      <groupName>格式问题</groupName>
      <ability>L2_Whitespace</ability>
      <abilityName>空白字符</abilityName>
      <candidateList>
        <item/>
      </candidateList>
      <explain>文本间存在多余的空白字符。</explain>
      <paraID>43D553B2</paraID>
      <start>11</start>
      <end>12</end>
      <status>unmodified</status>
      <modifiedWord/>
      <trackRevisions>false</trackRevisions>
    </reviewItem>
    <reviewItem>
      <errorID>69a8a4c5-f7bf-4ea8-a6d8-18fc5159a49f</errorID>
      <errorWord> </errorWord>
      <group>L1_Format</group>
      <groupName>格式问题</groupName>
      <ability>L2_Whitespace</ability>
      <abilityName>空白字符</abilityName>
      <candidateList>
        <item/>
      </candidateList>
      <explain>文本间存在多余的空白字符。</explain>
      <paraID>4FE04552</paraID>
      <start>57</start>
      <end>58</end>
      <status>unmodified</status>
      <modifiedWord/>
      <trackRevisions>false</trackRevisions>
    </reviewItem>
    <reviewItem>
      <errorID>ab992cc9-1347-4272-8537-3ff2fedcf8dd</errorID>
      <errorWord> </errorWord>
      <group>L1_Format</group>
      <groupName>格式问题</groupName>
      <ability>L2_Whitespace</ability>
      <abilityName>空白字符</abilityName>
      <candidateList>
        <item/>
      </candidateList>
      <explain>文本间存在多余的空白字符。</explain>
      <paraID>40B83976</paraID>
      <start>32</start>
      <end>33</end>
      <status>unmodified</status>
      <modifiedWord/>
      <trackRevisions>false</trackRevisions>
    </reviewItem>
    <reviewItem>
      <errorID>00289c59-5544-497c-a7f6-b8e02710a014</errorID>
      <errorWord> </errorWord>
      <group>L1_Format</group>
      <groupName>格式问题</groupName>
      <ability>L2_Whitespace</ability>
      <abilityName>空白字符</abilityName>
      <candidateList>
        <item/>
      </candidateList>
      <explain>文本间存在多余的空白字符。</explain>
      <paraID>59F00EA7</paraID>
      <start>45</start>
      <end>46</end>
      <status>unmodified</status>
      <modifiedWord/>
      <trackRevisions>false</trackRevisions>
    </reviewItem>
    <reviewItem>
      <errorID>412699a1-b616-4bd3-b116-48c988ef602f</errorID>
      <errorWord> </errorWord>
      <group>L1_Format</group>
      <groupName>格式问题</groupName>
      <ability>L2_Whitespace</ability>
      <abilityName>空白字符</abilityName>
      <candidateList>
        <item/>
      </candidateList>
      <explain>文本间存在多余的空白字符。</explain>
      <paraID>607E3CD6</paraID>
      <start>22</start>
      <end>23</end>
      <status>unmodified</status>
      <modifiedWord/>
      <trackRevisions>false</trackRevisions>
    </reviewItem>
    <reviewItem>
      <errorID>41b21170-f235-474b-9351-684932e428f8</errorID>
      <errorWord> </errorWord>
      <group>L1_Format</group>
      <groupName>格式问题</groupName>
      <ability>L2_Whitespace</ability>
      <abilityName>空白字符</abilityName>
      <candidateList>
        <item/>
      </candidateList>
      <explain>文本间存在多余的空白字符。</explain>
      <paraID> 27C6CAF</paraID>
      <start>10</start>
      <end>11</end>
      <status>unmodified</status>
      <modifiedWord/>
      <trackRevisions>false</trackRevisions>
    </reviewItem>
    <reviewItem>
      <errorID>21a10c17-3a04-4329-b041-95d86fde7737</errorID>
      <errorWord> </errorWord>
      <group>L1_Format</group>
      <groupName>格式问题</groupName>
      <ability>L2_Whitespace</ability>
      <abilityName>空白字符</abilityName>
      <candidateList>
        <item/>
      </candidateList>
      <explain>文本间存在多余的空白字符。</explain>
      <paraID>3478E7AD</paraID>
      <start>16</start>
      <end>17</end>
      <status>unmodified</status>
      <modifiedWord/>
      <trackRevisions>false</trackRevisions>
    </reviewItem>
    <reviewItem>
      <errorID>40c3e6f3-d31b-4c18-a4f4-802d814815f2</errorID>
      <errorWord> </errorWord>
      <group>L1_Format</group>
      <groupName>格式问题</groupName>
      <ability>L2_Whitespace</ability>
      <abilityName>空白字符</abilityName>
      <candidateList>
        <item/>
      </candidateList>
      <explain>文本间存在多余的空白字符。</explain>
      <paraID>3478E7AD</paraID>
      <start>18</start>
      <end>19</end>
      <status>unmodified</status>
      <modifiedWord/>
      <trackRevisions>false</trackRevisions>
    </reviewItem>
    <reviewItem>
      <errorID>3ae0b08a-019f-4c1e-9ca2-33aa2d10a176</errorID>
      <errorWord> </errorWord>
      <group>L1_Format</group>
      <groupName>格式问题</groupName>
      <ability>L2_Whitespace</ability>
      <abilityName>空白字符</abilityName>
      <candidateList>
        <item/>
      </candidateList>
      <explain>文本间存在多余的空白字符。</explain>
      <paraID>3478E7AD</paraID>
      <start>21</start>
      <end>22</end>
      <status>unmodified</status>
      <modifiedWord/>
      <trackRevisions>false</trackRevisions>
    </reviewItem>
    <reviewItem>
      <errorID>209667a0-43e6-49c2-9d29-8b1b2ce4e0bc</errorID>
      <errorWord> </errorWord>
      <group>L1_Format</group>
      <groupName>格式问题</groupName>
      <ability>L2_Whitespace</ability>
      <abilityName>空白字符</abilityName>
      <candidateList>
        <item/>
      </candidateList>
      <explain>文本间存在多余的空白字符。</explain>
      <paraID>3478E7AD</paraID>
      <start>23</start>
      <end>24</end>
      <status>unmodified</status>
      <modifiedWord/>
      <trackRevisions>false</trackRevisions>
    </reviewItem>
    <reviewItem>
      <errorID>f003f44c-2300-4f6a-beeb-952eb078d094</errorID>
      <errorWord> </errorWord>
      <group>L1_Format</group>
      <groupName>格式问题</groupName>
      <ability>L2_Whitespace</ability>
      <abilityName>空白字符</abilityName>
      <candidateList>
        <item/>
      </candidateList>
      <explain>文本间存在多余的空白字符。</explain>
      <paraID>3478E7AD</paraID>
      <start>26</start>
      <end>27</end>
      <status>unmodified</status>
      <modifiedWord/>
      <trackRevisions>false</trackRevisions>
    </reviewItem>
    <reviewItem>
      <errorID>4ab7aed9-8232-488f-a583-20116299faa9</errorID>
      <errorWord> </errorWord>
      <group>L1_Format</group>
      <groupName>格式问题</groupName>
      <ability>L2_Whitespace</ability>
      <abilityName>空白字符</abilityName>
      <candidateList>
        <item/>
      </candidateList>
      <explain>文本间存在多余的空白字符。</explain>
      <paraID>3478E7AD</paraID>
      <start>29</start>
      <end>30</end>
      <status>unmodified</status>
      <modifiedWord/>
      <trackRevisions>false</trackRevisions>
    </reviewItem>
    <reviewItem>
      <errorID>fdad2486-4a19-4860-820b-4b7c23c2bd82</errorID>
      <errorWord> </errorWord>
      <group>L1_Format</group>
      <groupName>格式问题</groupName>
      <ability>L2_Whitespace</ability>
      <abilityName>空白字符</abilityName>
      <candidateList>
        <item/>
      </candidateList>
      <explain>文本间存在多余的空白字符。</explain>
      <paraID>15CD26D9</paraID>
      <start>17</start>
      <end>18</end>
      <status>unmodified</status>
      <modifiedWord/>
      <trackRevisions>false</trackRevisions>
    </reviewItem>
    <reviewItem>
      <errorID>3dbc04a2-1fae-463b-838f-43aaf95e3237</errorID>
      <errorWord> </errorWord>
      <group>L1_Format</group>
      <groupName>格式问题</groupName>
      <ability>L2_Whitespace</ability>
      <abilityName>空白字符</abilityName>
      <candidateList>
        <item/>
      </candidateList>
      <explain>文本间存在多余的空白字符。</explain>
      <paraID>15CD26D9</paraID>
      <start>19</start>
      <end>20</end>
      <status>unmodified</status>
      <modifiedWord/>
      <trackRevisions>false</trackRevisions>
    </reviewItem>
    <reviewItem>
      <errorID>4ebf01e6-5fe8-4215-bba2-06405157d639</errorID>
      <errorWord> </errorWord>
      <group>L1_Format</group>
      <groupName>格式问题</groupName>
      <ability>L2_Whitespace</ability>
      <abilityName>空白字符</abilityName>
      <candidateList>
        <item/>
      </candidateList>
      <explain>文本间存在多余的空白字符。</explain>
      <paraID>15CD26D9</paraID>
      <start>22</start>
      <end>23</end>
      <status>unmodified</status>
      <modifiedWord/>
      <trackRevisions>false</trackRevisions>
    </reviewItem>
    <reviewItem>
      <errorID>73c240cd-85f3-4886-b880-0903d0724b51</errorID>
      <errorWord> </errorWord>
      <group>L1_Format</group>
      <groupName>格式问题</groupName>
      <ability>L2_Whitespace</ability>
      <abilityName>空白字符</abilityName>
      <candidateList>
        <item/>
      </candidateList>
      <explain>文本间存在多余的空白字符。</explain>
      <paraID>15CD26D9</paraID>
      <start>24</start>
      <end>25</end>
      <status>unmodified</status>
      <modifiedWord/>
      <trackRevisions>false</trackRevisions>
    </reviewItem>
    <reviewItem>
      <errorID>3b50df87-2413-4fa8-bdeb-0b269e7943be</errorID>
      <errorWord> </errorWord>
      <group>L1_Format</group>
      <groupName>格式问题</groupName>
      <ability>L2_Whitespace</ability>
      <abilityName>空白字符</abilityName>
      <candidateList>
        <item/>
      </candidateList>
      <explain>文本间存在多余的空白字符。</explain>
      <paraID>15CD26D9</paraID>
      <start>27</start>
      <end>28</end>
      <status>unmodified</status>
      <modifiedWord/>
      <trackRevisions>false</trackRevisions>
    </reviewItem>
    <reviewItem>
      <errorID>b6413a01-cd00-4962-b187-b09078601d38</errorID>
      <errorWord> </errorWord>
      <group>L1_Format</group>
      <groupName>格式问题</groupName>
      <ability>L2_Whitespace</ability>
      <abilityName>空白字符</abilityName>
      <candidateList>
        <item/>
      </candidateList>
      <explain>文本间存在多余的空白字符。</explain>
      <paraID>15CD26D9</paraID>
      <start>30</start>
      <end>31</end>
      <status>unmodified</status>
      <modifiedWord/>
      <trackRevisions>false</trackRevisions>
    </reviewItem>
    <reviewItem>
      <errorID>5ea3330b-72a9-4f00-a062-3089e4e998ed</errorID>
      <errorWord> </errorWord>
      <group>L1_Format</group>
      <groupName>格式问题</groupName>
      <ability>L2_Whitespace</ability>
      <abilityName>空白字符</abilityName>
      <candidateList>
        <item/>
      </candidateList>
      <explain>文本间存在多余的空白字符。</explain>
      <paraID>1AB71D2A</paraID>
      <start>14</start>
      <end>15</end>
      <status>unmodified</status>
      <modifiedWord/>
      <trackRevisions>false</trackRevisions>
    </reviewItem>
    <reviewItem>
      <errorID>44e4a8bb-250d-4945-aef9-b9c247b73703</errorID>
      <errorWord> </errorWord>
      <group>L1_Format</group>
      <groupName>格式问题</groupName>
      <ability>L2_Whitespace</ability>
      <abilityName>空白字符</abilityName>
      <candidateList>
        <item/>
      </candidateList>
      <explain>文本间存在多余的空白字符。</explain>
      <paraID>262B5291</paraID>
      <start>19</start>
      <end>20</end>
      <status>unmodified</status>
      <modifiedWord/>
      <trackRevisions>false</trackRevisions>
    </reviewItem>
    <reviewItem>
      <errorID>0302e223-dd05-49c4-921d-c1f16bf09039</errorID>
      <errorWord> </errorWord>
      <group>L1_Format</group>
      <groupName>格式问题</groupName>
      <ability>L2_Whitespace</ability>
      <abilityName>空白字符</abilityName>
      <candidateList>
        <item/>
      </candidateList>
      <explain>文本间存在多余的空白字符。</explain>
      <paraID>262B5291</paraID>
      <start>22</start>
      <end>23</end>
      <status>unmodified</status>
      <modifiedWord/>
      <trackRevisions>false</trackRevisions>
    </reviewItem>
    <reviewItem>
      <errorID>b1f62c7e-28b4-43a4-9ea8-c5e79be43a9c</errorID>
      <errorWord> </errorWord>
      <group>L1_Format</group>
      <groupName>格式问题</groupName>
      <ability>L2_Whitespace</ability>
      <abilityName>空白字符</abilityName>
      <candidateList>
        <item/>
      </candidateList>
      <explain>文本间存在多余的空白字符。</explain>
      <paraID>5AE23D54</paraID>
      <start>15</start>
      <end>16</end>
      <status>unmodified</status>
      <modifiedWord/>
      <trackRevisions>false</trackRevisions>
    </reviewItem>
    <reviewItem>
      <errorID>8d4c99b9-2ab3-4094-b5f1-57c987ad7bfb</errorID>
      <errorWord> </errorWord>
      <group>L1_Format</group>
      <groupName>格式问题</groupName>
      <ability>L2_Whitespace</ability>
      <abilityName>空白字符</abilityName>
      <candidateList>
        <item/>
      </candidateList>
      <explain>文本间存在多余的空白字符。</explain>
      <paraID>60ED429B</paraID>
      <start>20</start>
      <end>21</end>
      <status>unmodified</status>
      <modifiedWord/>
      <trackRevisions>false</trackRevisions>
    </reviewItem>
    <reviewItem>
      <errorID>77ef298f-6255-4eb3-a71f-61ba7ecba33b</errorID>
      <errorWord> </errorWord>
      <group>L1_Format</group>
      <groupName>格式问题</groupName>
      <ability>L2_Whitespace</ability>
      <abilityName>空白字符</abilityName>
      <candidateList>
        <item/>
      </candidateList>
      <explain>文本间存在多余的空白字符。</explain>
      <paraID>60ED429B</paraID>
      <start>23</start>
      <end>24</end>
      <status>unmodified</status>
      <modifiedWord/>
      <trackRevisions>false</trackRevisions>
    </reviewItem>
    <reviewItem>
      <errorID>07d41ecb-f85a-4b0a-864f-f34b7b88bde2</errorID>
      <errorWord> </errorWord>
      <group>L1_Format</group>
      <groupName>格式问题</groupName>
      <ability>L2_Whitespace</ability>
      <abilityName>空白字符</abilityName>
      <candidateList>
        <item/>
      </candidateList>
      <explain>文本间存在多余的空白字符。</explain>
      <paraID>1CA83048</paraID>
      <start>14</start>
      <end>15</end>
      <status>unmodified</status>
      <modifiedWord/>
      <trackRevisions>false</trackRevisions>
    </reviewItem>
    <reviewItem>
      <errorID>d04e28c0-5cd5-4bf2-bef3-5a37e19bcb5e</errorID>
      <errorWord> </errorWord>
      <group>L1_Format</group>
      <groupName>格式问题</groupName>
      <ability>L2_Whitespace</ability>
      <abilityName>空白字符</abilityName>
      <candidateList>
        <item/>
      </candidateList>
      <explain>文本间存在多余的空白字符。</explain>
      <paraID>32EC265F</paraID>
      <start>11</start>
      <end>12</end>
      <status>unmodified</status>
      <modifiedWord/>
      <trackRevisions>false</trackRevisions>
    </reviewItem>
    <reviewItem>
      <errorID>e96541cd-4864-4044-972a-0dc2749cabd6</errorID>
      <errorWord> </errorWord>
      <group>L1_Format</group>
      <groupName>格式问题</groupName>
      <ability>L2_Whitespace</ability>
      <abilityName>空白字符</abilityName>
      <candidateList>
        <item/>
      </candidateList>
      <explain>文本间存在多余的空白字符。</explain>
      <paraID>3BB6E08A</paraID>
      <start>25</start>
      <end>26</end>
      <status>unmodified</status>
      <modifiedWord/>
      <trackRevisions>false</trackRevisions>
    </reviewItem>
    <reviewItem>
      <errorID>270f11d8-8e36-4adf-a386-51b2cc0dc9eb</errorID>
      <errorWord> </errorWord>
      <group>L1_Format</group>
      <groupName>格式问题</groupName>
      <ability>L2_Whitespace</ability>
      <abilityName>空白字符</abilityName>
      <candidateList>
        <item/>
      </candidateList>
      <explain>文本间存在多余的空白字符。</explain>
      <paraID> 9523401</paraID>
      <start>12</start>
      <end>13</end>
      <status>unmodified</status>
      <modifiedWord/>
      <trackRevisions>false</trackRevisions>
    </reviewItem>
    <reviewItem>
      <errorID>ffdb92b7-3b9e-4e65-adb9-58d69a61152d</errorID>
      <errorWord> </errorWord>
      <group>L1_Format</group>
      <groupName>格式问题</groupName>
      <ability>L2_Whitespace</ability>
      <abilityName>空白字符</abilityName>
      <candidateList>
        <item/>
      </candidateList>
      <explain>文本间存在多余的空白字符。</explain>
      <paraID>57E6F4CD</paraID>
      <start>13</start>
      <end>14</end>
      <status>unmodified</status>
      <modifiedWord/>
      <trackRevisions>false</trackRevisions>
    </reviewItem>
    <reviewItem>
      <errorID>cf5e6ed4-a294-466a-b7e7-48655911c02b</errorID>
      <errorWord> </errorWord>
      <group>L1_Format</group>
      <groupName>格式问题</groupName>
      <ability>L2_Whitespace</ability>
      <abilityName>空白字符</abilityName>
      <candidateList>
        <item/>
      </candidateList>
      <explain>文本间存在多余的空白字符。</explain>
      <paraID>51560D7D</paraID>
      <start>12</start>
      <end>13</end>
      <status>unmodified</status>
      <modifiedWord/>
      <trackRevisions>false</trackRevisions>
    </reviewItem>
    <reviewItem>
      <errorID>e107ad89-465b-4940-b6ef-8399a63df22d</errorID>
      <errorWord> </errorWord>
      <group>L1_Format</group>
      <groupName>格式问题</groupName>
      <ability>L2_Whitespace</ability>
      <abilityName>空白字符</abilityName>
      <candidateList>
        <item/>
      </candidateList>
      <explain>文本间存在多余的空白字符。</explain>
      <paraID>116258D2</paraID>
      <start>13</start>
      <end>14</end>
      <status>unmodified</status>
      <modifiedWord/>
      <trackRevisions>false</trackRevisions>
    </reviewItem>
    <reviewItem>
      <errorID>3fb7c3b4-c517-4da0-aa99-8cba06f9b55f</errorID>
      <errorWord> </errorWord>
      <group>L1_Format</group>
      <groupName>格式问题</groupName>
      <ability>L2_Whitespace</ability>
      <abilityName>空白字符</abilityName>
      <candidateList>
        <item/>
      </candidateList>
      <explain>文本间存在多余的空白字符。</explain>
      <paraID>3421172B</paraID>
      <start>16</start>
      <end>17</end>
      <status>unmodified</status>
      <modifiedWord/>
      <trackRevisions>false</trackRevisions>
    </reviewItem>
    <reviewItem>
      <errorID>7aebd8ba-7bfa-4570-93ac-4d2d1c7967c8</errorID>
      <errorWord> </errorWord>
      <group>L1_Format</group>
      <groupName>格式问题</groupName>
      <ability>L2_Whitespace</ability>
      <abilityName>空白字符</abilityName>
      <candidateList>
        <item/>
      </candidateList>
      <explain>文本间存在多余的空白字符。</explain>
      <paraID>7FF70E55</paraID>
      <start>5</start>
      <end>6</end>
      <status>unmodified</status>
      <modifiedWord/>
      <trackRevisions>false</trackRevisions>
    </reviewItem>
    <reviewItem>
      <errorID>d6207927-22c1-43df-aa62-78dc2456286d</errorID>
      <errorWord>规划规划</errorWord>
      <group>L1_Word</group>
      <groupName>字词问题</groupName>
      <ability>L2_Typo</ability>
      <abilityName>字词错误</abilityName>
      <candidateList>
        <item>规划</item>
      </candidateList>
      <explain>❶〈名〉比较全面的长远的发展计划：制订～｜十年～。❷〈动〉做规划：兴修水利问题，应当全面～。</explain>
      <paraID>7CC04637</paraID>
      <start>2</start>
      <end>6</end>
      <status>unmodified</status>
      <modifiedWord/>
      <trackRevisions>false</trackRevisions>
    </reviewItem>
    <reviewItem>
      <errorID>714e2d7c-a9f5-4d64-8f7c-20d6c8bb6a34</errorID>
      <errorWord> </errorWord>
      <group>L1_Format</group>
      <groupName>格式问题</groupName>
      <ability>L2_Whitespace</ability>
      <abilityName>空白字符</abilityName>
      <candidateList>
        <item/>
      </candidateList>
      <explain>文本间存在多余的空白字符。</explain>
      <paraID>1D99F2F8</paraID>
      <start>16</start>
      <end>17</end>
      <status>unmodified</status>
      <modifiedWord/>
      <trackRevisions>false</trackRevisions>
    </reviewItem>
    <reviewItem>
      <errorID>c771c25a-bf4b-43ac-a189-4ce4c89c233c</errorID>
      <errorWord> </errorWord>
      <group>L1_Format</group>
      <groupName>格式问题</groupName>
      <ability>L2_Whitespace</ability>
      <abilityName>空白字符</abilityName>
      <candidateList>
        <item/>
      </candidateList>
      <explain>文本间存在多余的空白字符。</explain>
      <paraID>126863C9</paraID>
      <start>25</start>
      <end>26</end>
      <status>unmodified</status>
      <modifiedWord/>
      <trackRevisions>false</trackRevisions>
    </reviewItem>
    <reviewItem>
      <errorID>22d11062-18dc-4430-aa70-1a3a07ec0c97</errorID>
      <errorWord> </errorWord>
      <group>L1_Format</group>
      <groupName>格式问题</groupName>
      <ability>L2_Whitespace</ability>
      <abilityName>空白字符</abilityName>
      <candidateList>
        <item/>
      </candidateList>
      <explain>文本间存在多余的空白字符。</explain>
      <paraID>331F838C</paraID>
      <start>14</start>
      <end>15</end>
      <status>unmodified</status>
      <modifiedWord/>
      <trackRevisions>false</trackRevisions>
    </reviewItem>
    <reviewItem>
      <errorID>3e8b9c96-a4c5-4514-b2a8-14c853a41c05</errorID>
      <errorWord> </errorWord>
      <group>L1_Format</group>
      <groupName>格式问题</groupName>
      <ability>L2_Whitespace</ability>
      <abilityName>空白字符</abilityName>
      <candidateList>
        <item/>
      </candidateList>
      <explain>文本间存在多余的空白字符。</explain>
      <paraID>7C758AB5</paraID>
      <start>5</start>
      <end>6</end>
      <status>unmodified</status>
      <modifiedWord/>
      <trackRevisions>false</trackRevisions>
    </reviewItem>
    <reviewItem>
      <errorID>05e7d5da-ad23-4621-b658-90154180a91a</errorID>
      <errorWord> </errorWord>
      <group>L1_Format</group>
      <groupName>格式问题</groupName>
      <ability>L2_Whitespace</ability>
      <abilityName>空白字符</abilityName>
      <candidateList>
        <item/>
      </candidateList>
      <explain>文本间存在多余的空白字符。</explain>
      <paraID>7C758AB5</paraID>
      <start>19</start>
      <end>20</end>
      <status>unmodified</status>
      <modifiedWord/>
      <trackRevisions>false</trackRevisions>
    </reviewItem>
    <reviewItem>
      <errorID>49ab7ecf-3fd5-4c0d-bb0b-11a90f7406e6</errorID>
      <errorWord> </errorWord>
      <group>L1_Format</group>
      <groupName>格式问题</groupName>
      <ability>L2_Whitespace</ability>
      <abilityName>空白字符</abilityName>
      <candidateList>
        <item/>
      </candidateList>
      <explain>文本间存在多余的空白字符。</explain>
      <paraID>4419F478</paraID>
      <start>26</start>
      <end>27</end>
      <status>unmodified</status>
      <modifiedWord/>
      <trackRevisions>false</trackRevisions>
    </reviewItem>
    <reviewItem>
      <errorID>9f8673db-2b2b-4bf3-bea2-074fdd4eea64</errorID>
      <errorWord>      </errorWord>
      <group>L1_Format</group>
      <groupName>格式问题</groupName>
      <ability>L2_Whitespace</ability>
      <abilityName>空白字符</abilityName>
      <candidateList>
        <item/>
      </candidateList>
      <explain>文本间存在多余的空白字符。</explain>
      <paraID>26F37B04</paraID>
      <start>8</start>
      <end>14</end>
      <status>unmodified</status>
      <modifiedWord/>
      <trackRevisions>false</trackRevisions>
    </reviewItem>
    <reviewItem>
      <errorID>f11c8cc9-0cca-4682-b6c4-b0929cf26883</errorID>
      <errorWord>      </errorWord>
      <group>L1_Format</group>
      <groupName>格式问题</groupName>
      <ability>L2_Whitespace</ability>
      <abilityName>空白字符</abilityName>
      <candidateList>
        <item/>
      </candidateList>
      <explain>文本间存在多余的空白字符。</explain>
      <paraID> 77C1C06</paraID>
      <start>8</start>
      <end>14</end>
      <status>unmodified</status>
      <modifiedWord/>
      <trackRevisions>false</trackRevisions>
    </reviewItem>
    <reviewItem>
      <errorID>e9db29a2-4782-486a-9180-173bb65e1fe8</errorID>
      <errorWord>    </errorWord>
      <group>L1_Format</group>
      <groupName>格式问题</groupName>
      <ability>L2_Whitespace</ability>
      <abilityName>空白字符</abilityName>
      <candidateList>
        <item/>
      </candidateList>
      <explain>文本间存在多余的空白字符。</explain>
      <paraID>6EA77AC8</paraID>
      <start>8</start>
      <end>12</end>
      <status>unmodified</status>
      <modifiedWord/>
      <trackRevisions>false</trackRevisions>
    </reviewItem>
    <reviewItem>
      <errorID>b5d25ca0-e1dc-4493-a0d4-ac619a5eb66b</errorID>
      <errorWord> </errorWord>
      <group>L1_Format</group>
      <groupName>格式问题</groupName>
      <ability>L2_Whitespace</ability>
      <abilityName>空白字符</abilityName>
      <candidateList>
        <item/>
      </candidateList>
      <explain>文本间存在多余的空白字符。</explain>
      <paraID>29258198</paraID>
      <start>73</start>
      <end>74</end>
      <status>unmodified</status>
      <modifiedWord/>
      <trackRevisions>false</trackRevisions>
    </reviewItem>
    <reviewItem>
      <errorID>de626042-07f5-41fd-b324-e4c4855f1d8b</errorID>
      <errorWord> </errorWord>
      <group>L1_Format</group>
      <groupName>格式问题</groupName>
      <ability>L2_Whitespace</ability>
      <abilityName>空白字符</abilityName>
      <candidateList>
        <item/>
      </candidateList>
      <explain>文本间存在多余的空白字符。</explain>
      <paraID>29258198</paraID>
      <start>199</start>
      <end>200</end>
      <status>unmodified</status>
      <modifiedWord/>
      <trackRevisions>false</trackRevisions>
    </reviewItem>
    <reviewItem>
      <errorID>bc741237-2552-4573-b178-a5de7402bb7a</errorID>
      <errorWord>pHj</errorWord>
      <group>L1_English</group>
      <groupName>英文问题</groupName>
      <ability>L2_Spell</ability>
      <abilityName>拼写问题</abilityName>
      <candidateList>
        <item>pH</item>
      </candidateList>
      <explain>疑似单词拼写有误，建议将pHj修改为pH</explain>
      <paraID>76C7C2BB</paraID>
      <start>0</start>
      <end>3</end>
      <status>unmodified</status>
      <modifiedWord/>
      <trackRevisions>false</trackRevisions>
    </reviewItem>
    <reviewItem>
      <errorID>b2a989d9-2eb4-4d23-a852-af74ad0d20ae</errorID>
      <errorWord>        </errorWord>
      <group>L1_Format</group>
      <groupName>格式问题</groupName>
      <ability>L2_Whitespace</ability>
      <abilityName>空白字符</abilityName>
      <candidateList>
        <item/>
      </candidateList>
      <explain>文本间存在多余的空白字符。</explain>
      <paraID>27BC0221</paraID>
      <start>8</start>
      <end>16</end>
      <status>unmodified</status>
      <modifiedWord/>
      <trackRevisions>false</trackRevisions>
    </reviewItem>
    <reviewItem>
      <errorID>316da502-cc7e-4158-ad08-8635ddc4ea6d</errorID>
      <errorWord>       </errorWord>
      <group>L1_Format</group>
      <groupName>格式问题</groupName>
      <ability>L2_Whitespace</ability>
      <abilityName>空白字符</abilityName>
      <candidateList>
        <item/>
      </candidateList>
      <explain>文本间存在多余的空白字符。</explain>
      <paraID>27BC0221</paraID>
      <start>27</start>
      <end>34</end>
      <status>unmodified</status>
      <modifiedWord/>
      <trackRevisions>false</trackRevisions>
    </reviewItem>
    <reviewItem>
      <errorID>39b80e7b-f93e-443f-b9ea-e5f04c91f791</errorID>
      <errorWord> </errorWord>
      <group>L1_Format</group>
      <groupName>格式问题</groupName>
      <ability>L2_Whitespace</ability>
      <abilityName>空白字符</abilityName>
      <candidateList>
        <item/>
      </candidateList>
      <explain>文本间存在多余的空白字符。</explain>
      <paraID>482AE789</paraID>
      <start>8</start>
      <end>9</end>
      <status>unmodified</status>
      <modifiedWord/>
      <trackRevisions>false</trackRevisions>
    </reviewItem>
    <reviewItem>
      <errorID>42cc1395-493a-4cce-86c7-b255b7ab4a82</errorID>
      <errorWord>      </errorWord>
      <group>L1_Format</group>
      <groupName>格式问题</groupName>
      <ability>L2_Whitespace</ability>
      <abilityName>空白字符</abilityName>
      <candidateList>
        <item/>
      </candidateList>
      <explain>文本间存在多余的空白字符。</explain>
      <paraID>39F53956</paraID>
      <start>8</start>
      <end>14</end>
      <status>unmodified</status>
      <modifiedWord/>
      <trackRevisions>false</trackRevisions>
    </reviewItem>
    <reviewItem>
      <errorID>67464788-af5c-40bf-b03a-84c248e70272</errorID>
      <errorWord>        </errorWord>
      <group>L1_Format</group>
      <groupName>格式问题</groupName>
      <ability>L2_Whitespace</ability>
      <abilityName>空白字符</abilityName>
      <candidateList>
        <item/>
      </candidateList>
      <explain>文本间存在多余的空白字符。</explain>
      <paraID> 4C3211C</paraID>
      <start>8</start>
      <end>16</end>
      <status>unmodified</status>
      <modifiedWord/>
      <trackRevisions>false</trackRevisions>
    </reviewItem>
    <reviewItem>
      <errorID>a8a2c7e8-c8ec-4985-817b-71128dcc2704</errorID>
      <errorWord> </errorWord>
      <group>L1_Format</group>
      <groupName>格式问题</groupName>
      <ability>L2_Whitespace</ability>
      <abilityName>空白字符</abilityName>
      <candidateList>
        <item/>
      </candidateList>
      <explain>文本间存在多余的空白字符。</explain>
      <paraID>1101822D</paraID>
      <start>26</start>
      <end>27</end>
      <status>unmodified</status>
      <modifiedWord/>
      <trackRevisions>false</trackRevisions>
    </reviewItem>
    <reviewItem>
      <errorID>a571d7cc-6a5f-447e-95ee-3f23962a3aee</errorID>
      <errorWord> </errorWord>
      <group>L1_Format</group>
      <groupName>格式问题</groupName>
      <ability>L2_Whitespace</ability>
      <abilityName>空白字符</abilityName>
      <candidateList>
        <item/>
      </candidateList>
      <explain>文本间存在多余的空白字符。</explain>
      <paraID>2D29E0D7</paraID>
      <start>13</start>
      <end>14</end>
      <status>unmodified</status>
      <modifiedWord/>
      <trackRevisions>false</trackRevisions>
    </reviewItem>
    <reviewItem>
      <errorID>6713d893-43b7-4bec-aaf3-c977ac59a48c</errorID>
      <errorWord> </errorWord>
      <group>L1_Format</group>
      <groupName>格式问题</groupName>
      <ability>L2_Whitespace</ability>
      <abilityName>空白字符</abilityName>
      <candidateList>
        <item/>
      </candidateList>
      <explain>文本间存在多余的空白字符。</explain>
      <paraID>2D29E0D7</paraID>
      <start>15</start>
      <end>16</end>
      <status>unmodified</status>
      <modifiedWord/>
      <trackRevisions>false</trackRevisions>
    </reviewItem>
    <reviewItem>
      <errorID>916bb7be-e078-4035-a435-c705f657d7b0</errorID>
      <errorWord> </errorWord>
      <group>L1_Format</group>
      <groupName>格式问题</groupName>
      <ability>L2_Whitespace</ability>
      <abilityName>空白字符</abilityName>
      <candidateList>
        <item/>
      </candidateList>
      <explain>文本间存在多余的空白字符。</explain>
      <paraID>2D29E0D7</paraID>
      <start>22</start>
      <end>23</end>
      <status>unmodified</status>
      <modifiedWord/>
      <trackRevisions>false</trackRevisions>
    </reviewItem>
    <reviewItem>
      <errorID>02db9afc-0d67-4b0f-906d-6febbccb7d4c</errorID>
      <errorWord> </errorWord>
      <group>L1_Format</group>
      <groupName>格式问题</groupName>
      <ability>L2_Whitespace</ability>
      <abilityName>空白字符</abilityName>
      <candidateList>
        <item/>
      </candidateList>
      <explain>文本间存在多余的空白字符。</explain>
      <paraID>70B9743B</paraID>
      <start>10</start>
      <end>11</end>
      <status>unmodified</status>
      <modifiedWord/>
      <trackRevisions>false</trackRevisions>
    </reviewItem>
    <reviewItem>
      <errorID>f9a70f0d-439c-4607-b8b3-ec3630ad61b8</errorID>
      <errorWord> </errorWord>
      <group>L1_Format</group>
      <groupName>格式问题</groupName>
      <ability>L2_Whitespace</ability>
      <abilityName>空白字符</abilityName>
      <candidateList>
        <item/>
      </candidateList>
      <explain>文本间存在多余的空白字符。</explain>
      <paraID>70B9743B</paraID>
      <start>12</start>
      <end>13</end>
      <status>unmodified</status>
      <modifiedWord/>
      <trackRevisions>false</trackRevisions>
    </reviewItem>
    <reviewItem>
      <errorID>8263c3a2-65e4-4f82-828a-07a80d85147f</errorID>
      <errorWord> </errorWord>
      <group>L1_Format</group>
      <groupName>格式问题</groupName>
      <ability>L2_Whitespace</ability>
      <abilityName>空白字符</abilityName>
      <candidateList>
        <item/>
      </candidateList>
      <explain>文本间存在多余的空白字符。</explain>
      <paraID>70B9743B</paraID>
      <start>26</start>
      <end>27</end>
      <status>unmodified</status>
      <modifiedWord/>
      <trackRevisions>false</trackRevisions>
    </reviewItem>
    <reviewItem>
      <errorID>9925f102-11e3-413a-b2ac-8318710a63b7</errorID>
      <errorWord> </errorWord>
      <group>L1_Format</group>
      <groupName>格式问题</groupName>
      <ability>L2_Whitespace</ability>
      <abilityName>空白字符</abilityName>
      <candidateList>
        <item/>
      </candidateList>
      <explain>文本间存在多余的空白字符。</explain>
      <paraID>793B7155</paraID>
      <start>22</start>
      <end>23</end>
      <status>unmodified</status>
      <modifiedWord/>
      <trackRevisions>false</trackRevisions>
    </reviewItem>
    <reviewItem>
      <errorID>6a6b4270-7436-454b-9b62-be0d106f7237</errorID>
      <errorWord> </errorWord>
      <group>L1_Format</group>
      <groupName>格式问题</groupName>
      <ability>L2_Whitespace</ability>
      <abilityName>空白字符</abilityName>
      <candidateList>
        <item/>
      </candidateList>
      <explain>文本间存在多余的空白字符。</explain>
      <paraID>46694E40</paraID>
      <start>11</start>
      <end>12</end>
      <status>unmodified</status>
      <modifiedWord/>
      <trackRevisions>false</trackRevisions>
    </reviewItem>
    <reviewItem>
      <errorID>abde80ce-966b-4b40-a2f0-b2202375ce77</errorID>
      <errorWord>       </errorWord>
      <group>L1_Format</group>
      <groupName>格式问题</groupName>
      <ability>L2_Whitespace</ability>
      <abilityName>空白字符</abilityName>
      <candidateList>
        <item/>
      </candidateList>
      <explain>文本间存在多余的空白字符。</explain>
      <paraID>5A4260DB</paraID>
      <start>8</start>
      <end>15</end>
      <status>unmodified</status>
      <modifiedWord/>
      <trackRevisions>false</trackRevisions>
    </reviewItem>
    <reviewItem>
      <errorID>b9f5c0dd-370b-44c0-9bfd-2daeb2bfeacf</errorID>
      <errorWord> </errorWord>
      <group>L1_Format</group>
      <groupName>格式问题</groupName>
      <ability>L2_Whitespace</ability>
      <abilityName>空白字符</abilityName>
      <candidateList>
        <item/>
      </candidateList>
      <explain>文本间存在多余的空白字符。</explain>
      <paraID>5A4260DB</paraID>
      <start>32</start>
      <end>33</end>
      <status>unmodified</status>
      <modifiedWord/>
      <trackRevisions>false</trackRevisions>
    </reviewItem>
    <reviewItem>
      <errorID>6df424c4-ad2f-473a-9530-a2dcfa51e007</errorID>
      <errorWord> </errorWord>
      <group>L1_Format</group>
      <groupName>格式问题</groupName>
      <ability>L2_Whitespace</ability>
      <abilityName>空白字符</abilityName>
      <candidateList>
        <item/>
      </candidateList>
      <explain>文本间存在多余的空白字符。</explain>
      <paraID>471A67F8</paraID>
      <start>6</start>
      <end>7</end>
      <status>unmodified</status>
      <modifiedWord/>
      <trackRevisions>false</trackRevisions>
    </reviewItem>
    <reviewItem>
      <errorID>267234ec-0270-44f9-98f6-853be8ce5f23</errorID>
      <errorWord> </errorWord>
      <group>L1_Format</group>
      <groupName>格式问题</groupName>
      <ability>L2_Whitespace</ability>
      <abilityName>空白字符</abilityName>
      <candidateList>
        <item/>
      </candidateList>
      <explain>文本间存在多余的空白字符。</explain>
      <paraID>10140BDD</paraID>
      <start>4</start>
      <end>5</end>
      <status>unmodified</status>
      <modifiedWord/>
      <trackRevisions>false</trackRevisions>
    </reviewItem>
    <reviewItem>
      <errorID>61e907d1-6eb2-4b06-8f9b-c3ed8c478ba4</errorID>
      <errorWord>          </errorWord>
      <group>L1_Format</group>
      <groupName>格式问题</groupName>
      <ability>L2_Whitespace</ability>
      <abilityName>空白字符</abilityName>
      <candidateList>
        <item/>
      </candidateList>
      <explain>文本间存在多余的空白字符。</explain>
      <paraID>66C2601C</paraID>
      <start>8</start>
      <end>18</end>
      <status>unmodified</status>
      <modifiedWord/>
      <trackRevisions>false</trackRevisions>
    </reviewItem>
    <reviewItem>
      <errorID>f9f5edba-1222-483b-8397-b831f73e3506</errorID>
      <errorWord>        </errorWord>
      <group>L1_Format</group>
      <groupName>格式问题</groupName>
      <ability>L2_Whitespace</ability>
      <abilityName>空白字符</abilityName>
      <candidateList>
        <item/>
      </candidateList>
      <explain>文本间存在多余的空白字符。</explain>
      <paraID>66C2601C</paraID>
      <start>27</start>
      <end>35</end>
      <status>unmodified</status>
      <modifiedWord/>
      <trackRevisions>false</trackRevisions>
    </reviewItem>
    <reviewItem>
      <errorID>5f2f4c86-ad90-4dc7-b484-24985278791d</errorID>
      <errorWord>         </errorWord>
      <group>L1_Format</group>
      <groupName>格式问题</groupName>
      <ability>L2_Whitespace</ability>
      <abilityName>空白字符</abilityName>
      <candidateList>
        <item/>
      </candidateList>
      <explain>文本间存在多余的空白字符。</explain>
      <paraID>10F7813F</paraID>
      <start>8</start>
      <end>17</end>
      <status>unmodified</status>
      <modifiedWord/>
      <trackRevisions>false</trackRevisions>
    </reviewItem>
    <reviewItem>
      <errorID>de808d8d-709f-4c3f-aab2-69adf2fc2756</errorID>
      <errorWord>        </errorWord>
      <group>L1_Format</group>
      <groupName>格式问题</groupName>
      <ability>L2_Whitespace</ability>
      <abilityName>空白字符</abilityName>
      <candidateList>
        <item/>
      </candidateList>
      <explain>文本间存在多余的空白字符。</explain>
      <paraID>10F7813F</paraID>
      <start>26</start>
      <end>34</end>
      <status>unmodified</status>
      <modifiedWord/>
      <trackRevisions>false</trackRevisions>
    </reviewItem>
    <reviewItem>
      <errorID>f3fe04a8-fc7f-405f-ba52-03340dbbd46f</errorID>
      <errorWord>    </errorWord>
      <group>L1_Format</group>
      <groupName>格式问题</groupName>
      <ability>L2_Whitespace</ability>
      <abilityName>空白字符</abilityName>
      <candidateList>
        <item/>
      </candidateList>
      <explain>文本间存在多余的空白字符。</explain>
      <paraID>7643ACF8</paraID>
      <start>8</start>
      <end>12</end>
      <status>unmodified</status>
      <modifiedWord/>
      <trackRevisions>false</trackRevisions>
    </reviewItem>
    <reviewItem>
      <errorID>38a02802-83e6-4817-a382-95c1cb92c1b5</errorID>
      <errorWord> </errorWord>
      <group>L1_Format</group>
      <groupName>格式问题</groupName>
      <ability>L2_Whitespace</ability>
      <abilityName>空白字符</abilityName>
      <candidateList>
        <item/>
      </candidateList>
      <explain>文本间存在多余的空白字符。</explain>
      <paraID>244C48C9</paraID>
      <start>2</start>
      <end>3</end>
      <status>unmodified</status>
      <modifiedWord/>
      <trackRevisions>false</trackRevisions>
    </reviewItem>
    <reviewItem>
      <errorID>628b64fb-0396-4ce3-b6ac-bf12a0f36917</errorID>
      <errorWord> </errorWord>
      <group>L1_Format</group>
      <groupName>格式问题</groupName>
      <ability>L2_Whitespace</ability>
      <abilityName>空白字符</abilityName>
      <candidateList>
        <item/>
      </candidateList>
      <explain>文本间存在多余的空白字符。</explain>
      <paraID>479A317F</paraID>
      <start>7</start>
      <end>8</end>
      <status>unmodified</status>
      <modifiedWord/>
      <trackRevisions>false</trackRevisions>
    </reviewItem>
    <reviewItem>
      <errorID>08252be4-fcc8-498b-93cd-7cef6afb9696</errorID>
      <errorWord> </errorWord>
      <group>L1_Format</group>
      <groupName>格式问题</groupName>
      <ability>L2_Whitespace</ability>
      <abilityName>空白字符</abilityName>
      <candidateList>
        <item/>
      </candidateList>
      <explain>文本间存在多余的空白字符。</explain>
      <paraID>479A317F</paraID>
      <start>19</start>
      <end>20</end>
      <status>unmodified</status>
      <modifiedWord/>
      <trackRevisions>false</trackRevisions>
    </reviewItem>
    <reviewItem>
      <errorID>04cdf460-33bb-4679-87c2-6cf4d14a3e54</errorID>
      <errorWord> </errorWord>
      <group>L1_Format</group>
      <groupName>格式问题</groupName>
      <ability>L2_Whitespace</ability>
      <abilityName>空白字符</abilityName>
      <candidateList>
        <item/>
      </candidateList>
      <explain>文本间存在多余的空白字符。</explain>
      <paraID>4012682B</paraID>
      <start>5</start>
      <end>6</end>
      <status>unmodified</status>
      <modifiedWord/>
      <trackRevisions>false</trackRevisions>
    </reviewItem>
    <reviewItem>
      <errorID>abfa70ca-abd9-4bce-a1a0-3e25740e885e</errorID>
      <errorWord> </errorWord>
      <group>L1_Format</group>
      <groupName>格式问题</groupName>
      <ability>L2_Whitespace</ability>
      <abilityName>空白字符</abilityName>
      <candidateList>
        <item/>
      </candidateList>
      <explain>文本间存在多余的空白字符。</explain>
      <paraID>47D9AE42</paraID>
      <start>47</start>
      <end>48</end>
      <status>unmodified</status>
      <modifiedWord/>
      <trackRevisions>false</trackRevisions>
    </reviewItem>
    <reviewItem>
      <errorID>76300fcf-6801-40d2-9866-55501d503e03</errorID>
      <errorWord> </errorWord>
      <group>L1_Format</group>
      <groupName>格式问题</groupName>
      <ability>L2_Whitespace</ability>
      <abilityName>空白字符</abilityName>
      <candidateList>
        <item/>
      </candidateList>
      <explain>文本间存在多余的空白字符。</explain>
      <paraID>32DB06BF</paraID>
      <start>5</start>
      <end>6</end>
      <status>unmodified</status>
      <modifiedWord/>
      <trackRevisions>false</trackRevisions>
    </reviewItem>
    <reviewItem>
      <errorID>5fb1d6ca-e4c0-4dbb-9667-bdd6fa952334</errorID>
      <errorWord> </errorWord>
      <group>L1_Format</group>
      <groupName>格式问题</groupName>
      <ability>L2_Whitespace</ability>
      <abilityName>空白字符</abilityName>
      <candidateList>
        <item/>
      </candidateList>
      <explain>文本间存在多余的空白字符。</explain>
      <paraID>4784878A</paraID>
      <start>16</start>
      <end>17</end>
      <status>unmodified</status>
      <modifiedWord/>
      <trackRevisions>false</trackRevisions>
    </reviewItem>
    <reviewItem>
      <errorID>118118a5-0215-4f97-aff6-e7f54b4e77c5</errorID>
      <errorWord> </errorWord>
      <group>L1_Format</group>
      <groupName>格式问题</groupName>
      <ability>L2_Whitespace</ability>
      <abilityName>空白字符</abilityName>
      <candidateList>
        <item/>
      </candidateList>
      <explain>文本间存在多余的空白字符。</explain>
      <paraID>146C7586</paraID>
      <start>134</start>
      <end>135</end>
      <status>unmodified</status>
      <modifiedWord/>
      <trackRevisions>false</trackRevisions>
    </reviewItem>
    <reviewItem>
      <errorID>4bda7560-991d-4ace-95db-23b9ca086f7c</errorID>
      <errorWord> </errorWord>
      <group>L1_Format</group>
      <groupName>格式问题</groupName>
      <ability>L2_Whitespace</ability>
      <abilityName>空白字符</abilityName>
      <candidateList>
        <item/>
      </candidateList>
      <explain>文本间存在多余的空白字符。</explain>
      <paraID>146C7586</paraID>
      <start>167</start>
      <end>168</end>
      <status>unmodified</status>
      <modifiedWord/>
      <trackRevisions>false</trackRevisions>
    </reviewItem>
    <reviewItem>
      <errorID>a50a60e1-c01b-4f18-9960-70e917bbe181</errorID>
      <errorWord> </errorWord>
      <group>L1_Format</group>
      <groupName>格式问题</groupName>
      <ability>L2_Whitespace</ability>
      <abilityName>空白字符</abilityName>
      <candidateList>
        <item/>
      </candidateList>
      <explain>文本间存在多余的空白字符。</explain>
      <paraID>1F29740D</paraID>
      <start>171</start>
      <end>172</end>
      <status>unmodified</status>
      <modifiedWord/>
      <trackRevisions>false</trackRevisions>
    </reviewItem>
    <reviewItem>
      <errorID>774a9300-36f1-4691-a781-0dccbd7d2238</errorID>
      <errorWord> </errorWord>
      <group>L1_Format</group>
      <groupName>格式问题</groupName>
      <ability>L2_Whitespace</ability>
      <abilityName>空白字符</abilityName>
      <candidateList>
        <item/>
      </candidateList>
      <explain>文本间存在多余的空白字符。</explain>
      <paraID>48D9A06A</paraID>
      <start>31</start>
      <end>32</end>
      <status>unmodified</status>
      <modifiedWord/>
      <trackRevisions>false</trackRevisions>
    </reviewItem>
    <reviewItem>
      <errorID>bff5b3b0-7c60-4096-93ee-4f8847c6e724</errorID>
      <errorWord> </errorWord>
      <group>L1_Format</group>
      <groupName>格式问题</groupName>
      <ability>L2_Whitespace</ability>
      <abilityName>空白字符</abilityName>
      <candidateList>
        <item/>
      </candidateList>
      <explain>文本间存在多余的空白字符。</explain>
      <paraID>6FAEE5B0</paraID>
      <start>83</start>
      <end>84</end>
      <status>unmodified</status>
      <modifiedWord/>
      <trackRevisions>false</trackRevisions>
    </reviewItem>
    <reviewItem>
      <errorID>3d546a45-c209-4194-b2c0-45f69fa7d504</errorID>
      <errorWord> </errorWord>
      <group>L1_Format</group>
      <groupName>格式问题</groupName>
      <ability>L2_Whitespace</ability>
      <abilityName>空白字符</abilityName>
      <candidateList>
        <item/>
      </candidateList>
      <explain>文本间存在多余的空白字符。</explain>
      <paraID>1CEE9D18</paraID>
      <start>59</start>
      <end>60</end>
      <status>unmodified</status>
      <modifiedWord/>
      <trackRevisions>false</trackRevisions>
    </reviewItem>
    <reviewItem>
      <errorID>f8762ea6-cc71-443d-80d1-3c116b9807c8</errorID>
      <errorWord> </errorWord>
      <group>L1_Format</group>
      <groupName>格式问题</groupName>
      <ability>L2_Whitespace</ability>
      <abilityName>空白字符</abilityName>
      <candidateList>
        <item/>
      </candidateList>
      <explain>文本间存在多余的空白字符。</explain>
      <paraID>17EBC69C</paraID>
      <start>54</start>
      <end>55</end>
      <status>unmodified</status>
      <modifiedWord/>
      <trackRevisions>false</trackRevisions>
    </reviewItem>
    <reviewItem>
      <errorID>5277e75b-546d-4b7d-af88-5ec88ad91726</errorID>
      <errorWord> </errorWord>
      <group>L1_Format</group>
      <groupName>格式问题</groupName>
      <ability>L2_Whitespace</ability>
      <abilityName>空白字符</abilityName>
      <candidateList>
        <item/>
      </candidateList>
      <explain>文本间存在多余的空白字符。</explain>
      <paraID>28CB5D3B</paraID>
      <start>18</start>
      <end>19</end>
      <status>unmodified</status>
      <modifiedWord/>
      <trackRevisions>false</trackRevisions>
    </reviewItem>
    <reviewItem>
      <errorID>b6d57ff1-1d4c-40dd-adb3-5431cfe05a4b</errorID>
      <errorWord> </errorWord>
      <group>L1_Format</group>
      <groupName>格式问题</groupName>
      <ability>L2_Whitespace</ability>
      <abilityName>空白字符</abilityName>
      <candidateList>
        <item/>
      </candidateList>
      <explain>文本间存在多余的空白字符。</explain>
      <paraID>70E2456E</paraID>
      <start>13</start>
      <end>14</end>
      <status>unmodified</status>
      <modifiedWord/>
      <trackRevisions>false</trackRevisions>
    </reviewItem>
    <reviewItem>
      <errorID>a4e445bf-a32f-4f6b-b6a8-48f1bf3fc8ed</errorID>
      <errorWord> </errorWord>
      <group>L1_Format</group>
      <groupName>格式问题</groupName>
      <ability>L2_Whitespace</ability>
      <abilityName>空白字符</abilityName>
      <candidateList>
        <item/>
      </candidateList>
      <explain>文本间存在多余的空白字符。</explain>
      <paraID>591061F3</paraID>
      <start>18</start>
      <end>19</end>
      <status>unmodified</status>
      <modifiedWord/>
      <trackRevisions>false</trackRevisions>
    </reviewItem>
    <reviewItem>
      <errorID>124d3659-5db8-4a6c-b251-cc1848781b40</errorID>
      <errorWord> </errorWord>
      <group>L1_Format</group>
      <groupName>格式问题</groupName>
      <ability>L2_Whitespace</ability>
      <abilityName>空白字符</abilityName>
      <candidateList>
        <item/>
      </candidateList>
      <explain>文本间存在多余的空白字符。</explain>
      <paraID>5D5FD40F</paraID>
      <start>28</start>
      <end>29</end>
      <status>unmodified</status>
      <modifiedWord/>
      <trackRevisions>false</trackRevisions>
    </reviewItem>
    <reviewItem>
      <errorID>93f63bc0-904c-41fa-a38a-0a1aebe96bc9</errorID>
      <errorWord> </errorWord>
      <group>L1_Format</group>
      <groupName>格式问题</groupName>
      <ability>L2_Whitespace</ability>
      <abilityName>空白字符</abilityName>
      <candidateList>
        <item/>
      </candidateList>
      <explain>文本间存在多余的空白字符。</explain>
      <paraID>709F21CA</paraID>
      <start>95</start>
      <end>96</end>
      <status>unmodified</status>
      <modifiedWord/>
      <trackRevisions>false</trackRevisions>
    </reviewItem>
    <reviewItem>
      <errorID>d63bd2e0-70fa-4fc5-bd76-8dbc7f8ec4b2</errorID>
      <errorWord> </errorWord>
      <group>L1_Format</group>
      <groupName>格式问题</groupName>
      <ability>L2_Whitespace</ability>
      <abilityName>空白字符</abilityName>
      <candidateList>
        <item/>
      </candidateList>
      <explain>文本间存在多余的空白字符。</explain>
      <paraID>3F9A3A5E</paraID>
      <start>14</start>
      <end>15</end>
      <status>unmodified</status>
      <modifiedWord/>
      <trackRevisions>false</trackRevisions>
    </reviewItem>
    <reviewItem>
      <errorID>a5a94883-61ba-4ca6-bc7d-556806449f5f</errorID>
      <errorWord> </errorWord>
      <group>L1_Format</group>
      <groupName>格式问题</groupName>
      <ability>L2_Whitespace</ability>
      <abilityName>空白字符</abilityName>
      <candidateList>
        <item/>
      </candidateList>
      <explain>文本间存在多余的空白字符。</explain>
      <paraID>1B24E14A</paraID>
      <start>14</start>
      <end>15</end>
      <status>unmodified</status>
      <modifiedWord/>
      <trackRevisions>false</trackRevisions>
    </reviewItem>
    <reviewItem>
      <errorID>617fbdb4-167b-41a7-b3f4-274707eb1c86</errorID>
      <errorWord> </errorWord>
      <group>L1_Format</group>
      <groupName>格式问题</groupName>
      <ability>L2_Whitespace</ability>
      <abilityName>空白字符</abilityName>
      <candidateList>
        <item/>
      </candidateList>
      <explain>文本间存在多余的空白字符。</explain>
      <paraID> 4E7E359</paraID>
      <start>3</start>
      <end>4</end>
      <status>unmodified</status>
      <modifiedWord/>
      <trackRevisions>false</trackRevisions>
    </reviewItem>
    <reviewItem>
      <errorID>760e7fd0-b91b-4cb0-b3ae-737af03f06e7</errorID>
      <errorWord>    </errorWord>
      <group>L1_Format</group>
      <groupName>格式问题</groupName>
      <ability>L2_Whitespace</ability>
      <abilityName>空白字符</abilityName>
      <candidateList>
        <item/>
      </candidateList>
      <explain>文本间存在多余的空白字符。</explain>
      <paraID> 1B25F45</paraID>
      <start>8</start>
      <end>12</end>
      <status>unmodified</status>
      <modifiedWord/>
      <trackRevisions>false</trackRevisions>
    </reviewItem>
    <reviewItem>
      <errorID>17012c85-d748-4caf-bb56-ad72f658b46f</errorID>
      <errorWord>     </errorWord>
      <group>L1_Format</group>
      <groupName>格式问题</groupName>
      <ability>L2_Whitespace</ability>
      <abilityName>空白字符</abilityName>
      <candidateList>
        <item/>
      </candidateList>
      <explain>文本间存在多余的空白字符。</explain>
      <paraID>1D7652AE</paraID>
      <start>8</start>
      <end>13</end>
      <status>unmodified</status>
      <modifiedWord/>
      <trackRevisions>false</trackRevisions>
    </reviewItem>
    <reviewItem>
      <errorID>ad04cce0-c05c-4ffc-b71a-c3e9d4218cac</errorID>
      <errorWord>     </errorWord>
      <group>L1_Format</group>
      <groupName>格式问题</groupName>
      <ability>L2_Whitespace</ability>
      <abilityName>空白字符</abilityName>
      <candidateList>
        <item/>
      </candidateList>
      <explain>文本间存在多余的空白字符。</explain>
      <paraID>3381B848</paraID>
      <start>8</start>
      <end>13</end>
      <status>unmodified</status>
      <modifiedWord/>
      <trackRevisions>false</trackRevisions>
    </reviewItem>
    <reviewItem>
      <errorID>13e2ed9c-cfbc-42dc-9c1c-e1bff36e8a35</errorID>
      <errorWord>    </errorWord>
      <group>L1_Format</group>
      <groupName>格式问题</groupName>
      <ability>L2_Whitespace</ability>
      <abilityName>空白字符</abilityName>
      <candidateList>
        <item/>
      </candidateList>
      <explain>文本间存在多余的空白字符。</explain>
      <paraID>249D3BA3</paraID>
      <start>8</start>
      <end>12</end>
      <status>unmodified</status>
      <modifiedWord/>
      <trackRevisions>false</trackRevisions>
    </reviewItem>
    <reviewItem>
      <errorID>670875fc-24ef-4983-a5bd-5a6c808c2e1f</errorID>
      <errorWord> </errorWord>
      <group>L1_Format</group>
      <groupName>格式问题</groupName>
      <ability>L2_Whitespace</ability>
      <abilityName>空白字符</abilityName>
      <candidateList>
        <item/>
      </candidateList>
      <explain>文本间存在多余的空白字符。</explain>
      <paraID>249D3BA3</paraID>
      <start>31</start>
      <end>32</end>
      <status>unmodified</status>
      <modifiedWord/>
      <trackRevisions>false</trackRevisions>
    </reviewItem>
    <reviewItem>
      <errorID>51bc9409-7975-469a-b88d-5e1e341a8701</errorID>
      <errorWord>     </errorWord>
      <group>L1_Format</group>
      <groupName>格式问题</groupName>
      <ability>L2_Whitespace</ability>
      <abilityName>空白字符</abilityName>
      <candidateList>
        <item/>
      </candidateList>
      <explain>文本间存在多余的空白字符。</explain>
      <paraID>656F9EE6</paraID>
      <start>8</start>
      <end>13</end>
      <status>unmodified</status>
      <modifiedWord/>
      <trackRevisions>false</trackRevisions>
    </reviewItem>
    <reviewItem>
      <errorID>27087a65-0e88-4c99-9041-44f14a25eb6c</errorID>
      <errorWord>     </errorWord>
      <group>L1_Format</group>
      <groupName>格式问题</groupName>
      <ability>L2_Whitespace</ability>
      <abilityName>空白字符</abilityName>
      <candidateList>
        <item/>
      </candidateList>
      <explain>文本间存在多余的空白字符。</explain>
      <paraID>601FC1FE</paraID>
      <start>8</start>
      <end>13</end>
      <status>unmodified</status>
      <modifiedWord/>
      <trackRevisions>false</trackRevisions>
    </reviewItem>
    <reviewItem>
      <errorID>abf58a51-282b-4c37-a9ed-0571bbb9ca64</errorID>
      <errorWord>     </errorWord>
      <group>L1_Format</group>
      <groupName>格式问题</groupName>
      <ability>L2_Whitespace</ability>
      <abilityName>空白字符</abilityName>
      <candidateList>
        <item/>
      </candidateList>
      <explain>文本间存在多余的空白字符。</explain>
      <paraID>254BBA72</paraID>
      <start>8</start>
      <end>13</end>
      <status>unmodified</status>
      <modifiedWord/>
      <trackRevisions>false</trackRevisions>
    </reviewItem>
    <reviewItem>
      <errorID>7b3533ca-0883-4d36-be49-1d98a195fbbc</errorID>
      <errorWord> </errorWord>
      <group>L1_Format</group>
      <groupName>格式问题</groupName>
      <ability>L2_Whitespace</ability>
      <abilityName>空白字符</abilityName>
      <candidateList>
        <item/>
      </candidateList>
      <explain>文本间存在多余的空白字符。</explain>
      <paraID>7AC489F5</paraID>
      <start>7</start>
      <end>8</end>
      <status>unmodified</status>
      <modifiedWord/>
      <trackRevisions>false</trackRevisions>
    </reviewItem>
    <reviewItem>
      <errorID>862897bf-d703-4daa-96dc-db13a85780a5</errorID>
      <errorWord> </errorWord>
      <group>L1_Format</group>
      <groupName>格式问题</groupName>
      <ability>L2_Whitespace</ability>
      <abilityName>空白字符</abilityName>
      <candidateList>
        <item/>
      </candidateList>
      <explain>文本间存在多余的空白字符。</explain>
      <paraID>  B28076</paraID>
      <start>36</start>
      <end>37</end>
      <status>unmodified</status>
      <modifiedWord/>
      <trackRevisions>false</trackRevisions>
    </reviewItem>
    <reviewItem>
      <errorID>71c232e8-8a6e-464a-afe3-ab6031191a30</errorID>
      <errorWord>       </errorWord>
      <group>L1_Format</group>
      <groupName>格式问题</groupName>
      <ability>L2_Whitespace</ability>
      <abilityName>空白字符</abilityName>
      <candidateList>
        <item/>
      </candidateList>
      <explain>文本间存在多余的空白字符。</explain>
      <paraID>6B9C5559</paraID>
      <start>8</start>
      <end>15</end>
      <status>unmodified</status>
      <modifiedWord/>
      <trackRevisions>false</trackRevisions>
    </reviewItem>
    <reviewItem>
      <errorID>ed883c86-fe29-482f-aef8-f018b4ee23d0</errorID>
      <errorWord>    </errorWord>
      <group>L1_Format</group>
      <groupName>格式问题</groupName>
      <ability>L2_Whitespace</ability>
      <abilityName>空白字符</abilityName>
      <candidateList>
        <item/>
      </candidateList>
      <explain>文本间存在多余的空白字符。</explain>
      <paraID>5B956262</paraID>
      <start>8</start>
      <end>12</end>
      <status>unmodified</status>
      <modifiedWord/>
      <trackRevisions>false</trackRevisions>
    </reviewItem>
    <reviewItem>
      <errorID>41568872-2178-4459-b66e-f166ec783f12</errorID>
      <errorWord>     </errorWord>
      <group>L1_Format</group>
      <groupName>格式问题</groupName>
      <ability>L2_Whitespace</ability>
      <abilityName>空白字符</abilityName>
      <candidateList>
        <item/>
      </candidateList>
      <explain>文本间存在多余的空白字符。</explain>
      <paraID>53DD436D</paraID>
      <start>9</start>
      <end>14</end>
      <status>unmodified</status>
      <modifiedWord/>
      <trackRevisions>false</trackRevisions>
    </reviewItem>
    <reviewItem>
      <errorID>7c0f70fa-01eb-4681-ba91-30a3baf24037</errorID>
      <errorWord> </errorWord>
      <group>L1_Format</group>
      <groupName>格式问题</groupName>
      <ability>L2_Whitespace</ability>
      <abilityName>空白字符</abilityName>
      <candidateList>
        <item/>
      </candidateList>
      <explain>文本间存在多余的空白字符。</explain>
      <paraID> 24074CC</paraID>
      <start>120</start>
      <end>121</end>
      <status>unmodified</status>
      <modifiedWord/>
      <trackRevisions>false</trackRevisions>
    </reviewItem>
    <reviewItem>
      <errorID>5cd4899f-6842-4404-a028-3ddc4119b9bf</errorID>
      <errorWord>     </errorWord>
      <group>L1_Format</group>
      <groupName>格式问题</groupName>
      <ability>L2_Whitespace</ability>
      <abilityName>空白字符</abilityName>
      <candidateList>
        <item/>
      </candidateList>
      <explain>文本间存在多余的空白字符。</explain>
      <paraID> 6671E75</paraID>
      <start>9</start>
      <end>14</end>
      <status>unmodified</status>
      <modifiedWord/>
      <trackRevisions>false</trackRevisions>
    </reviewItem>
    <reviewItem>
      <errorID>27ba421e-29dd-4144-b601-372b97d9604c</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 EFFBF5F</paraID>
      <start>78</start>
      <end>81</end>
      <status>unmodified</status>
      <modifiedWord/>
      <trackRevisions>false</trackRevisions>
    </reviewItem>
    <reviewItem>
      <errorID>c82e80fb-1d0d-4fd0-8627-d448dbc3f7f4</errorID>
      <errorWord>      </errorWord>
      <group>L1_Format</group>
      <groupName>格式问题</groupName>
      <ability>L2_Whitespace</ability>
      <abilityName>空白字符</abilityName>
      <candidateList>
        <item/>
      </candidateList>
      <explain>文本间存在多余的空白字符。</explain>
      <paraID>3143A810</paraID>
      <start>9</start>
      <end>15</end>
      <status>unmodified</status>
      <modifiedWord/>
      <trackRevisions>false</trackRevisions>
    </reviewItem>
    <reviewItem>
      <errorID>d515af4c-bc61-4333-837d-29d5e1f9b354</errorID>
      <errorWord> </errorWord>
      <group>L1_Format</group>
      <groupName>格式问题</groupName>
      <ability>L2_Whitespace</ability>
      <abilityName>空白字符</abilityName>
      <candidateList>
        <item/>
      </candidateList>
      <explain>文本间存在多余的空白字符。</explain>
      <paraID>3138D0B1</paraID>
      <start>47</start>
      <end>48</end>
      <status>unmodified</status>
      <modifiedWord/>
      <trackRevisions>false</trackRevisions>
    </reviewItem>
    <reviewItem>
      <errorID>be2fbef8-e8d4-4ea3-a587-ede75a50eabf</errorID>
      <errorWord> </errorWord>
      <group>L1_Format</group>
      <groupName>格式问题</groupName>
      <ability>L2_Whitespace</ability>
      <abilityName>空白字符</abilityName>
      <candidateList>
        <item/>
      </candidateList>
      <explain>文本间存在多余的空白字符。</explain>
      <paraID>3138D0B1</paraID>
      <start>59</start>
      <end>60</end>
      <status>unmodified</status>
      <modifiedWord/>
      <trackRevisions>false</trackRevisions>
    </reviewItem>
    <reviewItem>
      <errorID>bc8f6394-81ed-4679-8331-f3f3acd60be8</errorID>
      <errorWord> </errorWord>
      <group>L1_Format</group>
      <groupName>格式问题</groupName>
      <ability>L2_Whitespace</ability>
      <abilityName>空白字符</abilityName>
      <candidateList>
        <item/>
      </candidateList>
      <explain>文本间存在多余的空白字符。</explain>
      <paraID>3138D0B1</paraID>
      <start>63</start>
      <end>64</end>
      <status>unmodified</status>
      <modifiedWord/>
      <trackRevisions>false</trackRevisions>
    </reviewItem>
    <reviewItem>
      <errorID>2d654f92-0754-45f3-b46e-79d0ae50ff41</errorID>
      <errorWord> </errorWord>
      <group>L1_Format</group>
      <groupName>格式问题</groupName>
      <ability>L2_Whitespace</ability>
      <abilityName>空白字符</abilityName>
      <candidateList>
        <item/>
      </candidateList>
      <explain>文本间存在多余的空白字符。</explain>
      <paraID>3138D0B1</paraID>
      <start>129</start>
      <end>130</end>
      <status>unmodified</status>
      <modifiedWord/>
      <trackRevisions>false</trackRevisions>
    </reviewItem>
    <reviewItem>
      <errorID>e7f9c4f2-eb00-4cb8-8bfb-75c670e46fe6</errorID>
      <errorWord> </errorWord>
      <group>L1_Format</group>
      <groupName>格式问题</groupName>
      <ability>L2_Whitespace</ability>
      <abilityName>空白字符</abilityName>
      <candidateList>
        <item/>
      </candidateList>
      <explain>文本间存在多余的空白字符。</explain>
      <paraID>3138D0B1</paraID>
      <start>197</start>
      <end>198</end>
      <status>unmodified</status>
      <modifiedWord/>
      <trackRevisions>false</trackRevisions>
    </reviewItem>
    <reviewItem>
      <errorID>44fe159b-3ecd-4aa8-813d-c3bba989c12c</errorID>
      <errorWord>越流</errorWord>
      <group>L1_Word</group>
      <groupName>字词问题</groupName>
      <ability>L2_Typo</ability>
      <abilityName>字词错误</abilityName>
      <candidateList>
        <item>径流</item>
      </candidateList>
      <explain>〈名〉降水除蒸发的、被土地吸收的和被拦堵的以外，沿着地面流走的水叫径流。渗入地下的也可以形成地下径流。</explain>
      <paraID>34735919</paraID>
      <start>176</start>
      <end>178</end>
      <status>unmodified</status>
      <modifiedWord/>
      <trackRevisions>false</trackRevisions>
    </reviewItem>
    <reviewItem>
      <errorID>da34a731-f4ab-4e90-9cc3-da12e8c8f8ac</errorID>
      <errorWord>越流</errorWord>
      <group>L1_Word</group>
      <groupName>字词问题</groupName>
      <ability>L2_Typo</ability>
      <abilityName>字词错误</abilityName>
      <candidateList>
        <item>径流</item>
      </candidateList>
      <explain>〈名〉降水除蒸发的、被土地吸收的和被拦堵的以外，沿着地面流走的水叫径流。渗入地下的也可以形成地下径流。</explain>
      <paraID>34735919</paraID>
      <start>273</start>
      <end>275</end>
      <status>unmodified</status>
      <modifiedWord/>
      <trackRevisions>false</trackRevisions>
    </reviewItem>
    <reviewItem>
      <errorID>42c6fa7d-8041-4723-b1bf-bfb0295af1d5</errorID>
      <errorWord> </errorWord>
      <group>L1_Format</group>
      <groupName>格式问题</groupName>
      <ability>L2_Whitespace</ability>
      <abilityName>空白字符</abilityName>
      <candidateList>
        <item/>
      </candidateList>
      <explain>文本间存在多余的空白字符。</explain>
      <paraID>7AF21856</paraID>
      <start>22</start>
      <end>23</end>
      <status>unmodified</status>
      <modifiedWord/>
      <trackRevisions>false</trackRevisions>
    </reviewItem>
    <reviewItem>
      <errorID>14e823f1-a38d-497e-a122-673e4c434758</errorID>
      <errorWord> </errorWord>
      <group>L1_Format</group>
      <groupName>格式问题</groupName>
      <ability>L2_Whitespace</ability>
      <abilityName>空白字符</abilityName>
      <candidateList>
        <item/>
      </candidateList>
      <explain>文本间存在多余的空白字符。</explain>
      <paraID>1F4BFFA9</paraID>
      <start>1</start>
      <end>2</end>
      <status>unmodified</status>
      <modifiedWord/>
      <trackRevisions>false</trackRevisions>
    </reviewItem>
    <reviewItem>
      <errorID>6a2a8569-70b0-4ea3-be55-e15e4c347c66</errorID>
      <errorWord> </errorWord>
      <group>L1_Format</group>
      <groupName>格式问题</groupName>
      <ability>L2_Whitespace</ability>
      <abilityName>空白字符</abilityName>
      <candidateList>
        <item/>
      </candidateList>
      <explain>文本间存在多余的空白字符。</explain>
      <paraID>742A1B9E</paraID>
      <start>1</start>
      <end>2</end>
      <status>unmodified</status>
      <modifiedWord/>
      <trackRevisions>false</trackRevisions>
    </reviewItem>
    <reviewItem>
      <errorID>6bd5f05a-03cb-420c-bc1a-c6dd8215dab0</errorID>
      <errorWord> </errorWord>
      <group>L1_Format</group>
      <groupName>格式问题</groupName>
      <ability>L2_Whitespace</ability>
      <abilityName>空白字符</abilityName>
      <candidateList>
        <item/>
      </candidateList>
      <explain>文本间存在多余的空白字符。</explain>
      <paraID> 4702D5D</paraID>
      <start>1</start>
      <end>2</end>
      <status>unmodified</status>
      <modifiedWord/>
      <trackRevisions>false</trackRevisions>
    </reviewItem>
    <reviewItem>
      <errorID>933147d8-5616-439b-804f-e2dd37df824c</errorID>
      <errorWord>     </errorWord>
      <group>L1_Format</group>
      <groupName>格式问题</groupName>
      <ability>L2_Whitespace</ability>
      <abilityName>空白字符</abilityName>
      <candidateList>
        <item/>
      </candidateList>
      <explain>文本间存在多余的空白字符。</explain>
      <paraID> 679F079</paraID>
      <start>9</start>
      <end>14</end>
      <status>unmodified</status>
      <modifiedWord/>
      <trackRevisions>false</trackRevisions>
    </reviewItem>
    <reviewItem>
      <errorID>166b95ef-b52f-4225-96a6-75b1f4fecdab</errorID>
      <errorWord>    </errorWord>
      <group>L1_Format</group>
      <groupName>格式问题</groupName>
      <ability>L2_Whitespace</ability>
      <abilityName>空白字符</abilityName>
      <candidateList>
        <item/>
      </candidateList>
      <explain>文本间存在多余的空白字符。</explain>
      <paraID> 679F079</paraID>
      <start>17</start>
      <end>21</end>
      <status>unmodified</status>
      <modifiedWord/>
      <trackRevisions>false</trackRevisions>
    </reviewItem>
    <reviewItem>
      <errorID>4fae5d62-2ae9-4aa0-a038-50677e6a3707</errorID>
      <errorWord>    </errorWord>
      <group>L1_Format</group>
      <groupName>格式问题</groupName>
      <ability>L2_Whitespace</ability>
      <abilityName>空白字符</abilityName>
      <candidateList>
        <item/>
      </candidateList>
      <explain>文本间存在多余的空白字符。</explain>
      <paraID> 679F079</paraID>
      <start>24</start>
      <end>28</end>
      <status>unmodified</status>
      <modifiedWord/>
      <trackRevisions>false</trackRevisions>
    </reviewItem>
    <reviewItem>
      <errorID>45571b87-6f47-40c3-9d5a-b8094a56ae8c</errorID>
      <errorWord>     </errorWord>
      <group>L1_Format</group>
      <groupName>格式问题</groupName>
      <ability>L2_Whitespace</ability>
      <abilityName>空白字符</abilityName>
      <candidateList>
        <item/>
      </candidateList>
      <explain>文本间存在多余的空白字符。</explain>
      <paraID> 679F079</paraID>
      <start>31</start>
      <end>36</end>
      <status>unmodified</status>
      <modifiedWord/>
      <trackRevisions>false</trackRevisions>
    </reviewItem>
    <reviewItem>
      <errorID>1ac25998-7bde-43d8-93ce-df933f5cedb2</errorID>
      <errorWord> </errorWord>
      <group>L1_Format</group>
      <groupName>格式问题</groupName>
      <ability>L2_Whitespace</ability>
      <abilityName>空白字符</abilityName>
      <candidateList>
        <item/>
      </candidateList>
      <explain>文本间存在多余的空白字符。</explain>
      <paraID>49EC5912</paraID>
      <start>148</start>
      <end>149</end>
      <status>unmodified</status>
      <modifiedWord/>
      <trackRevisions>false</trackRevisions>
    </reviewItem>
    <reviewItem>
      <errorID>4d8f6b10-a1d9-4ff6-a34b-7b256995472e</errorID>
      <errorWord> </errorWord>
      <group>L1_Format</group>
      <groupName>格式问题</groupName>
      <ability>L2_Whitespace</ability>
      <abilityName>空白字符</abilityName>
      <candidateList>
        <item/>
      </candidateList>
      <explain>文本间存在多余的空白字符。</explain>
      <paraID>49EC5912</paraID>
      <start>181</start>
      <end>182</end>
      <status>unmodified</status>
      <modifiedWord/>
      <trackRevisions>false</trackRevisions>
    </reviewItem>
    <reviewItem>
      <errorID>b16de6fe-f184-43c2-9a15-ff8be9c10743</errorID>
      <errorWord> </errorWord>
      <group>L1_Format</group>
      <groupName>格式问题</groupName>
      <ability>L2_Whitespace</ability>
      <abilityName>空白字符</abilityName>
      <candidateList>
        <item/>
      </candidateList>
      <explain>文本间存在多余的空白字符。</explain>
      <paraID>58946986</paraID>
      <start>9</start>
      <end>10</end>
      <status>unmodified</status>
      <modifiedWord/>
      <trackRevisions>false</trackRevisions>
    </reviewItem>
    <reviewItem>
      <errorID>e5029a55-1438-4641-8acb-5ab95adb98de</errorID>
      <errorWord> </errorWord>
      <group>L1_Format</group>
      <groupName>格式问题</groupName>
      <ability>L2_Whitespace</ability>
      <abilityName>空白字符</abilityName>
      <candidateList>
        <item/>
      </candidateList>
      <explain>文本间存在多余的空白字符。</explain>
      <paraID>58946986</paraID>
      <start>12</start>
      <end>13</end>
      <status>unmodified</status>
      <modifiedWord/>
      <trackRevisions>false</trackRevisions>
    </reviewItem>
    <reviewItem>
      <errorID>9b546fa5-1488-4884-a606-db4332842985</errorID>
      <errorWord> </errorWord>
      <group>L1_Format</group>
      <groupName>格式问题</groupName>
      <ability>L2_Whitespace</ability>
      <abilityName>空白字符</abilityName>
      <candidateList>
        <item/>
      </candidateList>
      <explain>文本间存在多余的空白字符。</explain>
      <paraID>58946986</paraID>
      <start>14</start>
      <end>15</end>
      <status>unmodified</status>
      <modifiedWord/>
      <trackRevisions>false</trackRevisions>
    </reviewItem>
    <reviewItem>
      <errorID>76a7b9dc-2c65-4651-b141-2b188cae87e9</errorID>
      <errorWord> </errorWord>
      <group>L1_Format</group>
      <groupName>格式问题</groupName>
      <ability>L2_Whitespace</ability>
      <abilityName>空白字符</abilityName>
      <candidateList>
        <item/>
      </candidateList>
      <explain>文本间存在多余的空白字符。</explain>
      <paraID>58946986</paraID>
      <start>26</start>
      <end>27</end>
      <status>unmodified</status>
      <modifiedWord/>
      <trackRevisions>false</trackRevisions>
    </reviewItem>
    <reviewItem>
      <errorID>3e764537-6a90-4f22-b003-3f334a6f20e8</errorID>
      <errorWord> </errorWord>
      <group>L1_Format</group>
      <groupName>格式问题</groupName>
      <ability>L2_Whitespace</ability>
      <abilityName>空白字符</abilityName>
      <candidateList>
        <item/>
      </candidateList>
      <explain>文本间存在多余的空白字符。</explain>
      <paraID>11408D0E</paraID>
      <start>16</start>
      <end>17</end>
      <status>unmodified</status>
      <modifiedWord/>
      <trackRevisions>false</trackRevisions>
    </reviewItem>
    <reviewItem>
      <errorID>1cd1abd9-640a-46d4-9259-7c9c729f8b5d</errorID>
      <errorWord>       </errorWord>
      <group>L1_Format</group>
      <groupName>格式问题</groupName>
      <ability>L2_Whitespace</ability>
      <abilityName>空白字符</abilityName>
      <candidateList>
        <item/>
      </candidateList>
      <explain>文本间存在多余的空白字符。</explain>
      <paraID>  3E09DB</paraID>
      <start>8</start>
      <end>15</end>
      <status>unmodified</status>
      <modifiedWord/>
      <trackRevisions>false</trackRevisions>
    </reviewItem>
    <reviewItem>
      <errorID>5098c675-ff1f-42bb-a88d-2ab9d918170e</errorID>
      <errorWord> </errorWord>
      <group>L1_Format</group>
      <groupName>格式问题</groupName>
      <ability>L2_Whitespace</ability>
      <abilityName>空白字符</abilityName>
      <candidateList>
        <item/>
      </candidateList>
      <explain>文本间存在多余的空白字符。</explain>
      <paraID>6F7C2B91</paraID>
      <start>7</start>
      <end>8</end>
      <status>unmodified</status>
      <modifiedWord/>
      <trackRevisions>false</trackRevisions>
    </reviewItem>
    <reviewItem>
      <errorID>3bc15683-21fd-493c-b8ae-9a5d185ef004</errorID>
      <errorWord>      </errorWord>
      <group>L1_Format</group>
      <groupName>格式问题</groupName>
      <ability>L2_Whitespace</ability>
      <abilityName>空白字符</abilityName>
      <candidateList>
        <item/>
      </candidateList>
      <explain>文本间存在多余的空白字符。</explain>
      <paraID>686B7DF1</paraID>
      <start>8</start>
      <end>14</end>
      <status>unmodified</status>
      <modifiedWord/>
      <trackRevisions>false</trackRevisions>
    </reviewItem>
    <reviewItem>
      <errorID>2b618d83-2adf-4b0e-b150-90dbaa741e21</errorID>
      <errorWord>工下</errorWord>
      <group>L1_Word</group>
      <groupName>字词问题</groupName>
      <ability>L2_Typo</ability>
      <abilityName>字词错误</abilityName>
      <candidateList>
        <item>地下</item>
      </candidateList>
      <explain>〈名〉地面上：钢笔掉在～｜～一点灰尘都没有，像洗过的一样。</explain>
      <paraID>4ACDCD34</paraID>
      <start>24</start>
      <end>26</end>
      <status>unmodified</status>
      <modifiedWord/>
      <trackRevisions>false</trackRevisions>
    </reviewItem>
    <reviewItem>
      <errorID>9220aec7-8536-43ea-b9bf-a7a6b04e0eec</errorID>
      <errorWord> </errorWord>
      <group>L1_Format</group>
      <groupName>格式问题</groupName>
      <ability>L2_Whitespace</ability>
      <abilityName>空白字符</abilityName>
      <candidateList>
        <item/>
      </candidateList>
      <explain>文本间存在多余的空白字符。</explain>
      <paraID>2F8BF502</paraID>
      <start>141</start>
      <end>142</end>
      <status>unmodified</status>
      <modifiedWord/>
      <trackRevisions>false</trackRevisions>
    </reviewItem>
    <reviewItem>
      <errorID>3e8732e4-13c8-41f6-b151-a3c9410da64d</errorID>
      <errorWord> </errorWord>
      <group>L1_Format</group>
      <groupName>格式问题</groupName>
      <ability>L2_Whitespace</ability>
      <abilityName>空白字符</abilityName>
      <candidateList>
        <item/>
      </candidateList>
      <explain>文本间存在多余的空白字符。</explain>
      <paraID>371FFF16</paraID>
      <start>44</start>
      <end>45</end>
      <status>unmodified</status>
      <modifiedWord/>
      <trackRevisions>false</trackRevisions>
    </reviewItem>
    <reviewItem>
      <errorID>aacaf28c-face-4cf6-a04a-a3f3264ede02</errorID>
      <errorWord> </errorWord>
      <group>L1_Format</group>
      <groupName>格式问题</groupName>
      <ability>L2_Whitespace</ability>
      <abilityName>空白字符</abilityName>
      <candidateList>
        <item/>
      </candidateList>
      <explain>文本间存在多余的空白字符。</explain>
      <paraID>439A6169</paraID>
      <start>184</start>
      <end>185</end>
      <status>unmodified</status>
      <modifiedWord/>
      <trackRevisions>false</trackRevisions>
    </reviewItem>
    <reviewItem>
      <errorID>2a9ece69-4eb6-4b0f-a40c-d8287b90807d</errorID>
      <errorWord> </errorWord>
      <group>L1_Format</group>
      <groupName>格式问题</groupName>
      <ability>L2_Whitespace</ability>
      <abilityName>空白字符</abilityName>
      <candidateList>
        <item/>
      </candidateList>
      <explain>文本间存在多余的空白字符。</explain>
      <paraID>6611B08D</paraID>
      <start>37</start>
      <end>38</end>
      <status>unmodified</status>
      <modifiedWord/>
      <trackRevisions>false</trackRevisions>
    </reviewItem>
    <reviewItem>
      <errorID>dbfcc78a-46dd-4eee-b17b-27be64d1d535</errorID>
      <errorWord> </errorWord>
      <group>L1_Format</group>
      <groupName>格式问题</groupName>
      <ability>L2_Whitespace</ability>
      <abilityName>空白字符</abilityName>
      <candidateList>
        <item/>
      </candidateList>
      <explain>文本间存在多余的空白字符。</explain>
      <paraID>20F7022F</paraID>
      <start>5</start>
      <end>6</end>
      <status>unmodified</status>
      <modifiedWord/>
      <trackRevisions>false</trackRevisions>
    </reviewItem>
    <reviewItem>
      <errorID>88bf9ba0-e4d0-4c4a-8087-dee04c1d9f1a</errorID>
      <errorWord>         </errorWord>
      <group>L1_Format</group>
      <groupName>格式问题</groupName>
      <ability>L2_Whitespace</ability>
      <abilityName>空白字符</abilityName>
      <candidateList>
        <item/>
      </candidateList>
      <explain>文本间存在多余的空白字符。</explain>
      <paraID>52FC49A6</paraID>
      <start>8</start>
      <end>17</end>
      <status>unmodified</status>
      <modifiedWord/>
      <trackRevisions>false</trackRevisions>
    </reviewItem>
    <reviewItem>
      <errorID>ef9ddb38-aecd-464a-b5e8-0fd50854db25</errorID>
      <errorWord> </errorWord>
      <group>L1_Format</group>
      <groupName>格式问题</groupName>
      <ability>L2_Whitespace</ability>
      <abilityName>空白字符</abilityName>
      <candidateList>
        <item/>
      </candidateList>
      <explain>文本间存在多余的空白字符。</explain>
      <paraID>2BE9132D</paraID>
      <start>91</start>
      <end>92</end>
      <status>unmodified</status>
      <modifiedWord/>
      <trackRevisions>false</trackRevisions>
    </reviewItem>
    <reviewItem>
      <errorID>f6ef69bc-469c-4889-9721-6bd9f874f117</errorID>
      <errorWord>                  </errorWord>
      <group>L1_Format</group>
      <groupName>格式问题</groupName>
      <ability>L2_Whitespace</ability>
      <abilityName>空白字符</abilityName>
      <candidateList>
        <item/>
      </candidateList>
      <explain>文本间存在多余的空白字符。</explain>
      <paraID>37E9AAA4</paraID>
      <start>8</start>
      <end>26</end>
      <status>unmodified</status>
      <modifiedWord/>
      <trackRevisions>false</trackRevisions>
    </reviewItem>
    <reviewItem>
      <errorID>986ea9ba-1799-4cea-a900-8bf7b51bdc20</errorID>
      <errorWord>        </errorWord>
      <group>L1_Format</group>
      <groupName>格式问题</groupName>
      <ability>L2_Whitespace</ability>
      <abilityName>空白字符</abilityName>
      <candidateList>
        <item/>
      </candidateList>
      <explain>文本间存在多余的空白字符。</explain>
      <paraID> 1D166D6</paraID>
      <start>8</start>
      <end>16</end>
      <status>unmodified</status>
      <modifiedWord/>
      <trackRevisions>false</trackRevisions>
    </reviewItem>
    <reviewItem>
      <errorID>3b66dd0e-59f4-4caf-a17a-2a3e3faf15c6</errorID>
      <errorWord>     </errorWord>
      <group>L1_Format</group>
      <groupName>格式问题</groupName>
      <ability>L2_Whitespace</ability>
      <abilityName>空白字符</abilityName>
      <candidateList>
        <item/>
      </candidateList>
      <explain>文本间存在多余的空白字符。</explain>
      <paraID>7391A6AD</paraID>
      <start>8</start>
      <end>13</end>
      <status>unmodified</status>
      <modifiedWord/>
      <trackRevisions>false</trackRevisions>
    </reviewItem>
    <reviewItem>
      <errorID>ddfa732c-5d10-4346-bcbd-9c86b58303c5</errorID>
      <errorWord> </errorWord>
      <group>L1_Format</group>
      <groupName>格式问题</groupName>
      <ability>L2_Whitespace</ability>
      <abilityName>空白字符</abilityName>
      <candidateList>
        <item/>
      </candidateList>
      <explain>文本间存在多余的空白字符。</explain>
      <paraID>678484FF</paraID>
      <start>3</start>
      <end>4</end>
      <status>unmodified</status>
      <modifiedWord/>
      <trackRevisions>false</trackRevisions>
    </reviewItem>
    <reviewItem>
      <errorID>ba96829c-550d-4362-aeee-2f10060b2e7d</errorID>
      <errorWord> </errorWord>
      <group>L1_Format</group>
      <groupName>格式问题</groupName>
      <ability>L2_Whitespace</ability>
      <abilityName>空白字符</abilityName>
      <candidateList>
        <item/>
      </candidateList>
      <explain>文本间存在多余的空白字符。</explain>
      <paraID>741987A0</paraID>
      <start>19</start>
      <end>20</end>
      <status>unmodified</status>
      <modifiedWord/>
      <trackRevisions>false</trackRevisions>
    </reviewItem>
    <reviewItem>
      <errorID>60170312-98db-4d88-b3bf-e0fca352988b</errorID>
      <errorWord>计</errorWord>
      <group>L1_Word</group>
      <groupName>字词问题</groupName>
      <ability>L2_Typo</ability>
      <abilityName>字词错误</abilityName>
      <candidateList>
        <item>计算</item>
      </candidateList>
      <explain/>
      <paraID>75E9461A</paraID>
      <start>100</start>
      <end>101</end>
      <status>unmodified</status>
      <modifiedWord/>
      <trackRevisions>false</trackRevisions>
    </reviewItem>
    <reviewItem>
      <errorID>f0c1402a-0e3d-4fd7-8640-cc9a6aa67cb7</errorID>
      <errorWord> </errorWord>
      <group>L1_Format</group>
      <groupName>格式问题</groupName>
      <ability>L2_Whitespace</ability>
      <abilityName>空白字符</abilityName>
      <candidateList>
        <item/>
      </candidateList>
      <explain>文本间存在多余的空白字符。</explain>
      <paraID> CD1F904</paraID>
      <start>98</start>
      <end>99</end>
      <status>unmodified</status>
      <modifiedWord/>
      <trackRevisions>false</trackRevisions>
    </reviewItem>
    <reviewItem>
      <errorID>84f043b6-80a6-4d7a-849d-bb7b705f530a</errorID>
      <errorWord> </errorWord>
      <group>L1_Format</group>
      <groupName>格式问题</groupName>
      <ability>L2_Whitespace</ability>
      <abilityName>空白字符</abilityName>
      <candidateList>
        <item/>
      </candidateList>
      <explain>文本间存在多余的空白字符。</explain>
      <paraID>  FAA38A</paraID>
      <start>71</start>
      <end>72</end>
      <status>unmodified</status>
      <modifiedWord/>
      <trackRevisions>false</trackRevisions>
    </reviewItem>
    <reviewItem>
      <errorID>6c6d16cf-aa2d-478c-8a10-a8ecf1273127</errorID>
      <errorWord> </errorWord>
      <group>L1_Format</group>
      <groupName>格式问题</groupName>
      <ability>L2_Whitespace</ability>
      <abilityName>空白字符</abilityName>
      <candidateList>
        <item/>
      </candidateList>
      <explain>文本间存在多余的空白字符。</explain>
      <paraID>5A90A1E9</paraID>
      <start>89</start>
      <end>90</end>
      <status>unmodified</status>
      <modifiedWord/>
      <trackRevisions>false</trackRevisions>
    </reviewItem>
    <reviewItem>
      <errorID>f5a4c290-4845-4339-b78d-9a37bc3dfdfd</errorID>
      <errorWord> </errorWord>
      <group>L1_Format</group>
      <groupName>格式问题</groupName>
      <ability>L2_Whitespace</ability>
      <abilityName>空白字符</abilityName>
      <candidateList>
        <item/>
      </candidateList>
      <explain>文本间存在多余的空白字符。</explain>
      <paraID>5A90A1E9</paraID>
      <start>127</start>
      <end>128</end>
      <status>unmodified</status>
      <modifiedWord/>
      <trackRevisions>false</trackRevisions>
    </reviewItem>
    <reviewItem>
      <errorID>89e7968e-6abf-4e73-8488-15fd973844ec</errorID>
      <errorWord> </errorWord>
      <group>L1_Format</group>
      <groupName>格式问题</groupName>
      <ability>L2_Whitespace</ability>
      <abilityName>空白字符</abilityName>
      <candidateList>
        <item/>
      </candidateList>
      <explain>文本间存在多余的空白字符。</explain>
      <paraID>5A90A1E9</paraID>
      <start>164</start>
      <end>165</end>
      <status>unmodified</status>
      <modifiedWord/>
      <trackRevisions>false</trackRevisions>
    </reviewItem>
    <reviewItem>
      <errorID>5ce9fc26-590f-4de5-8b9c-6ad3b6662f7b</errorID>
      <errorWord> </errorWord>
      <group>L1_Format</group>
      <groupName>格式问题</groupName>
      <ability>L2_Whitespace</ability>
      <abilityName>空白字符</abilityName>
      <candidateList>
        <item/>
      </candidateList>
      <explain>文本间存在多余的空白字符。</explain>
      <paraID>5A90A1E9</paraID>
      <start>202</start>
      <end>203</end>
      <status>unmodified</status>
      <modifiedWord/>
      <trackRevisions>false</trackRevisions>
    </reviewItem>
    <reviewItem>
      <errorID>7eae0d77-7ec8-4029-8a35-684c340f14c9</errorID>
      <errorWord> </errorWord>
      <group>L1_Format</group>
      <groupName>格式问题</groupName>
      <ability>L2_Whitespace</ability>
      <abilityName>空白字符</abilityName>
      <candidateList>
        <item/>
      </candidateList>
      <explain>文本间存在多余的空白字符。</explain>
      <paraID>1ADD13CB</paraID>
      <start>48</start>
      <end>49</end>
      <status>unmodified</status>
      <modifiedWord/>
      <trackRevisions>false</trackRevisions>
    </reviewItem>
    <reviewItem>
      <errorID>f01478d0-eecf-4349-bf9d-9d4595532c8f</errorID>
      <errorWord> </errorWord>
      <group>L1_Format</group>
      <groupName>格式问题</groupName>
      <ability>L2_Whitespace</ability>
      <abilityName>空白字符</abilityName>
      <candidateList>
        <item/>
      </candidateList>
      <explain>文本间存在多余的空白字符。</explain>
      <paraID>33093BFE</paraID>
      <start>26</start>
      <end>27</end>
      <status>unmodified</status>
      <modifiedWord/>
      <trackRevisions>false</trackRevisions>
    </reviewItem>
    <reviewItem>
      <errorID>8f101259-5aff-413a-bd61-5e15988c8726</errorID>
      <errorWord> </errorWord>
      <group>L1_Format</group>
      <groupName>格式问题</groupName>
      <ability>L2_Whitespace</ability>
      <abilityName>空白字符</abilityName>
      <candidateList>
        <item/>
      </candidateList>
      <explain>文本间存在多余的空白字符。</explain>
      <paraID>20081919</paraID>
      <start>58</start>
      <end>59</end>
      <status>unmodified</status>
      <modifiedWord/>
      <trackRevisions>false</trackRevisions>
    </reviewItem>
    <reviewItem>
      <errorID>e4b2b4d7-6085-421c-8eda-462dbc9b709b</errorID>
      <errorWord> </errorWord>
      <group>L1_Format</group>
      <groupName>格式问题</groupName>
      <ability>L2_Whitespace</ability>
      <abilityName>空白字符</abilityName>
      <candidateList>
        <item/>
      </candidateList>
      <explain>文本间存在多余的空白字符。</explain>
      <paraID>554E2D70</paraID>
      <start>84</start>
      <end>85</end>
      <status>unmodified</status>
      <modifiedWord/>
      <trackRevisions>false</trackRevisions>
    </reviewItem>
    <reviewItem>
      <errorID>6848afab-dad7-43fb-b2de-ca55f15cb0f6</errorID>
      <errorWord> </errorWord>
      <group>L1_Format</group>
      <groupName>格式问题</groupName>
      <ability>L2_Whitespace</ability>
      <abilityName>空白字符</abilityName>
      <candidateList>
        <item/>
      </candidateList>
      <explain>文本间存在多余的空白字符。</explain>
      <paraID>1FE522E3</paraID>
      <start>24</start>
      <end>25</end>
      <status>unmodified</status>
      <modifiedWord/>
      <trackRevisions>false</trackRevisions>
    </reviewItem>
    <reviewItem>
      <errorID>58838601-bb9d-4da3-8c88-f8fda14d92c8</errorID>
      <errorWord> </errorWord>
      <group>L1_Format</group>
      <groupName>格式问题</groupName>
      <ability>L2_Whitespace</ability>
      <abilityName>空白字符</abilityName>
      <candidateList>
        <item/>
      </candidateList>
      <explain>文本间存在多余的空白字符。</explain>
      <paraID>2F9BAB03</paraID>
      <start>15</start>
      <end>16</end>
      <status>unmodified</status>
      <modifiedWord/>
      <trackRevisions>false</trackRevisions>
    </reviewItem>
    <reviewItem>
      <errorID>03a72a41-4079-4b18-9de3-af27a1332c4b</errorID>
      <errorWord> </errorWord>
      <group>L1_Format</group>
      <groupName>格式问题</groupName>
      <ability>L2_Whitespace</ability>
      <abilityName>空白字符</abilityName>
      <candidateList>
        <item/>
      </candidateList>
      <explain>文本间存在多余的空白字符。</explain>
      <paraID>75C06A23</paraID>
      <start>59</start>
      <end>60</end>
      <status>unmodified</status>
      <modifiedWord/>
      <trackRevisions>false</trackRevisions>
    </reviewItem>
    <reviewItem>
      <errorID>c091d589-00d5-44fd-8f7e-2907b8d35db9</errorID>
      <errorWord> </errorWord>
      <group>L1_Format</group>
      <groupName>格式问题</groupName>
      <ability>L2_Whitespace</ability>
      <abilityName>空白字符</abilityName>
      <candidateList>
        <item/>
      </candidateList>
      <explain>文本间存在多余的空白字符。</explain>
      <paraID>32E6A2FA</paraID>
      <start>15</start>
      <end>16</end>
      <status>unmodified</status>
      <modifiedWord/>
      <trackRevisions>false</trackRevisions>
    </reviewItem>
    <reviewItem>
      <errorID>30d71d7a-581f-4eca-ad81-9037f6821e85</errorID>
      <errorWord> </errorWord>
      <group>L1_Format</group>
      <groupName>格式问题</groupName>
      <ability>L2_Whitespace</ability>
      <abilityName>空白字符</abilityName>
      <candidateList>
        <item/>
      </candidateList>
      <explain>文本间存在多余的空白字符。</explain>
      <paraID>3F3AC002</paraID>
      <start>30</start>
      <end>31</end>
      <status>unmodified</status>
      <modifiedWord/>
      <trackRevisions>false</trackRevisions>
    </reviewItem>
    <reviewItem>
      <errorID>07ed0daa-ef64-4057-891f-7be951a21bf4</errorID>
      <errorWord> </errorWord>
      <group>L1_Format</group>
      <groupName>格式问题</groupName>
      <ability>L2_Whitespace</ability>
      <abilityName>空白字符</abilityName>
      <candidateList>
        <item/>
      </candidateList>
      <explain>文本间存在多余的空白字符。</explain>
      <paraID>63C1AEE8</paraID>
      <start>54</start>
      <end>55</end>
      <status>unmodified</status>
      <modifiedWord/>
      <trackRevisions>false</trackRevisions>
    </reviewItem>
    <reviewItem>
      <errorID>8123a791-18cb-495c-8157-2c00375a71dc</errorID>
      <errorWord> </errorWord>
      <group>L1_Format</group>
      <groupName>格式问题</groupName>
      <ability>L2_Whitespace</ability>
      <abilityName>空白字符</abilityName>
      <candidateList>
        <item/>
      </candidateList>
      <explain>文本间存在多余的空白字符。</explain>
      <paraID>79A987A9</paraID>
      <start>29</start>
      <end>30</end>
      <status>unmodified</status>
      <modifiedWord/>
      <trackRevisions>false</trackRevisions>
    </reviewItem>
    <reviewItem>
      <errorID>701cd7b1-fe14-4f42-8df8-d49ad6efdd33</errorID>
      <errorWord> </errorWord>
      <group>L1_Format</group>
      <groupName>格式问题</groupName>
      <ability>L2_Whitespace</ability>
      <abilityName>空白字符</abilityName>
      <candidateList>
        <item/>
      </candidateList>
      <explain>文本间存在多余的空白字符。</explain>
      <paraID>34431196</paraID>
      <start>19</start>
      <end>20</end>
      <status>unmodified</status>
      <modifiedWord/>
      <trackRevisions>false</trackRevisions>
    </reviewItem>
    <reviewItem>
      <errorID>094c3f59-6e5d-4c32-a660-88a7713758ab</errorID>
      <errorWord> </errorWord>
      <group>L1_Format</group>
      <groupName>格式问题</groupName>
      <ability>L2_Whitespace</ability>
      <abilityName>空白字符</abilityName>
      <candidateList>
        <item/>
      </candidateList>
      <explain>文本间存在多余的空白字符。</explain>
      <paraID>3FAA956A</paraID>
      <start>30</start>
      <end>31</end>
      <status>unmodified</status>
      <modifiedWord/>
      <trackRevisions>false</trackRevisions>
    </reviewItem>
    <reviewItem>
      <errorID>bcabc97f-8210-4589-bb4f-ead95ae8d141</errorID>
      <errorWord> </errorWord>
      <group>L1_Format</group>
      <groupName>格式问题</groupName>
      <ability>L2_Whitespace</ability>
      <abilityName>空白字符</abilityName>
      <candidateList>
        <item/>
      </candidateList>
      <explain>文本间存在多余的空白字符。</explain>
      <paraID>47E1AE6F</paraID>
      <start>12</start>
      <end>13</end>
      <status>unmodified</status>
      <modifiedWord/>
      <trackRevisions>false</trackRevisions>
    </reviewItem>
    <reviewItem>
      <errorID>1f772fcc-dd5c-4666-b29c-734fb890a461</errorID>
      <errorWord> </errorWord>
      <group>L1_Format</group>
      <groupName>格式问题</groupName>
      <ability>L2_Whitespace</ability>
      <abilityName>空白字符</abilityName>
      <candidateList>
        <item/>
      </candidateList>
      <explain>文本间存在多余的空白字符。</explain>
      <paraID>56BA9CD5</paraID>
      <start>36</start>
      <end>37</end>
      <status>unmodified</status>
      <modifiedWord/>
      <trackRevisions>false</trackRevisions>
    </reviewItem>
    <reviewItem>
      <errorID>e8becfdf-3c7f-4bbb-bc1c-2e7a07a3debc</errorID>
      <errorWord> </errorWord>
      <group>L1_Format</group>
      <groupName>格式问题</groupName>
      <ability>L2_Whitespace</ability>
      <abilityName>空白字符</abilityName>
      <candidateList>
        <item/>
      </candidateList>
      <explain>文本间存在多余的空白字符。</explain>
      <paraID>6EDB0033</paraID>
      <start>7</start>
      <end>8</end>
      <status>unmodified</status>
      <modifiedWord/>
      <trackRevisions>false</trackRevisions>
    </reviewItem>
    <reviewItem>
      <errorID>f8eb01a7-6775-4e3e-bfac-f8ede77a3317</errorID>
      <errorWord> </errorWord>
      <group>L1_Format</group>
      <groupName>格式问题</groupName>
      <ability>L2_Whitespace</ability>
      <abilityName>空白字符</abilityName>
      <candidateList>
        <item/>
      </candidateList>
      <explain>文本间存在多余的空白字符。</explain>
      <paraID>200A0DC7</paraID>
      <start>29</start>
      <end>30</end>
      <status>unmodified</status>
      <modifiedWord/>
      <trackRevisions>false</trackRevisions>
    </reviewItem>
    <reviewItem>
      <errorID>af9b1f34-127c-47de-b845-7569943163f2</errorID>
      <errorWord> </errorWord>
      <group>L1_Format</group>
      <groupName>格式问题</groupName>
      <ability>L2_Whitespace</ability>
      <abilityName>空白字符</abilityName>
      <candidateList>
        <item/>
      </candidateList>
      <explain>文本间存在多余的空白字符。</explain>
      <paraID>629B356F</paraID>
      <start>25</start>
      <end>26</end>
      <status>unmodified</status>
      <modifiedWord/>
      <trackRevisions>false</trackRevisions>
    </reviewItem>
    <reviewItem>
      <errorID>845ed28e-987e-4f0f-a01e-6285b03e3c26</errorID>
      <errorWord>       </errorWord>
      <group>L1_Format</group>
      <groupName>格式问题</groupName>
      <ability>L2_Whitespace</ability>
      <abilityName>空白字符</abilityName>
      <candidateList>
        <item/>
      </candidateList>
      <explain>文本间存在多余的空白字符。</explain>
      <paraID>23A48362</paraID>
      <start>8</start>
      <end>15</end>
      <status>unmodified</status>
      <modifiedWord/>
      <trackRevisions>false</trackRevisions>
    </reviewItem>
    <reviewItem>
      <errorID>f957969f-95d8-4b6e-848e-5a4e69643c54</errorID>
      <errorWord> </errorWord>
      <group>L1_Format</group>
      <groupName>格式问题</groupName>
      <ability>L2_Whitespace</ability>
      <abilityName>空白字符</abilityName>
      <candidateList>
        <item/>
      </candidateList>
      <explain>文本间存在多余的空白字符。</explain>
      <paraID>50E66917</paraID>
      <start>15</start>
      <end>16</end>
      <status>unmodified</status>
      <modifiedWord/>
      <trackRevisions>false</trackRevisions>
    </reviewItem>
    <reviewItem>
      <errorID>a956a856-ddcc-4245-81ec-df3be18d3773</errorID>
      <errorWord> </errorWord>
      <group>L1_Format</group>
      <groupName>格式问题</groupName>
      <ability>L2_Whitespace</ability>
      <abilityName>空白字符</abilityName>
      <candidateList>
        <item/>
      </candidateList>
      <explain>文本间存在多余的空白字符。</explain>
      <paraID>684FBE83</paraID>
      <start>18</start>
      <end>19</end>
      <status>unmodified</status>
      <modifiedWord/>
      <trackRevisions>false</trackRevisions>
    </reviewItem>
    <reviewItem>
      <errorID>151073ff-0f98-440b-8e6c-e45803e451e0</errorID>
      <errorWord> </errorWord>
      <group>L1_Format</group>
      <groupName>格式问题</groupName>
      <ability>L2_Whitespace</ability>
      <abilityName>空白字符</abilityName>
      <candidateList>
        <item/>
      </candidateList>
      <explain>文本间存在多余的空白字符。</explain>
      <paraID>50E1D3B7</paraID>
      <start>59</start>
      <end>60</end>
      <status>unmodified</status>
      <modifiedWord/>
      <trackRevisions>false</trackRevisions>
    </reviewItem>
    <reviewItem>
      <errorID>73db6aeb-d36d-4b0e-8290-409ee4d32cd2</errorID>
      <errorWord> </errorWord>
      <group>L1_Format</group>
      <groupName>格式问题</groupName>
      <ability>L2_Whitespace</ability>
      <abilityName>空白字符</abilityName>
      <candidateList>
        <item/>
      </candidateList>
      <explain>文本间存在多余的空白字符。</explain>
      <paraID>5202B96A</paraID>
      <start>3</start>
      <end>4</end>
      <status>unmodified</status>
      <modifiedWord/>
      <trackRevisions>false</trackRevisions>
    </reviewItem>
    <reviewItem>
      <errorID>68737156-f27d-43e3-bc9c-464870007759</errorID>
      <errorWord> </errorWord>
      <group>L1_Format</group>
      <groupName>格式问题</groupName>
      <ability>L2_Whitespace</ability>
      <abilityName>空白字符</abilityName>
      <candidateList>
        <item/>
      </candidateList>
      <explain>文本间存在多余的空白字符。</explain>
      <paraID>1DC4E1DA</paraID>
      <start>2</start>
      <end>3</end>
      <status>unmodified</status>
      <modifiedWord/>
      <trackRevisions>false</trackRevisions>
    </reviewItem>
    <reviewItem>
      <errorID>c1ff7193-4938-4edc-9f0e-ce164fd25343</errorID>
      <errorWord> </errorWord>
      <group>L1_Format</group>
      <groupName>格式问题</groupName>
      <ability>L2_Whitespace</ability>
      <abilityName>空白字符</abilityName>
      <candidateList>
        <item/>
      </candidateList>
      <explain>文本间存在多余的空白字符。</explain>
      <paraID>1DC4E1DA</paraID>
      <start>7</start>
      <end>8</end>
      <status>unmodified</status>
      <modifiedWord/>
      <trackRevisions>false</trackRevisions>
    </reviewItem>
    <reviewItem>
      <errorID>308f87fd-5600-42ab-ba33-f58b5d76087a</errorID>
      <errorWord> </errorWord>
      <group>L1_Format</group>
      <groupName>格式问题</groupName>
      <ability>L2_Whitespace</ability>
      <abilityName>空白字符</abilityName>
      <candidateList>
        <item/>
      </candidateList>
      <explain>文本间存在多余的空白字符。</explain>
      <paraID>78B82CA0</paraID>
      <start>20</start>
      <end>21</end>
      <status>unmodified</status>
      <modifiedWord/>
      <trackRevisions>false</trackRevisions>
    </reviewItem>
    <reviewItem>
      <errorID>f54b1b24-5b13-4a87-b9b2-6ee2d1aa4c40</errorID>
      <errorWord> </errorWord>
      <group>L1_Format</group>
      <groupName>格式问题</groupName>
      <ability>L2_Whitespace</ability>
      <abilityName>空白字符</abilityName>
      <candidateList>
        <item/>
      </candidateList>
      <explain>文本间存在多余的空白字符。</explain>
      <paraID>286CC34F</paraID>
      <start>1</start>
      <end>2</end>
      <status>unmodified</status>
      <modifiedWord/>
      <trackRevisions>false</trackRevisions>
    </reviewItem>
    <reviewItem>
      <errorID>16b798a6-f6fe-48c0-9aa8-53b2d79d1a55</errorID>
      <errorWord> </errorWord>
      <group>L1_Format</group>
      <groupName>格式问题</groupName>
      <ability>L2_Whitespace</ability>
      <abilityName>空白字符</abilityName>
      <candidateList>
        <item/>
      </candidateList>
      <explain>文本间存在多余的空白字符。</explain>
      <paraID>20B150BF</paraID>
      <start>1</start>
      <end>2</end>
      <status>unmodified</status>
      <modifiedWord/>
      <trackRevisions>false</trackRevisions>
    </reviewItem>
    <reviewItem>
      <errorID>2920a196-0455-4259-839f-586e106a7045</errorID>
      <errorWord>环境影响评级</errorWord>
      <group>L1_Knowledge</group>
      <groupName>知识性问题</groupName>
      <ability>L2_Term</ability>
      <abilityName>专业术语</abilityName>
      <candidateList>
        <item>环境影响评价</item>
      </candidateList>
      <explain/>
      <paraID>20B150BF</paraID>
      <start>12</start>
      <end>18</end>
      <status>unmodified</status>
      <modifiedWord/>
      <trackRevisions>false</trackRevisions>
    </reviewItem>
    <reviewItem>
      <errorID>d1c38328-bfab-406d-9fe3-84e25c89b5f9</errorID>
      <errorWord> </errorWord>
      <group>L1_Format</group>
      <groupName>格式问题</groupName>
      <ability>L2_Whitespace</ability>
      <abilityName>空白字符</abilityName>
      <candidateList>
        <item/>
      </candidateList>
      <explain>文本间存在多余的空白字符。</explain>
      <paraID>47CB3C21</paraID>
      <start>22</start>
      <end>23</end>
      <status>unmodified</status>
      <modifiedWord/>
      <trackRevisions>false</trackRevisions>
    </reviewItem>
    <reviewItem>
      <errorID>5340bddc-d9f7-47c4-8f67-b8cb0800055a</errorID>
      <errorWord> </errorWord>
      <group>L1_Format</group>
      <groupName>格式问题</groupName>
      <ability>L2_Whitespace</ability>
      <abilityName>空白字符</abilityName>
      <candidateList>
        <item/>
      </candidateList>
      <explain>文本间存在多余的空白字符。</explain>
      <paraID> B1487FE</paraID>
      <start>20</start>
      <end>21</end>
      <status>unmodified</status>
      <modifiedWord/>
      <trackRevisions>false</trackRevisions>
    </reviewItem>
    <reviewItem>
      <errorID>3e039d50-1f8d-45cc-b2f5-e615657ebe9d</errorID>
      <errorWord>既</errorWord>
      <group>L1_Word</group>
      <groupName>字词问题</groupName>
      <ability>L2_Typo</ability>
      <abilityName>字词错误</abilityName>
      <candidateList>
        <item>既要</item>
      </candidateList>
      <explain/>
      <paraID>76C9B10E</paraID>
      <start>39</start>
      <end>40</end>
      <status>unmodified</status>
      <modifiedWord/>
      <trackRevisions>false</trackRevisions>
    </reviewItem>
    <reviewItem>
      <errorID>b9174af4-37d4-432d-9f29-2b0224743666</errorID>
      <errorWord> </errorWord>
      <group>L1_Format</group>
      <groupName>格式问题</groupName>
      <ability>L2_Whitespace</ability>
      <abilityName>空白字符</abilityName>
      <candidateList>
        <item/>
      </candidateList>
      <explain>文本间存在多余的空白字符。</explain>
      <paraID> F44DDD7</paraID>
      <start>81</start>
      <end>82</end>
      <status>unmodified</status>
      <modifiedWord/>
      <trackRevisions>false</trackRevisions>
    </reviewItem>
    <reviewItem>
      <errorID>73cc6e1b-9a54-464e-b9d4-020171eba643</errorID>
      <errorWord> </errorWord>
      <group>L1_Format</group>
      <groupName>格式问题</groupName>
      <ability>L2_Whitespace</ability>
      <abilityName>空白字符</abilityName>
      <candidateList>
        <item/>
      </candidateList>
      <explain>文本间存在多余的空白字符。</explain>
      <paraID> F44DDD7</paraID>
      <start>103</start>
      <end>104</end>
      <status>unmodified</status>
      <modifiedWord/>
      <trackRevisions>false</trackRevisions>
    </reviewItem>
    <reviewItem>
      <errorID>4686448b-b5cb-498a-8b68-d7d7830193f8</errorID>
      <errorWord> </errorWord>
      <group>L1_Format</group>
      <groupName>格式问题</groupName>
      <ability>L2_Whitespace</ability>
      <abilityName>空白字符</abilityName>
      <candidateList>
        <item/>
      </candidateList>
      <explain>文本间存在多余的空白字符。</explain>
      <paraID> F44DDD7</paraID>
      <start>127</start>
      <end>128</end>
      <status>unmodified</status>
      <modifiedWord/>
      <trackRevisions>false</trackRevisions>
    </reviewItem>
    <reviewItem>
      <errorID>1cd9ff0b-cc41-41e1-83ac-c87f09c830cf</errorID>
      <errorWord>     </errorWord>
      <group>L1_Format</group>
      <groupName>格式问题</groupName>
      <ability>L2_Whitespace</ability>
      <abilityName>空白字符</abilityName>
      <candidateList>
        <item/>
      </candidateList>
      <explain>文本间存在多余的空白字符。</explain>
      <paraID>7F4DB536</paraID>
      <start>8</start>
      <end>13</end>
      <status>unmodified</status>
      <modifiedWord/>
      <trackRevisions>false</trackRevisions>
    </reviewItem>
    <reviewItem>
      <errorID>c9c360f9-634c-47f8-b2e4-720807aca0d2</errorID>
      <errorWord>        </errorWord>
      <group>L1_Format</group>
      <groupName>格式问题</groupName>
      <ability>L2_Whitespace</ability>
      <abilityName>空白字符</abilityName>
      <candidateList>
        <item/>
      </candidateList>
      <explain>文本间存在多余的空白字符。</explain>
      <paraID>4E372889</paraID>
      <start>8</start>
      <end>16</end>
      <status>unmodified</status>
      <modifiedWord/>
      <trackRevisions>false</trackRevisions>
    </reviewItem>
    <reviewItem>
      <errorID>bb2b2746-5fc8-488f-aeaa-04a4819d8b0d</errorID>
      <errorWord> </errorWord>
      <group>L1_Format</group>
      <groupName>格式问题</groupName>
      <ability>L2_Whitespace</ability>
      <abilityName>空白字符</abilityName>
      <candidateList>
        <item/>
      </candidateList>
      <explain>文本间存在多余的空白字符。</explain>
      <paraID>7BFA1E6C</paraID>
      <start>3</start>
      <end>4</end>
      <status>unmodified</status>
      <modifiedWord/>
      <trackRevisions>false</trackRevisions>
    </reviewItem>
    <reviewItem>
      <errorID>b57b1d56-56f6-44d7-a25d-8399c02528e3</errorID>
      <errorWord>     </errorWord>
      <group>L1_Format</group>
      <groupName>格式问题</groupName>
      <ability>L2_Whitespace</ability>
      <abilityName>空白字符</abilityName>
      <candidateList>
        <item/>
      </candidateList>
      <explain>文本间存在多余的空白字符。</explain>
      <paraID>7F296B08</paraID>
      <start>8</start>
      <end>13</end>
      <status>unmodified</status>
      <modifiedWord/>
      <trackRevisions>false</trackRevisions>
    </reviewItem>
    <reviewItem>
      <errorID>88a6ef67-7c9a-4005-ac36-456838059346</errorID>
      <errorWord> </errorWord>
      <group>L1_Format</group>
      <groupName>格式问题</groupName>
      <ability>L2_Whitespace</ability>
      <abilityName>空白字符</abilityName>
      <candidateList>
        <item/>
      </candidateList>
      <explain>文本间存在多余的空白字符。</explain>
      <paraID>7727320C</paraID>
      <start>14</start>
      <end>15</end>
      <status>unmodified</status>
      <modifiedWord/>
      <trackRevisions>false</trackRevisions>
    </reviewItem>
    <reviewItem>
      <errorID>db5be22f-17d1-4449-8238-eb5d5a016a40</errorID>
      <errorWord>     </errorWord>
      <group>L1_Format</group>
      <groupName>格式问题</groupName>
      <ability>L2_Whitespace</ability>
      <abilityName>空白字符</abilityName>
      <candidateList>
        <item/>
      </candidateList>
      <explain>文本间存在多余的空白字符。</explain>
      <paraID>7A9A8738</paraID>
      <start>8</start>
      <end>13</end>
      <status>unmodified</status>
      <modifiedWord/>
      <trackRevisions>false</trackRevisions>
    </reviewItem>
    <reviewItem>
      <errorID>47ef99ae-28e7-4acc-b7f6-8ad3eeddfbc8</errorID>
      <errorWord>    </errorWord>
      <group>L1_Format</group>
      <groupName>格式问题</groupName>
      <ability>L2_Whitespace</ability>
      <abilityName>空白字符</abilityName>
      <candidateList>
        <item/>
      </candidateList>
      <explain>文本间存在多余的空白字符。</explain>
      <paraID>754C86EB</paraID>
      <start>8</start>
      <end>12</end>
      <status>unmodified</status>
      <modifiedWord/>
      <trackRevisions>false</trackRevisions>
    </reviewItem>
    <reviewItem>
      <errorID>8b068180-d629-4777-89a1-384cdb699f8f</errorID>
      <errorWord>     </errorWord>
      <group>L1_Format</group>
      <groupName>格式问题</groupName>
      <ability>L2_Whitespace</ability>
      <abilityName>空白字符</abilityName>
      <candidateList>
        <item/>
      </candidateList>
      <explain>文本间存在多余的空白字符。</explain>
      <paraID>7069FEA1</paraID>
      <start>8</start>
      <end>13</end>
      <status>unmodified</status>
      <modifiedWord/>
      <trackRevisions>false</trackRevisions>
    </reviewItem>
    <reviewItem>
      <errorID>e45d53bd-6ce4-47ad-8ba1-aee5eb6a268d</errorID>
      <errorWord>    </errorWord>
      <group>L1_Format</group>
      <groupName>格式问题</groupName>
      <ability>L2_Whitespace</ability>
      <abilityName>空白字符</abilityName>
      <candidateList>
        <item/>
      </candidateList>
      <explain>文本间存在多余的空白字符。</explain>
      <paraID> 1C824A1</paraID>
      <start>8</start>
      <end>12</end>
      <status>unmodified</status>
      <modifiedWord/>
      <trackRevisions>false</trackRevisions>
    </reviewItem>
    <reviewItem>
      <errorID>77231b91-2a61-4f71-8e69-3b475fc81c6d</errorID>
      <errorWord>     </errorWord>
      <group>L1_Format</group>
      <groupName>格式问题</groupName>
      <ability>L2_Whitespace</ability>
      <abilityName>空白字符</abilityName>
      <candidateList>
        <item/>
      </candidateList>
      <explain>文本间存在多余的空白字符。</explain>
      <paraID> C21ECA0</paraID>
      <start>8</start>
      <end>13</end>
      <status>unmodified</status>
      <modifiedWord/>
      <trackRevisions>false</trackRevisions>
    </reviewItem>
    <reviewItem>
      <errorID>0f108694-90d0-453c-9091-e343067d0b6a</errorID>
      <errorWord>    </errorWord>
      <group>L1_Format</group>
      <groupName>格式问题</groupName>
      <ability>L2_Whitespace</ability>
      <abilityName>空白字符</abilityName>
      <candidateList>
        <item/>
      </candidateList>
      <explain>文本间存在多余的空白字符。</explain>
      <paraID> E602AE7</paraID>
      <start>9</start>
      <end>13</end>
      <status>unmodified</status>
      <modifiedWord/>
      <trackRevisions>false</trackRevisions>
    </reviewItem>
    <reviewItem>
      <errorID>896b4a09-a9b5-49e6-ace2-3a0a8e165aae</errorID>
      <errorWord>IV</errorWord>
      <group>L1_Knowledge</group>
      <groupName>知识性问题</groupName>
      <ability>L2_Knowledge</ability>
      <abilityName>其他知识</abilityName>
      <candidateList>
        <item>Ⅳ</item>
      </candidateList>
      <explain>中文环境下罗马数字格式错误。</explain>
      <paraID> D5A9873</paraID>
      <start>2</start>
      <end>4</end>
      <status>unmodified</status>
      <modifiedWord/>
      <trackRevisions>false</trackRevisions>
    </reviewItem>
    <reviewItem>
      <errorID>2acecc2b-bc8f-43b5-bac1-d681db8820c8</errorID>
      <errorWord> </errorWord>
      <group>L1_Format</group>
      <groupName>格式问题</groupName>
      <ability>L2_Whitespace</ability>
      <abilityName>空白字符</abilityName>
      <candidateList>
        <item/>
      </candidateList>
      <explain>文本间存在多余的空白字符。</explain>
      <paraID>180FA42B</paraID>
      <start>80</start>
      <end>81</end>
      <status>unmodified</status>
      <modifiedWord/>
      <trackRevisions>false</trackRevisions>
    </reviewItem>
    <reviewItem>
      <errorID>c92aa58c-65d6-4f8c-8bcd-f7c59bdb1bdc</errorID>
      <errorWord> </errorWord>
      <group>L1_Format</group>
      <groupName>格式问题</groupName>
      <ability>L2_Whitespace</ability>
      <abilityName>空白字符</abilityName>
      <candidateList>
        <item/>
      </candidateList>
      <explain>文本间存在多余的空白字符。</explain>
      <paraID>26AA0972</paraID>
      <start>77</start>
      <end>78</end>
      <status>unmodified</status>
      <modifiedWord/>
      <trackRevisions>false</trackRevisions>
    </reviewItem>
    <reviewItem>
      <errorID>c14c716a-9b1d-4d52-9c18-fff0dc039129</errorID>
      <errorWord> </errorWord>
      <group>L1_Format</group>
      <groupName>格式问题</groupName>
      <ability>L2_Whitespace</ability>
      <abilityName>空白字符</abilityName>
      <candidateList>
        <item/>
      </candidateList>
      <explain>文本间存在多余的空白字符。</explain>
      <paraID>52BD298C</paraID>
      <start>25</start>
      <end>26</end>
      <status>unmodified</status>
      <modifiedWord/>
      <trackRevisions>false</trackRevisions>
    </reviewItem>
    <reviewItem>
      <errorID>e6a4d2de-bd58-4e01-87d0-44adc3bef54b</errorID>
      <errorWord> </errorWord>
      <group>L1_Format</group>
      <groupName>格式问题</groupName>
      <ability>L2_Whitespace</ability>
      <abilityName>空白字符</abilityName>
      <candidateList>
        <item/>
      </candidateList>
      <explain>文本间存在多余的空白字符。</explain>
      <paraID>1F3DF443</paraID>
      <start>119</start>
      <end>120</end>
      <status>unmodified</status>
      <modifiedWord/>
      <trackRevisions>false</trackRevisions>
    </reviewItem>
    <reviewItem>
      <errorID>0b4668c5-0938-4ad8-ba8f-646a21cee67b</errorID>
      <errorWord> </errorWord>
      <group>L1_Format</group>
      <groupName>格式问题</groupName>
      <ability>L2_Whitespace</ability>
      <abilityName>空白字符</abilityName>
      <candidateList>
        <item/>
      </candidateList>
      <explain>文本间存在多余的空白字符。</explain>
      <paraID>3E67B7FA</paraID>
      <start>44</start>
      <end>45</end>
      <status>unmodified</status>
      <modifiedWord/>
      <trackRevisions>false</trackRevisions>
    </reviewItem>
    <reviewItem>
      <errorID>9f16f585-6c3a-46c4-b054-7bbdc6aea22c</errorID>
      <errorWord> </errorWord>
      <group>L1_Format</group>
      <groupName>格式问题</groupName>
      <ability>L2_Whitespace</ability>
      <abilityName>空白字符</abilityName>
      <candidateList>
        <item/>
      </candidateList>
      <explain>文本间存在多余的空白字符。</explain>
      <paraID>2B023320</paraID>
      <start>54</start>
      <end>55</end>
      <status>unmodified</status>
      <modifiedWord/>
      <trackRevisions>false</trackRevisions>
    </reviewItem>
    <reviewItem>
      <errorID>718e30cb-954c-4ce6-8482-583cd50df11d</errorID>
      <errorWord> </errorWord>
      <group>L1_Format</group>
      <groupName>格式问题</groupName>
      <ability>L2_Whitespace</ability>
      <abilityName>空白字符</abilityName>
      <candidateList>
        <item/>
      </candidateList>
      <explain>文本间存在多余的空白字符。</explain>
      <paraID>263D69B7</paraID>
      <start>38</start>
      <end>39</end>
      <status>unmodified</status>
      <modifiedWord/>
      <trackRevisions>false</trackRevisions>
    </reviewItem>
    <reviewItem>
      <errorID>a3d2e10d-7ea4-4be1-af62-c10bec0dad1e</errorID>
      <errorWord> </errorWord>
      <group>L1_Format</group>
      <groupName>格式问题</groupName>
      <ability>L2_Whitespace</ability>
      <abilityName>空白字符</abilityName>
      <candidateList>
        <item/>
      </candidateList>
      <explain>文本间存在多余的空白字符。</explain>
      <paraID>2A9DE6B6</paraID>
      <start>3</start>
      <end>4</end>
      <status>unmodified</status>
      <modifiedWord/>
      <trackRevisions>false</trackRevisions>
    </reviewItem>
    <reviewItem>
      <errorID>6c7e3db9-770c-423e-9bba-82c747526fd8</errorID>
      <errorWord> </errorWord>
      <group>L1_Format</group>
      <groupName>格式问题</groupName>
      <ability>L2_Whitespace</ability>
      <abilityName>空白字符</abilityName>
      <candidateList>
        <item/>
      </candidateList>
      <explain>文本间存在多余的空白字符。</explain>
      <paraID>2A9DE6B6</paraID>
      <start>18</start>
      <end>19</end>
      <status>unmodified</status>
      <modifiedWord/>
      <trackRevisions>false</trackRevisions>
    </reviewItem>
    <reviewItem>
      <errorID>bb367520-a11c-4c6b-a503-072a4f7ebc4e</errorID>
      <errorWord> </errorWord>
      <group>L1_Format</group>
      <groupName>格式问题</groupName>
      <ability>L2_Whitespace</ability>
      <abilityName>空白字符</abilityName>
      <candidateList>
        <item/>
      </candidateList>
      <explain>文本间存在多余的空白字符。</explain>
      <paraID>28565EBB</paraID>
      <start>5</start>
      <end>6</end>
      <status>unmodified</status>
      <modifiedWord/>
      <trackRevisions>false</trackRevisions>
    </reviewItem>
    <reviewItem>
      <errorID>2e6f92d8-457e-48a7-8ee7-79bf7bf78093</errorID>
      <errorWord> </errorWord>
      <group>L1_Format</group>
      <groupName>格式问题</groupName>
      <ability>L2_Whitespace</ability>
      <abilityName>空白字符</abilityName>
      <candidateList>
        <item/>
      </candidateList>
      <explain>文本间存在多余的空白字符。</explain>
      <paraID>28565EBB</paraID>
      <start>17</start>
      <end>18</end>
      <status>unmodified</status>
      <modifiedWord/>
      <trackRevisions>false</trackRevisions>
    </reviewItem>
    <reviewItem>
      <errorID>19529a06-c128-4891-b4dd-6f867c0a64a8</errorID>
      <errorWord> </errorWord>
      <group>L1_Format</group>
      <groupName>格式问题</groupName>
      <ability>L2_Whitespace</ability>
      <abilityName>空白字符</abilityName>
      <candidateList>
        <item/>
      </candidateList>
      <explain>文本间存在多余的空白字符。</explain>
      <paraID>108F7420</paraID>
      <start>79</start>
      <end>80</end>
      <status>unmodified</status>
      <modifiedWord/>
      <trackRevisions>false</trackRevisions>
    </reviewItem>
    <reviewItem>
      <errorID>6efcaa68-c849-4f4b-88ae-9c5c6a81a31b</errorID>
      <errorWord> </errorWord>
      <group>L1_Format</group>
      <groupName>格式问题</groupName>
      <ability>L2_Whitespace</ability>
      <abilityName>空白字符</abilityName>
      <candidateList>
        <item/>
      </candidateList>
      <explain>文本间存在多余的空白字符。</explain>
      <paraID> F9D0878</paraID>
      <start>101</start>
      <end>102</end>
      <status>unmodified</status>
      <modifiedWord/>
      <trackRevisions>false</trackRevisions>
    </reviewItem>
    <reviewItem>
      <errorID>cac14b2a-21b3-4417-b581-1a7c0aa4707c</errorID>
      <errorWord> </errorWord>
      <group>L1_Format</group>
      <groupName>格式问题</groupName>
      <ability>L2_Whitespace</ability>
      <abilityName>空白字符</abilityName>
      <candidateList>
        <item/>
      </candidateList>
      <explain>文本间存在多余的空白字符。</explain>
      <paraID>6218D2A8</paraID>
      <start>32</start>
      <end>33</end>
      <status>unmodified</status>
      <modifiedWord/>
      <trackRevisions>false</trackRevisions>
    </reviewItem>
    <reviewItem>
      <errorID>06c312ff-8ae4-4716-9b4f-a7220d96d08a</errorID>
      <errorWord> </errorWord>
      <group>L1_Format</group>
      <groupName>格式问题</groupName>
      <ability>L2_Whitespace</ability>
      <abilityName>空白字符</abilityName>
      <candidateList>
        <item/>
      </candidateList>
      <explain>文本间存在多余的空白字符。</explain>
      <paraID>1A07D925</paraID>
      <start>81</start>
      <end>82</end>
      <status>unmodified</status>
      <modifiedWord/>
      <trackRevisions>false</trackRevisions>
    </reviewItem>
    <reviewItem>
      <errorID>27dd07b0-cd74-4c2f-a7df-61b44d272dd6</errorID>
      <errorWord> </errorWord>
      <group>L1_Format</group>
      <groupName>格式问题</groupName>
      <ability>L2_Whitespace</ability>
      <abilityName>空白字符</abilityName>
      <candidateList>
        <item/>
      </candidateList>
      <explain>文本间存在多余的空白字符。</explain>
      <paraID>7194F01D</paraID>
      <start>93</start>
      <end>94</end>
      <status>unmodified</status>
      <modifiedWord/>
      <trackRevisions>false</trackRevisions>
    </reviewItem>
    <reviewItem>
      <errorID>79e883b5-429e-4fbb-8c9c-598399c8945f</errorID>
      <errorWord> </errorWord>
      <group>L1_Format</group>
      <groupName>格式问题</groupName>
      <ability>L2_Whitespace</ability>
      <abilityName>空白字符</abilityName>
      <candidateList>
        <item/>
      </candidateList>
      <explain>文本间存在多余的空白字符。</explain>
      <paraID>193D528C</paraID>
      <start>31</start>
      <end>32</end>
      <status>unmodified</status>
      <modifiedWord/>
      <trackRevisions>false</trackRevisions>
    </reviewItem>
    <reviewItem>
      <errorID>a9def979-1d16-45da-a4df-8b000d1c145a</errorID>
      <errorWord> </errorWord>
      <group>L1_Format</group>
      <groupName>格式问题</groupName>
      <ability>L2_Whitespace</ability>
      <abilityName>空白字符</abilityName>
      <candidateList>
        <item/>
      </candidateList>
      <explain>文本间存在多余的空白字符。</explain>
      <paraID>17584310</paraID>
      <start>5</start>
      <end>6</end>
      <status>unmodified</status>
      <modifiedWord/>
      <trackRevisions>false</trackRevisions>
    </reviewItem>
    <reviewItem>
      <errorID>730ba805-fef8-4763-be50-fc1f1dddbbd6</errorID>
      <errorWord> </errorWord>
      <group>L1_Format</group>
      <groupName>格式问题</groupName>
      <ability>L2_Whitespace</ability>
      <abilityName>空白字符</abilityName>
      <candidateList>
        <item/>
      </candidateList>
      <explain>文本间存在多余的空白字符。</explain>
      <paraID>17584310</paraID>
      <start>16</start>
      <end>17</end>
      <status>unmodified</status>
      <modifiedWord/>
      <trackRevisions>false</trackRevisions>
    </reviewItem>
    <reviewItem>
      <errorID>4fd49e78-545a-4f93-bcbe-3f6a2258c3f1</errorID>
      <errorWord> </errorWord>
      <group>L1_Format</group>
      <groupName>格式问题</groupName>
      <ability>L2_Whitespace</ability>
      <abilityName>空白字符</abilityName>
      <candidateList>
        <item/>
      </candidateList>
      <explain>文本间存在多余的空白字符。</explain>
      <paraID> F9DF1FA</paraID>
      <start>37</start>
      <end>38</end>
      <status>unmodified</status>
      <modifiedWord/>
      <trackRevisions>false</trackRevisions>
    </reviewItem>
    <reviewItem>
      <errorID>a122a0fd-d682-4d5d-a716-dfeb178d88f8</errorID>
      <errorWord> </errorWord>
      <group>L1_Format</group>
      <groupName>格式问题</groupName>
      <ability>L2_Whitespace</ability>
      <abilityName>空白字符</abilityName>
      <candidateList>
        <item/>
      </candidateList>
      <explain>文本间存在多余的空白字符。</explain>
      <paraID>6754B724</paraID>
      <start>38</start>
      <end>39</end>
      <status>unmodified</status>
      <modifiedWord/>
      <trackRevisions>false</trackRevisions>
    </reviewItem>
    <reviewItem>
      <errorID>95040f66-1f21-4207-add7-49bc4ff9b51d</errorID>
      <errorWord> </errorWord>
      <group>L1_Format</group>
      <groupName>格式问题</groupName>
      <ability>L2_Whitespace</ability>
      <abilityName>空白字符</abilityName>
      <candidateList>
        <item/>
      </candidateList>
      <explain>文本间存在多余的空白字符。</explain>
      <paraID>5E073F84</paraID>
      <start>42</start>
      <end>43</end>
      <status>unmodified</status>
      <modifiedWord/>
      <trackRevisions>false</trackRevisions>
    </reviewItem>
    <reviewItem>
      <errorID>4b95d9ea-0156-4bf5-92a5-42d860607f8d</errorID>
      <errorWord> </errorWord>
      <group>L1_Format</group>
      <groupName>格式问题</groupName>
      <ability>L2_Whitespace</ability>
      <abilityName>空白字符</abilityName>
      <candidateList>
        <item/>
      </candidateList>
      <explain>文本间存在多余的空白字符。</explain>
      <paraID>24A505A9</paraID>
      <start>5</start>
      <end>6</end>
      <status>unmodified</status>
      <modifiedWord/>
      <trackRevisions>false</trackRevisions>
    </reviewItem>
    <reviewItem>
      <errorID>98f4a7fb-eca2-4a53-af79-678381987850</errorID>
      <errorWord> </errorWord>
      <group>L1_Format</group>
      <groupName>格式问题</groupName>
      <ability>L2_Whitespace</ability>
      <abilityName>空白字符</abilityName>
      <candidateList>
        <item/>
      </candidateList>
      <explain>文本间存在多余的空白字符。</explain>
      <paraID>24A505A9</paraID>
      <start>17</start>
      <end>18</end>
      <status>unmodified</status>
      <modifiedWord/>
      <trackRevisions>false</trackRevisions>
    </reviewItem>
    <reviewItem>
      <errorID>fecf170f-a91e-4eda-ab70-cdfe1d88de3c</errorID>
      <errorWord> </errorWord>
      <group>L1_Format</group>
      <groupName>格式问题</groupName>
      <ability>L2_Whitespace</ability>
      <abilityName>空白字符</abilityName>
      <candidateList>
        <item/>
      </candidateList>
      <explain>文本间存在多余的空白字符。</explain>
      <paraID>79091FFF</paraID>
      <start>79</start>
      <end>80</end>
      <status>unmodified</status>
      <modifiedWord/>
      <trackRevisions>false</trackRevisions>
    </reviewItem>
    <reviewItem>
      <errorID>5f58d99e-ffb6-4134-9af7-0ae4e5b60197</errorID>
      <errorWord> </errorWord>
      <group>L1_Format</group>
      <groupName>格式问题</groupName>
      <ability>L2_Whitespace</ability>
      <abilityName>空白字符</abilityName>
      <candidateList>
        <item/>
      </candidateList>
      <explain>文本间存在多余的空白字符。</explain>
      <paraID>46ACE552</paraID>
      <start>89</start>
      <end>90</end>
      <status>unmodified</status>
      <modifiedWord/>
      <trackRevisions>false</trackRevisions>
    </reviewItem>
    <reviewItem>
      <errorID>487c1dd7-3c22-4a4d-ad2d-059d350b5043</errorID>
      <errorWord> </errorWord>
      <group>L1_Format</group>
      <groupName>格式问题</groupName>
      <ability>L2_Whitespace</ability>
      <abilityName>空白字符</abilityName>
      <candidateList>
        <item/>
      </candidateList>
      <explain>文本间存在多余的空白字符。</explain>
      <paraID>198BBE31</paraID>
      <start>46</start>
      <end>47</end>
      <status>unmodified</status>
      <modifiedWord/>
      <trackRevisions>false</trackRevisions>
    </reviewItem>
    <reviewItem>
      <errorID>22178e48-bb04-4b5e-a548-ecc00dd97549</errorID>
      <errorWord> </errorWord>
      <group>L1_Format</group>
      <groupName>格式问题</groupName>
      <ability>L2_Whitespace</ability>
      <abilityName>空白字符</abilityName>
      <candidateList>
        <item/>
      </candidateList>
      <explain>文本间存在多余的空白字符。</explain>
      <paraID> C2EEE69</paraID>
      <start>60</start>
      <end>61</end>
      <status>unmodified</status>
      <modifiedWord/>
      <trackRevisions>false</trackRevisions>
    </reviewItem>
    <reviewItem>
      <errorID>5d9e2d4f-d722-49e8-9c38-4017eb6d0e41</errorID>
      <errorWord> </errorWord>
      <group>L1_Format</group>
      <groupName>格式问题</groupName>
      <ability>L2_Whitespace</ability>
      <abilityName>空白字符</abilityName>
      <candidateList>
        <item/>
      </candidateList>
      <explain>文本间存在多余的空白字符。</explain>
      <paraID>66864C70</paraID>
      <start>27</start>
      <end>28</end>
      <status>unmodified</status>
      <modifiedWord/>
      <trackRevisions>false</trackRevisions>
    </reviewItem>
    <reviewItem>
      <errorID>ae2061a4-1a96-4fd9-a9e3-a7a6711693a2</errorID>
      <errorWord> </errorWord>
      <group>L1_Format</group>
      <groupName>格式问题</groupName>
      <ability>L2_Whitespace</ability>
      <abilityName>空白字符</abilityName>
      <candidateList>
        <item/>
      </candidateList>
      <explain>文本间存在多余的空白字符。</explain>
      <paraID>3E5BAA44</paraID>
      <start>5</start>
      <end>6</end>
      <status>unmodified</status>
      <modifiedWord/>
      <trackRevisions>false</trackRevisions>
    </reviewItem>
    <reviewItem>
      <errorID>32ff97ec-4465-4793-a42c-610c48c32e7e</errorID>
      <errorWord> </errorWord>
      <group>L1_Format</group>
      <groupName>格式问题</groupName>
      <ability>L2_Whitespace</ability>
      <abilityName>空白字符</abilityName>
      <candidateList>
        <item/>
      </candidateList>
      <explain>文本间存在多余的空白字符。</explain>
      <paraID>3E5BAA44</paraID>
      <start>21</start>
      <end>22</end>
      <status>unmodified</status>
      <modifiedWord/>
      <trackRevisions>false</trackRevisions>
    </reviewItem>
    <reviewItem>
      <errorID>ee8bd67e-9d79-4870-8503-62a09b3f3dd5</errorID>
      <errorWord> </errorWord>
      <group>L1_Format</group>
      <groupName>格式问题</groupName>
      <ability>L2_Whitespace</ability>
      <abilityName>空白字符</abilityName>
      <candidateList>
        <item/>
      </candidateList>
      <explain>文本间存在多余的空白字符。</explain>
      <paraID>7BBB0976</paraID>
      <start>67</start>
      <end>68</end>
      <status>unmodified</status>
      <modifiedWord/>
      <trackRevisions>false</trackRevisions>
    </reviewItem>
    <reviewItem>
      <errorID>e4d3623c-e2f4-445f-ace8-41d6db89c397</errorID>
      <errorWord> </errorWord>
      <group>L1_Format</group>
      <groupName>格式问题</groupName>
      <ability>L2_Whitespace</ability>
      <abilityName>空白字符</abilityName>
      <candidateList>
        <item/>
      </candidateList>
      <explain>文本间存在多余的空白字符。</explain>
      <paraID>60EFA118</paraID>
      <start>27</start>
      <end>28</end>
      <status>unmodified</status>
      <modifiedWord/>
      <trackRevisions>false</trackRevisions>
    </reviewItem>
    <reviewItem>
      <errorID>d8d035c1-372e-4af5-adf3-3d60a44554a8</errorID>
      <errorWord> </errorWord>
      <group>L1_Format</group>
      <groupName>格式问题</groupName>
      <ability>L2_Whitespace</ability>
      <abilityName>空白字符</abilityName>
      <candidateList>
        <item/>
      </candidateList>
      <explain>文本间存在多余的空白字符。</explain>
      <paraID>2DD8C419</paraID>
      <start>28</start>
      <end>29</end>
      <status>unmodified</status>
      <modifiedWord/>
      <trackRevisions>false</trackRevisions>
    </reviewItem>
    <reviewItem>
      <errorID>942d04f1-a5dd-41c1-9973-7b952402f4fd</errorID>
      <errorWord> </errorWord>
      <group>L1_Format</group>
      <groupName>格式问题</groupName>
      <ability>L2_Whitespace</ability>
      <abilityName>空白字符</abilityName>
      <candidateList>
        <item/>
      </candidateList>
      <explain>文本间存在多余的空白字符。</explain>
      <paraID>2970C953</paraID>
      <start>26</start>
      <end>27</end>
      <status>unmodified</status>
      <modifiedWord/>
      <trackRevisions>false</trackRevisions>
    </reviewItem>
    <reviewItem>
      <errorID>bb39e08d-94a8-4d05-b544-b4e4c9c239dc</errorID>
      <errorWord> </errorWord>
      <group>L1_Format</group>
      <groupName>格式问题</groupName>
      <ability>L2_Whitespace</ability>
      <abilityName>空白字符</abilityName>
      <candidateList>
        <item/>
      </candidateList>
      <explain>文本间存在多余的空白字符。</explain>
      <paraID>1113AFC1</paraID>
      <start>52</start>
      <end>53</end>
      <status>unmodified</status>
      <modifiedWord/>
      <trackRevisions>false</trackRevisions>
    </reviewItem>
    <reviewItem>
      <errorID>7ea04c59-d9c5-4ce4-ac37-50b47cb3aa8b</errorID>
      <errorWord> </errorWord>
      <group>L1_Format</group>
      <groupName>格式问题</groupName>
      <ability>L2_Whitespace</ability>
      <abilityName>空白字符</abilityName>
      <candidateList>
        <item/>
      </candidateList>
      <explain>文本间存在多余的空白字符。</explain>
      <paraID>52FE394D</paraID>
      <start>42</start>
      <end>43</end>
      <status>unmodified</status>
      <modifiedWord/>
      <trackRevisions>false</trackRevisions>
    </reviewItem>
    <reviewItem>
      <errorID>0341e06b-29dc-48bf-8b5a-8c1a96b902e2</errorID>
      <errorWord> </errorWord>
      <group>L1_Format</group>
      <groupName>格式问题</groupName>
      <ability>L2_Whitespace</ability>
      <abilityName>空白字符</abilityName>
      <candidateList>
        <item/>
      </candidateList>
      <explain>文本间存在多余的空白字符。</explain>
      <paraID>4E10D00A</paraID>
      <start>56</start>
      <end>57</end>
      <status>unmodified</status>
      <modifiedWord/>
      <trackRevisions>false</trackRevisions>
    </reviewItem>
    <reviewItem>
      <errorID>cdd50aff-ba33-4f71-91eb-3ad63b6dd6a0</errorID>
      <errorWord> </errorWord>
      <group>L1_Format</group>
      <groupName>格式问题</groupName>
      <ability>L2_Whitespace</ability>
      <abilityName>空白字符</abilityName>
      <candidateList>
        <item/>
      </candidateList>
      <explain>文本间存在多余的空白字符。</explain>
      <paraID>   6FDD1</paraID>
      <start>92</start>
      <end>93</end>
      <status>unmodified</status>
      <modifiedWord/>
      <trackRevisions>false</trackRevisions>
    </reviewItem>
    <reviewItem>
      <errorID>e29118d1-b864-459e-aa69-99b306210520</errorID>
      <errorWord> </errorWord>
      <group>L1_Format</group>
      <groupName>格式问题</groupName>
      <ability>L2_Whitespace</ability>
      <abilityName>空白字符</abilityName>
      <candidateList>
        <item/>
      </candidateList>
      <explain>文本间存在多余的空白字符。</explain>
      <paraID>4E0A1952</paraID>
      <start>3</start>
      <end>4</end>
      <status>unmodified</status>
      <modifiedWord/>
      <trackRevisions>false</trackRevisions>
    </reviewItem>
    <reviewItem>
      <errorID>5ad586db-5f85-40cd-b06f-b5f018170213</errorID>
      <errorWord> </errorWord>
      <group>L1_Format</group>
      <groupName>格式问题</groupName>
      <ability>L2_Whitespace</ability>
      <abilityName>空白字符</abilityName>
      <candidateList>
        <item/>
      </candidateList>
      <explain>文本间存在多余的空白字符。</explain>
      <paraID>680CF828</paraID>
      <start>19</start>
      <end>20</end>
      <status>unmodified</status>
      <modifiedWord/>
      <trackRevisions>false</trackRevisions>
    </reviewItem>
    <reviewItem>
      <errorID>4a4c97fa-5312-4ebf-8179-c58f210135ea</errorID>
      <errorWord> </errorWord>
      <group>L1_Format</group>
      <groupName>格式问题</groupName>
      <ability>L2_Whitespace</ability>
      <abilityName>空白字符</abilityName>
      <candidateList>
        <item/>
      </candidateList>
      <explain>文本间存在多余的空白字符。</explain>
      <paraID>4791AC0E</paraID>
      <start>22</start>
      <end>23</end>
      <status>unmodified</status>
      <modifiedWord/>
      <trackRevisions>false</trackRevisions>
    </reviewItem>
    <reviewItem>
      <errorID>9aaf6433-c285-422f-927c-342d5c3bc1b6</errorID>
      <errorWord> </errorWord>
      <group>L1_Format</group>
      <groupName>格式问题</groupName>
      <ability>L2_Whitespace</ability>
      <abilityName>空白字符</abilityName>
      <candidateList>
        <item/>
      </candidateList>
      <explain>文本间存在多余的空白字符。</explain>
      <paraID>4791AC0E</paraID>
      <start>27</start>
      <end>28</end>
      <status>unmodified</status>
      <modifiedWord/>
      <trackRevisions>false</trackRevisions>
    </reviewItem>
    <reviewItem>
      <errorID>239ab383-460e-4cd8-bba8-35cdd79c635b</errorID>
      <errorWord> </errorWord>
      <group>L1_Format</group>
      <groupName>格式问题</groupName>
      <ability>L2_Whitespace</ability>
      <abilityName>空白字符</abilityName>
      <candidateList>
        <item/>
      </candidateList>
      <explain>文本间存在多余的空白字符。</explain>
      <paraID>4791AC0E</paraID>
      <start>63</start>
      <end>64</end>
      <status>unmodified</status>
      <modifiedWord/>
      <trackRevisions>false</trackRevisions>
    </reviewItem>
    <reviewItem>
      <errorID>fcc60674-883a-4686-8c12-2b22abb8fa14</errorID>
      <errorWord> </errorWord>
      <group>L1_Format</group>
      <groupName>格式问题</groupName>
      <ability>L2_Whitespace</ability>
      <abilityName>空白字符</abilityName>
      <candidateList>
        <item/>
      </candidateList>
      <explain>文本间存在多余的空白字符。</explain>
      <paraID>3DE01558</paraID>
      <start>27</start>
      <end>28</end>
      <status>unmodified</status>
      <modifiedWord/>
      <trackRevisions>false</trackRevisions>
    </reviewItem>
    <reviewItem>
      <errorID>e1c0c27f-29a6-478c-bdde-47d48cd73433</errorID>
      <errorWord> </errorWord>
      <group>L1_Format</group>
      <groupName>格式问题</groupName>
      <ability>L2_Whitespace</ability>
      <abilityName>空白字符</abilityName>
      <candidateList>
        <item/>
      </candidateList>
      <explain>文本间存在多余的空白字符。</explain>
      <paraID>3DE01558</paraID>
      <start>37</start>
      <end>38</end>
      <status>unmodified</status>
      <modifiedWord/>
      <trackRevisions>false</trackRevisions>
    </reviewItem>
    <reviewItem>
      <errorID>8db3ca43-8405-4ed8-8f3f-1e3b39e3930a</errorID>
      <errorWord> </errorWord>
      <group>L1_Format</group>
      <groupName>格式问题</groupName>
      <ability>L2_Whitespace</ability>
      <abilityName>空白字符</abilityName>
      <candidateList>
        <item/>
      </candidateList>
      <explain>文本间存在多余的空白字符。</explain>
      <paraID>3DE01558</paraID>
      <start>72</start>
      <end>73</end>
      <status>unmodified</status>
      <modifiedWord/>
      <trackRevisions>false</trackRevisions>
    </reviewItem>
    <reviewItem>
      <errorID>64650bf3-22cd-493c-a6ee-dfc9d87a998c</errorID>
      <errorWord> </errorWord>
      <group>L1_Format</group>
      <groupName>格式问题</groupName>
      <ability>L2_Whitespace</ability>
      <abilityName>空白字符</abilityName>
      <candidateList>
        <item/>
      </candidateList>
      <explain>文本间存在多余的空白字符。</explain>
      <paraID>318CD67D</paraID>
      <start>101</start>
      <end>102</end>
      <status>unmodified</status>
      <modifiedWord/>
      <trackRevisions>false</trackRevisions>
    </reviewItem>
    <reviewItem>
      <errorID>836154f2-5091-46e0-925a-13d9c0d807d4</errorID>
      <errorWord> </errorWord>
      <group>L1_Format</group>
      <groupName>格式问题</groupName>
      <ability>L2_Whitespace</ability>
      <abilityName>空白字符</abilityName>
      <candidateList>
        <item/>
      </candidateList>
      <explain>文本间存在多余的空白字符。</explain>
      <paraID>19BEFE0E</paraID>
      <start>9</start>
      <end>10</end>
      <status>unmodified</status>
      <modifiedWord/>
      <trackRevisions>false</trackRevisions>
    </reviewItem>
    <reviewItem>
      <errorID>1e7babde-389b-43d2-86e4-efd1a20354be</errorID>
      <errorWord> </errorWord>
      <group>L1_Format</group>
      <groupName>格式问题</groupName>
      <ability>L2_Whitespace</ability>
      <abilityName>空白字符</abilityName>
      <candidateList>
        <item/>
      </candidateList>
      <explain>文本间存在多余的空白字符。</explain>
      <paraID>2E492756</paraID>
      <start>129</start>
      <end>130</end>
      <status>unmodified</status>
      <modifiedWord/>
      <trackRevisions>false</trackRevisions>
    </reviewItem>
    <reviewItem>
      <errorID>7fb4389e-3706-47db-b30d-1572286f558a</errorID>
      <errorWord> </errorWord>
      <group>L1_Format</group>
      <groupName>格式问题</groupName>
      <ability>L2_Whitespace</ability>
      <abilityName>空白字符</abilityName>
      <candidateList>
        <item/>
      </candidateList>
      <explain>文本间存在多余的空白字符。</explain>
      <paraID>63CED3B6</paraID>
      <start>9</start>
      <end>10</end>
      <status>unmodified</status>
      <modifiedWord/>
      <trackRevisions>false</trackRevisions>
    </reviewItem>
    <reviewItem>
      <errorID>5b32aa99-7862-4a9e-9c15-967bcc0a8029</errorID>
      <errorWord> </errorWord>
      <group>L1_Format</group>
      <groupName>格式问题</groupName>
      <ability>L2_Whitespace</ability>
      <abilityName>空白字符</abilityName>
      <candidateList>
        <item/>
      </candidateList>
      <explain>文本间存在多余的空白字符。</explain>
      <paraID> 4B00757</paraID>
      <start>9</start>
      <end>10</end>
      <status>unmodified</status>
      <modifiedWord/>
      <trackRevisions>false</trackRevisions>
    </reviewItem>
    <reviewItem>
      <errorID>a4f53843-64e6-4573-b382-00e6be5c0970</errorID>
      <errorWord> </errorWord>
      <group>L1_Format</group>
      <groupName>格式问题</groupName>
      <ability>L2_Whitespace</ability>
      <abilityName>空白字符</abilityName>
      <candidateList>
        <item/>
      </candidateList>
      <explain>文本间存在多余的空白字符。</explain>
      <paraID>75CBA1A1</paraID>
      <start>9</start>
      <end>10</end>
      <status>unmodified</status>
      <modifiedWord/>
      <trackRevisions>false</trackRevisions>
    </reviewItem>
    <reviewItem>
      <errorID>3842a0d3-f1e2-4a09-b145-72f6cb5a4c85</errorID>
      <errorWord> </errorWord>
      <group>L1_Format</group>
      <groupName>格式问题</groupName>
      <ability>L2_Whitespace</ability>
      <abilityName>空白字符</abilityName>
      <candidateList>
        <item/>
      </candidateList>
      <explain>文本间存在多余的空白字符。</explain>
      <paraID>51787BE0</paraID>
      <start>46</start>
      <end>47</end>
      <status>unmodified</status>
      <modifiedWord/>
      <trackRevisions>false</trackRevisions>
    </reviewItem>
    <reviewItem>
      <errorID>5c21f973-e2cf-4a34-9a0a-f9e0b6d0dc5c</errorID>
      <errorWord>       </errorWord>
      <group>L1_Format</group>
      <groupName>格式问题</groupName>
      <ability>L2_Whitespace</ability>
      <abilityName>空白字符</abilityName>
      <candidateList>
        <item/>
      </candidateList>
      <explain>文本间存在多余的空白字符。</explain>
      <paraID>78C169A8</paraID>
      <start>8</start>
      <end>15</end>
      <status>unmodified</status>
      <modifiedWord/>
      <trackRevisions>false</trackRevisions>
    </reviewItem>
    <reviewItem>
      <errorID>ab5fbe74-dba1-4ba4-a6f6-bf5bf95c6862</errorID>
      <errorWord> </errorWord>
      <group>L1_Format</group>
      <groupName>格式问题</groupName>
      <ability>L2_Whitespace</ability>
      <abilityName>空白字符</abilityName>
      <candidateList>
        <item/>
      </candidateList>
      <explain>文本间存在多余的空白字符。</explain>
      <paraID>34FA8DB5</paraID>
      <start>114</start>
      <end>115</end>
      <status>unmodified</status>
      <modifiedWord/>
      <trackRevisions>false</trackRevisions>
    </reviewItem>
    <reviewItem>
      <errorID>90099995-8f0b-47b5-bd44-437ff34ae9a5</errorID>
      <errorWord>计</errorWord>
      <group>L1_Word</group>
      <groupName>字词问题</groupName>
      <ability>L2_Typo</ability>
      <abilityName>字词错误</abilityName>
      <candidateList>
        <item>计算</item>
      </candidateList>
      <explain/>
      <paraID>7059E24E</paraID>
      <start>101</start>
      <end>102</end>
      <status>unmodified</status>
      <modifiedWord/>
      <trackRevisions>false</trackRevisions>
    </reviewItem>
    <reviewItem>
      <errorID>b5125370-6332-45cb-b983-fa66ccebe6db</errorID>
      <errorWord> </errorWord>
      <group>L1_Format</group>
      <groupName>格式问题</groupName>
      <ability>L2_Whitespace</ability>
      <abilityName>空白字符</abilityName>
      <candidateList>
        <item/>
      </candidateList>
      <explain>文本间存在多余的空白字符。</explain>
      <paraID>6C4EB75D</paraID>
      <start>7</start>
      <end>8</end>
      <status>unmodified</status>
      <modifiedWord/>
      <trackRevisions>false</trackRevisions>
    </reviewItem>
    <reviewItem>
      <errorID>15b8a4b6-006d-41f3-b4bc-2606b10ebb50</errorID>
      <errorWord> </errorWord>
      <group>L1_Format</group>
      <groupName>格式问题</groupName>
      <ability>L2_Whitespace</ability>
      <abilityName>空白字符</abilityName>
      <candidateList>
        <item/>
      </candidateList>
      <explain>文本间存在多余的空白字符。</explain>
      <paraID>6C4EB75D</paraID>
      <start>20</start>
      <end>21</end>
      <status>unmodified</status>
      <modifiedWord/>
      <trackRevisions>false</trackRevisions>
    </reviewItem>
    <reviewItem>
      <errorID>faa64441-4a07-41d0-a397-51cb0d188bc5</errorID>
      <errorWord> </errorWord>
      <group>L1_Format</group>
      <groupName>格式问题</groupName>
      <ability>L2_Whitespace</ability>
      <abilityName>空白字符</abilityName>
      <candidateList>
        <item/>
      </candidateList>
      <explain>文本间存在多余的空白字符。</explain>
      <paraID>3A33CE37</paraID>
      <start>13</start>
      <end>14</end>
      <status>unmodified</status>
      <modifiedWord/>
      <trackRevisions>false</trackRevisions>
    </reviewItem>
    <reviewItem>
      <errorID>9dbacc0b-9d0a-4e95-8c7f-b72badfc05f1</errorID>
      <errorWord> </errorWord>
      <group>L1_Format</group>
      <groupName>格式问题</groupName>
      <ability>L2_Whitespace</ability>
      <abilityName>空白字符</abilityName>
      <candidateList>
        <item/>
      </candidateList>
      <explain>文本间存在多余的空白字符。</explain>
      <paraID>5713C3D1</paraID>
      <start>120</start>
      <end>121</end>
      <status>unmodified</status>
      <modifiedWord/>
      <trackRevisions>false</trackRevisions>
    </reviewItem>
    <reviewItem>
      <errorID>e1afb68b-3563-4b82-b896-11cb57f5e8cb</errorID>
      <errorWord> </errorWord>
      <group>L1_Format</group>
      <groupName>格式问题</groupName>
      <ability>L2_Whitespace</ability>
      <abilityName>空白字符</abilityName>
      <candidateList>
        <item/>
      </candidateList>
      <explain>文本间存在多余的空白字符。</explain>
      <paraID>3598B495</paraID>
      <start>7</start>
      <end>8</end>
      <status>unmodified</status>
      <modifiedWord/>
      <trackRevisions>false</trackRevisions>
    </reviewItem>
    <reviewItem>
      <errorID>04cdb5a7-920d-4fde-b212-8c092e161357</errorID>
      <errorWord> </errorWord>
      <group>L1_Format</group>
      <groupName>格式问题</groupName>
      <ability>L2_Whitespace</ability>
      <abilityName>空白字符</abilityName>
      <candidateList>
        <item/>
      </candidateList>
      <explain>文本间存在多余的空白字符。</explain>
      <paraID>3598B495</paraID>
      <start>22</start>
      <end>23</end>
      <status>unmodified</status>
      <modifiedWord/>
      <trackRevisions>false</trackRevisions>
    </reviewItem>
    <reviewItem>
      <errorID>46fbdd5b-e480-4abd-8b49-b90090f298cf</errorID>
      <errorWord> </errorWord>
      <group>L1_Format</group>
      <groupName>格式问题</groupName>
      <ability>L2_Whitespace</ability>
      <abilityName>空白字符</abilityName>
      <candidateList>
        <item/>
      </candidateList>
      <explain>文本间存在多余的空白字符。</explain>
      <paraID>67667FB5</paraID>
      <start>104</start>
      <end>105</end>
      <status>unmodified</status>
      <modifiedWord/>
      <trackRevisions>false</trackRevisions>
    </reviewItem>
    <reviewItem>
      <errorID>ed6dd8f7-b2a3-4ec0-ae3c-13087d1bdde5</errorID>
      <errorWord> </errorWord>
      <group>L1_Format</group>
      <groupName>格式问题</groupName>
      <ability>L2_Whitespace</ability>
      <abilityName>空白字符</abilityName>
      <candidateList>
        <item/>
      </candidateList>
      <explain>文本间存在多余的空白字符。</explain>
      <paraID>34F437DB</paraID>
      <start>59</start>
      <end>60</end>
      <status>unmodified</status>
      <modifiedWord/>
      <trackRevisions>false</trackRevisions>
    </reviewItem>
    <reviewItem>
      <errorID>a3bff754-c111-438c-99c9-b0435c35ff75</errorID>
      <errorWord> </errorWord>
      <group>L1_Format</group>
      <groupName>格式问题</groupName>
      <ability>L2_Whitespace</ability>
      <abilityName>空白字符</abilityName>
      <candidateList>
        <item/>
      </candidateList>
      <explain>文本间存在多余的空白字符。</explain>
      <paraID>1A9147DB</paraID>
      <start>49</start>
      <end>50</end>
      <status>unmodified</status>
      <modifiedWord/>
      <trackRevisions>false</trackRevisions>
    </reviewItem>
    <reviewItem>
      <errorID>25c94c81-596d-4d21-a741-210d8a021d95</errorID>
      <errorWord> </errorWord>
      <group>L1_Format</group>
      <groupName>格式问题</groupName>
      <ability>L2_Whitespace</ability>
      <abilityName>空白字符</abilityName>
      <candidateList>
        <item/>
      </candidateList>
      <explain>文本间存在多余的空白字符。</explain>
      <paraID>7FC64D10</paraID>
      <start>40</start>
      <end>41</end>
      <status>unmodified</status>
      <modifiedWord/>
      <trackRevisions>false</trackRevisions>
    </reviewItem>
    <reviewItem>
      <errorID>f515f43f-e532-4b3e-aa48-a0cd2cf3eada</errorID>
      <errorWord> </errorWord>
      <group>L1_Format</group>
      <groupName>格式问题</groupName>
      <ability>L2_Whitespace</ability>
      <abilityName>空白字符</abilityName>
      <candidateList>
        <item/>
      </candidateList>
      <explain>文本间存在多余的空白字符。</explain>
      <paraID>304E06B8</paraID>
      <start>30</start>
      <end>31</end>
      <status>unmodified</status>
      <modifiedWord/>
      <trackRevisions>false</trackRevisions>
    </reviewItem>
    <reviewItem>
      <errorID>cdc7a5bb-d44d-4609-a079-7ba54837b482</errorID>
      <errorWord> </errorWord>
      <group>L1_Format</group>
      <groupName>格式问题</groupName>
      <ability>L2_Whitespace</ability>
      <abilityName>空白字符</abilityName>
      <candidateList>
        <item/>
      </candidateList>
      <explain>文本间存在多余的空白字符。</explain>
      <paraID>2188F8EB</paraID>
      <start>93</start>
      <end>94</end>
      <status>unmodified</status>
      <modifiedWord/>
      <trackRevisions>false</trackRevisions>
    </reviewItem>
    <reviewItem>
      <errorID>ee1e551a-df80-4906-833a-fbc48c0a7674</errorID>
      <errorWord> </errorWord>
      <group>L1_Format</group>
      <groupName>格式问题</groupName>
      <ability>L2_Whitespace</ability>
      <abilityName>空白字符</abilityName>
      <candidateList>
        <item/>
      </candidateList>
      <explain>文本间存在多余的空白字符。</explain>
      <paraID> 9237A7E</paraID>
      <start>53</start>
      <end>54</end>
      <status>unmodified</status>
      <modifiedWord/>
      <trackRevisions>false</trackRevisions>
    </reviewItem>
    <reviewItem>
      <errorID>dd447dea-584d-4a6e-956a-b2bd05e2b44a</errorID>
      <errorWord> </errorWord>
      <group>L1_Format</group>
      <groupName>格式问题</groupName>
      <ability>L2_Whitespace</ability>
      <abilityName>空白字符</abilityName>
      <candidateList>
        <item/>
      </candidateList>
      <explain>文本间存在多余的空白字符。</explain>
      <paraID>5E9EE392</paraID>
      <start>42</start>
      <end>43</end>
      <status>unmodified</status>
      <modifiedWord/>
      <trackRevisions>false</trackRevisions>
    </reviewItem>
    <reviewItem>
      <errorID>16d66686-d92e-41f1-b943-69b7df2ca5b3</errorID>
      <errorWord> </errorWord>
      <group>L1_Format</group>
      <groupName>格式问题</groupName>
      <ability>L2_Whitespace</ability>
      <abilityName>空白字符</abilityName>
      <candidateList>
        <item/>
      </candidateList>
      <explain>文本间存在多余的空白字符。</explain>
      <paraID>2835FB73</paraID>
      <start>22</start>
      <end>23</end>
      <status>unmodified</status>
      <modifiedWord/>
      <trackRevisions>false</trackRevisions>
    </reviewItem>
    <reviewItem>
      <errorID>08a53571-7521-4df8-a080-08de7e907f30</errorID>
      <errorWord>土壤污染防范</errorWord>
      <group>L1_Knowledge</group>
      <groupName>知识性问题</groupName>
      <ability>L2_Term</ability>
      <abilityName>专业术语</abilityName>
      <candidateList>
        <item>土壤污染防治</item>
      </candidateList>
      <explain/>
      <paraID> 2DF3148</paraID>
      <start>8</start>
      <end>14</end>
      <status>unmodified</status>
      <modifiedWord/>
      <trackRevisions>false</trackRevisions>
    </reviewItem>
    <reviewItem>
      <errorID>ed75beeb-daef-4e30-8079-cdbe07f46539</errorID>
      <errorWord> </errorWord>
      <group>L1_Format</group>
      <groupName>格式问题</groupName>
      <ability>L2_Whitespace</ability>
      <abilityName>空白字符</abilityName>
      <candidateList>
        <item/>
      </candidateList>
      <explain>文本间存在多余的空白字符。</explain>
      <paraID>2115F820</paraID>
      <start>9</start>
      <end>10</end>
      <status>unmodified</status>
      <modifiedWord/>
      <trackRevisions>false</trackRevisions>
    </reviewItem>
    <reviewItem>
      <errorID>1285eb62-0fee-4940-91c5-92019dae8745</errorID>
      <errorWord> </errorWord>
      <group>L1_Format</group>
      <groupName>格式问题</groupName>
      <ability>L2_Whitespace</ability>
      <abilityName>空白字符</abilityName>
      <candidateList>
        <item/>
      </candidateList>
      <explain>文本间存在多余的空白字符。</explain>
      <paraID>689CDEF1</paraID>
      <start>256</start>
      <end>257</end>
      <status>unmodified</status>
      <modifiedWord/>
      <trackRevisions>false</trackRevisions>
    </reviewItem>
    <reviewItem>
      <errorID>3b418bbe-9209-44fa-b7cb-f8eeb291389e</errorID>
      <errorWord> </errorWord>
      <group>L1_Format</group>
      <groupName>格式问题</groupName>
      <ability>L2_Whitespace</ability>
      <abilityName>空白字符</abilityName>
      <candidateList>
        <item/>
      </candidateList>
      <explain>文本间存在多余的空白字符。</explain>
      <paraID>23D4B796</paraID>
      <start>9</start>
      <end>10</end>
      <status>unmodified</status>
      <modifiedWord/>
      <trackRevisions>false</trackRevisions>
    </reviewItem>
    <reviewItem>
      <errorID>d6ff3cba-97f6-4d29-b39a-4b8f53522514</errorID>
      <errorWord> </errorWord>
      <group>L1_Format</group>
      <groupName>格式问题</groupName>
      <ability>L2_Whitespace</ability>
      <abilityName>空白字符</abilityName>
      <candidateList>
        <item/>
      </candidateList>
      <explain>文本间存在多余的空白字符。</explain>
      <paraID>7949D640</paraID>
      <start>57</start>
      <end>58</end>
      <status>unmodified</status>
      <modifiedWord/>
      <trackRevisions>false</trackRevisions>
    </reviewItem>
    <reviewItem>
      <errorID>4dd2b45d-afed-413e-91a8-7118e2e86e6d</errorID>
      <errorWord> </errorWord>
      <group>L1_Format</group>
      <groupName>格式问题</groupName>
      <ability>L2_Whitespace</ability>
      <abilityName>空白字符</abilityName>
      <candidateList>
        <item/>
      </candidateList>
      <explain>文本间存在多余的空白字符。</explain>
      <paraID>512AD5C1</paraID>
      <start>89</start>
      <end>90</end>
      <status>unmodified</status>
      <modifiedWord/>
      <trackRevisions>false</trackRevisions>
    </reviewItem>
    <reviewItem>
      <errorID>f260b1cb-12c5-460f-8735-1e6683c17031</errorID>
      <errorWord> </errorWord>
      <group>L1_Format</group>
      <groupName>格式问题</groupName>
      <ability>L2_Whitespace</ability>
      <abilityName>空白字符</abilityName>
      <candidateList>
        <item/>
      </candidateList>
      <explain>文本间存在多余的空白字符。</explain>
      <paraID>69A9341F</paraID>
      <start>11</start>
      <end>12</end>
      <status>unmodified</status>
      <modifiedWord/>
      <trackRevisions>false</trackRevisions>
    </reviewItem>
    <reviewItem>
      <errorID>192c2477-c5ba-4f3f-8822-91ca74ed97ef</errorID>
      <errorWord> </errorWord>
      <group>L1_Format</group>
      <groupName>格式问题</groupName>
      <ability>L2_Whitespace</ability>
      <abilityName>空白字符</abilityName>
      <candidateList>
        <item/>
      </candidateList>
      <explain>文本间存在多余的空白字符。</explain>
      <paraID>25D6F30F</paraID>
      <start>35</start>
      <end>36</end>
      <status>unmodified</status>
      <modifiedWord/>
      <trackRevisions>false</trackRevisions>
    </reviewItem>
    <reviewItem>
      <errorID>19fd9863-3ee6-44f0-bed6-eb01e8cb05c5</errorID>
      <errorWord> </errorWord>
      <group>L1_Format</group>
      <groupName>格式问题</groupName>
      <ability>L2_Whitespace</ability>
      <abilityName>空白字符</abilityName>
      <candidateList>
        <item/>
      </candidateList>
      <explain>文本间存在多余的空白字符。</explain>
      <paraID>25D6F30F</paraID>
      <start>55</start>
      <end>56</end>
      <status>unmodified</status>
      <modifiedWord/>
      <trackRevisions>false</trackRevisions>
    </reviewItem>
    <reviewItem>
      <errorID>0d0a4434-19e9-4afd-94a8-0a6a3e1cbe58</errorID>
      <errorWord> </errorWord>
      <group>L1_Format</group>
      <groupName>格式问题</groupName>
      <ability>L2_Whitespace</ability>
      <abilityName>空白字符</abilityName>
      <candidateList>
        <item/>
      </candidateList>
      <explain>文本间存在多余的空白字符。</explain>
      <paraID>64F6E9E4</paraID>
      <start>8</start>
      <end>9</end>
      <status>unmodified</status>
      <modifiedWord/>
      <trackRevisions>false</trackRevisions>
    </reviewItem>
    <reviewItem>
      <errorID>799db27a-cfce-4e9c-b2be-9fcd324a4830</errorID>
      <errorWord> </errorWord>
      <group>L1_Format</group>
      <groupName>格式问题</groupName>
      <ability>L2_Whitespace</ability>
      <abilityName>空白字符</abilityName>
      <candidateList>
        <item/>
      </candidateList>
      <explain>文本间存在多余的空白字符。</explain>
      <paraID>541E3B68</paraID>
      <start>47</start>
      <end>48</end>
      <status>unmodified</status>
      <modifiedWord/>
      <trackRevisions>false</trackRevisions>
    </reviewItem>
    <reviewItem>
      <errorID>6244d3ef-58b4-4c23-bde5-29eb55f79d7f</errorID>
      <errorWord> </errorWord>
      <group>L1_Format</group>
      <groupName>格式问题</groupName>
      <ability>L2_Whitespace</ability>
      <abilityName>空白字符</abilityName>
      <candidateList>
        <item/>
      </candidateList>
      <explain>文本间存在多余的空白字符。</explain>
      <paraID>45F846B2</paraID>
      <start>83</start>
      <end>84</end>
      <status>unmodified</status>
      <modifiedWord/>
      <trackRevisions>false</trackRevisions>
    </reviewItem>
    <reviewItem>
      <errorID>17a96361-c81c-4e02-a129-e2230f8aed0f</errorID>
      <errorWord> </errorWord>
      <group>L1_Format</group>
      <groupName>格式问题</groupName>
      <ability>L2_Whitespace</ability>
      <abilityName>空白字符</abilityName>
      <candidateList>
        <item/>
      </candidateList>
      <explain>文本间存在多余的空白字符。</explain>
      <paraID>1AB2B8CB</paraID>
      <start>8</start>
      <end>9</end>
      <status>unmodified</status>
      <modifiedWord/>
      <trackRevisions>false</trackRevisions>
    </reviewItem>
    <reviewItem>
      <errorID>ba350359-c817-4dcd-97da-fc8c2fc0a6be</errorID>
      <errorWord> </errorWord>
      <group>L1_Format</group>
      <groupName>格式问题</groupName>
      <ability>L2_Whitespace</ability>
      <abilityName>空白字符</abilityName>
      <candidateList>
        <item/>
      </candidateList>
      <explain>文本间存在多余的空白字符。</explain>
      <paraID>7D3E4874</paraID>
      <start>9</start>
      <end>10</end>
      <status>unmodified</status>
      <modifiedWord/>
      <trackRevisions>false</trackRevisions>
    </reviewItem>
    <reviewItem>
      <errorID>3e84d4a7-6a42-4e3c-8e4f-37649e247700</errorID>
      <errorWord> </errorWord>
      <group>L1_Format</group>
      <groupName>格式问题</groupName>
      <ability>L2_Whitespace</ability>
      <abilityName>空白字符</abilityName>
      <candidateList>
        <item/>
      </candidateList>
      <explain>文本间存在多余的空白字符。</explain>
      <paraID>176C3B2E</paraID>
      <start>125</start>
      <end>126</end>
      <status>unmodified</status>
      <modifiedWord/>
      <trackRevisions>false</trackRevisions>
    </reviewItem>
    <reviewItem>
      <errorID>bb60568a-5a9e-4b86-bbd4-fddaf68c2372</errorID>
      <errorWord> </errorWord>
      <group>L1_Format</group>
      <groupName>格式问题</groupName>
      <ability>L2_Whitespace</ability>
      <abilityName>空白字符</abilityName>
      <candidateList>
        <item/>
      </candidateList>
      <explain>文本间存在多余的空白字符。</explain>
      <paraID> 70A5C5D</paraID>
      <start>8</start>
      <end>9</end>
      <status>unmodified</status>
      <modifiedWord/>
      <trackRevisions>false</trackRevisions>
    </reviewItem>
    <reviewItem>
      <errorID>3774ac2d-3c35-4788-b3fb-4a7319f5e14f</errorID>
      <errorWord> </errorWord>
      <group>L1_Format</group>
      <groupName>格式问题</groupName>
      <ability>L2_Whitespace</ability>
      <abilityName>空白字符</abilityName>
      <candidateList>
        <item/>
      </candidateList>
      <explain>文本间存在多余的空白字符。</explain>
      <paraID>4D1A3D34</paraID>
      <start>108</start>
      <end>109</end>
      <status>unmodified</status>
      <modifiedWord/>
      <trackRevisions>false</trackRevisions>
    </reviewItem>
    <reviewItem>
      <errorID>4708907d-e7ce-4983-a7f1-35a5c36d8586</errorID>
      <errorWord>    </errorWord>
      <group>L1_Format</group>
      <groupName>格式问题</groupName>
      <ability>L2_Whitespace</ability>
      <abilityName>空白字符</abilityName>
      <candidateList>
        <item/>
      </candidateList>
      <explain>文本间存在多余的空白字符。</explain>
      <paraID>7C5D9EAC</paraID>
      <start>6</start>
      <end>10</end>
      <status>unmodified</status>
      <modifiedWord/>
      <trackRevisions>false</trackRevisions>
    </reviewItem>
    <reviewItem>
      <errorID>39fe5e67-2c9d-4248-83e3-f04f46fa62ea</errorID>
      <errorWord> </errorWord>
      <group>L1_Format</group>
      <groupName>格式问题</groupName>
      <ability>L2_Whitespace</ability>
      <abilityName>空白字符</abilityName>
      <candidateList>
        <item/>
      </candidateList>
      <explain>文本间存在多余的空白字符。</explain>
      <paraID>2CFAB34F</paraID>
      <start>5</start>
      <end>6</end>
      <status>unmodified</status>
      <modifiedWord/>
      <trackRevisions>false</trackRevisions>
    </reviewItem>
    <reviewItem>
      <errorID>d0aa791e-1209-4000-badf-8881bf346ffd</errorID>
      <errorWord> </errorWord>
      <group>L1_Format</group>
      <groupName>格式问题</groupName>
      <ability>L2_Whitespace</ability>
      <abilityName>空白字符</abilityName>
      <candidateList>
        <item/>
      </candidateList>
      <explain>文本间存在多余的空白字符。</explain>
      <paraID>2A7B48A3</paraID>
      <start>62</start>
      <end>63</end>
      <status>unmodified</status>
      <modifiedWord/>
      <trackRevisions>false</trackRevisions>
    </reviewItem>
    <reviewItem>
      <errorID>7880db70-bef5-45fb-8112-79360361be3f</errorID>
      <errorWord> </errorWord>
      <group>L1_Format</group>
      <groupName>格式问题</groupName>
      <ability>L2_Whitespace</ability>
      <abilityName>空白字符</abilityName>
      <candidateList>
        <item/>
      </candidateList>
      <explain>文本间存在多余的空白字符。</explain>
      <paraID>215084EF</paraID>
      <start>10</start>
      <end>11</end>
      <status>unmodified</status>
      <modifiedWord/>
      <trackRevisions>false</trackRevisions>
    </reviewItem>
    <reviewItem>
      <errorID>dd14a0e3-4026-4782-a244-d71e04df0e99</errorID>
      <errorWord> </errorWord>
      <group>L1_Format</group>
      <groupName>格式问题</groupName>
      <ability>L2_Whitespace</ability>
      <abilityName>空白字符</abilityName>
      <candidateList>
        <item/>
      </candidateList>
      <explain>文本间存在多余的空白字符。</explain>
      <paraID>1CBB8D80</paraID>
      <start>26</start>
      <end>27</end>
      <status>unmodified</status>
      <modifiedWord/>
      <trackRevisions>false</trackRevisions>
    </reviewItem>
    <reviewItem>
      <errorID>f3c4757a-0254-4c93-8add-8bad4060f31c</errorID>
      <errorWord> </errorWord>
      <group>L1_Format</group>
      <groupName>格式问题</groupName>
      <ability>L2_Whitespace</ability>
      <abilityName>空白字符</abilityName>
      <candidateList>
        <item/>
      </candidateList>
      <explain>文本间存在多余的空白字符。</explain>
      <paraID> 75037BE</paraID>
      <start>22</start>
      <end>23</end>
      <status>unmodified</status>
      <modifiedWord/>
      <trackRevisions>false</trackRevisions>
    </reviewItem>
    <reviewItem>
      <errorID>697eeb3b-15e1-4ee6-b7f0-828d2e0acdd1</errorID>
      <errorWord> </errorWord>
      <group>L1_Format</group>
      <groupName>格式问题</groupName>
      <ability>L2_Whitespace</ability>
      <abilityName>空白字符</abilityName>
      <candidateList>
        <item/>
      </candidateList>
      <explain>文本间存在多余的空白字符。</explain>
      <paraID>4C671A66</paraID>
      <start>11</start>
      <end>12</end>
      <status>unmodified</status>
      <modifiedWord/>
      <trackRevisions>false</trackRevisions>
    </reviewItem>
    <reviewItem>
      <errorID>d0803e7c-1fb5-4187-9695-9a34a2c66c17</errorID>
      <errorWord> </errorWord>
      <group>L1_Format</group>
      <groupName>格式问题</groupName>
      <ability>L2_Whitespace</ability>
      <abilityName>空白字符</abilityName>
      <candidateList>
        <item/>
      </candidateList>
      <explain>文本间存在多余的空白字符。</explain>
      <paraID>6A6F0F27</paraID>
      <start>17</start>
      <end>18</end>
      <status>unmodified</status>
      <modifiedWord/>
      <trackRevisions>false</trackRevisions>
    </reviewItem>
    <reviewItem>
      <errorID>d57b3700-01b0-477f-855e-6a043334a6e9</errorID>
      <errorWord> </errorWord>
      <group>L1_Format</group>
      <groupName>格式问题</groupName>
      <ability>L2_Whitespace</ability>
      <abilityName>空白字符</abilityName>
      <candidateList>
        <item/>
      </candidateList>
      <explain>文本间存在多余的空白字符。</explain>
      <paraID>32BB9D83</paraID>
      <start>42</start>
      <end>43</end>
      <status>unmodified</status>
      <modifiedWord/>
      <trackRevisions>false</trackRevisions>
    </reviewItem>
    <reviewItem>
      <errorID>93a1c689-5ee5-482b-9046-c55954010aad</errorID>
      <errorWord> </errorWord>
      <group>L1_Format</group>
      <groupName>格式问题</groupName>
      <ability>L2_Whitespace</ability>
      <abilityName>空白字符</abilityName>
      <candidateList>
        <item/>
      </candidateList>
      <explain>文本间存在多余的空白字符。</explain>
      <paraID>74AC5344</paraID>
      <start>78</start>
      <end>79</end>
      <status>unmodified</status>
      <modifiedWord/>
      <trackRevisions>false</trackRevisions>
    </reviewItem>
    <reviewItem>
      <errorID>0d3afc41-8879-4cf0-bfcc-abb38326c37a</errorID>
      <errorWord> </errorWord>
      <group>L1_Format</group>
      <groupName>格式问题</groupName>
      <ability>L2_Whitespace</ability>
      <abilityName>空白字符</abilityName>
      <candidateList>
        <item/>
      </candidateList>
      <explain>文本间存在多余的空白字符。</explain>
      <paraID>6CBD41A3</paraID>
      <start>7</start>
      <end>8</end>
      <status>unmodified</status>
      <modifiedWord/>
      <trackRevisions>false</trackRevisions>
    </reviewItem>
    <reviewItem>
      <errorID>01ce4e42-8fd4-4744-a3c1-97f7d352475c</errorID>
      <errorWord> </errorWord>
      <group>L1_Format</group>
      <groupName>格式问题</groupName>
      <ability>L2_Whitespace</ability>
      <abilityName>空白字符</abilityName>
      <candidateList>
        <item/>
      </candidateList>
      <explain>文本间存在多余的空白字符。</explain>
      <paraID>6CBD41A3</paraID>
      <start>14</start>
      <end>15</end>
      <status>unmodified</status>
      <modifiedWord/>
      <trackRevisions>false</trackRevisions>
    </reviewItem>
    <reviewItem>
      <errorID>38de71da-866d-4359-8bab-f8d5e144674a</errorID>
      <errorWord> </errorWord>
      <group>L1_Format</group>
      <groupName>格式问题</groupName>
      <ability>L2_Whitespace</ability>
      <abilityName>空白字符</abilityName>
      <candidateList>
        <item/>
      </candidateList>
      <explain>文本间存在多余的空白字符。</explain>
      <paraID>6CF7F82E</paraID>
      <start>73</start>
      <end>74</end>
      <status>unmodified</status>
      <modifiedWord/>
      <trackRevisions>false</trackRevisions>
    </reviewItem>
    <reviewItem>
      <errorID>cbd0568d-faf7-4fc9-88a0-530770bf586b</errorID>
      <errorWord> </errorWord>
      <group>L1_Format</group>
      <groupName>格式问题</groupName>
      <ability>L2_Whitespace</ability>
      <abilityName>空白字符</abilityName>
      <candidateList>
        <item/>
      </candidateList>
      <explain>文本间存在多余的空白字符。</explain>
      <paraID>5EC7A351</paraID>
      <start>46</start>
      <end>47</end>
      <status>unmodified</status>
      <modifiedWord/>
      <trackRevisions>false</trackRevisions>
    </reviewItem>
    <reviewItem>
      <errorID>157fe9f5-4f04-411c-9cb8-211a68d961ea</errorID>
      <errorWord> </errorWord>
      <group>L1_Format</group>
      <groupName>格式问题</groupName>
      <ability>L2_Whitespace</ability>
      <abilityName>空白字符</abilityName>
      <candidateList>
        <item/>
      </candidateList>
      <explain>文本间存在多余的空白字符。</explain>
      <paraID>23FBC093</paraID>
      <start>66</start>
      <end>67</end>
      <status>unmodified</status>
      <modifiedWord/>
      <trackRevisions>false</trackRevisions>
    </reviewItem>
    <reviewItem>
      <errorID>4104dfbd-990d-49ed-b1df-a3a2509651cf</errorID>
      <errorWord> </errorWord>
      <group>L1_Format</group>
      <groupName>格式问题</groupName>
      <ability>L2_Whitespace</ability>
      <abilityName>空白字符</abilityName>
      <candidateList>
        <item/>
      </candidateList>
      <explain>文本间存在多余的空白字符。</explain>
      <paraID>12F3D24B</paraID>
      <start>97</start>
      <end>98</end>
      <status>unmodified</status>
      <modifiedWord/>
      <trackRevisions>false</trackRevisions>
    </reviewItem>
    <reviewItem>
      <errorID>674d6bd5-0107-424f-b963-d2bf97cb81f7</errorID>
      <errorWord> </errorWord>
      <group>L1_Format</group>
      <groupName>格式问题</groupName>
      <ability>L2_Whitespace</ability>
      <abilityName>空白字符</abilityName>
      <candidateList>
        <item/>
      </candidateList>
      <explain>文本间存在多余的空白字符。</explain>
      <paraID>2EFDE163</paraID>
      <start>7</start>
      <end>8</end>
      <status>unmodified</status>
      <modifiedWord/>
      <trackRevisions>false</trackRevisions>
    </reviewItem>
    <reviewItem>
      <errorID>7b3a02ad-70fb-4010-ab22-ddf723f7ed46</errorID>
      <errorWord> </errorWord>
      <group>L1_Format</group>
      <groupName>格式问题</groupName>
      <ability>L2_Whitespace</ability>
      <abilityName>空白字符</abilityName>
      <candidateList>
        <item/>
      </candidateList>
      <explain>文本间存在多余的空白字符。</explain>
      <paraID>2EFDE163</paraID>
      <start>14</start>
      <end>15</end>
      <status>unmodified</status>
      <modifiedWord/>
      <trackRevisions>false</trackRevisions>
    </reviewItem>
    <reviewItem>
      <errorID>dce74c9e-ce07-4d27-b9ff-55ca45687454</errorID>
      <errorWord> </errorWord>
      <group>L1_Format</group>
      <groupName>格式问题</groupName>
      <ability>L2_Whitespace</ability>
      <abilityName>空白字符</abilityName>
      <candidateList>
        <item/>
      </candidateList>
      <explain>文本间存在多余的空白字符。</explain>
      <paraID>4B647A62</paraID>
      <start>133</start>
      <end>134</end>
      <status>unmodified</status>
      <modifiedWord/>
      <trackRevisions>false</trackRevisions>
    </reviewItem>
    <reviewItem>
      <errorID>76284ac2-f342-4ffc-b7d3-8afadb3c353b</errorID>
      <errorWord> </errorWord>
      <group>L1_Format</group>
      <groupName>格式问题</groupName>
      <ability>L2_Whitespace</ability>
      <abilityName>空白字符</abilityName>
      <candidateList>
        <item/>
      </candidateList>
      <explain>文本间存在多余的空白字符。</explain>
      <paraID> 7753474</paraID>
      <start>129</start>
      <end>130</end>
      <status>unmodified</status>
      <modifiedWord/>
      <trackRevisions>false</trackRevisions>
    </reviewItem>
    <reviewItem>
      <errorID>7e8d1d06-885c-46f2-8eba-383a59f58a4a</errorID>
      <errorWord> </errorWord>
      <group>L1_Format</group>
      <groupName>格式问题</groupName>
      <ability>L2_Whitespace</ability>
      <abilityName>空白字符</abilityName>
      <candidateList>
        <item/>
      </candidateList>
      <explain>文本间存在多余的空白字符。</explain>
      <paraID>76E006D2</paraID>
      <start>7</start>
      <end>8</end>
      <status>unmodified</status>
      <modifiedWord/>
      <trackRevisions>false</trackRevisions>
    </reviewItem>
    <reviewItem>
      <errorID>a855ac14-1070-4c1c-945a-54ce5dee4ff4</errorID>
      <errorWord> </errorWord>
      <group>L1_Format</group>
      <groupName>格式问题</groupName>
      <ability>L2_Whitespace</ability>
      <abilityName>空白字符</abilityName>
      <candidateList>
        <item/>
      </candidateList>
      <explain>文本间存在多余的空白字符。</explain>
      <paraID>76E006D2</paraID>
      <start>18</start>
      <end>19</end>
      <status>unmodified</status>
      <modifiedWord/>
      <trackRevisions>false</trackRevisions>
    </reviewItem>
    <reviewItem>
      <errorID>536e6c03-050d-4a4c-b82e-489581a45064</errorID>
      <errorWord> </errorWord>
      <group>L1_Format</group>
      <groupName>格式问题</groupName>
      <ability>L2_Whitespace</ability>
      <abilityName>空白字符</abilityName>
      <candidateList>
        <item/>
      </candidateList>
      <explain>文本间存在多余的空白字符。</explain>
      <paraID>446C050E</paraID>
      <start>50</start>
      <end>51</end>
      <status>unmodified</status>
      <modifiedWord/>
      <trackRevisions>false</trackRevisions>
    </reviewItem>
    <reviewItem>
      <errorID>1713e2d2-8f6a-43bf-a78a-989c2fc5af7c</errorID>
      <errorWord> </errorWord>
      <group>L1_Format</group>
      <groupName>格式问题</groupName>
      <ability>L2_Whitespace</ability>
      <abilityName>空白字符</abilityName>
      <candidateList>
        <item/>
      </candidateList>
      <explain>文本间存在多余的空白字符。</explain>
      <paraID>50ECBBE9</paraID>
      <start>188</start>
      <end>189</end>
      <status>unmodified</status>
      <modifiedWord/>
      <trackRevisions>false</trackRevisions>
    </reviewItem>
    <reviewItem>
      <errorID>ad29083d-a378-4f41-b109-5591eaa899d3</errorID>
      <errorWord> </errorWord>
      <group>L1_Format</group>
      <groupName>格式问题</groupName>
      <ability>L2_Whitespace</ability>
      <abilityName>空白字符</abilityName>
      <candidateList>
        <item/>
      </candidateList>
      <explain>文本间存在多余的空白字符。</explain>
      <paraID>50ECBBE9</paraID>
      <start>248</start>
      <end>249</end>
      <status>unmodified</status>
      <modifiedWord/>
      <trackRevisions>false</trackRevisions>
    </reviewItem>
    <reviewItem>
      <errorID>0a0cddcd-c923-4f52-b589-aff80e7d6132</errorID>
      <errorWord> </errorWord>
      <group>L1_Format</group>
      <groupName>格式问题</groupName>
      <ability>L2_Whitespace</ability>
      <abilityName>空白字符</abilityName>
      <candidateList>
        <item/>
      </candidateList>
      <explain>文本间存在多余的空白字符。</explain>
      <paraID>4E9B4A90</paraID>
      <start>37</start>
      <end>38</end>
      <status>unmodified</status>
      <modifiedWord/>
      <trackRevisions>false</trackRevisions>
    </reviewItem>
    <reviewItem>
      <errorID>3e942895-116c-4ce3-9d98-edd8895e3f29</errorID>
      <errorWord> </errorWord>
      <group>L1_Format</group>
      <groupName>格式问题</groupName>
      <ability>L2_Whitespace</ability>
      <abilityName>空白字符</abilityName>
      <candidateList>
        <item/>
      </candidateList>
      <explain>文本间存在多余的空白字符。</explain>
      <paraID>61602972</paraID>
      <start>157</start>
      <end>158</end>
      <status>unmodified</status>
      <modifiedWord/>
      <trackRevisions>false</trackRevisions>
    </reviewItem>
    <reviewItem>
      <errorID>3da849cf-9a36-4447-a9b5-dd76b0407f8a</errorID>
      <errorWord> </errorWord>
      <group>L1_Format</group>
      <groupName>格式问题</groupName>
      <ability>L2_Whitespace</ability>
      <abilityName>空白字符</abilityName>
      <candidateList>
        <item/>
      </candidateList>
      <explain>文本间存在多余的空白字符。</explain>
      <paraID>16E3EE8C</paraID>
      <start>7</start>
      <end>8</end>
      <status>unmodified</status>
      <modifiedWord/>
      <trackRevisions>false</trackRevisions>
    </reviewItem>
    <reviewItem>
      <errorID>01b6ca9d-58c5-4a90-9fb1-ba2802dcdd39</errorID>
      <errorWord> </errorWord>
      <group>L1_Format</group>
      <groupName>格式问题</groupName>
      <ability>L2_Whitespace</ability>
      <abilityName>空白字符</abilityName>
      <candidateList>
        <item/>
      </candidateList>
      <explain>文本间存在多余的空白字符。</explain>
      <paraID>16E3EE8C</paraID>
      <start>18</start>
      <end>19</end>
      <status>unmodified</status>
      <modifiedWord/>
      <trackRevisions>false</trackRevisions>
    </reviewItem>
    <reviewItem>
      <errorID>8420b336-a696-471d-95ba-199fdbf00bbb</errorID>
      <errorWord> </errorWord>
      <group>L1_Format</group>
      <groupName>格式问题</groupName>
      <ability>L2_Whitespace</ability>
      <abilityName>空白字符</abilityName>
      <candidateList>
        <item/>
      </candidateList>
      <explain>文本间存在多余的空白字符。</explain>
      <paraID> 9AE8E5F</paraID>
      <start>51</start>
      <end>52</end>
      <status>unmodified</status>
      <modifiedWord/>
      <trackRevisions>false</trackRevisions>
    </reviewItem>
    <reviewItem>
      <errorID>37eedaa8-6f68-491c-bebf-2581a7e44308</errorID>
      <errorWord> </errorWord>
      <group>L1_Format</group>
      <groupName>格式问题</groupName>
      <ability>L2_Whitespace</ability>
      <abilityName>空白字符</abilityName>
      <candidateList>
        <item/>
      </candidateList>
      <explain>文本间存在多余的空白字符。</explain>
      <paraID>1C720B7B</paraID>
      <start>65</start>
      <end>66</end>
      <status>unmodified</status>
      <modifiedWord/>
      <trackRevisions>false</trackRevisions>
    </reviewItem>
    <reviewItem>
      <errorID>abdd4df0-b03f-458c-a343-eb177f54885a</errorID>
      <errorWord> </errorWord>
      <group>L1_Format</group>
      <groupName>格式问题</groupName>
      <ability>L2_Whitespace</ability>
      <abilityName>空白字符</abilityName>
      <candidateList>
        <item/>
      </candidateList>
      <explain>文本间存在多余的空白字符。</explain>
      <paraID>37DBCC85</paraID>
      <start>45</start>
      <end>46</end>
      <status>unmodified</status>
      <modifiedWord/>
      <trackRevisions>false</trackRevisions>
    </reviewItem>
    <reviewItem>
      <errorID>a1819cc8-99b3-49cc-97a9-be5c3401c990</errorID>
      <errorWord> </errorWord>
      <group>L1_Format</group>
      <groupName>格式问题</groupName>
      <ability>L2_Whitespace</ability>
      <abilityName>空白字符</abilityName>
      <candidateList>
        <item/>
      </candidateList>
      <explain>文本间存在多余的空白字符。</explain>
      <paraID>5830FAAB</paraID>
      <start>70</start>
      <end>71</end>
      <status>unmodified</status>
      <modifiedWord/>
      <trackRevisions>false</trackRevisions>
    </reviewItem>
    <reviewItem>
      <errorID>915e704f-5930-40ea-a2f3-09450710861b</errorID>
      <errorWord> </errorWord>
      <group>L1_Format</group>
      <groupName>格式问题</groupName>
      <ability>L2_Whitespace</ability>
      <abilityName>空白字符</abilityName>
      <candidateList>
        <item/>
      </candidateList>
      <explain>文本间存在多余的空白字符。</explain>
      <paraID> BB160A9</paraID>
      <start>39</start>
      <end>40</end>
      <status>unmodified</status>
      <modifiedWord/>
      <trackRevisions>false</trackRevisions>
    </reviewItem>
    <reviewItem>
      <errorID>09e22b90-26b5-486c-bf2f-c2efda33f11b</errorID>
      <errorWord> </errorWord>
      <group>L1_Format</group>
      <groupName>格式问题</groupName>
      <ability>L2_Whitespace</ability>
      <abilityName>空白字符</abilityName>
      <candidateList>
        <item/>
      </candidateList>
      <explain>文本间存在多余的空白字符。</explain>
      <paraID>58945443</paraID>
      <start>11</start>
      <end>12</end>
      <status>unmodified</status>
      <modifiedWord/>
      <trackRevisions>false</trackRevisions>
    </reviewItem>
    <reviewItem>
      <errorID>7287724c-6b3d-429a-8d7e-68606d545b53</errorID>
      <errorWord> </errorWord>
      <group>L1_Format</group>
      <groupName>格式问题</groupName>
      <ability>L2_Whitespace</ability>
      <abilityName>空白字符</abilityName>
      <candidateList>
        <item/>
      </candidateList>
      <explain>文本间存在多余的空白字符。</explain>
      <paraID>5C975D76</paraID>
      <start>10</start>
      <end>11</end>
      <status>unmodified</status>
      <modifiedWord/>
      <trackRevisions>false</trackRevisions>
    </reviewItem>
    <reviewItem>
      <errorID>ee0be05e-e59c-4602-9d73-26053a35963b</errorID>
      <errorWord> </errorWord>
      <group>L1_Format</group>
      <groupName>格式问题</groupName>
      <ability>L2_Whitespace</ability>
      <abilityName>空白字符</abilityName>
      <candidateList>
        <item/>
      </candidateList>
      <explain>文本间存在多余的空白字符。</explain>
      <paraID>38C358DD</paraID>
      <start>218</start>
      <end>219</end>
      <status>unmodified</status>
      <modifiedWord/>
      <trackRevisions>false</trackRevisions>
    </reviewItem>
    <reviewItem>
      <errorID>734ec1ba-b0ab-4c2d-82bc-2ab9ec559fad</errorID>
      <errorWord> </errorWord>
      <group>L1_Format</group>
      <groupName>格式问题</groupName>
      <ability>L2_Whitespace</ability>
      <abilityName>空白字符</abilityName>
      <candidateList>
        <item/>
      </candidateList>
      <explain>文本间存在多余的空白字符。</explain>
      <paraID>55B97A63</paraID>
      <start>93</start>
      <end>94</end>
      <status>unmodified</status>
      <modifiedWord/>
      <trackRevisions>false</trackRevisions>
    </reviewItem>
    <reviewItem>
      <errorID>75c70877-ad27-4267-b334-c58dc9f1e6f2</errorID>
      <errorWord> </errorWord>
      <group>L1_Format</group>
      <groupName>格式问题</groupName>
      <ability>L2_Whitespace</ability>
      <abilityName>空白字符</abilityName>
      <candidateList>
        <item/>
      </candidateList>
      <explain>文本间存在多余的空白字符。</explain>
      <paraID>104D51D6</paraID>
      <start>10</start>
      <end>11</end>
      <status>unmodified</status>
      <modifiedWord/>
      <trackRevisions>false</trackRevisions>
    </reviewItem>
    <reviewItem>
      <errorID>015267ae-7fa4-4cfc-bff8-719163bf790c</errorID>
      <errorWord> </errorWord>
      <group>L1_Format</group>
      <groupName>格式问题</groupName>
      <ability>L2_Whitespace</ability>
      <abilityName>空白字符</abilityName>
      <candidateList>
        <item/>
      </candidateList>
      <explain>文本间存在多余的空白字符。</explain>
      <paraID>726E67F4</paraID>
      <start>124</start>
      <end>125</end>
      <status>unmodified</status>
      <modifiedWord/>
      <trackRevisions>false</trackRevisions>
    </reviewItem>
    <reviewItem>
      <errorID>05636286-1fe1-4131-9961-181e8b9011db</errorID>
      <errorWord> </errorWord>
      <group>L1_Format</group>
      <groupName>格式问题</groupName>
      <ability>L2_Whitespace</ability>
      <abilityName>空白字符</abilityName>
      <candidateList>
        <item/>
      </candidateList>
      <explain>文本间存在多余的空白字符。</explain>
      <paraID>7252ACA7</paraID>
      <start>9</start>
      <end>10</end>
      <status>unmodified</status>
      <modifiedWord/>
      <trackRevisions>false</trackRevisions>
    </reviewItem>
    <reviewItem>
      <errorID>158432e0-360e-41be-a6b6-bb46c6d90007</errorID>
      <errorWord> </errorWord>
      <group>L1_Format</group>
      <groupName>格式问题</groupName>
      <ability>L2_Whitespace</ability>
      <abilityName>空白字符</abilityName>
      <candidateList>
        <item/>
      </candidateList>
      <explain>文本间存在多余的空白字符。</explain>
      <paraID>48E70F4E</paraID>
      <start>220</start>
      <end>221</end>
      <status>unmodified</status>
      <modifiedWord/>
      <trackRevisions>false</trackRevisions>
    </reviewItem>
    <reviewItem>
      <errorID>277c35b7-aa46-495a-b5a6-1a79b37f50d6</errorID>
      <errorWord> </errorWord>
      <group>L1_Format</group>
      <groupName>格式问题</groupName>
      <ability>L2_Whitespace</ability>
      <abilityName>空白字符</abilityName>
      <candidateList>
        <item/>
      </candidateList>
      <explain>文本间存在多余的空白字符。</explain>
      <paraID>2ACA8634</paraID>
      <start>13</start>
      <end>14</end>
      <status>unmodified</status>
      <modifiedWord/>
      <trackRevisions>false</trackRevisions>
    </reviewItem>
    <reviewItem>
      <errorID>def96540-463f-463b-9131-4a2eeeeee830</errorID>
      <errorWord> </errorWord>
      <group>L1_Format</group>
      <groupName>格式问题</groupName>
      <ability>L2_Whitespace</ability>
      <abilityName>空白字符</abilityName>
      <candidateList>
        <item/>
      </candidateList>
      <explain>文本间存在多余的空白字符。</explain>
      <paraID>6C9A3577</paraID>
      <start>161</start>
      <end>162</end>
      <status>unmodified</status>
      <modifiedWord/>
      <trackRevisions>false</trackRevisions>
    </reviewItem>
    <reviewItem>
      <errorID>6937c331-09a0-4526-875d-9252280ff0c3</errorID>
      <errorWord> </errorWord>
      <group>L1_Format</group>
      <groupName>格式问题</groupName>
      <ability>L2_Whitespace</ability>
      <abilityName>空白字符</abilityName>
      <candidateList>
        <item/>
      </candidateList>
      <explain>文本间存在多余的空白字符。</explain>
      <paraID>7883B15A</paraID>
      <start>7</start>
      <end>8</end>
      <status>unmodified</status>
      <modifiedWord/>
      <trackRevisions>false</trackRevisions>
    </reviewItem>
    <reviewItem>
      <errorID>6ebade23-72c8-4c9e-a37a-2797f50a8713</errorID>
      <errorWord> </errorWord>
      <group>L1_Format</group>
      <groupName>格式问题</groupName>
      <ability>L2_Whitespace</ability>
      <abilityName>空白字符</abilityName>
      <candidateList>
        <item/>
      </candidateList>
      <explain>文本间存在多余的空白字符。</explain>
      <paraID>52A7FC53</paraID>
      <start>196</start>
      <end>197</end>
      <status>unmodified</status>
      <modifiedWord/>
      <trackRevisions>false</trackRevisions>
    </reviewItem>
    <reviewItem>
      <errorID>e9985fca-a746-48a7-a938-00ca804a4eb7</errorID>
      <errorWord> </errorWord>
      <group>L1_Format</group>
      <groupName>格式问题</groupName>
      <ability>L2_Whitespace</ability>
      <abilityName>空白字符</abilityName>
      <candidateList>
        <item/>
      </candidateList>
      <explain>文本间存在多余的空白字符。</explain>
      <paraID>4CA08C67</paraID>
      <start>9</start>
      <end>10</end>
      <status>unmodified</status>
      <modifiedWord/>
      <trackRevisions>false</trackRevisions>
    </reviewItem>
    <reviewItem>
      <errorID>db7969e3-6bc5-49bd-a0d7-16b9909eb753</errorID>
      <errorWord> </errorWord>
      <group>L1_Format</group>
      <groupName>格式问题</groupName>
      <ability>L2_Whitespace</ability>
      <abilityName>空白字符</abilityName>
      <candidateList>
        <item/>
      </candidateList>
      <explain>文本间存在多余的空白字符。</explain>
      <paraID>6875F1C6</paraID>
      <start>168</start>
      <end>169</end>
      <status>unmodified</status>
      <modifiedWord/>
      <trackRevisions>false</trackRevisions>
    </reviewItem>
    <reviewItem>
      <errorID>6038ceca-e9ed-45ce-83db-d8b873fb4777</errorID>
      <errorWord> </errorWord>
      <group>L1_Format</group>
      <groupName>格式问题</groupName>
      <ability>L2_Whitespace</ability>
      <abilityName>空白字符</abilityName>
      <candidateList>
        <item/>
      </candidateList>
      <explain>文本间存在多余的空白字符。</explain>
      <paraID>  B55EBE</paraID>
      <start>9</start>
      <end>10</end>
      <status>unmodified</status>
      <modifiedWord/>
      <trackRevisions>false</trackRevisions>
    </reviewItem>
    <reviewItem>
      <errorID>66521c4b-e79d-4792-bcf9-1d16c48bf627</errorID>
      <errorWord> </errorWord>
      <group>L1_Format</group>
      <groupName>格式问题</groupName>
      <ability>L2_Whitespace</ability>
      <abilityName>空白字符</abilityName>
      <candidateList>
        <item/>
      </candidateList>
      <explain>文本间存在多余的空白字符。</explain>
      <paraID>73C020E4</paraID>
      <start>184</start>
      <end>185</end>
      <status>unmodified</status>
      <modifiedWord/>
      <trackRevisions>false</trackRevisions>
    </reviewItem>
    <reviewItem>
      <errorID>8ced4901-a38b-4c30-a9b9-2b34d2893484</errorID>
      <errorWord> </errorWord>
      <group>L1_Format</group>
      <groupName>格式问题</groupName>
      <ability>L2_Whitespace</ability>
      <abilityName>空白字符</abilityName>
      <candidateList>
        <item/>
      </candidateList>
      <explain>文本间存在多余的空白字符。</explain>
      <paraID>46BE8769</paraID>
      <start>14</start>
      <end>15</end>
      <status>unmodified</status>
      <modifiedWord/>
      <trackRevisions>false</trackRevisions>
    </reviewItem>
    <reviewItem>
      <errorID>69d66d39-597d-4e8d-a213-74c3528e7f66</errorID>
      <errorWord> </errorWord>
      <group>L1_Format</group>
      <groupName>格式问题</groupName>
      <ability>L2_Whitespace</ability>
      <abilityName>空白字符</abilityName>
      <candidateList>
        <item/>
      </candidateList>
      <explain>文本间存在多余的空白字符。</explain>
      <paraID>7308D703</paraID>
      <start>5</start>
      <end>6</end>
      <status>unmodified</status>
      <modifiedWord/>
      <trackRevisions>false</trackRevisions>
    </reviewItem>
    <reviewItem>
      <errorID>4dbdcb09-1c8c-400a-bbb7-0b81c7181681</errorID>
      <errorWord> </errorWord>
      <group>L1_Format</group>
      <groupName>格式问题</groupName>
      <ability>L2_Whitespace</ability>
      <abilityName>空白字符</abilityName>
      <candidateList>
        <item/>
      </candidateList>
      <explain>文本间存在多余的空白字符。</explain>
      <paraID>58CF3395</paraID>
      <start>178</start>
      <end>179</end>
      <status>unmodified</status>
      <modifiedWord/>
      <trackRevisions>false</trackRevisions>
    </reviewItem>
    <reviewItem>
      <errorID>dace8293-3f18-4ec3-b94e-796bb671c769</errorID>
      <errorWord>     </errorWord>
      <group>L1_Format</group>
      <groupName>格式问题</groupName>
      <ability>L2_Whitespace</ability>
      <abilityName>空白字符</abilityName>
      <candidateList>
        <item/>
      </candidateList>
      <explain>文本间存在多余的空白字符。</explain>
      <paraID>4CC43665</paraID>
      <start>8</start>
      <end>13</end>
      <status>unmodified</status>
      <modifiedWord/>
      <trackRevisions>false</trackRevisions>
    </reviewItem>
    <reviewItem>
      <errorID>7c9bd24a-0f6d-42be-8573-4bdff08659ef</errorID>
      <errorWord> </errorWord>
      <group>L1_Format</group>
      <groupName>格式问题</groupName>
      <ability>L2_Whitespace</ability>
      <abilityName>空白字符</abilityName>
      <candidateList>
        <item/>
      </candidateList>
      <explain>文本间存在多余的空白字符。</explain>
      <paraID>5D9ECE4C</paraID>
      <start>31</start>
      <end>32</end>
      <status>unmodified</status>
      <modifiedWord/>
      <trackRevisions>false</trackRevisions>
    </reviewItem>
    <reviewItem>
      <errorID>e0662d89-a3c1-472f-9669-77263d2a139e</errorID>
      <errorWord> </errorWord>
      <group>L1_Format</group>
      <groupName>格式问题</groupName>
      <ability>L2_Whitespace</ability>
      <abilityName>空白字符</abilityName>
      <candidateList>
        <item/>
      </candidateList>
      <explain>文本间存在多余的空白字符。</explain>
      <paraID>35CA750E</paraID>
      <start>11</start>
      <end>12</end>
      <status>unmodified</status>
      <modifiedWord/>
      <trackRevisions>false</trackRevisions>
    </reviewItem>
    <reviewItem>
      <errorID>ceeca413-399b-4ca1-8b02-69d6664a7fac</errorID>
      <errorWord> </errorWord>
      <group>L1_Format</group>
      <groupName>格式问题</groupName>
      <ability>L2_Whitespace</ability>
      <abilityName>空白字符</abilityName>
      <candidateList>
        <item/>
      </candidateList>
      <explain>文本间存在多余的空白字符。</explain>
      <paraID>75BBEB30</paraID>
      <start>270</start>
      <end>271</end>
      <status>unmodified</status>
      <modifiedWord/>
      <trackRevisions>false</trackRevisions>
    </reviewItem>
    <reviewItem>
      <errorID>6fb51f78-eba8-42cc-8779-5832a978ffea</errorID>
      <errorWord> </errorWord>
      <group>L1_Format</group>
      <groupName>格式问题</groupName>
      <ability>L2_Whitespace</ability>
      <abilityName>空白字符</abilityName>
      <candidateList>
        <item/>
      </candidateList>
      <explain>文本间存在多余的空白字符。</explain>
      <paraID>75BBEB30</paraID>
      <start>318</start>
      <end>319</end>
      <status>unmodified</status>
      <modifiedWord/>
      <trackRevisions>false</trackRevisions>
    </reviewItem>
    <reviewItem>
      <errorID>781125e5-6685-45b6-a51f-49d427aa8a88</errorID>
      <errorWord>制</errorWord>
      <group>L1_Word</group>
      <groupName>字词问题</groupName>
      <ability>L2_Typo</ability>
      <abilityName>字词错误</abilityName>
      <candidateList>
        <item>制度</item>
      </candidateList>
      <explain/>
      <paraID>25D3D3FB</paraID>
      <start>20</start>
      <end>21</end>
      <status>unmodified</status>
      <modifiedWord/>
      <trackRevisions>false</trackRevisions>
    </reviewItem>
    <reviewItem>
      <errorID>056fd4ec-4833-41e2-a8c2-04541d214246</errorID>
      <errorWord>    </errorWord>
      <group>L1_Format</group>
      <groupName>格式问题</groupName>
      <ability>L2_Whitespace</ability>
      <abilityName>空白字符</abilityName>
      <candidateList>
        <item/>
      </candidateList>
      <explain>文本间存在多余的空白字符。</explain>
      <paraID>39D966A7</paraID>
      <start>8</start>
      <end>12</end>
      <status>unmodified</status>
      <modifiedWord/>
      <trackRevisions>false</trackRevisions>
    </reviewItem>
    <reviewItem>
      <errorID>fbc8f357-d320-42a7-ab37-7a832c21144d</errorID>
      <errorWord> </errorWord>
      <group>L1_Format</group>
      <groupName>格式问题</groupName>
      <ability>L2_Whitespace</ability>
      <abilityName>空白字符</abilityName>
      <candidateList>
        <item/>
      </candidateList>
      <explain>文本间存在多余的空白字符。</explain>
      <paraID>39D966A7</paraID>
      <start>21</start>
      <end>22</end>
      <status>unmodified</status>
      <modifiedWord/>
      <trackRevisions>false</trackRevisions>
    </reviewItem>
    <reviewItem>
      <errorID>bfa9fc54-ee2c-4bad-b6dc-70a238ac8cd5</errorID>
      <errorWord> </errorWord>
      <group>L1_Format</group>
      <groupName>格式问题</groupName>
      <ability>L2_Whitespace</ability>
      <abilityName>空白字符</abilityName>
      <candidateList>
        <item/>
      </candidateList>
      <explain>文本间存在多余的空白字符。</explain>
      <paraID>435E4BE0</paraID>
      <start>32</start>
      <end>33</end>
      <status>unmodified</status>
      <modifiedWord/>
      <trackRevisions>false</trackRevisions>
    </reviewItem>
    <reviewItem>
      <errorID>5164912c-7bfd-4f27-9b2b-a1b4fe6979df</errorID>
      <errorWord> </errorWord>
      <group>L1_Format</group>
      <groupName>格式问题</groupName>
      <ability>L2_Whitespace</ability>
      <abilityName>空白字符</abilityName>
      <candidateList>
        <item/>
      </candidateList>
      <explain>文本间存在多余的空白字符。</explain>
      <paraID>4094101B</paraID>
      <start>51</start>
      <end>52</end>
      <status>unmodified</status>
      <modifiedWord/>
      <trackRevisions>false</trackRevisions>
    </reviewItem>
    <reviewItem>
      <errorID>534bf675-47e1-4efa-8ce6-7f803aa2e258</errorID>
      <errorWord> </errorWord>
      <group>L1_Format</group>
      <groupName>格式问题</groupName>
      <ability>L2_Whitespace</ability>
      <abilityName>空白字符</abilityName>
      <candidateList>
        <item/>
      </candidateList>
      <explain>文本间存在多余的空白字符。</explain>
      <paraID>1BB3E394</paraID>
      <start>78</start>
      <end>79</end>
      <status>unmodified</status>
      <modifiedWord/>
      <trackRevisions>false</trackRevisions>
    </reviewItem>
    <reviewItem>
      <errorID>cfaf259b-c20b-4e3e-b167-766ff61dee90</errorID>
      <errorWord> </errorWord>
      <group>L1_Format</group>
      <groupName>格式问题</groupName>
      <ability>L2_Whitespace</ability>
      <abilityName>空白字符</abilityName>
      <candidateList>
        <item/>
      </candidateList>
      <explain>文本间存在多余的空白字符。</explain>
      <paraID>6BDE1151</paraID>
      <start>26</start>
      <end>27</end>
      <status>unmodified</status>
      <modifiedWord/>
      <trackRevisions>false</trackRevisions>
    </reviewItem>
    <reviewItem>
      <errorID>f94097d7-80b4-43c9-a433-563eee86a9ff</errorID>
      <errorWord> </errorWord>
      <group>L1_Format</group>
      <groupName>格式问题</groupName>
      <ability>L2_Whitespace</ability>
      <abilityName>空白字符</abilityName>
      <candidateList>
        <item/>
      </candidateList>
      <explain>文本间存在多余的空白字符。</explain>
      <paraID>20059EED</paraID>
      <start>41</start>
      <end>42</end>
      <status>unmodified</status>
      <modifiedWord/>
      <trackRevisions>false</trackRevisions>
    </reviewItem>
    <reviewItem>
      <errorID>17b59634-1c70-47b4-a3fa-d81f164a3874</errorID>
      <errorWord>      </errorWord>
      <group>L1_Format</group>
      <groupName>格式问题</groupName>
      <ability>L2_Whitespace</ability>
      <abilityName>空白字符</abilityName>
      <candidateList>
        <item/>
      </candidateList>
      <explain>文本间存在多余的空白字符。</explain>
      <paraID>27811473</paraID>
      <start>8</start>
      <end>14</end>
      <status>unmodified</status>
      <modifiedWord/>
      <trackRevisions>false</trackRevisions>
    </reviewItem>
    <reviewItem>
      <errorID>13c5ae55-ce63-4b39-b3af-c65fbd9b2278</errorID>
      <errorWord>       </errorWord>
      <group>L1_Format</group>
      <groupName>格式问题</groupName>
      <ability>L2_Whitespace</ability>
      <abilityName>空白字符</abilityName>
      <candidateList>
        <item/>
      </candidateList>
      <explain>文本间存在多余的空白字符。</explain>
      <paraID>4A2E4EF1</paraID>
      <start>8</start>
      <end>15</end>
      <status>unmodified</status>
      <modifiedWord/>
      <trackRevisions>false</trackRevisions>
    </reviewItem>
    <reviewItem>
      <errorID>cecbe05a-2ff6-4b80-b75d-f3ef1c56cd3d</errorID>
      <errorWord> </errorWord>
      <group>L1_Format</group>
      <groupName>格式问题</groupName>
      <ability>L2_Whitespace</ability>
      <abilityName>空白字符</abilityName>
      <candidateList>
        <item/>
      </candidateList>
      <explain>文本间存在多余的空白字符。</explain>
      <paraID>60F5DE08</paraID>
      <start>3</start>
      <end>4</end>
      <status>unmodified</status>
      <modifiedWord/>
      <trackRevisions>false</trackRevisions>
    </reviewItem>
    <reviewItem>
      <errorID>da0d7a7b-98ef-48b0-af62-f120c1ef0221</errorID>
      <errorWord> </errorWord>
      <group>L1_Format</group>
      <groupName>格式问题</groupName>
      <ability>L2_Whitespace</ability>
      <abilityName>空白字符</abilityName>
      <candidateList>
        <item/>
      </candidateList>
      <explain>文本间存在多余的空白字符。</explain>
      <paraID>48F86D4C</paraID>
      <start>9</start>
      <end>10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68f616-efab-4c9f-8670-5d4bde38a53a}">
  <ds:schemaRefs/>
</ds:datastoreItem>
</file>

<file path=docProps/app.xml><?xml version="1.0" encoding="utf-8"?>
<Properties xmlns="http://schemas.openxmlformats.org/officeDocument/2006/extended-properties" xmlns:vt="http://schemas.openxmlformats.org/officeDocument/2006/docPropsVTypes">
  <Template>Normal.dotm</Template>
  <Pages>183</Pages>
  <Words>85</Words>
  <Characters>85</Characters>
  <Lines>0</Lines>
  <Paragraphs>0</Paragraphs>
  <TotalTime>1</TotalTime>
  <ScaleCrop>false</ScaleCrop>
  <LinksUpToDate>false</LinksUpToDate>
  <CharactersWithSpaces>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2024-10-15T02:45:00Z</dcterms:created>
  <dc:creator>hua'wei</dc:creator>
  <cp:lastModifiedBy>小麦啾</cp:lastModifiedBy>
  <cp:lastPrinted>2026-09-12T03:59:00Z</cp:lastPrinted>
  <dcterms:modified xsi:type="dcterms:W3CDTF">2026-10-19T08:37:50Z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A684FDC553B64EB4AEEC4C27B27FBCB4_13</vt:lpwstr>
  </property>
  <property fmtid="{D5CDD505-2E9C-101B-9397-08002B2CF9AE}" pid="4" name="KSOTemplateDocerSaveRecord">
    <vt:lpwstr>eyJoZGlkIjoiM2Q5NDlmNDc3N2ZkYzk3ZGJmOTUwNTM0Mzc5MTVlNDMiLCJ1c2VySWQiOiIzMjQ5NjUzODcifQ==</vt:lpwstr>
  </property>
</Properties>
</file>